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1CF0C" w14:textId="5A632324" w:rsidR="00BE50E2" w:rsidRDefault="00BE50E2" w:rsidP="00BE50E2">
      <w:r>
        <w:t>ROYAL 14 B V: MEMBRANE 4 AND 5 ROLLO AND HIS DESCENDANTS</w:t>
      </w:r>
    </w:p>
    <w:p w14:paraId="284804FB" w14:textId="1F8E05E1" w:rsidR="00512344" w:rsidRDefault="00512344" w:rsidP="00BE50E2">
      <w:r>
        <w:t>England (East Anglia?), c. 1300-07</w:t>
      </w:r>
    </w:p>
    <w:p w14:paraId="69E3AA36" w14:textId="443ED1B1" w:rsidR="00A52D7B" w:rsidRDefault="00512344" w:rsidP="00BE50E2">
      <w:r>
        <w:t xml:space="preserve">The illustration being examined for this paper </w:t>
      </w:r>
      <w:r w:rsidR="00D474E4">
        <w:t xml:space="preserve">forms part of a series of genealogical diagrams that number </w:t>
      </w:r>
      <w:r w:rsidR="000C7826">
        <w:t>over</w:t>
      </w:r>
      <w:r w:rsidR="00D474E4">
        <w:t xml:space="preserve"> forty</w:t>
      </w:r>
      <w:r w:rsidR="000C7826">
        <w:t>,</w:t>
      </w:r>
      <w:r w:rsidR="00D474E4">
        <w:t xml:space="preserve"> </w:t>
      </w:r>
      <w:r w:rsidR="00FF4E6C">
        <w:t xml:space="preserve">produced </w:t>
      </w:r>
      <w:r w:rsidR="00D474E4">
        <w:t xml:space="preserve">as roll </w:t>
      </w:r>
      <w:r w:rsidR="00FF4E6C">
        <w:t>chronicles</w:t>
      </w:r>
      <w:r w:rsidR="008A67DB">
        <w:t>,</w:t>
      </w:r>
      <w:r w:rsidR="00FF4E6C">
        <w:t xml:space="preserve"> representing</w:t>
      </w:r>
      <w:r w:rsidR="00D474E4">
        <w:t xml:space="preserve"> the succession order of English kings.</w:t>
      </w:r>
      <w:r w:rsidR="000C7826">
        <w:t xml:space="preserve"> During the reigns of </w:t>
      </w:r>
      <w:r w:rsidR="00336464">
        <w:t>Edward,</w:t>
      </w:r>
      <w:r w:rsidR="000C7826">
        <w:t xml:space="preserve"> I (1272-1397) and Edward II (1307 – 1327) they became </w:t>
      </w:r>
      <w:r w:rsidR="002B6724">
        <w:t xml:space="preserve">a popular way to engage </w:t>
      </w:r>
      <w:r w:rsidR="00FF4E6C">
        <w:t xml:space="preserve">and educate </w:t>
      </w:r>
      <w:r w:rsidR="002B6724">
        <w:t>medieval audiences</w:t>
      </w:r>
      <w:r w:rsidR="00FF4E6C">
        <w:t xml:space="preserve"> through </w:t>
      </w:r>
      <w:r w:rsidR="002B6724">
        <w:t>visual material to the ‘filiation and succession of kings’ (</w:t>
      </w:r>
      <w:proofErr w:type="spellStart"/>
      <w:r w:rsidR="002B6724">
        <w:t>Labourderie</w:t>
      </w:r>
      <w:proofErr w:type="spellEnd"/>
      <w:r w:rsidR="002B6724">
        <w:t>,</w:t>
      </w:r>
      <w:r w:rsidR="00815C51">
        <w:t xml:space="preserve"> </w:t>
      </w:r>
      <w:r w:rsidR="00FF4E6C">
        <w:t xml:space="preserve">2014, p.4). The chronicles preservation has been upheld by the British Library </w:t>
      </w:r>
      <w:r w:rsidR="00970773">
        <w:t>(BL</w:t>
      </w:r>
      <w:r w:rsidR="00815C51">
        <w:t>, 2023</w:t>
      </w:r>
      <w:r w:rsidR="00970773">
        <w:t xml:space="preserve">) </w:t>
      </w:r>
      <w:r w:rsidR="00FF4E6C">
        <w:t>and have been displayed as part of the ‘Royal Manuscripts’ exhibition (</w:t>
      </w:r>
      <w:proofErr w:type="spellStart"/>
      <w:r w:rsidR="00FF4E6C">
        <w:t>Labourderie</w:t>
      </w:r>
      <w:proofErr w:type="spellEnd"/>
      <w:r w:rsidR="00FF4E6C">
        <w:t xml:space="preserve">, p.1). This paper will </w:t>
      </w:r>
      <w:r w:rsidR="00A52D7B">
        <w:t xml:space="preserve">examine the detail in the manuscript pertaining to membranes four and five and the importance of the chronicle to the medieval reader. </w:t>
      </w:r>
    </w:p>
    <w:p w14:paraId="1A4B10FC" w14:textId="4EC84E95" w:rsidR="001E16CF" w:rsidRDefault="009B5AC0" w:rsidP="00BE50E2">
      <w:r>
        <w:t xml:space="preserve">A </w:t>
      </w:r>
      <w:r w:rsidRPr="43DD5ADA">
        <w:rPr>
          <w:i/>
          <w:iCs/>
        </w:rPr>
        <w:t xml:space="preserve">Heptarchy </w:t>
      </w:r>
      <w:r>
        <w:t>that depicts the Anglo-Saxon England</w:t>
      </w:r>
      <w:r w:rsidR="00970773">
        <w:t xml:space="preserve">’s seven kingdoms, </w:t>
      </w:r>
      <w:r w:rsidR="001121C9">
        <w:t>presides over the illuminated manuscript</w:t>
      </w:r>
      <w:r w:rsidR="00C2317B">
        <w:t>,</w:t>
      </w:r>
      <w:r w:rsidR="001121C9">
        <w:t xml:space="preserve"> and from this </w:t>
      </w:r>
      <w:r w:rsidR="00BE1888">
        <w:t>the royal line</w:t>
      </w:r>
      <w:r w:rsidR="00C2317B">
        <w:t>,</w:t>
      </w:r>
      <w:r w:rsidR="00BE1888">
        <w:t xml:space="preserve"> descending from</w:t>
      </w:r>
      <w:r w:rsidR="000C7826">
        <w:t xml:space="preserve"> E</w:t>
      </w:r>
      <w:r w:rsidR="00BE1888">
        <w:t>g</w:t>
      </w:r>
      <w:r w:rsidR="000C7826">
        <w:t xml:space="preserve">bert, </w:t>
      </w:r>
      <w:r w:rsidR="00BE1888">
        <w:t>the king of Wessex, to Edward I</w:t>
      </w:r>
      <w:r w:rsidR="00D74787">
        <w:t>,</w:t>
      </w:r>
      <w:r w:rsidR="001121C9">
        <w:t xml:space="preserve"> is </w:t>
      </w:r>
      <w:r w:rsidR="00D74787">
        <w:t>illustrated</w:t>
      </w:r>
      <w:r w:rsidR="001121C9">
        <w:t xml:space="preserve"> </w:t>
      </w:r>
      <w:r w:rsidR="00C2317B">
        <w:t>(BL</w:t>
      </w:r>
      <w:r w:rsidR="00815C51">
        <w:t>, 2023</w:t>
      </w:r>
      <w:r w:rsidR="00C2317B">
        <w:t>).</w:t>
      </w:r>
      <w:r w:rsidR="00D74787">
        <w:t xml:space="preserve"> </w:t>
      </w:r>
      <w:r w:rsidR="001121C9">
        <w:t xml:space="preserve">Smaller </w:t>
      </w:r>
      <w:r w:rsidR="007866CE" w:rsidRPr="43DD5ADA">
        <w:rPr>
          <w:i/>
          <w:iCs/>
        </w:rPr>
        <w:t>medallions,</w:t>
      </w:r>
      <w:r w:rsidR="001121C9" w:rsidRPr="43DD5ADA">
        <w:rPr>
          <w:i/>
          <w:iCs/>
        </w:rPr>
        <w:t xml:space="preserve"> </w:t>
      </w:r>
      <w:r w:rsidR="001121C9">
        <w:t>attached to</w:t>
      </w:r>
      <w:r w:rsidR="007866CE">
        <w:t xml:space="preserve"> </w:t>
      </w:r>
      <w:r w:rsidR="00C2317B">
        <w:t>the Heptarchy</w:t>
      </w:r>
      <w:r w:rsidR="001121C9" w:rsidRPr="43DD5ADA">
        <w:rPr>
          <w:i/>
          <w:iCs/>
        </w:rPr>
        <w:t xml:space="preserve"> </w:t>
      </w:r>
      <w:r w:rsidR="001121C9">
        <w:t xml:space="preserve">with drawn lines, comprise of images </w:t>
      </w:r>
      <w:r w:rsidR="007866CE">
        <w:t xml:space="preserve">of </w:t>
      </w:r>
      <w:r w:rsidR="00C2317B">
        <w:t>descendants.</w:t>
      </w:r>
      <w:r w:rsidR="00FD5203">
        <w:t xml:space="preserve"> The Royal roll </w:t>
      </w:r>
      <w:r w:rsidR="0054041E">
        <w:t xml:space="preserve">consists </w:t>
      </w:r>
      <w:r w:rsidR="00930C77">
        <w:t>of six</w:t>
      </w:r>
      <w:r w:rsidR="0054041E">
        <w:t xml:space="preserve"> membranes made </w:t>
      </w:r>
      <w:proofErr w:type="gramStart"/>
      <w:r w:rsidR="00930C77">
        <w:t xml:space="preserve">from </w:t>
      </w:r>
      <w:r w:rsidR="0054041E">
        <w:t xml:space="preserve"> parchment</w:t>
      </w:r>
      <w:proofErr w:type="gramEnd"/>
      <w:r w:rsidR="0054041E">
        <w:t xml:space="preserve"> and written in a </w:t>
      </w:r>
      <w:r w:rsidR="00FD5203">
        <w:t>Gothic, Anglo-Norman text</w:t>
      </w:r>
      <w:r w:rsidR="0054041E">
        <w:t xml:space="preserve"> </w:t>
      </w:r>
      <w:r w:rsidR="00FD5203">
        <w:t xml:space="preserve"> (BL</w:t>
      </w:r>
      <w:r w:rsidR="00815C51">
        <w:t>, 2023</w:t>
      </w:r>
      <w:r w:rsidR="00FD5203">
        <w:t xml:space="preserve">).  </w:t>
      </w:r>
      <w:r w:rsidR="00D74787" w:rsidRPr="43DD5ADA">
        <w:rPr>
          <w:i/>
          <w:iCs/>
        </w:rPr>
        <w:t xml:space="preserve"> </w:t>
      </w:r>
      <w:r w:rsidR="00BE1888">
        <w:t xml:space="preserve">Membranes four and five </w:t>
      </w:r>
      <w:r w:rsidR="00D74787">
        <w:t>depict the</w:t>
      </w:r>
      <w:r w:rsidR="003D3CCE">
        <w:t xml:space="preserve"> line of the ‘Norman ancestors of William the Conqueror: Rollo, William, and Richard I the Fearless’ (BL</w:t>
      </w:r>
      <w:r w:rsidR="00815C51">
        <w:t>, 2023</w:t>
      </w:r>
      <w:r w:rsidR="003D3CCE">
        <w:t>).</w:t>
      </w:r>
      <w:r w:rsidR="001E16CF">
        <w:t xml:space="preserve"> </w:t>
      </w:r>
    </w:p>
    <w:p w14:paraId="0E07A5D6" w14:textId="443F3617" w:rsidR="000B7FA6" w:rsidRDefault="0054041E" w:rsidP="00BE50E2">
      <w:r w:rsidRPr="0054041E">
        <w:t>As a well-appointed, lavishly embellished document, this manuscript is considered rather luxurious due to the use of gold leaf which places them within an elevated position compared to less luxurious manuscripts and being ‘intended for aristocratic patrons’ (</w:t>
      </w:r>
      <w:proofErr w:type="spellStart"/>
      <w:r w:rsidRPr="0054041E">
        <w:t>Labourderie</w:t>
      </w:r>
      <w:proofErr w:type="spellEnd"/>
      <w:r w:rsidRPr="0054041E">
        <w:t>, p. 4).</w:t>
      </w:r>
      <w:r>
        <w:t xml:space="preserve">  The</w:t>
      </w:r>
      <w:r w:rsidR="001B4733">
        <w:t xml:space="preserve"> three secular images of William the Conqueror</w:t>
      </w:r>
      <w:r w:rsidR="00815C51">
        <w:t>’</w:t>
      </w:r>
      <w:r w:rsidR="001B4733">
        <w:t xml:space="preserve">s descendants, Rollo, William Longsword and Richard the Duke of </w:t>
      </w:r>
      <w:r>
        <w:t>Normandy, depicted</w:t>
      </w:r>
      <w:r w:rsidR="001B4733">
        <w:t xml:space="preserve"> with crowns</w:t>
      </w:r>
      <w:r w:rsidR="005F03E2">
        <w:t xml:space="preserve"> </w:t>
      </w:r>
      <w:proofErr w:type="gramStart"/>
      <w:r w:rsidR="005F03E2">
        <w:t xml:space="preserve">and </w:t>
      </w:r>
      <w:r w:rsidR="001B4733">
        <w:t xml:space="preserve"> majestically</w:t>
      </w:r>
      <w:proofErr w:type="gramEnd"/>
      <w:r w:rsidR="001B4733">
        <w:t xml:space="preserve"> sitting on thrones</w:t>
      </w:r>
      <w:r w:rsidR="00045493">
        <w:t xml:space="preserve">, </w:t>
      </w:r>
      <w:r w:rsidR="00232E49">
        <w:t xml:space="preserve">are the interruptions in the preceding royal line yet are fashioned in </w:t>
      </w:r>
      <w:r w:rsidR="00232E49">
        <w:lastRenderedPageBreak/>
        <w:t xml:space="preserve">the royal colours </w:t>
      </w:r>
      <w:r w:rsidR="005F03E2">
        <w:t>of red and blue. The suggestion to the audience is an image of regal authority and superiority that would justify the content of the roll (</w:t>
      </w:r>
      <w:proofErr w:type="spellStart"/>
      <w:r w:rsidR="005F03E2">
        <w:t>Laborderie</w:t>
      </w:r>
      <w:proofErr w:type="spellEnd"/>
      <w:r w:rsidR="005F03E2">
        <w:t xml:space="preserve">, p. 20). </w:t>
      </w:r>
      <w:r w:rsidR="00047CF9">
        <w:t>Within the rounded medallions of the descendants of Rollo</w:t>
      </w:r>
      <w:r w:rsidR="005C5F85">
        <w:t>,</w:t>
      </w:r>
      <w:r w:rsidR="00047CF9">
        <w:t xml:space="preserve"> are</w:t>
      </w:r>
      <w:r w:rsidR="00F065B7">
        <w:t xml:space="preserve"> vegetal decorations </w:t>
      </w:r>
      <w:r w:rsidR="00047CF9">
        <w:t>of trees</w:t>
      </w:r>
      <w:r w:rsidR="0055572D">
        <w:t xml:space="preserve">. This theme runs throughout both rolls of </w:t>
      </w:r>
      <w:r w:rsidR="00815C51">
        <w:t>Manuscript</w:t>
      </w:r>
      <w:r w:rsidR="0055572D">
        <w:t xml:space="preserve"> 14 </w:t>
      </w:r>
      <w:r w:rsidR="00F065B7">
        <w:t>B. V</w:t>
      </w:r>
      <w:r w:rsidR="0055572D">
        <w:t xml:space="preserve"> and </w:t>
      </w:r>
      <w:r w:rsidR="00815C51">
        <w:t>Manuscript</w:t>
      </w:r>
      <w:r w:rsidR="0055572D">
        <w:t xml:space="preserve"> 14 B.VI, whether placed within a medallion or as larger, separate drawing. The suggestion here is that the obvious oak tree ‘symbol of strength, majesty and longevity’ (</w:t>
      </w:r>
      <w:proofErr w:type="spellStart"/>
      <w:r w:rsidR="0055572D">
        <w:t>Laborderie</w:t>
      </w:r>
      <w:proofErr w:type="spellEnd"/>
      <w:r w:rsidR="0055572D">
        <w:t xml:space="preserve">, p.14) represents the characteristics of the Normans and they offered a new lease of life into a </w:t>
      </w:r>
      <w:r w:rsidR="00D607FB">
        <w:t xml:space="preserve">deteriorated English dynasty. </w:t>
      </w:r>
      <w:r w:rsidR="00BD72E3">
        <w:t xml:space="preserve">Presenting the </w:t>
      </w:r>
      <w:r w:rsidR="008B2F73">
        <w:t>tree as a metaphor for fruitfulness and fertility</w:t>
      </w:r>
      <w:r w:rsidR="00291F30">
        <w:t xml:space="preserve"> </w:t>
      </w:r>
      <w:r w:rsidR="00105912">
        <w:t xml:space="preserve">attempts to </w:t>
      </w:r>
      <w:r w:rsidR="007C391F">
        <w:t xml:space="preserve">obscure the anomalies </w:t>
      </w:r>
      <w:r w:rsidR="00043DDF">
        <w:t xml:space="preserve">that present themselves </w:t>
      </w:r>
      <w:r w:rsidR="0042456F">
        <w:t>in the genealogies</w:t>
      </w:r>
      <w:r w:rsidR="00AE1E3D">
        <w:t xml:space="preserve">, offering </w:t>
      </w:r>
      <w:r w:rsidR="00714C70">
        <w:t xml:space="preserve">a somewhat </w:t>
      </w:r>
      <w:r w:rsidR="00BB110C">
        <w:t>misaligned</w:t>
      </w:r>
      <w:r w:rsidR="00161F5F">
        <w:t xml:space="preserve">, though relatively accurate, </w:t>
      </w:r>
      <w:r w:rsidR="00CF1AA6">
        <w:t xml:space="preserve">history </w:t>
      </w:r>
      <w:r w:rsidR="0036520F">
        <w:t>(</w:t>
      </w:r>
      <w:proofErr w:type="spellStart"/>
      <w:r w:rsidR="0036520F">
        <w:t>Laborderie</w:t>
      </w:r>
      <w:proofErr w:type="spellEnd"/>
      <w:r w:rsidR="0036520F">
        <w:t xml:space="preserve">, p.15). </w:t>
      </w:r>
    </w:p>
    <w:p w14:paraId="5214E99C" w14:textId="409A95BB" w:rsidR="00FD5203" w:rsidRDefault="00FD5203" w:rsidP="43DD5ADA">
      <w:pPr>
        <w:rPr>
          <w:rFonts w:eastAsia="Times New Roman" w:cs="Times New Roman"/>
          <w:color w:val="222222"/>
        </w:rPr>
      </w:pPr>
      <w:r>
        <w:t>The Royal M</w:t>
      </w:r>
      <w:r w:rsidR="00021F59">
        <w:t>anuscript</w:t>
      </w:r>
      <w:r>
        <w:t xml:space="preserve"> 14 B.V</w:t>
      </w:r>
      <w:r w:rsidR="00021F59">
        <w:t>,</w:t>
      </w:r>
      <w:r>
        <w:t xml:space="preserve"> </w:t>
      </w:r>
      <w:r w:rsidR="00121C57">
        <w:t xml:space="preserve">has been thoughtfully and carefully written, the beginning paragraphs of commentary starting with </w:t>
      </w:r>
      <w:r w:rsidR="00F065B7">
        <w:t xml:space="preserve">flourishing </w:t>
      </w:r>
      <w:r w:rsidR="007677E2">
        <w:t>initial using</w:t>
      </w:r>
      <w:r w:rsidR="00121C57">
        <w:t xml:space="preserve"> gold, red and blue filigree. Between the medallions are </w:t>
      </w:r>
      <w:r w:rsidR="00021F59">
        <w:t>margins filled with</w:t>
      </w:r>
      <w:r w:rsidR="6930C134">
        <w:t xml:space="preserve"> </w:t>
      </w:r>
      <w:r w:rsidR="03C861DB">
        <w:t>elegant drawings,</w:t>
      </w:r>
      <w:r w:rsidR="6B9F3EA5">
        <w:t xml:space="preserve"> which include a</w:t>
      </w:r>
      <w:r w:rsidR="00C52D12">
        <w:t xml:space="preserve"> hare sitting upon a hound, chasing a deer</w:t>
      </w:r>
      <w:r w:rsidR="00AF739C">
        <w:t xml:space="preserve"> </w:t>
      </w:r>
      <w:r w:rsidR="005946DC">
        <w:t>and a</w:t>
      </w:r>
      <w:r w:rsidR="00C26AD5">
        <w:t xml:space="preserve"> figure of a male standing beside what is possibl</w:t>
      </w:r>
      <w:r w:rsidR="003537B7">
        <w:t>y</w:t>
      </w:r>
      <w:r w:rsidR="00C26AD5">
        <w:t xml:space="preserve"> a dragon.</w:t>
      </w:r>
      <w:r w:rsidR="00AF739C">
        <w:t xml:space="preserve"> </w:t>
      </w:r>
      <w:r w:rsidR="7072AFC8">
        <w:t xml:space="preserve">The medieval activity of hunting </w:t>
      </w:r>
      <w:r w:rsidR="6FA002B8">
        <w:t xml:space="preserve">was a practice and pleasure </w:t>
      </w:r>
      <w:r w:rsidR="4DFE8E56">
        <w:t xml:space="preserve">that the aristocracy participated in </w:t>
      </w:r>
      <w:r w:rsidR="00430937">
        <w:t xml:space="preserve">that </w:t>
      </w:r>
      <w:r w:rsidR="005946DC">
        <w:t>conveyed an</w:t>
      </w:r>
      <w:r w:rsidR="4DFE8E56">
        <w:t xml:space="preserve"> air of authority </w:t>
      </w:r>
      <w:r w:rsidR="1DA2BE2D">
        <w:t>over other members society</w:t>
      </w:r>
      <w:r w:rsidR="1BEFF07E">
        <w:t xml:space="preserve">. The social importance and ritualistic structure of the event </w:t>
      </w:r>
      <w:r w:rsidR="0F7E9C8A">
        <w:t xml:space="preserve">was beholden to the nobility and separated them </w:t>
      </w:r>
      <w:r w:rsidR="15EDDE0E">
        <w:t xml:space="preserve">from other classes of society. </w:t>
      </w:r>
      <w:r w:rsidR="5404F6E4">
        <w:t>As a motif for medieval art, hunting scenes were commonplace</w:t>
      </w:r>
      <w:r w:rsidR="55A0C745">
        <w:t xml:space="preserve">, </w:t>
      </w:r>
      <w:r w:rsidR="364EDDD9">
        <w:t>and by including the image, the illustrator was at</w:t>
      </w:r>
      <w:r w:rsidR="020B71FA">
        <w:t xml:space="preserve">tempting to assimilate the Royal lineage </w:t>
      </w:r>
      <w:r w:rsidR="3CBE1F5D">
        <w:t>with their ‘past, present and future domination’ (</w:t>
      </w:r>
      <w:r w:rsidR="787A5D16" w:rsidRPr="43DD5ADA">
        <w:rPr>
          <w:rFonts w:eastAsia="Times New Roman" w:cs="Times New Roman"/>
          <w:color w:val="222222"/>
        </w:rPr>
        <w:t>Pratt</w:t>
      </w:r>
      <w:r w:rsidR="390D66ED" w:rsidRPr="43DD5ADA">
        <w:rPr>
          <w:rFonts w:eastAsia="Times New Roman" w:cs="Times New Roman"/>
          <w:color w:val="222222"/>
        </w:rPr>
        <w:t xml:space="preserve">, </w:t>
      </w:r>
      <w:r w:rsidR="787A5D16" w:rsidRPr="43DD5ADA">
        <w:rPr>
          <w:rFonts w:eastAsia="Times New Roman" w:cs="Times New Roman"/>
          <w:color w:val="222222"/>
        </w:rPr>
        <w:t>201</w:t>
      </w:r>
      <w:r w:rsidR="6E98D694" w:rsidRPr="43DD5ADA">
        <w:rPr>
          <w:rFonts w:eastAsia="Times New Roman" w:cs="Times New Roman"/>
          <w:color w:val="222222"/>
        </w:rPr>
        <w:t xml:space="preserve"> p.19</w:t>
      </w:r>
      <w:r w:rsidR="0FC71F4E" w:rsidRPr="43DD5ADA">
        <w:rPr>
          <w:rFonts w:eastAsia="Times New Roman" w:cs="Times New Roman"/>
          <w:color w:val="222222"/>
        </w:rPr>
        <w:t>)</w:t>
      </w:r>
      <w:r w:rsidR="005946DC">
        <w:rPr>
          <w:rFonts w:eastAsia="Times New Roman" w:cs="Times New Roman"/>
          <w:color w:val="222222"/>
        </w:rPr>
        <w:t xml:space="preserve"> but also to persuade the audience of the superiority of their rulers. The portrayal of an ancestral pursuit would strengthen the</w:t>
      </w:r>
      <w:r w:rsidR="0076001C">
        <w:rPr>
          <w:rFonts w:eastAsia="Times New Roman" w:cs="Times New Roman"/>
          <w:color w:val="222222"/>
        </w:rPr>
        <w:t xml:space="preserve"> descendants</w:t>
      </w:r>
      <w:r w:rsidR="005946DC">
        <w:rPr>
          <w:rFonts w:eastAsia="Times New Roman" w:cs="Times New Roman"/>
          <w:color w:val="222222"/>
        </w:rPr>
        <w:t xml:space="preserve"> desire to be considered legitimately royal.  </w:t>
      </w:r>
      <w:r w:rsidR="003537B7">
        <w:rPr>
          <w:rFonts w:eastAsia="Times New Roman" w:cs="Times New Roman"/>
          <w:color w:val="222222"/>
        </w:rPr>
        <w:t xml:space="preserve">The </w:t>
      </w:r>
      <w:r w:rsidR="00CB2AE9">
        <w:rPr>
          <w:rFonts w:eastAsia="Times New Roman" w:cs="Times New Roman"/>
          <w:color w:val="222222"/>
        </w:rPr>
        <w:t xml:space="preserve">drawing of the dragon-like creature standing next to a figure of human is prominently placed next to William the Conqueror. </w:t>
      </w:r>
      <w:r w:rsidR="003B033D">
        <w:rPr>
          <w:rFonts w:eastAsia="Times New Roman" w:cs="Times New Roman"/>
          <w:color w:val="222222"/>
        </w:rPr>
        <w:t xml:space="preserve">The dragon, as symbol of English royalty, can also be </w:t>
      </w:r>
      <w:r w:rsidR="003B033D">
        <w:rPr>
          <w:rFonts w:eastAsia="Times New Roman" w:cs="Times New Roman"/>
          <w:color w:val="222222"/>
        </w:rPr>
        <w:lastRenderedPageBreak/>
        <w:t xml:space="preserve">viewed as the ‘other’ which in the terms of English medieval </w:t>
      </w:r>
      <w:r w:rsidR="0076001C">
        <w:rPr>
          <w:rFonts w:eastAsia="Times New Roman" w:cs="Times New Roman"/>
          <w:color w:val="222222"/>
        </w:rPr>
        <w:t xml:space="preserve">literature, </w:t>
      </w:r>
      <w:r w:rsidR="003B033D">
        <w:rPr>
          <w:rFonts w:eastAsia="Times New Roman" w:cs="Times New Roman"/>
          <w:color w:val="222222"/>
        </w:rPr>
        <w:t xml:space="preserve">would emphasize the societies view to other cultures, </w:t>
      </w:r>
      <w:proofErr w:type="gramStart"/>
      <w:r w:rsidR="003B033D">
        <w:rPr>
          <w:rFonts w:eastAsia="Times New Roman" w:cs="Times New Roman"/>
          <w:color w:val="222222"/>
        </w:rPr>
        <w:t>races</w:t>
      </w:r>
      <w:proofErr w:type="gramEnd"/>
      <w:r w:rsidR="003B033D">
        <w:rPr>
          <w:rFonts w:eastAsia="Times New Roman" w:cs="Times New Roman"/>
          <w:color w:val="222222"/>
        </w:rPr>
        <w:t xml:space="preserve"> or species. The viewer could establish ‘fundamental elements of his own identity’ (</w:t>
      </w:r>
      <w:proofErr w:type="spellStart"/>
      <w:r w:rsidR="003B033D">
        <w:rPr>
          <w:rFonts w:eastAsia="Times New Roman" w:cs="Times New Roman"/>
          <w:color w:val="222222"/>
        </w:rPr>
        <w:t>Flutton</w:t>
      </w:r>
      <w:proofErr w:type="spellEnd"/>
      <w:r w:rsidR="003B033D">
        <w:rPr>
          <w:rFonts w:eastAsia="Times New Roman" w:cs="Times New Roman"/>
          <w:color w:val="222222"/>
        </w:rPr>
        <w:t xml:space="preserve">, 2021, </w:t>
      </w:r>
      <w:r w:rsidR="007677E2">
        <w:rPr>
          <w:rFonts w:eastAsia="Times New Roman" w:cs="Times New Roman"/>
          <w:color w:val="222222"/>
        </w:rPr>
        <w:t>p.)</w:t>
      </w:r>
      <w:r w:rsidR="003B033D">
        <w:rPr>
          <w:rFonts w:eastAsia="Times New Roman" w:cs="Times New Roman"/>
          <w:color w:val="222222"/>
        </w:rPr>
        <w:t xml:space="preserve"> </w:t>
      </w:r>
      <w:r w:rsidR="004250A2">
        <w:rPr>
          <w:rFonts w:eastAsia="Times New Roman" w:cs="Times New Roman"/>
          <w:color w:val="222222"/>
        </w:rPr>
        <w:t xml:space="preserve">through the imagery </w:t>
      </w:r>
      <w:r w:rsidR="00616E29">
        <w:rPr>
          <w:rFonts w:eastAsia="Times New Roman" w:cs="Times New Roman"/>
          <w:color w:val="222222"/>
        </w:rPr>
        <w:t xml:space="preserve">portraying William as a powerful leader. </w:t>
      </w:r>
      <w:r w:rsidR="003B033D">
        <w:rPr>
          <w:rFonts w:eastAsia="Times New Roman" w:cs="Times New Roman"/>
          <w:color w:val="222222"/>
        </w:rPr>
        <w:t xml:space="preserve"> </w:t>
      </w:r>
      <w:r w:rsidR="00616E29">
        <w:rPr>
          <w:rFonts w:eastAsia="Times New Roman" w:cs="Times New Roman"/>
          <w:color w:val="222222"/>
        </w:rPr>
        <w:t>The drawings act as an addition to the text found in the manuscripts</w:t>
      </w:r>
      <w:r w:rsidR="00A42446">
        <w:rPr>
          <w:rFonts w:eastAsia="Times New Roman" w:cs="Times New Roman"/>
          <w:color w:val="222222"/>
        </w:rPr>
        <w:t>,</w:t>
      </w:r>
      <w:r w:rsidR="00616E29">
        <w:rPr>
          <w:rFonts w:eastAsia="Times New Roman" w:cs="Times New Roman"/>
          <w:color w:val="222222"/>
        </w:rPr>
        <w:t xml:space="preserve"> and can be </w:t>
      </w:r>
      <w:r w:rsidR="00777172">
        <w:t xml:space="preserve">viewed as </w:t>
      </w:r>
      <w:r w:rsidR="00616E29">
        <w:t xml:space="preserve">merely </w:t>
      </w:r>
      <w:r w:rsidR="00CA0B1A">
        <w:t>decorative, which</w:t>
      </w:r>
      <w:r w:rsidR="00A42446">
        <w:t xml:space="preserve"> acts as sign to the reader of the wealth attributed to the creation of the work. As a ‘counterpoint to the sacred main theme of royal succession </w:t>
      </w:r>
      <w:r w:rsidR="00CA0B1A">
        <w:t>(</w:t>
      </w:r>
      <w:proofErr w:type="spellStart"/>
      <w:r w:rsidR="00CA0B1A">
        <w:t>Laborderie</w:t>
      </w:r>
      <w:proofErr w:type="spellEnd"/>
      <w:r w:rsidR="00A42446">
        <w:t xml:space="preserve">, p.7) the imagery </w:t>
      </w:r>
      <w:r w:rsidR="00852CFE">
        <w:t>implies comparisons with that of biblical material and to that of the Christianity of the royal lineage (Bovey, 2002, p.47).</w:t>
      </w:r>
      <w:r w:rsidR="006B33D7">
        <w:t xml:space="preserve"> </w:t>
      </w:r>
    </w:p>
    <w:p w14:paraId="784B120E" w14:textId="0F33F329" w:rsidR="00FD5203" w:rsidRDefault="006B33D7" w:rsidP="43DD5ADA">
      <w:pPr>
        <w:rPr>
          <w:rFonts w:eastAsia="Times New Roman" w:cs="Times New Roman"/>
          <w:color w:val="222222"/>
        </w:rPr>
      </w:pPr>
      <w:r>
        <w:t>It is worth considering the format used for the chronology in the manuscripts being that of the roll.</w:t>
      </w:r>
      <w:r w:rsidR="300E9215">
        <w:t xml:space="preserve"> N</w:t>
      </w:r>
      <w:r>
        <w:t xml:space="preserve">ot only was the format an ideal way to present history but </w:t>
      </w:r>
      <w:r w:rsidR="3CEB4EB5">
        <w:t xml:space="preserve">has similarities </w:t>
      </w:r>
      <w:r>
        <w:t>to the roll format</w:t>
      </w:r>
      <w:r w:rsidR="5378A189">
        <w:t xml:space="preserve"> recording </w:t>
      </w:r>
      <w:r>
        <w:t xml:space="preserve">Biblical history. By placing the successional detail into an </w:t>
      </w:r>
      <w:r w:rsidR="00AC18B0">
        <w:t>already established, authoritative choice of communication for people in the latter thirteenth-century, a sense of ‘indubitable official nature’ would be conveyed and offer an ‘authorised version’ of English history (</w:t>
      </w:r>
      <w:proofErr w:type="spellStart"/>
      <w:r w:rsidR="00AC18B0">
        <w:t>Laborderie</w:t>
      </w:r>
      <w:proofErr w:type="spellEnd"/>
      <w:r w:rsidR="00AC18B0">
        <w:t xml:space="preserve">, p. 8). </w:t>
      </w:r>
      <w:r w:rsidR="004A070F">
        <w:t>T</w:t>
      </w:r>
      <w:r w:rsidR="00AC18B0">
        <w:t xml:space="preserve">he roll format could </w:t>
      </w:r>
      <w:r w:rsidR="004A070F">
        <w:t xml:space="preserve">also </w:t>
      </w:r>
      <w:r w:rsidR="00AC18B0">
        <w:t>have been chosen as ‘a symbol of continuity, and maybe antiquity’ (</w:t>
      </w:r>
      <w:r w:rsidR="004A070F">
        <w:t xml:space="preserve">ibid., </w:t>
      </w:r>
      <w:r w:rsidR="00AC18B0">
        <w:t>p.8)</w:t>
      </w:r>
      <w:r w:rsidR="0041170F">
        <w:t>. When considering continuity</w:t>
      </w:r>
      <w:r w:rsidR="00296088">
        <w:t>,</w:t>
      </w:r>
      <w:r w:rsidR="0041170F">
        <w:t xml:space="preserve"> this notion refers to the roll as a physical identity that can be easily extended to, unlike a </w:t>
      </w:r>
      <w:r w:rsidR="00296088">
        <w:t xml:space="preserve">book, and suggests that the history of English kings has no final </w:t>
      </w:r>
      <w:r w:rsidR="0076001C">
        <w:t>ending,</w:t>
      </w:r>
      <w:r w:rsidR="00296088">
        <w:t xml:space="preserve"> a never-ending story. The </w:t>
      </w:r>
      <w:r w:rsidR="0041170F">
        <w:t xml:space="preserve">appearance constituted an older approach to documentation and </w:t>
      </w:r>
      <w:r w:rsidR="00454BC4">
        <w:t>would augment</w:t>
      </w:r>
      <w:r w:rsidR="00A27E5D">
        <w:t xml:space="preserve"> </w:t>
      </w:r>
      <w:r w:rsidR="0076001C">
        <w:t xml:space="preserve">the reputation of the monarchy </w:t>
      </w:r>
      <w:r w:rsidR="0059164A">
        <w:t>with comparisons</w:t>
      </w:r>
      <w:r w:rsidR="00A27E5D">
        <w:t xml:space="preserve"> to </w:t>
      </w:r>
      <w:r w:rsidR="00296088">
        <w:t>a ‘distant and remote past’. (</w:t>
      </w:r>
      <w:proofErr w:type="spellStart"/>
      <w:r w:rsidR="00296088">
        <w:t>Laborderie</w:t>
      </w:r>
      <w:proofErr w:type="spellEnd"/>
      <w:r w:rsidR="00296088">
        <w:t xml:space="preserve">, p.8). </w:t>
      </w:r>
    </w:p>
    <w:p w14:paraId="7E758290" w14:textId="77777777" w:rsidR="0059164A" w:rsidRDefault="00171689" w:rsidP="00BE50E2">
      <w:r>
        <w:t xml:space="preserve">It seems pertinent to address the work of Matthew Paris, an English monk and chronicler (1200-1260) who established the pattern of genealogical tables emphasising the seven kingdoms of Anglo-Saxon England and placing the Anglo-Saxon king, Alfred the great, at the centre of the heptarchy. </w:t>
      </w:r>
      <w:r w:rsidR="0050007A">
        <w:t>However, the interruption of Anglo-Norman leadership</w:t>
      </w:r>
      <w:r w:rsidR="005D4C88">
        <w:t xml:space="preserve">, </w:t>
      </w:r>
      <w:r w:rsidR="00DC02A8">
        <w:t xml:space="preserve">which laid bare inconsistencies with </w:t>
      </w:r>
      <w:r w:rsidR="00DC02A8">
        <w:lastRenderedPageBreak/>
        <w:t>legitimacy and prestige to the heirdom, was addressed in</w:t>
      </w:r>
      <w:r w:rsidR="003274B2">
        <w:t xml:space="preserve"> the preceding</w:t>
      </w:r>
      <w:r w:rsidR="00DC02A8">
        <w:t xml:space="preserve"> Anglo-Norman rolls </w:t>
      </w:r>
      <w:r w:rsidR="003274B2">
        <w:t xml:space="preserve">by </w:t>
      </w:r>
      <w:r w:rsidR="00DC02A8">
        <w:t xml:space="preserve">enhancing the Norman ancestry of William, through </w:t>
      </w:r>
      <w:r w:rsidR="001E602A">
        <w:t>D</w:t>
      </w:r>
      <w:r w:rsidR="00DC02A8">
        <w:t>uke Rollo (Collard, 2000, p. 22). Given that the readership of the rolls would have been partly Norman</w:t>
      </w:r>
      <w:r w:rsidR="003274B2">
        <w:t xml:space="preserve">, the ideology would </w:t>
      </w:r>
      <w:r w:rsidR="00454BC4">
        <w:t xml:space="preserve">reassure </w:t>
      </w:r>
      <w:r w:rsidR="003274B2">
        <w:t>the audience</w:t>
      </w:r>
      <w:r w:rsidR="00454BC4">
        <w:t xml:space="preserve"> and avoid judgement. </w:t>
      </w:r>
      <w:r w:rsidR="0059164A">
        <w:t xml:space="preserve"> </w:t>
      </w:r>
      <w:r w:rsidR="0059164A" w:rsidRPr="0059164A">
        <w:t>The Royal rolls were instrumental in not only legitimising autocratical claims but seen as an ‘embodiment of a unified nation’ (Collard, p. 22)</w:t>
      </w:r>
    </w:p>
    <w:p w14:paraId="261A61BE" w14:textId="0774AFD9" w:rsidR="0075799B" w:rsidRDefault="0029293D" w:rsidP="00BE50E2">
      <w:r>
        <w:t xml:space="preserve"> </w:t>
      </w:r>
      <w:r w:rsidR="0075799B">
        <w:t xml:space="preserve">Both </w:t>
      </w:r>
      <w:proofErr w:type="spellStart"/>
      <w:r w:rsidR="0075799B">
        <w:t>Laborderie</w:t>
      </w:r>
      <w:proofErr w:type="spellEnd"/>
      <w:r w:rsidR="0075799B">
        <w:t xml:space="preserve"> and </w:t>
      </w:r>
      <w:r>
        <w:t>Collard</w:t>
      </w:r>
      <w:r w:rsidR="0075799B">
        <w:t xml:space="preserve"> argue</w:t>
      </w:r>
      <w:r>
        <w:t xml:space="preserve"> </w:t>
      </w:r>
      <w:r w:rsidR="0075799B">
        <w:t xml:space="preserve">that the inclusion of female ancestry was largely unimportant in such rolls, but the defined line linking Henry I wife, Matilda, to her Anglo-Saxon </w:t>
      </w:r>
      <w:r w:rsidR="00CA0B1A">
        <w:t>lineage, was</w:t>
      </w:r>
      <w:r w:rsidR="00E7286D">
        <w:t xml:space="preserve"> imperative to justify the ‘the continuing authority of the king and the antiquity of the line </w:t>
      </w:r>
      <w:r w:rsidR="43D02176">
        <w:t>(Collard</w:t>
      </w:r>
      <w:r w:rsidR="00E7286D">
        <w:t>, p. 25). However, for those who made and read the rolls, ‘blood lineage was not the sole concern’ dismissing illegitimacy</w:t>
      </w:r>
      <w:r w:rsidR="008C7C4D">
        <w:t>,</w:t>
      </w:r>
      <w:r w:rsidR="00E7286D">
        <w:t xml:space="preserve"> </w:t>
      </w:r>
      <w:r w:rsidR="008C7C4D">
        <w:t>preferring to picture all the kings of England who ruled since Egbert (</w:t>
      </w:r>
      <w:proofErr w:type="spellStart"/>
      <w:r w:rsidR="008C7C4D">
        <w:t>Laborderie</w:t>
      </w:r>
      <w:proofErr w:type="spellEnd"/>
      <w:r w:rsidR="008C7C4D">
        <w:t xml:space="preserve">, p. 17). What can be seen from the </w:t>
      </w:r>
      <w:r w:rsidR="00B30635">
        <w:t>rolls is the political importance of nurturing and maintaining the Anglo-Norman heritage, through marriage and children, to connect the monarchs of the post-Conquest to the Anglo-Saxon bloodline</w:t>
      </w:r>
      <w:r w:rsidR="00B42743">
        <w:t xml:space="preserve"> </w:t>
      </w:r>
      <w:r w:rsidR="00AB2BCD">
        <w:t>T</w:t>
      </w:r>
      <w:r w:rsidR="00B42743">
        <w:t xml:space="preserve">his unconventional approach of Anglo-Norman </w:t>
      </w:r>
      <w:r w:rsidR="30F50893">
        <w:t>genealogy to</w:t>
      </w:r>
      <w:r w:rsidR="00AB2BCD">
        <w:t xml:space="preserve"> facilitate legitimacy can be regarded as a </w:t>
      </w:r>
      <w:r w:rsidR="00B42743">
        <w:t xml:space="preserve">combination of a </w:t>
      </w:r>
      <w:r w:rsidR="00AB2BCD">
        <w:t>‘</w:t>
      </w:r>
      <w:r w:rsidR="00B42743">
        <w:t>royal genealogy and a regnal list’ (</w:t>
      </w:r>
      <w:proofErr w:type="spellStart"/>
      <w:r w:rsidR="00B42743">
        <w:t>Laborderie</w:t>
      </w:r>
      <w:proofErr w:type="spellEnd"/>
      <w:r w:rsidR="00B42743">
        <w:t>, p.17</w:t>
      </w:r>
      <w:r w:rsidR="00AB2BCD">
        <w:t xml:space="preserve">). </w:t>
      </w:r>
      <w:r w:rsidR="00B42743">
        <w:t xml:space="preserve"> </w:t>
      </w:r>
    </w:p>
    <w:p w14:paraId="1FBC2E08" w14:textId="3A213F09" w:rsidR="00635DE2" w:rsidRDefault="0074091D" w:rsidP="00BE50E2">
      <w:r>
        <w:t>By infiltrating</w:t>
      </w:r>
      <w:r w:rsidR="00656715">
        <w:t xml:space="preserve"> both</w:t>
      </w:r>
      <w:r w:rsidR="00694023">
        <w:t xml:space="preserve"> the Anglo-Saxon kings and</w:t>
      </w:r>
      <w:r>
        <w:t xml:space="preserve"> the </w:t>
      </w:r>
      <w:r w:rsidR="00857068">
        <w:t xml:space="preserve">Norman dukes into the verbal and </w:t>
      </w:r>
      <w:r w:rsidR="00E417D7">
        <w:t xml:space="preserve">pictorial imagery </w:t>
      </w:r>
      <w:r w:rsidR="00D1092B">
        <w:t xml:space="preserve">of </w:t>
      </w:r>
      <w:r w:rsidR="008E5157">
        <w:t xml:space="preserve">Plantagenet </w:t>
      </w:r>
      <w:r w:rsidR="002D656D">
        <w:t>royal roll chronicles</w:t>
      </w:r>
      <w:r w:rsidR="00C847BE">
        <w:t>,</w:t>
      </w:r>
      <w:r w:rsidR="00BA0285">
        <w:t xml:space="preserve"> the </w:t>
      </w:r>
      <w:r w:rsidR="00BB53F7">
        <w:t xml:space="preserve">manuscripts would serve </w:t>
      </w:r>
      <w:r w:rsidR="004B77E8">
        <w:t xml:space="preserve">as a promotional tool for </w:t>
      </w:r>
      <w:r w:rsidR="009512E0">
        <w:t>the reigning monarchy</w:t>
      </w:r>
      <w:r w:rsidR="00354AAB">
        <w:t xml:space="preserve">. </w:t>
      </w:r>
      <w:r w:rsidR="006129EB">
        <w:t>Aside from being propagan</w:t>
      </w:r>
      <w:r w:rsidR="00AF238A">
        <w:t>da</w:t>
      </w:r>
      <w:r w:rsidR="00EC0CD4">
        <w:t xml:space="preserve"> to illustrate the </w:t>
      </w:r>
      <w:r w:rsidR="00836AC7">
        <w:t>merging of royal blood lines</w:t>
      </w:r>
      <w:r w:rsidR="000D1B57">
        <w:t xml:space="preserve">, and the legitimacy of the </w:t>
      </w:r>
      <w:r w:rsidR="00D64D0A">
        <w:t xml:space="preserve">reigning monarch, these chronicles </w:t>
      </w:r>
      <w:r w:rsidR="00EF4C35">
        <w:t xml:space="preserve">would assist in the political </w:t>
      </w:r>
      <w:r w:rsidR="00207997">
        <w:t>infrastructure of Anglo-</w:t>
      </w:r>
      <w:r w:rsidR="007D64AB">
        <w:t xml:space="preserve">Norman succession. </w:t>
      </w:r>
      <w:r w:rsidR="005208A6">
        <w:t>It is within reason to</w:t>
      </w:r>
      <w:r w:rsidR="00420134">
        <w:t xml:space="preserve"> </w:t>
      </w:r>
      <w:r w:rsidR="008A43BD">
        <w:t xml:space="preserve">also conclude that the literature would </w:t>
      </w:r>
      <w:r w:rsidR="00BD2FC8">
        <w:t xml:space="preserve">perform as a reminder </w:t>
      </w:r>
      <w:r w:rsidR="006E2CCE">
        <w:t xml:space="preserve">to </w:t>
      </w:r>
      <w:r w:rsidR="004B71F8">
        <w:t>the institution of the monarchy</w:t>
      </w:r>
      <w:r w:rsidR="00A56796">
        <w:t>,</w:t>
      </w:r>
      <w:r w:rsidR="00BA4B51">
        <w:t xml:space="preserve"> and </w:t>
      </w:r>
      <w:r w:rsidR="00A56796">
        <w:t xml:space="preserve">the audiences being addressed, as </w:t>
      </w:r>
      <w:r w:rsidR="00654F4C">
        <w:t>to the history of the Engl</w:t>
      </w:r>
      <w:r w:rsidR="00A56796">
        <w:t xml:space="preserve">ish </w:t>
      </w:r>
      <w:r w:rsidR="00654F4C">
        <w:t xml:space="preserve">kingdom. </w:t>
      </w:r>
    </w:p>
    <w:p w14:paraId="59ED19CA" w14:textId="7BD26024" w:rsidR="0075799B" w:rsidRDefault="00930C77" w:rsidP="00BE50E2">
      <w:r>
        <w:lastRenderedPageBreak/>
        <w:t>BIBLIOGRAPHY</w:t>
      </w:r>
    </w:p>
    <w:p w14:paraId="50BF4115" w14:textId="75F2DAE2" w:rsidR="007677E2" w:rsidRDefault="007677E2" w:rsidP="00BE50E2">
      <w:r w:rsidRPr="007677E2">
        <w:t xml:space="preserve">Bovey, A., </w:t>
      </w:r>
      <w:r>
        <w:t>(</w:t>
      </w:r>
      <w:r w:rsidRPr="007677E2">
        <w:t>2002</w:t>
      </w:r>
      <w:r>
        <w:t>)</w:t>
      </w:r>
      <w:r w:rsidRPr="007677E2">
        <w:t>. Monsters and grotesques in medieval manuscripts. University of Toronto Press.</w:t>
      </w:r>
    </w:p>
    <w:p w14:paraId="367A7164" w14:textId="77777777" w:rsidR="00930C77" w:rsidRDefault="00930C77" w:rsidP="00930C77">
      <w:r w:rsidRPr="008A3D19">
        <w:t>Collard, J.</w:t>
      </w:r>
      <w:r>
        <w:t xml:space="preserve"> (</w:t>
      </w:r>
      <w:r w:rsidRPr="008A3D19">
        <w:t>2000</w:t>
      </w:r>
      <w:r>
        <w:t>).</w:t>
      </w:r>
      <w:r w:rsidRPr="008A3D19">
        <w:t xml:space="preserve"> Gender and genealogy in English illuminated Royal genealogical rolls from the thirteenth century. </w:t>
      </w:r>
      <w:r w:rsidRPr="001E602A">
        <w:rPr>
          <w:i/>
          <w:iCs/>
        </w:rPr>
        <w:t>Parergon, 17</w:t>
      </w:r>
      <w:r w:rsidRPr="008A3D19">
        <w:t>(2), pp. 11-34.</w:t>
      </w:r>
    </w:p>
    <w:p w14:paraId="125CD0E3" w14:textId="77777777" w:rsidR="00930C77" w:rsidRDefault="00930C77" w:rsidP="00930C77">
      <w:proofErr w:type="spellStart"/>
      <w:r w:rsidRPr="00C368B8">
        <w:t>Flattun</w:t>
      </w:r>
      <w:proofErr w:type="spellEnd"/>
      <w:r w:rsidRPr="00C368B8">
        <w:t xml:space="preserve">, J. W. (2021). In Chase of Dragons: Warburg, Collective </w:t>
      </w:r>
      <w:proofErr w:type="gramStart"/>
      <w:r w:rsidRPr="00C368B8">
        <w:t>Memory</w:t>
      </w:r>
      <w:proofErr w:type="gramEnd"/>
      <w:r w:rsidRPr="00C368B8">
        <w:t xml:space="preserve"> and the Myth of Heroes. </w:t>
      </w:r>
      <w:r w:rsidRPr="00C368B8">
        <w:rPr>
          <w:i/>
          <w:iCs/>
        </w:rPr>
        <w:t>Arthur in Northern Translations: Material Culture, Characters, and Courtly Influence, 5</w:t>
      </w:r>
      <w:r w:rsidRPr="00C368B8">
        <w:t>, 37.</w:t>
      </w:r>
    </w:p>
    <w:p w14:paraId="0DC659DA" w14:textId="77777777" w:rsidR="00930C77" w:rsidRDefault="00930C77" w:rsidP="00930C77">
      <w:r w:rsidRPr="00FF4E6C">
        <w:t xml:space="preserve">De </w:t>
      </w:r>
      <w:proofErr w:type="spellStart"/>
      <w:r w:rsidRPr="00FF4E6C">
        <w:t>Laborderie</w:t>
      </w:r>
      <w:proofErr w:type="spellEnd"/>
      <w:r w:rsidRPr="00FF4E6C">
        <w:t xml:space="preserve">, O. </w:t>
      </w:r>
      <w:r>
        <w:t>(</w:t>
      </w:r>
      <w:r w:rsidRPr="00FF4E6C">
        <w:t>2014</w:t>
      </w:r>
      <w:r>
        <w:t>).</w:t>
      </w:r>
      <w:r w:rsidRPr="00FF4E6C">
        <w:t xml:space="preserve"> The First Manuals of English History: Two Late Thirteenth-Century Genealogical Rolls of the Kings of England in the Royal Collection. </w:t>
      </w:r>
      <w:proofErr w:type="spellStart"/>
      <w:r w:rsidRPr="00FF4E6C">
        <w:rPr>
          <w:i/>
          <w:iCs/>
        </w:rPr>
        <w:t>Electrionic</w:t>
      </w:r>
      <w:proofErr w:type="spellEnd"/>
      <w:r w:rsidRPr="00FF4E6C">
        <w:rPr>
          <w:i/>
          <w:iCs/>
        </w:rPr>
        <w:t xml:space="preserve"> </w:t>
      </w:r>
      <w:proofErr w:type="spellStart"/>
      <w:r w:rsidRPr="00FF4E6C">
        <w:rPr>
          <w:i/>
          <w:iCs/>
        </w:rPr>
        <w:t>Birtish</w:t>
      </w:r>
      <w:proofErr w:type="spellEnd"/>
      <w:r w:rsidRPr="00FF4E6C">
        <w:rPr>
          <w:i/>
          <w:iCs/>
        </w:rPr>
        <w:t xml:space="preserve"> Library Journal</w:t>
      </w:r>
      <w:r w:rsidRPr="00FF4E6C">
        <w:t>, pp.1-25.</w:t>
      </w:r>
    </w:p>
    <w:p w14:paraId="0D71BB51" w14:textId="77777777" w:rsidR="00930C77" w:rsidRDefault="00930C77" w:rsidP="00930C77">
      <w:proofErr w:type="spellStart"/>
      <w:r w:rsidRPr="005D15C3">
        <w:t>Léglu</w:t>
      </w:r>
      <w:proofErr w:type="spellEnd"/>
      <w:r w:rsidRPr="005D15C3">
        <w:t>, C.</w:t>
      </w:r>
      <w:r>
        <w:t xml:space="preserve"> (</w:t>
      </w:r>
      <w:r w:rsidRPr="005D15C3">
        <w:t>2013</w:t>
      </w:r>
      <w:r>
        <w:t>).</w:t>
      </w:r>
      <w:r w:rsidRPr="005D15C3">
        <w:t xml:space="preserve"> </w:t>
      </w:r>
      <w:r w:rsidRPr="001E602A">
        <w:rPr>
          <w:i/>
          <w:iCs/>
        </w:rPr>
        <w:t>A genealogy of the kings of England in papal Avignon: British Library, Egerton MS. 1500.</w:t>
      </w:r>
      <w:r w:rsidRPr="005D15C3">
        <w:t xml:space="preserve"> </w:t>
      </w:r>
      <w:proofErr w:type="spellStart"/>
      <w:r w:rsidRPr="005D15C3">
        <w:t>eBLJ</w:t>
      </w:r>
      <w:proofErr w:type="spellEnd"/>
      <w:r w:rsidRPr="005D15C3">
        <w:t>.</w:t>
      </w:r>
    </w:p>
    <w:p w14:paraId="5F2BD1F7" w14:textId="77777777" w:rsidR="00930C77" w:rsidRDefault="00930C77" w:rsidP="00930C77">
      <w:r>
        <w:t>The British Library. (2023). Genealogical roll chronicle of the English Kings. Royal 14 B V: Membrane 4 and 5 Rollo and his descendants.</w:t>
      </w:r>
      <w:r w:rsidRPr="43DD5ADA">
        <w:rPr>
          <w:color w:val="FF0000"/>
        </w:rPr>
        <w:t xml:space="preserve"> </w:t>
      </w:r>
      <w:r w:rsidRPr="00C368B8">
        <w:rPr>
          <w:color w:val="000000" w:themeColor="text1"/>
        </w:rPr>
        <w:t xml:space="preserve">Online: </w:t>
      </w:r>
      <w:r>
        <w:rPr>
          <w:color w:val="000000" w:themeColor="text1"/>
        </w:rPr>
        <w:t xml:space="preserve">      </w:t>
      </w:r>
      <w:r w:rsidRPr="00C368B8">
        <w:rPr>
          <w:color w:val="000000" w:themeColor="text1"/>
        </w:rPr>
        <w:t xml:space="preserve">available at: </w:t>
      </w:r>
      <w:hyperlink r:id="rId7" w:history="1">
        <w:r w:rsidRPr="0060470A">
          <w:rPr>
            <w:rStyle w:val="Hyperlink"/>
          </w:rPr>
          <w:t>https://www.bl.uk/catalogues/illuminatedmanuscripts</w:t>
        </w:r>
      </w:hyperlink>
      <w:r>
        <w:rPr>
          <w:color w:val="000000" w:themeColor="text1"/>
        </w:rPr>
        <w:t xml:space="preserve"> [accessed January 2023]</w:t>
      </w:r>
      <w:r w:rsidRPr="00C368B8">
        <w:rPr>
          <w:color w:val="000000" w:themeColor="text1"/>
        </w:rPr>
        <w:t xml:space="preserve">   </w:t>
      </w:r>
      <w:r>
        <w:rPr>
          <w:color w:val="FF0000"/>
        </w:rPr>
        <w:t xml:space="preserve">    </w:t>
      </w:r>
      <w:r w:rsidRPr="43DD5ADA">
        <w:rPr>
          <w:color w:val="FF0000"/>
        </w:rPr>
        <w:t xml:space="preserve"> </w:t>
      </w:r>
    </w:p>
    <w:p w14:paraId="2F22CBC5" w14:textId="77777777" w:rsidR="00930C77" w:rsidRPr="00E363F5" w:rsidRDefault="00930C77" w:rsidP="00930C77">
      <w:r w:rsidRPr="43DD5ADA">
        <w:rPr>
          <w:rFonts w:eastAsia="Times New Roman" w:cs="Times New Roman"/>
          <w:color w:val="222222"/>
        </w:rPr>
        <w:t xml:space="preserve">Pratt, R.L., </w:t>
      </w:r>
      <w:r>
        <w:rPr>
          <w:rFonts w:eastAsia="Times New Roman" w:cs="Times New Roman"/>
          <w:color w:val="222222"/>
        </w:rPr>
        <w:t>(</w:t>
      </w:r>
      <w:r w:rsidRPr="43DD5ADA">
        <w:rPr>
          <w:rFonts w:eastAsia="Times New Roman" w:cs="Times New Roman"/>
          <w:color w:val="222222"/>
        </w:rPr>
        <w:t>2013</w:t>
      </w:r>
      <w:r>
        <w:rPr>
          <w:rFonts w:eastAsia="Times New Roman" w:cs="Times New Roman"/>
          <w:color w:val="222222"/>
        </w:rPr>
        <w:t>).</w:t>
      </w:r>
      <w:r w:rsidRPr="43DD5ADA">
        <w:rPr>
          <w:rFonts w:eastAsia="Times New Roman" w:cs="Times New Roman"/>
          <w:color w:val="222222"/>
        </w:rPr>
        <w:t xml:space="preserve"> From animal to meat: illuminating the medieval ritual of unmaking. </w:t>
      </w:r>
      <w:proofErr w:type="spellStart"/>
      <w:r w:rsidRPr="43DD5ADA">
        <w:rPr>
          <w:rFonts w:eastAsia="Times New Roman" w:cs="Times New Roman"/>
          <w:i/>
          <w:iCs/>
          <w:color w:val="222222"/>
        </w:rPr>
        <w:t>eHumanista</w:t>
      </w:r>
      <w:proofErr w:type="spellEnd"/>
      <w:r w:rsidRPr="43DD5ADA">
        <w:rPr>
          <w:rFonts w:eastAsia="Times New Roman" w:cs="Times New Roman"/>
          <w:i/>
          <w:iCs/>
          <w:color w:val="222222"/>
        </w:rPr>
        <w:t>: Journal of Iberian Studies</w:t>
      </w:r>
      <w:r w:rsidRPr="43DD5ADA">
        <w:rPr>
          <w:rFonts w:eastAsia="Times New Roman" w:cs="Times New Roman"/>
          <w:color w:val="222222"/>
        </w:rPr>
        <w:t>, (25), pp.17-30.</w:t>
      </w:r>
    </w:p>
    <w:p w14:paraId="64F012A4" w14:textId="77777777" w:rsidR="00930C77" w:rsidRPr="00BE50E2" w:rsidRDefault="00930C77" w:rsidP="00930C77">
      <w:pPr>
        <w:rPr>
          <w:rFonts w:eastAsia="Times New Roman" w:cs="Times New Roman"/>
        </w:rPr>
      </w:pPr>
      <w:proofErr w:type="spellStart"/>
      <w:r w:rsidRPr="00E363F5">
        <w:rPr>
          <w:rFonts w:eastAsia="Times New Roman" w:cs="Times New Roman"/>
        </w:rPr>
        <w:t>Radulescu</w:t>
      </w:r>
      <w:proofErr w:type="spellEnd"/>
      <w:r w:rsidRPr="00E363F5">
        <w:rPr>
          <w:rFonts w:eastAsia="Times New Roman" w:cs="Times New Roman"/>
        </w:rPr>
        <w:t xml:space="preserve">, R., </w:t>
      </w:r>
      <w:r>
        <w:rPr>
          <w:rFonts w:eastAsia="Times New Roman" w:cs="Times New Roman"/>
        </w:rPr>
        <w:t>(</w:t>
      </w:r>
      <w:r w:rsidRPr="00E363F5">
        <w:rPr>
          <w:rFonts w:eastAsia="Times New Roman" w:cs="Times New Roman"/>
        </w:rPr>
        <w:t>2003</w:t>
      </w:r>
      <w:r>
        <w:rPr>
          <w:rFonts w:eastAsia="Times New Roman" w:cs="Times New Roman"/>
        </w:rPr>
        <w:t>)</w:t>
      </w:r>
      <w:r w:rsidRPr="00E363F5">
        <w:rPr>
          <w:rFonts w:eastAsia="Times New Roman" w:cs="Times New Roman"/>
        </w:rPr>
        <w:t>. Yorkist Propaganda and" The Chronicle from Rollo to Edward IV". </w:t>
      </w:r>
      <w:r w:rsidRPr="00E363F5">
        <w:rPr>
          <w:rFonts w:eastAsia="Times New Roman" w:cs="Times New Roman"/>
          <w:i/>
          <w:iCs/>
        </w:rPr>
        <w:t>Studies in Philology</w:t>
      </w:r>
      <w:r w:rsidRPr="00E363F5">
        <w:rPr>
          <w:rFonts w:eastAsia="Times New Roman" w:cs="Times New Roman"/>
        </w:rPr>
        <w:t>, pp.401-424.</w:t>
      </w:r>
    </w:p>
    <w:p w14:paraId="21F1C8F1" w14:textId="77777777" w:rsidR="00D84A23" w:rsidRDefault="00D84A23" w:rsidP="00BE50E2"/>
    <w:p w14:paraId="4B9E7416" w14:textId="66D6895A" w:rsidR="00FF4E6C" w:rsidRDefault="00FF4E6C">
      <w:r>
        <w:br w:type="page"/>
      </w:r>
    </w:p>
    <w:p w14:paraId="247A49B2" w14:textId="77777777" w:rsidR="008A3D19" w:rsidRDefault="008A3D19" w:rsidP="00BE50E2"/>
    <w:sectPr w:rsidR="008A3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B8752" w14:textId="77777777" w:rsidR="00DF5721" w:rsidRDefault="00DF5721">
      <w:pPr>
        <w:spacing w:after="0" w:line="240" w:lineRule="auto"/>
      </w:pPr>
      <w:r>
        <w:separator/>
      </w:r>
    </w:p>
  </w:endnote>
  <w:endnote w:type="continuationSeparator" w:id="0">
    <w:p w14:paraId="3F859EE8" w14:textId="77777777" w:rsidR="00DF5721" w:rsidRDefault="00DF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8695B" w14:textId="77777777" w:rsidR="00DF5721" w:rsidRDefault="00DF5721">
      <w:pPr>
        <w:spacing w:after="0" w:line="240" w:lineRule="auto"/>
      </w:pPr>
      <w:r>
        <w:separator/>
      </w:r>
    </w:p>
  </w:footnote>
  <w:footnote w:type="continuationSeparator" w:id="0">
    <w:p w14:paraId="058564CF" w14:textId="77777777" w:rsidR="00DF5721" w:rsidRDefault="00DF5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0E2"/>
    <w:rsid w:val="000160BD"/>
    <w:rsid w:val="00021F59"/>
    <w:rsid w:val="00043DDF"/>
    <w:rsid w:val="00045493"/>
    <w:rsid w:val="00047CF9"/>
    <w:rsid w:val="00092584"/>
    <w:rsid w:val="000B7FA6"/>
    <w:rsid w:val="000C7826"/>
    <w:rsid w:val="000D1B57"/>
    <w:rsid w:val="00105912"/>
    <w:rsid w:val="001121C9"/>
    <w:rsid w:val="00121C57"/>
    <w:rsid w:val="001258A4"/>
    <w:rsid w:val="00161F5F"/>
    <w:rsid w:val="00171689"/>
    <w:rsid w:val="001B4733"/>
    <w:rsid w:val="001E16CF"/>
    <w:rsid w:val="001E602A"/>
    <w:rsid w:val="00207997"/>
    <w:rsid w:val="00232E49"/>
    <w:rsid w:val="00254383"/>
    <w:rsid w:val="00270646"/>
    <w:rsid w:val="00291F30"/>
    <w:rsid w:val="0029293D"/>
    <w:rsid w:val="00296088"/>
    <w:rsid w:val="002B6724"/>
    <w:rsid w:val="002D656D"/>
    <w:rsid w:val="003041E0"/>
    <w:rsid w:val="003274B2"/>
    <w:rsid w:val="00336464"/>
    <w:rsid w:val="003537B7"/>
    <w:rsid w:val="00354AAB"/>
    <w:rsid w:val="0036520F"/>
    <w:rsid w:val="003728E8"/>
    <w:rsid w:val="003B033D"/>
    <w:rsid w:val="003D3CCE"/>
    <w:rsid w:val="0041170F"/>
    <w:rsid w:val="00420134"/>
    <w:rsid w:val="0042456F"/>
    <w:rsid w:val="004250A2"/>
    <w:rsid w:val="00430937"/>
    <w:rsid w:val="00454BC4"/>
    <w:rsid w:val="00496108"/>
    <w:rsid w:val="004A070F"/>
    <w:rsid w:val="004B71F8"/>
    <w:rsid w:val="004B77E8"/>
    <w:rsid w:val="004E0786"/>
    <w:rsid w:val="0050007A"/>
    <w:rsid w:val="00512344"/>
    <w:rsid w:val="005208A6"/>
    <w:rsid w:val="0054041E"/>
    <w:rsid w:val="0055572D"/>
    <w:rsid w:val="005777E5"/>
    <w:rsid w:val="0059164A"/>
    <w:rsid w:val="005946DC"/>
    <w:rsid w:val="005C5F85"/>
    <w:rsid w:val="005D15C3"/>
    <w:rsid w:val="005D4C88"/>
    <w:rsid w:val="005F03E2"/>
    <w:rsid w:val="006129EB"/>
    <w:rsid w:val="00616E29"/>
    <w:rsid w:val="0063284E"/>
    <w:rsid w:val="00635DE2"/>
    <w:rsid w:val="00654F4C"/>
    <w:rsid w:val="00656715"/>
    <w:rsid w:val="00694023"/>
    <w:rsid w:val="006B33D7"/>
    <w:rsid w:val="006C41DA"/>
    <w:rsid w:val="006E2358"/>
    <w:rsid w:val="006E2CCE"/>
    <w:rsid w:val="00714C70"/>
    <w:rsid w:val="0074091D"/>
    <w:rsid w:val="0075799B"/>
    <w:rsid w:val="0076001C"/>
    <w:rsid w:val="007677E2"/>
    <w:rsid w:val="00777172"/>
    <w:rsid w:val="00783FFF"/>
    <w:rsid w:val="007866CE"/>
    <w:rsid w:val="007A09EE"/>
    <w:rsid w:val="007C391F"/>
    <w:rsid w:val="007D64AB"/>
    <w:rsid w:val="00815C51"/>
    <w:rsid w:val="00826A0C"/>
    <w:rsid w:val="00836AC7"/>
    <w:rsid w:val="00852CFE"/>
    <w:rsid w:val="00857068"/>
    <w:rsid w:val="008A3D19"/>
    <w:rsid w:val="008A43BD"/>
    <w:rsid w:val="008A67DB"/>
    <w:rsid w:val="008B2F73"/>
    <w:rsid w:val="008C498F"/>
    <w:rsid w:val="008C7C4D"/>
    <w:rsid w:val="008E5157"/>
    <w:rsid w:val="00912FCA"/>
    <w:rsid w:val="00930C77"/>
    <w:rsid w:val="009512E0"/>
    <w:rsid w:val="009576AF"/>
    <w:rsid w:val="00970773"/>
    <w:rsid w:val="009B45CB"/>
    <w:rsid w:val="009B5AC0"/>
    <w:rsid w:val="009C0404"/>
    <w:rsid w:val="00A27E5D"/>
    <w:rsid w:val="00A42446"/>
    <w:rsid w:val="00A52D7B"/>
    <w:rsid w:val="00A56796"/>
    <w:rsid w:val="00A80E21"/>
    <w:rsid w:val="00A82686"/>
    <w:rsid w:val="00AB2BCD"/>
    <w:rsid w:val="00AC18B0"/>
    <w:rsid w:val="00AE1E3D"/>
    <w:rsid w:val="00AF238A"/>
    <w:rsid w:val="00AF739C"/>
    <w:rsid w:val="00B30635"/>
    <w:rsid w:val="00B42743"/>
    <w:rsid w:val="00BA0285"/>
    <w:rsid w:val="00BA4B51"/>
    <w:rsid w:val="00BB110C"/>
    <w:rsid w:val="00BB53F7"/>
    <w:rsid w:val="00BD2FC8"/>
    <w:rsid w:val="00BD72E3"/>
    <w:rsid w:val="00BE1888"/>
    <w:rsid w:val="00BE50E2"/>
    <w:rsid w:val="00BE7C34"/>
    <w:rsid w:val="00C2317B"/>
    <w:rsid w:val="00C26AD5"/>
    <w:rsid w:val="00C368B8"/>
    <w:rsid w:val="00C40997"/>
    <w:rsid w:val="00C52D12"/>
    <w:rsid w:val="00C62261"/>
    <w:rsid w:val="00C847BE"/>
    <w:rsid w:val="00CA0B1A"/>
    <w:rsid w:val="00CB2AE9"/>
    <w:rsid w:val="00CF1AA6"/>
    <w:rsid w:val="00D1092B"/>
    <w:rsid w:val="00D474E4"/>
    <w:rsid w:val="00D607FB"/>
    <w:rsid w:val="00D64D0A"/>
    <w:rsid w:val="00D74787"/>
    <w:rsid w:val="00D84A23"/>
    <w:rsid w:val="00DA3D51"/>
    <w:rsid w:val="00DC02A8"/>
    <w:rsid w:val="00DF5721"/>
    <w:rsid w:val="00E363F5"/>
    <w:rsid w:val="00E373D7"/>
    <w:rsid w:val="00E417D7"/>
    <w:rsid w:val="00E7286D"/>
    <w:rsid w:val="00EB06E8"/>
    <w:rsid w:val="00EC0CD4"/>
    <w:rsid w:val="00EF2239"/>
    <w:rsid w:val="00EF4C35"/>
    <w:rsid w:val="00F065B7"/>
    <w:rsid w:val="00F24401"/>
    <w:rsid w:val="00F86B98"/>
    <w:rsid w:val="00F92769"/>
    <w:rsid w:val="00FC5B2E"/>
    <w:rsid w:val="00FD5203"/>
    <w:rsid w:val="00FF4E6C"/>
    <w:rsid w:val="020B71FA"/>
    <w:rsid w:val="02E2A7F9"/>
    <w:rsid w:val="03C861DB"/>
    <w:rsid w:val="05662A7A"/>
    <w:rsid w:val="08DBA3DF"/>
    <w:rsid w:val="09C929E8"/>
    <w:rsid w:val="0A90A596"/>
    <w:rsid w:val="0C9E6779"/>
    <w:rsid w:val="0F7E9C8A"/>
    <w:rsid w:val="0FA802A4"/>
    <w:rsid w:val="0FC71F4E"/>
    <w:rsid w:val="10FAC058"/>
    <w:rsid w:val="15EDDE0E"/>
    <w:rsid w:val="1BEFF07E"/>
    <w:rsid w:val="1DA2BE2D"/>
    <w:rsid w:val="1EFE3178"/>
    <w:rsid w:val="1F3E8E8E"/>
    <w:rsid w:val="2349376A"/>
    <w:rsid w:val="2494FC28"/>
    <w:rsid w:val="27704501"/>
    <w:rsid w:val="2CB55FEB"/>
    <w:rsid w:val="2D4BF4E0"/>
    <w:rsid w:val="2FA402B6"/>
    <w:rsid w:val="300E9215"/>
    <w:rsid w:val="307B671A"/>
    <w:rsid w:val="30F50893"/>
    <w:rsid w:val="34D0F806"/>
    <w:rsid w:val="364EDDD9"/>
    <w:rsid w:val="36A86540"/>
    <w:rsid w:val="37843426"/>
    <w:rsid w:val="37872DA3"/>
    <w:rsid w:val="390D66ED"/>
    <w:rsid w:val="3A5DB49A"/>
    <w:rsid w:val="3CBE1F5D"/>
    <w:rsid w:val="3CE996A4"/>
    <w:rsid w:val="3CEB4EB5"/>
    <w:rsid w:val="3FF5C01F"/>
    <w:rsid w:val="4016DF9F"/>
    <w:rsid w:val="4018D7DD"/>
    <w:rsid w:val="41F02C00"/>
    <w:rsid w:val="422680A9"/>
    <w:rsid w:val="4308AC9B"/>
    <w:rsid w:val="4346C5AC"/>
    <w:rsid w:val="43D02176"/>
    <w:rsid w:val="43DD5ADA"/>
    <w:rsid w:val="49814EF9"/>
    <w:rsid w:val="4B1307C0"/>
    <w:rsid w:val="4B697EA7"/>
    <w:rsid w:val="4C130D5C"/>
    <w:rsid w:val="4DFE8E56"/>
    <w:rsid w:val="4E1FB444"/>
    <w:rsid w:val="514BE2E9"/>
    <w:rsid w:val="5378A189"/>
    <w:rsid w:val="539E8924"/>
    <w:rsid w:val="5404F6E4"/>
    <w:rsid w:val="549FBD0A"/>
    <w:rsid w:val="55A0C745"/>
    <w:rsid w:val="56495DD7"/>
    <w:rsid w:val="5654BEC1"/>
    <w:rsid w:val="56A29DE1"/>
    <w:rsid w:val="58D86807"/>
    <w:rsid w:val="59E4CDE4"/>
    <w:rsid w:val="5C1008C9"/>
    <w:rsid w:val="603DFC34"/>
    <w:rsid w:val="627F4A4D"/>
    <w:rsid w:val="6379884D"/>
    <w:rsid w:val="6930C134"/>
    <w:rsid w:val="6B9F3EA5"/>
    <w:rsid w:val="6BF0DA11"/>
    <w:rsid w:val="6D1E7875"/>
    <w:rsid w:val="6E98D694"/>
    <w:rsid w:val="6F712EC2"/>
    <w:rsid w:val="6FA002B8"/>
    <w:rsid w:val="7072AFC8"/>
    <w:rsid w:val="73C01450"/>
    <w:rsid w:val="781E9CA5"/>
    <w:rsid w:val="787A5D16"/>
    <w:rsid w:val="79BA6D06"/>
    <w:rsid w:val="7A162D77"/>
    <w:rsid w:val="7BB1FDD8"/>
    <w:rsid w:val="7E50A410"/>
    <w:rsid w:val="7F608B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B264D"/>
  <w15:chartTrackingRefBased/>
  <w15:docId w15:val="{7DAFDC25-4841-4772-B655-3FC6787BF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8"/>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70773"/>
    <w:rPr>
      <w:sz w:val="16"/>
      <w:szCs w:val="16"/>
    </w:rPr>
  </w:style>
  <w:style w:type="paragraph" w:styleId="CommentText">
    <w:name w:val="annotation text"/>
    <w:basedOn w:val="Normal"/>
    <w:link w:val="CommentTextChar"/>
    <w:uiPriority w:val="99"/>
    <w:unhideWhenUsed/>
    <w:rsid w:val="00970773"/>
    <w:pPr>
      <w:spacing w:line="240" w:lineRule="auto"/>
    </w:pPr>
    <w:rPr>
      <w:sz w:val="20"/>
      <w:szCs w:val="20"/>
    </w:rPr>
  </w:style>
  <w:style w:type="character" w:customStyle="1" w:styleId="CommentTextChar">
    <w:name w:val="Comment Text Char"/>
    <w:basedOn w:val="DefaultParagraphFont"/>
    <w:link w:val="CommentText"/>
    <w:uiPriority w:val="99"/>
    <w:rsid w:val="00970773"/>
    <w:rPr>
      <w:sz w:val="20"/>
      <w:szCs w:val="20"/>
    </w:rPr>
  </w:style>
  <w:style w:type="paragraph" w:styleId="CommentSubject">
    <w:name w:val="annotation subject"/>
    <w:basedOn w:val="CommentText"/>
    <w:next w:val="CommentText"/>
    <w:link w:val="CommentSubjectChar"/>
    <w:uiPriority w:val="99"/>
    <w:semiHidden/>
    <w:unhideWhenUsed/>
    <w:rsid w:val="00970773"/>
    <w:rPr>
      <w:b/>
      <w:bCs/>
    </w:rPr>
  </w:style>
  <w:style w:type="character" w:customStyle="1" w:styleId="CommentSubjectChar">
    <w:name w:val="Comment Subject Char"/>
    <w:basedOn w:val="CommentTextChar"/>
    <w:link w:val="CommentSubject"/>
    <w:uiPriority w:val="99"/>
    <w:semiHidden/>
    <w:rsid w:val="00970773"/>
    <w:rPr>
      <w:b/>
      <w:bCs/>
      <w:sz w:val="20"/>
      <w:szCs w:val="20"/>
    </w:rPr>
  </w:style>
  <w:style w:type="character" w:styleId="Hyperlink">
    <w:name w:val="Hyperlink"/>
    <w:basedOn w:val="DefaultParagraphFont"/>
    <w:uiPriority w:val="99"/>
    <w:unhideWhenUsed/>
    <w:rsid w:val="004A070F"/>
    <w:rPr>
      <w:color w:val="0563C1" w:themeColor="hyperlink"/>
      <w:u w:val="single"/>
    </w:rPr>
  </w:style>
  <w:style w:type="character" w:styleId="UnresolvedMention">
    <w:name w:val="Unresolved Mention"/>
    <w:basedOn w:val="DefaultParagraphFont"/>
    <w:uiPriority w:val="99"/>
    <w:semiHidden/>
    <w:unhideWhenUsed/>
    <w:rsid w:val="004A070F"/>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l.uk/catalogues/illuminatedmanuscrip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2055B-AC36-4011-9E85-22D416ADC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1426</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4</cp:revision>
  <cp:lastPrinted>2023-02-01T19:04:00Z</cp:lastPrinted>
  <dcterms:created xsi:type="dcterms:W3CDTF">2023-02-01T20:57:00Z</dcterms:created>
  <dcterms:modified xsi:type="dcterms:W3CDTF">2023-02-01T21:22:00Z</dcterms:modified>
</cp:coreProperties>
</file>