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55BE4" w14:textId="77777777" w:rsidR="007575B8" w:rsidRPr="00024BB0" w:rsidRDefault="004D78AD" w:rsidP="00024BB0">
      <w:pPr>
        <w:pStyle w:val="Title"/>
        <w:rPr>
          <w:rFonts w:ascii="Arial" w:hAnsi="Arial" w:cs="Arial"/>
        </w:rPr>
      </w:pPr>
      <w:bookmarkStart w:id="0" w:name="_heading=h.2h06yloffuj9" w:colFirst="0" w:colLast="0"/>
      <w:bookmarkEnd w:id="0"/>
      <w:r w:rsidRPr="00024BB0">
        <w:rPr>
          <w:rFonts w:ascii="Arial" w:hAnsi="Arial" w:cs="Arial"/>
          <w:noProof/>
        </w:rPr>
        <w:drawing>
          <wp:inline distT="0" distB="0" distL="0" distR="0" wp14:anchorId="2CD7417C" wp14:editId="58F803A5">
            <wp:extent cx="3695700" cy="1524000"/>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695700" cy="1524000"/>
                    </a:xfrm>
                    <a:prstGeom prst="rect">
                      <a:avLst/>
                    </a:prstGeom>
                    <a:ln/>
                  </pic:spPr>
                </pic:pic>
              </a:graphicData>
            </a:graphic>
          </wp:inline>
        </w:drawing>
      </w:r>
    </w:p>
    <w:p w14:paraId="6202EDC0" w14:textId="77777777" w:rsidR="007575B8" w:rsidRPr="000D1EE7" w:rsidRDefault="004D78AD" w:rsidP="000D1EE7">
      <w:pPr>
        <w:pStyle w:val="Title"/>
        <w:rPr>
          <w:rFonts w:ascii="Arial" w:hAnsi="Arial" w:cs="Arial"/>
          <w:sz w:val="24"/>
          <w:szCs w:val="24"/>
        </w:rPr>
      </w:pPr>
      <w:bookmarkStart w:id="1" w:name="_heading=h.nizl7kl48eit" w:colFirst="0" w:colLast="0"/>
      <w:bookmarkEnd w:id="1"/>
      <w:r w:rsidRPr="000D1EE7">
        <w:rPr>
          <w:rFonts w:ascii="Arial" w:hAnsi="Arial" w:cs="Arial"/>
          <w:sz w:val="24"/>
          <w:szCs w:val="24"/>
        </w:rPr>
        <w:t>Programme: Master of Business Administration</w:t>
      </w:r>
    </w:p>
    <w:p w14:paraId="2567DA3C" w14:textId="77777777" w:rsidR="007575B8" w:rsidRPr="000D1EE7" w:rsidRDefault="004D78AD" w:rsidP="000D1EE7">
      <w:pPr>
        <w:pStyle w:val="Title"/>
        <w:rPr>
          <w:rFonts w:ascii="Arial" w:hAnsi="Arial" w:cs="Arial"/>
          <w:sz w:val="24"/>
          <w:szCs w:val="24"/>
        </w:rPr>
      </w:pPr>
      <w:r w:rsidRPr="000D1EE7">
        <w:rPr>
          <w:rFonts w:ascii="Arial" w:hAnsi="Arial" w:cs="Arial"/>
          <w:sz w:val="24"/>
          <w:szCs w:val="24"/>
        </w:rPr>
        <w:t>Module: Dissertation</w:t>
      </w:r>
    </w:p>
    <w:p w14:paraId="1C2BF076" w14:textId="77777777" w:rsidR="007575B8" w:rsidRPr="000D1EE7" w:rsidRDefault="004D78AD" w:rsidP="000D1EE7">
      <w:pPr>
        <w:pStyle w:val="Title"/>
        <w:rPr>
          <w:rFonts w:ascii="Arial" w:hAnsi="Arial" w:cs="Arial"/>
          <w:sz w:val="24"/>
          <w:szCs w:val="24"/>
        </w:rPr>
      </w:pPr>
      <w:r w:rsidRPr="000D1EE7">
        <w:rPr>
          <w:rFonts w:ascii="Arial" w:hAnsi="Arial" w:cs="Arial"/>
          <w:sz w:val="24"/>
          <w:szCs w:val="24"/>
        </w:rPr>
        <w:t>Module code: LCMB7035</w:t>
      </w:r>
    </w:p>
    <w:p w14:paraId="0BC07FA8" w14:textId="04A1FC26" w:rsidR="007575B8" w:rsidRPr="000D1EE7" w:rsidRDefault="000D1EE7" w:rsidP="000D1EE7">
      <w:pPr>
        <w:pStyle w:val="Title"/>
        <w:rPr>
          <w:rFonts w:ascii="Arial" w:hAnsi="Arial" w:cs="Arial"/>
          <w:sz w:val="24"/>
          <w:szCs w:val="24"/>
        </w:rPr>
      </w:pPr>
      <w:bookmarkStart w:id="2" w:name="_heading=h.h32kono88o4z" w:colFirst="0" w:colLast="0"/>
      <w:bookmarkStart w:id="3" w:name="_heading=h.bfyn1guoe5ht" w:colFirst="0" w:colLast="0"/>
      <w:bookmarkStart w:id="4" w:name="_heading=h.yfzquajmo1s1" w:colFirst="0" w:colLast="0"/>
      <w:bookmarkEnd w:id="2"/>
      <w:bookmarkEnd w:id="3"/>
      <w:bookmarkEnd w:id="4"/>
      <w:r w:rsidRPr="000D1EE7">
        <w:rPr>
          <w:rFonts w:ascii="Arial" w:hAnsi="Arial" w:cs="Arial"/>
          <w:sz w:val="24"/>
          <w:szCs w:val="24"/>
        </w:rPr>
        <w:t>Assignment Title: A</w:t>
      </w:r>
      <w:r w:rsidR="004D78AD" w:rsidRPr="000D1EE7">
        <w:rPr>
          <w:rFonts w:ascii="Arial" w:hAnsi="Arial" w:cs="Arial"/>
          <w:sz w:val="24"/>
          <w:szCs w:val="24"/>
        </w:rPr>
        <w:t xml:space="preserve"> SYSTEMATIC LITERATURE REVIEW OF THE RELATIONSHIP BETWEEN ESG DISCLOSURE AND CARBON REDUCTION IN INDIAN AIRLINES: A CASE STUDY OF INDIGO</w:t>
      </w:r>
    </w:p>
    <w:p w14:paraId="0E67356B" w14:textId="77777777" w:rsidR="007575B8" w:rsidRPr="000D1EE7" w:rsidRDefault="004D78AD" w:rsidP="000D1EE7">
      <w:pPr>
        <w:jc w:val="center"/>
        <w:rPr>
          <w:rFonts w:ascii="Arial" w:hAnsi="Arial" w:cs="Arial"/>
          <w:b/>
        </w:rPr>
      </w:pPr>
      <w:r w:rsidRPr="000D1EE7">
        <w:rPr>
          <w:rFonts w:ascii="Arial" w:hAnsi="Arial" w:cs="Arial"/>
          <w:b/>
          <w:bCs/>
        </w:rPr>
        <w:t xml:space="preserve">Lecturer: </w:t>
      </w:r>
      <w:r w:rsidRPr="000D1EE7">
        <w:rPr>
          <w:rFonts w:ascii="Arial" w:hAnsi="Arial" w:cs="Arial"/>
          <w:b/>
        </w:rPr>
        <w:t>Eno Maycock (Birmingham)</w:t>
      </w:r>
    </w:p>
    <w:p w14:paraId="472893A6" w14:textId="77777777" w:rsidR="007575B8" w:rsidRPr="000D1EE7" w:rsidRDefault="004D78AD" w:rsidP="000D1EE7">
      <w:pPr>
        <w:jc w:val="center"/>
        <w:rPr>
          <w:rFonts w:ascii="Arial" w:hAnsi="Arial" w:cs="Arial"/>
          <w:b/>
        </w:rPr>
      </w:pPr>
      <w:r w:rsidRPr="000D1EE7">
        <w:rPr>
          <w:rFonts w:ascii="Arial" w:hAnsi="Arial" w:cs="Arial"/>
          <w:b/>
          <w:bCs/>
        </w:rPr>
        <w:t xml:space="preserve">Student name: </w:t>
      </w:r>
      <w:r w:rsidRPr="000D1EE7">
        <w:rPr>
          <w:rFonts w:ascii="Arial" w:hAnsi="Arial" w:cs="Arial"/>
          <w:b/>
        </w:rPr>
        <w:t>Harshil Bharatkumar Desai</w:t>
      </w:r>
    </w:p>
    <w:p w14:paraId="7AB511EE" w14:textId="77777777" w:rsidR="007575B8" w:rsidRPr="000D1EE7" w:rsidRDefault="004D78AD" w:rsidP="000D1EE7">
      <w:pPr>
        <w:jc w:val="center"/>
        <w:rPr>
          <w:rFonts w:ascii="Arial" w:hAnsi="Arial" w:cs="Arial"/>
          <w:b/>
          <w:bCs/>
        </w:rPr>
      </w:pPr>
      <w:r w:rsidRPr="000D1EE7">
        <w:rPr>
          <w:rFonts w:ascii="Arial" w:hAnsi="Arial" w:cs="Arial"/>
          <w:b/>
          <w:bCs/>
        </w:rPr>
        <w:t xml:space="preserve">Student ID number: </w:t>
      </w:r>
      <w:r w:rsidRPr="000D1EE7">
        <w:rPr>
          <w:rFonts w:ascii="Arial" w:hAnsi="Arial" w:cs="Arial"/>
          <w:b/>
        </w:rPr>
        <w:t>2504765</w:t>
      </w:r>
    </w:p>
    <w:p w14:paraId="6948EC31" w14:textId="603F7ACF" w:rsidR="007575B8" w:rsidRPr="000D1EE7" w:rsidRDefault="004D78AD" w:rsidP="000D1EE7">
      <w:pPr>
        <w:jc w:val="center"/>
        <w:rPr>
          <w:rFonts w:ascii="Arial" w:hAnsi="Arial" w:cs="Arial"/>
          <w:b/>
          <w:bCs/>
        </w:rPr>
      </w:pPr>
      <w:r w:rsidRPr="000D1EE7">
        <w:rPr>
          <w:rFonts w:ascii="Arial" w:hAnsi="Arial" w:cs="Arial"/>
          <w:b/>
          <w:bCs/>
        </w:rPr>
        <w:t>Word count:</w:t>
      </w:r>
      <w:r w:rsidRPr="000D1EE7">
        <w:rPr>
          <w:rFonts w:ascii="Arial" w:hAnsi="Arial" w:cs="Arial"/>
          <w:b/>
        </w:rPr>
        <w:t xml:space="preserve"> 15,</w:t>
      </w:r>
      <w:r w:rsidR="00341E4C" w:rsidRPr="000D1EE7">
        <w:rPr>
          <w:rFonts w:ascii="Arial" w:hAnsi="Arial" w:cs="Arial"/>
          <w:b/>
        </w:rPr>
        <w:t>293</w:t>
      </w:r>
    </w:p>
    <w:p w14:paraId="0A65E2E5" w14:textId="460ABC35" w:rsidR="007575B8" w:rsidRPr="000D1EE7" w:rsidRDefault="004D78AD" w:rsidP="000D1EE7">
      <w:pPr>
        <w:jc w:val="center"/>
        <w:rPr>
          <w:rFonts w:ascii="Arial" w:hAnsi="Arial" w:cs="Arial"/>
          <w:b/>
          <w:bCs/>
        </w:rPr>
      </w:pPr>
      <w:r w:rsidRPr="000D1EE7">
        <w:rPr>
          <w:rFonts w:ascii="Arial" w:hAnsi="Arial" w:cs="Arial"/>
          <w:b/>
          <w:bCs/>
        </w:rPr>
        <w:t xml:space="preserve">Date of submission: </w:t>
      </w:r>
      <w:r w:rsidR="0048631F" w:rsidRPr="000D1EE7">
        <w:rPr>
          <w:rFonts w:ascii="Arial" w:hAnsi="Arial" w:cs="Arial"/>
          <w:b/>
        </w:rPr>
        <w:t>28th August 2026</w:t>
      </w:r>
    </w:p>
    <w:p w14:paraId="01BE1275" w14:textId="77777777" w:rsidR="007575B8" w:rsidRPr="00024BB0" w:rsidRDefault="004D78AD" w:rsidP="00024BB0">
      <w:pPr>
        <w:rPr>
          <w:rFonts w:ascii="Arial" w:hAnsi="Arial" w:cs="Arial"/>
        </w:rPr>
      </w:pPr>
      <w:r w:rsidRPr="00024BB0">
        <w:rPr>
          <w:rFonts w:ascii="Arial" w:hAnsi="Arial" w:cs="Arial"/>
        </w:rPr>
        <w:br w:type="page"/>
      </w:r>
    </w:p>
    <w:p w14:paraId="73D6CCDF" w14:textId="77777777" w:rsidR="007575B8" w:rsidRPr="00024BB0" w:rsidRDefault="007575B8" w:rsidP="00024BB0">
      <w:pPr>
        <w:jc w:val="center"/>
        <w:rPr>
          <w:rFonts w:ascii="Arial" w:hAnsi="Arial" w:cs="Arial"/>
          <w:b/>
          <w:bCs/>
        </w:rPr>
      </w:pPr>
    </w:p>
    <w:p w14:paraId="127E73F7" w14:textId="77777777" w:rsidR="007575B8" w:rsidRPr="00024BB0" w:rsidRDefault="004D78AD" w:rsidP="00024BB0">
      <w:pPr>
        <w:jc w:val="center"/>
        <w:rPr>
          <w:rFonts w:ascii="Arial" w:hAnsi="Arial" w:cs="Arial"/>
          <w:b/>
          <w:bCs/>
        </w:rPr>
      </w:pPr>
      <w:r w:rsidRPr="00024BB0">
        <w:rPr>
          <w:rFonts w:ascii="Arial" w:hAnsi="Arial" w:cs="Arial"/>
          <w:b/>
          <w:bCs/>
        </w:rPr>
        <w:t>DECLARATION</w:t>
      </w:r>
    </w:p>
    <w:p w14:paraId="183372F8" w14:textId="77777777" w:rsidR="007575B8" w:rsidRPr="00024BB0" w:rsidRDefault="007575B8" w:rsidP="00024BB0">
      <w:pPr>
        <w:jc w:val="center"/>
        <w:rPr>
          <w:rFonts w:ascii="Arial" w:hAnsi="Arial" w:cs="Arial"/>
          <w:b/>
          <w:bCs/>
        </w:rPr>
      </w:pPr>
    </w:p>
    <w:p w14:paraId="08CE5C54" w14:textId="77777777" w:rsidR="007575B8" w:rsidRPr="00024BB0" w:rsidRDefault="004D78AD" w:rsidP="00024BB0">
      <w:pPr>
        <w:rPr>
          <w:rFonts w:ascii="Arial" w:hAnsi="Arial" w:cs="Arial"/>
        </w:rPr>
      </w:pPr>
      <w:r w:rsidRPr="00024BB0">
        <w:rPr>
          <w:rFonts w:ascii="Arial" w:hAnsi="Arial" w:cs="Arial"/>
        </w:rPr>
        <w:t>I, Harshil Bharatkumar Desai,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FB8B9E3" w14:textId="77777777" w:rsidR="007575B8" w:rsidRPr="00024BB0" w:rsidRDefault="007575B8" w:rsidP="00024BB0">
      <w:pPr>
        <w:rPr>
          <w:rFonts w:ascii="Arial" w:hAnsi="Arial" w:cs="Arial"/>
        </w:rPr>
      </w:pPr>
    </w:p>
    <w:p w14:paraId="1CC01C39" w14:textId="77777777" w:rsidR="007575B8" w:rsidRPr="00024BB0" w:rsidRDefault="007575B8" w:rsidP="00024BB0">
      <w:pPr>
        <w:rPr>
          <w:rFonts w:ascii="Arial" w:hAnsi="Arial" w:cs="Arial"/>
        </w:rPr>
      </w:pPr>
    </w:p>
    <w:p w14:paraId="110779C5" w14:textId="77777777" w:rsidR="007575B8" w:rsidRPr="00024BB0" w:rsidRDefault="007575B8" w:rsidP="00024BB0">
      <w:pPr>
        <w:rPr>
          <w:rFonts w:ascii="Arial" w:hAnsi="Arial" w:cs="Arial"/>
        </w:rPr>
      </w:pPr>
    </w:p>
    <w:p w14:paraId="66D743D8" w14:textId="77777777" w:rsidR="007575B8" w:rsidRPr="00024BB0" w:rsidRDefault="007575B8" w:rsidP="00024BB0">
      <w:pPr>
        <w:rPr>
          <w:rFonts w:ascii="Arial" w:hAnsi="Arial" w:cs="Arial"/>
        </w:rPr>
      </w:pPr>
    </w:p>
    <w:p w14:paraId="6B52A808" w14:textId="77777777" w:rsidR="007575B8" w:rsidRPr="00024BB0" w:rsidRDefault="004D78AD" w:rsidP="00024BB0">
      <w:pPr>
        <w:rPr>
          <w:rFonts w:ascii="Arial" w:hAnsi="Arial" w:cs="Arial"/>
        </w:rPr>
      </w:pPr>
      <w:r w:rsidRPr="00024BB0">
        <w:rPr>
          <w:rFonts w:ascii="Arial" w:hAnsi="Arial" w:cs="Arial"/>
        </w:rPr>
        <w:t> </w:t>
      </w:r>
    </w:p>
    <w:p w14:paraId="5D0530B1" w14:textId="76AA3B7D" w:rsidR="007575B8" w:rsidRPr="00024BB0" w:rsidRDefault="004D78AD" w:rsidP="00024BB0">
      <w:pPr>
        <w:rPr>
          <w:rFonts w:ascii="Arial" w:hAnsi="Arial" w:cs="Arial"/>
        </w:rPr>
      </w:pPr>
      <w:r w:rsidRPr="00024BB0">
        <w:rPr>
          <w:rFonts w:ascii="Arial" w:hAnsi="Arial" w:cs="Arial"/>
        </w:rPr>
        <w:t>Signature:</w:t>
      </w:r>
      <w:r w:rsidR="003A3064" w:rsidRPr="00024BB0">
        <w:rPr>
          <w:rFonts w:ascii="Arial" w:hAnsi="Arial" w:cs="Arial"/>
        </w:rPr>
        <w:t xml:space="preserve"> </w:t>
      </w:r>
      <w:r w:rsidR="00024BB0" w:rsidRPr="00024BB0">
        <w:rPr>
          <w:rFonts w:ascii="Arial" w:hAnsi="Arial" w:cs="Arial"/>
        </w:rPr>
        <w:t>Harshil Bharatkumar Desai</w:t>
      </w:r>
    </w:p>
    <w:p w14:paraId="2B29E4D2" w14:textId="77777777" w:rsidR="007575B8" w:rsidRPr="00024BB0" w:rsidRDefault="004D78AD" w:rsidP="00024BB0">
      <w:pPr>
        <w:rPr>
          <w:rFonts w:ascii="Arial" w:hAnsi="Arial" w:cs="Arial"/>
        </w:rPr>
      </w:pPr>
      <w:r w:rsidRPr="00024BB0">
        <w:rPr>
          <w:rFonts w:ascii="Arial" w:hAnsi="Arial" w:cs="Arial"/>
        </w:rPr>
        <w:t> </w:t>
      </w:r>
    </w:p>
    <w:p w14:paraId="013C230F" w14:textId="0B44671C" w:rsidR="007575B8" w:rsidRPr="00024BB0" w:rsidRDefault="00B53850" w:rsidP="00024BB0">
      <w:pPr>
        <w:rPr>
          <w:rFonts w:ascii="Arial" w:hAnsi="Arial" w:cs="Arial"/>
        </w:rPr>
      </w:pPr>
      <w:r>
        <w:rPr>
          <w:rFonts w:ascii="Arial" w:hAnsi="Arial" w:cs="Arial"/>
        </w:rPr>
        <w:t>Date</w:t>
      </w:r>
      <w:bookmarkStart w:id="5" w:name="_GoBack"/>
      <w:bookmarkEnd w:id="5"/>
      <w:r>
        <w:rPr>
          <w:rFonts w:ascii="Arial" w:hAnsi="Arial" w:cs="Arial"/>
        </w:rPr>
        <w:t>: 17.08.2026</w:t>
      </w:r>
    </w:p>
    <w:p w14:paraId="7B19B6F6" w14:textId="77777777" w:rsidR="007575B8" w:rsidRPr="00024BB0" w:rsidRDefault="004D78AD" w:rsidP="00024BB0">
      <w:pPr>
        <w:rPr>
          <w:rFonts w:ascii="Arial" w:hAnsi="Arial" w:cs="Arial"/>
        </w:rPr>
      </w:pPr>
      <w:r w:rsidRPr="00024BB0">
        <w:rPr>
          <w:rFonts w:ascii="Arial" w:hAnsi="Arial" w:cs="Arial"/>
        </w:rPr>
        <w:br w:type="page"/>
      </w:r>
    </w:p>
    <w:p w14:paraId="248CE445" w14:textId="77777777" w:rsidR="007575B8" w:rsidRPr="00024BB0" w:rsidRDefault="004D78AD" w:rsidP="00024BB0">
      <w:pPr>
        <w:jc w:val="center"/>
        <w:rPr>
          <w:rFonts w:ascii="Arial" w:hAnsi="Arial" w:cs="Arial"/>
          <w:b/>
          <w:bCs/>
        </w:rPr>
      </w:pPr>
      <w:r w:rsidRPr="00024BB0">
        <w:rPr>
          <w:rFonts w:ascii="Arial" w:hAnsi="Arial" w:cs="Arial"/>
          <w:b/>
          <w:bCs/>
        </w:rPr>
        <w:lastRenderedPageBreak/>
        <w:t>ACKNOWLEDGEMENT</w:t>
      </w:r>
    </w:p>
    <w:p w14:paraId="4C1DF578" w14:textId="77777777" w:rsidR="007575B8" w:rsidRPr="00024BB0" w:rsidRDefault="007575B8" w:rsidP="00024BB0">
      <w:pPr>
        <w:jc w:val="center"/>
        <w:rPr>
          <w:rFonts w:ascii="Arial" w:hAnsi="Arial" w:cs="Arial"/>
          <w:b/>
          <w:bCs/>
        </w:rPr>
      </w:pPr>
    </w:p>
    <w:p w14:paraId="345EE498" w14:textId="77777777" w:rsidR="007575B8" w:rsidRPr="00024BB0" w:rsidRDefault="004D78AD" w:rsidP="00024BB0">
      <w:pPr>
        <w:rPr>
          <w:rFonts w:ascii="Arial" w:hAnsi="Arial" w:cs="Arial"/>
        </w:rPr>
      </w:pPr>
      <w:r w:rsidRPr="00024BB0">
        <w:rPr>
          <w:rFonts w:ascii="Arial" w:hAnsi="Arial" w:cs="Arial"/>
        </w:rPr>
        <w:t>I would like to thank everybody who helped with this dissertation during its completion. First of all, I am grateful to my supervisor for guiding and giving me constructive comments, and always encouraging me throughout this research. Their experience and valuable insights played an important part in the completion of this study.</w:t>
      </w:r>
    </w:p>
    <w:p w14:paraId="3774798E" w14:textId="77777777" w:rsidR="007575B8" w:rsidRPr="00024BB0" w:rsidRDefault="004D78AD" w:rsidP="00024BB0">
      <w:pPr>
        <w:rPr>
          <w:rFonts w:ascii="Arial" w:hAnsi="Arial" w:cs="Arial"/>
        </w:rPr>
      </w:pPr>
      <w:r w:rsidRPr="00024BB0">
        <w:rPr>
          <w:rFonts w:ascii="Arial" w:hAnsi="Arial" w:cs="Arial"/>
        </w:rPr>
        <w:t>I would also like to thank the faculty members and staff members of the University for making the academic facilities and environment available for me to carry out this research. I would like to express thanks to my family and friends for their unconditional encouragement, patience and understanding throughout my academic career. I would like to thank their encouragement and inspiration for helping me through problems I had during this dissertation.</w:t>
      </w:r>
    </w:p>
    <w:p w14:paraId="0A680A5D" w14:textId="77777777" w:rsidR="007575B8" w:rsidRPr="00024BB0" w:rsidRDefault="004D78AD" w:rsidP="00024BB0">
      <w:pPr>
        <w:rPr>
          <w:rFonts w:ascii="Arial" w:hAnsi="Arial" w:cs="Arial"/>
        </w:rPr>
      </w:pPr>
      <w:r w:rsidRPr="00024BB0">
        <w:rPr>
          <w:rFonts w:ascii="Arial" w:hAnsi="Arial" w:cs="Arial"/>
        </w:rPr>
        <w:t>Lastly, I would like to extend special thanks to all the authors, researchers, and organisations whose works and reports were published and publicly available that served as a basis for this systematic literature review. Their assistance has been greatly appreciated for its contribution to the quality and depth of this research.</w:t>
      </w:r>
      <w:r w:rsidRPr="00024BB0">
        <w:rPr>
          <w:rFonts w:ascii="Arial" w:hAnsi="Arial" w:cs="Arial"/>
        </w:rPr>
        <w:br w:type="page"/>
      </w:r>
    </w:p>
    <w:p w14:paraId="54625A17" w14:textId="77777777" w:rsidR="007575B8" w:rsidRPr="00024BB0" w:rsidRDefault="004D78AD" w:rsidP="00024BB0">
      <w:pPr>
        <w:jc w:val="center"/>
        <w:rPr>
          <w:rFonts w:ascii="Arial" w:hAnsi="Arial" w:cs="Arial"/>
          <w:b/>
          <w:bCs/>
        </w:rPr>
      </w:pPr>
      <w:r w:rsidRPr="00024BB0">
        <w:rPr>
          <w:rFonts w:ascii="Arial" w:hAnsi="Arial" w:cs="Arial"/>
          <w:b/>
          <w:bCs/>
        </w:rPr>
        <w:lastRenderedPageBreak/>
        <w:t>ABSTRACT</w:t>
      </w:r>
    </w:p>
    <w:p w14:paraId="5C27090F" w14:textId="77777777" w:rsidR="007575B8" w:rsidRPr="00024BB0" w:rsidRDefault="007575B8" w:rsidP="00024BB0">
      <w:pPr>
        <w:jc w:val="center"/>
        <w:rPr>
          <w:rFonts w:ascii="Arial" w:hAnsi="Arial" w:cs="Arial"/>
          <w:b/>
          <w:bCs/>
        </w:rPr>
      </w:pPr>
    </w:p>
    <w:p w14:paraId="60936315" w14:textId="77777777" w:rsidR="007575B8" w:rsidRPr="00024BB0" w:rsidRDefault="004D78AD" w:rsidP="00024BB0">
      <w:pPr>
        <w:rPr>
          <w:rFonts w:ascii="Arial" w:hAnsi="Arial" w:cs="Arial"/>
        </w:rPr>
      </w:pPr>
      <w:r w:rsidRPr="00024BB0">
        <w:rPr>
          <w:rFonts w:ascii="Arial" w:hAnsi="Arial" w:cs="Arial"/>
        </w:rPr>
        <w:t xml:space="preserve">The aviation sector is the latest industry to be faced with growing pressure as it strives to diminish carbon emissions to remain transparent, through Environmental, Social and Governance (ESG) disclosures. This study aims to provide a comprehensive and systematic analysis of the impact of ESG disclosures on carbon emission reduction in the aviation industry in India, with IndiGo as a case study. The focus of the research is the effectiveness of the ESG disclosure frameworks, analysis of IndiGo's ESG reporting, and whether any ESG disclosure commitments align with measurable carbon reduction. The philosophy used in the research was interpretivism. The approach used was inductive and the research design used was qualitative. This is a Systematic Literature Review (SLR) wherein a total of 40 studies have been screened using the PRISMA framework. Thematic analysis was employed to analyse secondary data, which was gathered from suitable journalism articles, industry reports, Sustainability Reports and regulatory publications. </w:t>
      </w:r>
    </w:p>
    <w:p w14:paraId="114D0648" w14:textId="7D6A12C2" w:rsidR="007575B8" w:rsidRPr="00024BB0" w:rsidRDefault="004D78AD" w:rsidP="00024BB0">
      <w:pPr>
        <w:rPr>
          <w:rFonts w:ascii="Arial" w:hAnsi="Arial" w:cs="Arial"/>
        </w:rPr>
      </w:pPr>
      <w:r w:rsidRPr="00024BB0">
        <w:rPr>
          <w:rFonts w:ascii="Arial" w:hAnsi="Arial" w:cs="Arial"/>
        </w:rPr>
        <w:t xml:space="preserve">The results indicate that although the disclosure of environmental, social and governance impact does help to foster transparency and meaningful engagement with stakeholders, gaps between companies' performance and the content voluntarily disclosed remain relatively large. Also, information presented in these disclosures is not necessarily standardised, sustainability claims are not always verified and the risk of ‘greenwashing' exists. The research also highlights problems with the measurement of ESG performance and carbon reductions in the aviation industry. On the basis of the results, a strategic approach to consolidate the ESG reporting work, to advance the sustainability compliance process, to measure the carbon reduction process visibly more and more effectively and to achieve this outcome through sustainable aviation fuel and independent assurance is proposed. The study adds to the body of work on sustainable aviation and offers India's aviation industry and policy </w:t>
      </w:r>
      <w:r w:rsidR="00936EA4" w:rsidRPr="00024BB0">
        <w:rPr>
          <w:rFonts w:ascii="Arial" w:hAnsi="Arial" w:cs="Arial"/>
        </w:rPr>
        <w:t>maker’s</w:t>
      </w:r>
      <w:r w:rsidRPr="00024BB0">
        <w:rPr>
          <w:rFonts w:ascii="Arial" w:hAnsi="Arial" w:cs="Arial"/>
        </w:rPr>
        <w:t xml:space="preserve"> actional suggestions for enhancing the credibility of ESGs and promoting long-term environmental sustainability.</w:t>
      </w:r>
    </w:p>
    <w:p w14:paraId="52F6AFFA" w14:textId="77777777" w:rsidR="007575B8" w:rsidRPr="00024BB0" w:rsidRDefault="007575B8" w:rsidP="00024BB0">
      <w:pPr>
        <w:rPr>
          <w:rFonts w:ascii="Arial" w:hAnsi="Arial" w:cs="Arial"/>
        </w:rPr>
      </w:pPr>
    </w:p>
    <w:p w14:paraId="5CC9F005" w14:textId="77777777" w:rsidR="007575B8" w:rsidRPr="00024BB0" w:rsidRDefault="004D78AD" w:rsidP="00024BB0">
      <w:pPr>
        <w:rPr>
          <w:rFonts w:ascii="Arial" w:hAnsi="Arial" w:cs="Arial"/>
        </w:rPr>
      </w:pPr>
      <w:r w:rsidRPr="000D1EE7">
        <w:rPr>
          <w:rFonts w:ascii="Arial" w:hAnsi="Arial" w:cs="Arial"/>
          <w:b/>
          <w:bCs/>
          <w:iCs/>
        </w:rPr>
        <w:t>Keywords:</w:t>
      </w:r>
      <w:r w:rsidRPr="00024BB0">
        <w:rPr>
          <w:rFonts w:ascii="Arial" w:hAnsi="Arial" w:cs="Arial"/>
        </w:rPr>
        <w:t xml:space="preserve"> </w:t>
      </w:r>
      <w:r w:rsidRPr="000D1EE7">
        <w:rPr>
          <w:rFonts w:ascii="Arial" w:hAnsi="Arial" w:cs="Arial"/>
          <w:iCs/>
        </w:rPr>
        <w:t>Environmental, Social and Governance (ESG) Disclosure; Carbon</w:t>
      </w:r>
      <w:r w:rsidRPr="00024BB0">
        <w:rPr>
          <w:rFonts w:ascii="Arial" w:hAnsi="Arial" w:cs="Arial"/>
          <w:i/>
          <w:iCs/>
        </w:rPr>
        <w:t xml:space="preserve"> </w:t>
      </w:r>
      <w:r w:rsidRPr="000D1EE7">
        <w:rPr>
          <w:rFonts w:ascii="Arial" w:hAnsi="Arial" w:cs="Arial"/>
          <w:iCs/>
        </w:rPr>
        <w:t>Reduction; Indian Aviation Industry; IndiGo; Sustainability Reporting</w:t>
      </w:r>
      <w:r w:rsidRPr="00024BB0">
        <w:rPr>
          <w:rFonts w:ascii="Arial" w:hAnsi="Arial" w:cs="Arial"/>
          <w:i/>
          <w:iCs/>
        </w:rPr>
        <w:t xml:space="preserve">; </w:t>
      </w:r>
      <w:r w:rsidRPr="000D1EE7">
        <w:rPr>
          <w:rFonts w:ascii="Arial" w:hAnsi="Arial" w:cs="Arial"/>
          <w:iCs/>
        </w:rPr>
        <w:t>Greenwashing</w:t>
      </w:r>
      <w:r w:rsidRPr="00024BB0">
        <w:rPr>
          <w:rFonts w:ascii="Arial" w:hAnsi="Arial" w:cs="Arial"/>
        </w:rPr>
        <w:br w:type="page"/>
      </w:r>
    </w:p>
    <w:p w14:paraId="78E55186" w14:textId="030E5484" w:rsidR="007575B8" w:rsidRPr="00024BB0" w:rsidRDefault="002920D5" w:rsidP="00024BB0">
      <w:pPr>
        <w:keepNext/>
        <w:keepLines/>
        <w:pBdr>
          <w:top w:val="nil"/>
          <w:left w:val="nil"/>
          <w:bottom w:val="nil"/>
          <w:right w:val="nil"/>
          <w:between w:val="nil"/>
        </w:pBdr>
        <w:spacing w:before="240"/>
        <w:jc w:val="center"/>
        <w:rPr>
          <w:rFonts w:ascii="Arial" w:hAnsi="Arial" w:cs="Arial"/>
          <w:b/>
          <w:bCs/>
          <w:color w:val="000000"/>
        </w:rPr>
      </w:pPr>
      <w:r w:rsidRPr="00024BB0">
        <w:rPr>
          <w:rFonts w:ascii="Arial" w:hAnsi="Arial" w:cs="Arial"/>
          <w:b/>
          <w:bCs/>
          <w:color w:val="000000"/>
        </w:rPr>
        <w:lastRenderedPageBreak/>
        <w:t>TABLE OF CONTENTS</w:t>
      </w:r>
    </w:p>
    <w:sdt>
      <w:sdtPr>
        <w:rPr>
          <w:rFonts w:ascii="Arial" w:eastAsia="Times New Roman" w:hAnsi="Arial" w:cs="Arial"/>
          <w:color w:val="auto"/>
          <w:sz w:val="24"/>
          <w:szCs w:val="24"/>
          <w:lang w:val="en-IN" w:eastAsia="en-IN"/>
        </w:rPr>
        <w:id w:val="-1202163561"/>
        <w:docPartObj>
          <w:docPartGallery w:val="Table of Contents"/>
          <w:docPartUnique/>
        </w:docPartObj>
      </w:sdtPr>
      <w:sdtEndPr>
        <w:rPr>
          <w:b/>
          <w:bCs/>
          <w:noProof/>
        </w:rPr>
      </w:sdtEndPr>
      <w:sdtContent>
        <w:p w14:paraId="1936DCDD" w14:textId="510873AD" w:rsidR="003A3064" w:rsidRPr="00024BB0" w:rsidRDefault="003A3064" w:rsidP="00024BB0">
          <w:pPr>
            <w:pStyle w:val="TOCHeading"/>
            <w:spacing w:line="360" w:lineRule="auto"/>
            <w:rPr>
              <w:rFonts w:ascii="Arial" w:hAnsi="Arial" w:cs="Arial"/>
            </w:rPr>
          </w:pPr>
        </w:p>
        <w:p w14:paraId="79E93EEF" w14:textId="1CFB2311" w:rsidR="002920D5" w:rsidRPr="00024BB0" w:rsidRDefault="003A3064" w:rsidP="00024BB0">
          <w:pPr>
            <w:pStyle w:val="TOC1"/>
            <w:tabs>
              <w:tab w:val="right" w:leader="dot" w:pos="9016"/>
            </w:tabs>
            <w:rPr>
              <w:rFonts w:ascii="Arial" w:eastAsiaTheme="minorEastAsia" w:hAnsi="Arial" w:cs="Arial"/>
              <w:noProof/>
              <w:sz w:val="22"/>
              <w:szCs w:val="22"/>
            </w:rPr>
          </w:pPr>
          <w:r w:rsidRPr="00024BB0">
            <w:rPr>
              <w:rFonts w:ascii="Arial" w:hAnsi="Arial" w:cs="Arial"/>
            </w:rPr>
            <w:fldChar w:fldCharType="begin"/>
          </w:r>
          <w:r w:rsidRPr="00024BB0">
            <w:rPr>
              <w:rFonts w:ascii="Arial" w:hAnsi="Arial" w:cs="Arial"/>
            </w:rPr>
            <w:instrText xml:space="preserve"> TOC \o "1-3" \h \z \u </w:instrText>
          </w:r>
          <w:r w:rsidRPr="00024BB0">
            <w:rPr>
              <w:rFonts w:ascii="Arial" w:hAnsi="Arial" w:cs="Arial"/>
            </w:rPr>
            <w:fldChar w:fldCharType="separate"/>
          </w:r>
          <w:hyperlink w:anchor="_Toc235889283" w:history="1">
            <w:r w:rsidR="002920D5" w:rsidRPr="00024BB0">
              <w:rPr>
                <w:rStyle w:val="Hyperlink"/>
                <w:rFonts w:ascii="Arial" w:hAnsi="Arial" w:cs="Arial"/>
                <w:noProof/>
              </w:rPr>
              <w:t>CHAPTER 1: INTRODUCTION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11</w:t>
            </w:r>
            <w:r w:rsidR="002920D5" w:rsidRPr="00024BB0">
              <w:rPr>
                <w:rFonts w:ascii="Arial" w:hAnsi="Arial" w:cs="Arial"/>
                <w:noProof/>
                <w:webHidden/>
              </w:rPr>
              <w:fldChar w:fldCharType="end"/>
            </w:r>
          </w:hyperlink>
        </w:p>
        <w:p w14:paraId="042058FB" w14:textId="608C3025" w:rsidR="002920D5" w:rsidRPr="00024BB0" w:rsidRDefault="00697E31" w:rsidP="00024BB0">
          <w:pPr>
            <w:pStyle w:val="TOC2"/>
            <w:tabs>
              <w:tab w:val="left" w:pos="960"/>
              <w:tab w:val="right" w:leader="dot" w:pos="9016"/>
            </w:tabs>
            <w:rPr>
              <w:rFonts w:ascii="Arial" w:eastAsiaTheme="minorEastAsia" w:hAnsi="Arial" w:cs="Arial"/>
              <w:noProof/>
              <w:sz w:val="22"/>
              <w:szCs w:val="22"/>
            </w:rPr>
          </w:pPr>
          <w:hyperlink w:anchor="_Toc235889284" w:history="1">
            <w:r w:rsidR="002920D5" w:rsidRPr="00024BB0">
              <w:rPr>
                <w:rStyle w:val="Hyperlink"/>
                <w:rFonts w:ascii="Arial" w:hAnsi="Arial" w:cs="Arial"/>
                <w:noProof/>
              </w:rPr>
              <w:t>1.1</w:t>
            </w:r>
            <w:r w:rsidR="002920D5" w:rsidRPr="00024BB0">
              <w:rPr>
                <w:rFonts w:ascii="Arial" w:eastAsiaTheme="minorEastAsia" w:hAnsi="Arial" w:cs="Arial"/>
                <w:noProof/>
                <w:sz w:val="22"/>
                <w:szCs w:val="22"/>
              </w:rPr>
              <w:tab/>
            </w:r>
            <w:r w:rsidR="002920D5" w:rsidRPr="00024BB0">
              <w:rPr>
                <w:rStyle w:val="Hyperlink"/>
                <w:rFonts w:ascii="Arial" w:hAnsi="Arial" w:cs="Arial"/>
                <w:noProof/>
              </w:rPr>
              <w:t>Background &amp; Problem Statement</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11</w:t>
            </w:r>
            <w:r w:rsidR="002920D5" w:rsidRPr="00024BB0">
              <w:rPr>
                <w:rFonts w:ascii="Arial" w:hAnsi="Arial" w:cs="Arial"/>
                <w:noProof/>
                <w:webHidden/>
              </w:rPr>
              <w:fldChar w:fldCharType="end"/>
            </w:r>
          </w:hyperlink>
        </w:p>
        <w:p w14:paraId="680235ED" w14:textId="13E89FC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85" w:history="1">
            <w:r w:rsidR="002920D5" w:rsidRPr="00024BB0">
              <w:rPr>
                <w:rStyle w:val="Hyperlink"/>
                <w:rFonts w:ascii="Arial" w:hAnsi="Arial" w:cs="Arial"/>
                <w:noProof/>
              </w:rPr>
              <w:t>1.2 Research Aim</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12</w:t>
            </w:r>
            <w:r w:rsidR="002920D5" w:rsidRPr="00024BB0">
              <w:rPr>
                <w:rFonts w:ascii="Arial" w:hAnsi="Arial" w:cs="Arial"/>
                <w:noProof/>
                <w:webHidden/>
              </w:rPr>
              <w:fldChar w:fldCharType="end"/>
            </w:r>
          </w:hyperlink>
        </w:p>
        <w:p w14:paraId="37DBAD66" w14:textId="16F00C4D"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86" w:history="1">
            <w:r w:rsidR="002920D5" w:rsidRPr="00024BB0">
              <w:rPr>
                <w:rStyle w:val="Hyperlink"/>
                <w:rFonts w:ascii="Arial" w:hAnsi="Arial" w:cs="Arial"/>
                <w:noProof/>
              </w:rPr>
              <w:t>1.3 Research Objectives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12</w:t>
            </w:r>
            <w:r w:rsidR="002920D5" w:rsidRPr="00024BB0">
              <w:rPr>
                <w:rFonts w:ascii="Arial" w:hAnsi="Arial" w:cs="Arial"/>
                <w:noProof/>
                <w:webHidden/>
              </w:rPr>
              <w:fldChar w:fldCharType="end"/>
            </w:r>
          </w:hyperlink>
        </w:p>
        <w:p w14:paraId="0197F5E7" w14:textId="6DB3C60C"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87" w:history="1">
            <w:r w:rsidR="002920D5" w:rsidRPr="00024BB0">
              <w:rPr>
                <w:rStyle w:val="Hyperlink"/>
                <w:rFonts w:ascii="Arial" w:hAnsi="Arial" w:cs="Arial"/>
                <w:noProof/>
              </w:rPr>
              <w:t>1.4 Research Questions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12</w:t>
            </w:r>
            <w:r w:rsidR="002920D5" w:rsidRPr="00024BB0">
              <w:rPr>
                <w:rFonts w:ascii="Arial" w:hAnsi="Arial" w:cs="Arial"/>
                <w:noProof/>
                <w:webHidden/>
              </w:rPr>
              <w:fldChar w:fldCharType="end"/>
            </w:r>
          </w:hyperlink>
        </w:p>
        <w:p w14:paraId="3DC15C36" w14:textId="767F2285"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88" w:history="1">
            <w:r w:rsidR="002920D5" w:rsidRPr="00024BB0">
              <w:rPr>
                <w:rStyle w:val="Hyperlink"/>
                <w:rFonts w:ascii="Arial" w:hAnsi="Arial" w:cs="Arial"/>
                <w:noProof/>
              </w:rPr>
              <w:t>1.5 Significance of the Study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12</w:t>
            </w:r>
            <w:r w:rsidR="002920D5" w:rsidRPr="00024BB0">
              <w:rPr>
                <w:rFonts w:ascii="Arial" w:hAnsi="Arial" w:cs="Arial"/>
                <w:noProof/>
                <w:webHidden/>
              </w:rPr>
              <w:fldChar w:fldCharType="end"/>
            </w:r>
          </w:hyperlink>
        </w:p>
        <w:p w14:paraId="3DFB4D6C" w14:textId="5401B69B"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89" w:history="1">
            <w:r w:rsidR="002920D5" w:rsidRPr="00024BB0">
              <w:rPr>
                <w:rStyle w:val="Hyperlink"/>
                <w:rFonts w:ascii="Arial" w:hAnsi="Arial" w:cs="Arial"/>
                <w:noProof/>
              </w:rPr>
              <w:t>1.6 Brief Research Methodology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_Toc235889289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13</w:t>
            </w:r>
            <w:r w:rsidR="002920D5" w:rsidRPr="00024BB0">
              <w:rPr>
                <w:rFonts w:ascii="Arial" w:hAnsi="Arial" w:cs="Arial"/>
                <w:noProof/>
                <w:webHidden/>
              </w:rPr>
              <w:fldChar w:fldCharType="end"/>
            </w:r>
          </w:hyperlink>
        </w:p>
        <w:p w14:paraId="6CD60A50" w14:textId="74CEB7D2"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90" w:history="1">
            <w:r w:rsidR="002920D5" w:rsidRPr="00024BB0">
              <w:rPr>
                <w:rStyle w:val="Hyperlink"/>
                <w:rFonts w:ascii="Arial" w:hAnsi="Arial" w:cs="Arial"/>
                <w:noProof/>
              </w:rPr>
              <w:t>1.7 Structure of rest of project</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13</w:t>
            </w:r>
            <w:r w:rsidR="002920D5" w:rsidRPr="00024BB0">
              <w:rPr>
                <w:rFonts w:ascii="Arial" w:hAnsi="Arial" w:cs="Arial"/>
                <w:noProof/>
                <w:webHidden/>
              </w:rPr>
              <w:fldChar w:fldCharType="end"/>
            </w:r>
          </w:hyperlink>
        </w:p>
        <w:p w14:paraId="6A569659" w14:textId="14B0132C" w:rsidR="002920D5" w:rsidRPr="00024BB0" w:rsidRDefault="00697E31" w:rsidP="00024BB0">
          <w:pPr>
            <w:pStyle w:val="TOC1"/>
            <w:tabs>
              <w:tab w:val="right" w:leader="dot" w:pos="9016"/>
            </w:tabs>
            <w:rPr>
              <w:rFonts w:ascii="Arial" w:eastAsiaTheme="minorEastAsia" w:hAnsi="Arial" w:cs="Arial"/>
              <w:noProof/>
              <w:sz w:val="22"/>
              <w:szCs w:val="22"/>
            </w:rPr>
          </w:pPr>
          <w:hyperlink w:anchor="_Toc235889291" w:history="1">
            <w:r w:rsidR="002920D5" w:rsidRPr="00024BB0">
              <w:rPr>
                <w:rStyle w:val="Hyperlink"/>
                <w:rFonts w:ascii="Arial" w:hAnsi="Arial" w:cs="Arial"/>
                <w:noProof/>
              </w:rPr>
              <w:t>CHAPTER 2: LITERATURE REVIEW</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15</w:t>
            </w:r>
            <w:r w:rsidR="002920D5" w:rsidRPr="00024BB0">
              <w:rPr>
                <w:rFonts w:ascii="Arial" w:hAnsi="Arial" w:cs="Arial"/>
                <w:noProof/>
                <w:webHidden/>
              </w:rPr>
              <w:fldChar w:fldCharType="end"/>
            </w:r>
          </w:hyperlink>
        </w:p>
        <w:p w14:paraId="16D2B4C5" w14:textId="6301D6E2"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92" w:history="1">
            <w:r w:rsidR="002920D5" w:rsidRPr="00024BB0">
              <w:rPr>
                <w:rStyle w:val="Hyperlink"/>
                <w:rFonts w:ascii="Arial" w:hAnsi="Arial" w:cs="Arial"/>
                <w:noProof/>
              </w:rPr>
              <w:t>2.1 Introduction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15</w:t>
            </w:r>
            <w:r w:rsidR="002920D5" w:rsidRPr="00024BB0">
              <w:rPr>
                <w:rFonts w:ascii="Arial" w:hAnsi="Arial" w:cs="Arial"/>
                <w:noProof/>
                <w:webHidden/>
              </w:rPr>
              <w:fldChar w:fldCharType="end"/>
            </w:r>
          </w:hyperlink>
        </w:p>
        <w:p w14:paraId="2C6D9447" w14:textId="7EE54BA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93" w:history="1">
            <w:r w:rsidR="002920D5" w:rsidRPr="00024BB0">
              <w:rPr>
                <w:rStyle w:val="Hyperlink"/>
                <w:rFonts w:ascii="Arial" w:hAnsi="Arial" w:cs="Arial"/>
                <w:noProof/>
              </w:rPr>
              <w:t>2.2 Research Areas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15</w:t>
            </w:r>
            <w:r w:rsidR="002920D5" w:rsidRPr="00024BB0">
              <w:rPr>
                <w:rFonts w:ascii="Arial" w:hAnsi="Arial" w:cs="Arial"/>
                <w:noProof/>
                <w:webHidden/>
              </w:rPr>
              <w:fldChar w:fldCharType="end"/>
            </w:r>
          </w:hyperlink>
        </w:p>
        <w:p w14:paraId="02DE2FCE" w14:textId="5A63D7F5"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294" w:history="1">
            <w:r w:rsidR="002920D5" w:rsidRPr="00024BB0">
              <w:rPr>
                <w:rStyle w:val="Hyperlink"/>
                <w:rFonts w:ascii="Arial" w:hAnsi="Arial" w:cs="Arial"/>
                <w:noProof/>
              </w:rPr>
              <w:t>2.2.1 Theme 1: Evolution and Frameworks of ESG Disclosure in the Aviation Industry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15</w:t>
            </w:r>
            <w:r w:rsidR="002920D5" w:rsidRPr="00024BB0">
              <w:rPr>
                <w:rFonts w:ascii="Arial" w:hAnsi="Arial" w:cs="Arial"/>
                <w:noProof/>
                <w:webHidden/>
              </w:rPr>
              <w:fldChar w:fldCharType="end"/>
            </w:r>
          </w:hyperlink>
        </w:p>
        <w:p w14:paraId="20DC944E" w14:textId="2C0A878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295" w:history="1">
            <w:r w:rsidR="002920D5" w:rsidRPr="00024BB0">
              <w:rPr>
                <w:rStyle w:val="Hyperlink"/>
                <w:rFonts w:ascii="Arial" w:hAnsi="Arial" w:cs="Arial"/>
                <w:noProof/>
              </w:rPr>
              <w:t>2.2.2 Theme 2: Carbon Reduction Strategies and Decarbonisation in the Airline</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18</w:t>
            </w:r>
            <w:r w:rsidR="002920D5" w:rsidRPr="00024BB0">
              <w:rPr>
                <w:rFonts w:ascii="Arial" w:hAnsi="Arial" w:cs="Arial"/>
                <w:noProof/>
                <w:webHidden/>
              </w:rPr>
              <w:fldChar w:fldCharType="end"/>
            </w:r>
          </w:hyperlink>
        </w:p>
        <w:p w14:paraId="49323D18" w14:textId="30CA9466"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296" w:history="1">
            <w:r w:rsidR="002920D5" w:rsidRPr="00024BB0">
              <w:rPr>
                <w:rStyle w:val="Hyperlink"/>
                <w:rFonts w:ascii="Arial" w:hAnsi="Arial" w:cs="Arial"/>
                <w:noProof/>
              </w:rPr>
              <w:t>2.2.3 Theme 3: ESG Disclosure and Actual Carbon Reduction Performance</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21</w:t>
            </w:r>
            <w:r w:rsidR="002920D5" w:rsidRPr="00024BB0">
              <w:rPr>
                <w:rFonts w:ascii="Arial" w:hAnsi="Arial" w:cs="Arial"/>
                <w:noProof/>
                <w:webHidden/>
              </w:rPr>
              <w:fldChar w:fldCharType="end"/>
            </w:r>
          </w:hyperlink>
        </w:p>
        <w:p w14:paraId="275E9A83" w14:textId="4ACDCDC4"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297" w:history="1">
            <w:r w:rsidR="002920D5" w:rsidRPr="00024BB0">
              <w:rPr>
                <w:rStyle w:val="Hyperlink"/>
                <w:rFonts w:ascii="Arial" w:hAnsi="Arial" w:cs="Arial"/>
                <w:noProof/>
              </w:rPr>
              <w:t>2.2.4 Theme 4: Greenwashing, Legitimacy and Stakeholder Perspectives in Aviation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22</w:t>
            </w:r>
            <w:r w:rsidR="002920D5" w:rsidRPr="00024BB0">
              <w:rPr>
                <w:rFonts w:ascii="Arial" w:hAnsi="Arial" w:cs="Arial"/>
                <w:noProof/>
                <w:webHidden/>
              </w:rPr>
              <w:fldChar w:fldCharType="end"/>
            </w:r>
          </w:hyperlink>
        </w:p>
        <w:p w14:paraId="735A506E" w14:textId="1D3157FD"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298" w:history="1">
            <w:r w:rsidR="002920D5" w:rsidRPr="00024BB0">
              <w:rPr>
                <w:rStyle w:val="Hyperlink"/>
                <w:rFonts w:ascii="Arial" w:hAnsi="Arial" w:cs="Arial"/>
                <w:noProof/>
              </w:rPr>
              <w:t>2.2.5 Theme 5: Regulatory and Governance Drivers of ESG Disclosure and Carbon Reduction in the Aviation Industry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23</w:t>
            </w:r>
            <w:r w:rsidR="002920D5" w:rsidRPr="00024BB0">
              <w:rPr>
                <w:rFonts w:ascii="Arial" w:hAnsi="Arial" w:cs="Arial"/>
                <w:noProof/>
                <w:webHidden/>
              </w:rPr>
              <w:fldChar w:fldCharType="end"/>
            </w:r>
          </w:hyperlink>
        </w:p>
        <w:p w14:paraId="6ACC78AE" w14:textId="4FDCE73A"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299" w:history="1">
            <w:r w:rsidR="002920D5" w:rsidRPr="00024BB0">
              <w:rPr>
                <w:rStyle w:val="Hyperlink"/>
                <w:rFonts w:ascii="Arial" w:hAnsi="Arial" w:cs="Arial"/>
                <w:noProof/>
              </w:rPr>
              <w:t>2.3 Conceptual Framework</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_Toc235889299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25</w:t>
            </w:r>
            <w:r w:rsidR="002920D5" w:rsidRPr="00024BB0">
              <w:rPr>
                <w:rFonts w:ascii="Arial" w:hAnsi="Arial" w:cs="Arial"/>
                <w:noProof/>
                <w:webHidden/>
              </w:rPr>
              <w:fldChar w:fldCharType="end"/>
            </w:r>
          </w:hyperlink>
        </w:p>
        <w:p w14:paraId="413E9AA1" w14:textId="1E61B6DF"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0" w:history="1">
            <w:r w:rsidR="002920D5" w:rsidRPr="00024BB0">
              <w:rPr>
                <w:rStyle w:val="Hyperlink"/>
                <w:rFonts w:ascii="Arial" w:hAnsi="Arial" w:cs="Arial"/>
                <w:noProof/>
              </w:rPr>
              <w:t>2.4 Conclusion of Chapter</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26</w:t>
            </w:r>
            <w:r w:rsidR="002920D5" w:rsidRPr="00024BB0">
              <w:rPr>
                <w:rFonts w:ascii="Arial" w:hAnsi="Arial" w:cs="Arial"/>
                <w:noProof/>
                <w:webHidden/>
              </w:rPr>
              <w:fldChar w:fldCharType="end"/>
            </w:r>
          </w:hyperlink>
        </w:p>
        <w:p w14:paraId="19BEF03A" w14:textId="35BDBB2F" w:rsidR="002920D5" w:rsidRPr="00024BB0" w:rsidRDefault="00697E31" w:rsidP="00024BB0">
          <w:pPr>
            <w:pStyle w:val="TOC1"/>
            <w:tabs>
              <w:tab w:val="right" w:leader="dot" w:pos="9016"/>
            </w:tabs>
            <w:rPr>
              <w:rFonts w:ascii="Arial" w:eastAsiaTheme="minorEastAsia" w:hAnsi="Arial" w:cs="Arial"/>
              <w:noProof/>
              <w:sz w:val="22"/>
              <w:szCs w:val="22"/>
            </w:rPr>
          </w:pPr>
          <w:hyperlink w:anchor="_Toc235889301" w:history="1">
            <w:r w:rsidR="002920D5" w:rsidRPr="00024BB0">
              <w:rPr>
                <w:rStyle w:val="Hyperlink"/>
                <w:rFonts w:ascii="Arial" w:hAnsi="Arial" w:cs="Arial"/>
                <w:noProof/>
              </w:rPr>
              <w:t>CHAPTER 3: SYSTEMATIC REVIEW METHODOLOGY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28</w:t>
            </w:r>
            <w:r w:rsidR="002920D5" w:rsidRPr="00024BB0">
              <w:rPr>
                <w:rFonts w:ascii="Arial" w:hAnsi="Arial" w:cs="Arial"/>
                <w:noProof/>
                <w:webHidden/>
              </w:rPr>
              <w:fldChar w:fldCharType="end"/>
            </w:r>
          </w:hyperlink>
        </w:p>
        <w:p w14:paraId="4D129D76" w14:textId="396EF062"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2" w:history="1">
            <w:r w:rsidR="002920D5" w:rsidRPr="00024BB0">
              <w:rPr>
                <w:rStyle w:val="Hyperlink"/>
                <w:rFonts w:ascii="Arial" w:hAnsi="Arial" w:cs="Arial"/>
                <w:noProof/>
              </w:rPr>
              <w:t>3.1 Introduction to Methodology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28</w:t>
            </w:r>
            <w:r w:rsidR="002920D5" w:rsidRPr="00024BB0">
              <w:rPr>
                <w:rFonts w:ascii="Arial" w:hAnsi="Arial" w:cs="Arial"/>
                <w:noProof/>
                <w:webHidden/>
              </w:rPr>
              <w:fldChar w:fldCharType="end"/>
            </w:r>
          </w:hyperlink>
        </w:p>
        <w:p w14:paraId="5E2FA124" w14:textId="313C707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3" w:history="1">
            <w:r w:rsidR="002920D5" w:rsidRPr="00024BB0">
              <w:rPr>
                <w:rStyle w:val="Hyperlink"/>
                <w:rFonts w:ascii="Arial" w:hAnsi="Arial" w:cs="Arial"/>
                <w:noProof/>
              </w:rPr>
              <w:t>3.2 Study Design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28</w:t>
            </w:r>
            <w:r w:rsidR="002920D5" w:rsidRPr="00024BB0">
              <w:rPr>
                <w:rFonts w:ascii="Arial" w:hAnsi="Arial" w:cs="Arial"/>
                <w:noProof/>
                <w:webHidden/>
              </w:rPr>
              <w:fldChar w:fldCharType="end"/>
            </w:r>
          </w:hyperlink>
        </w:p>
        <w:p w14:paraId="6445C3C8" w14:textId="4D10010F"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4" w:history="1">
            <w:r w:rsidR="002920D5" w:rsidRPr="00024BB0">
              <w:rPr>
                <w:rStyle w:val="Hyperlink"/>
                <w:rFonts w:ascii="Arial" w:hAnsi="Arial" w:cs="Arial"/>
                <w:noProof/>
              </w:rPr>
              <w:t>3.3 Research Philosophy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29</w:t>
            </w:r>
            <w:r w:rsidR="002920D5" w:rsidRPr="00024BB0">
              <w:rPr>
                <w:rFonts w:ascii="Arial" w:hAnsi="Arial" w:cs="Arial"/>
                <w:noProof/>
                <w:webHidden/>
              </w:rPr>
              <w:fldChar w:fldCharType="end"/>
            </w:r>
          </w:hyperlink>
        </w:p>
        <w:p w14:paraId="6374CA76" w14:textId="7E2076B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5" w:history="1">
            <w:r w:rsidR="002920D5" w:rsidRPr="00024BB0">
              <w:rPr>
                <w:rStyle w:val="Hyperlink"/>
                <w:rFonts w:ascii="Arial" w:hAnsi="Arial" w:cs="Arial"/>
                <w:noProof/>
              </w:rPr>
              <w:t>3.4 Research Approach</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30</w:t>
            </w:r>
            <w:r w:rsidR="002920D5" w:rsidRPr="00024BB0">
              <w:rPr>
                <w:rFonts w:ascii="Arial" w:hAnsi="Arial" w:cs="Arial"/>
                <w:noProof/>
                <w:webHidden/>
              </w:rPr>
              <w:fldChar w:fldCharType="end"/>
            </w:r>
          </w:hyperlink>
        </w:p>
        <w:p w14:paraId="128805E9" w14:textId="22AE9D4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06" w:history="1">
            <w:r w:rsidR="002920D5" w:rsidRPr="00024BB0">
              <w:rPr>
                <w:rStyle w:val="Hyperlink"/>
                <w:rFonts w:ascii="Arial" w:hAnsi="Arial" w:cs="Arial"/>
                <w:noProof/>
              </w:rPr>
              <w:t>3.5 Sources of Data</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30</w:t>
            </w:r>
            <w:r w:rsidR="002920D5" w:rsidRPr="00024BB0">
              <w:rPr>
                <w:rFonts w:ascii="Arial" w:hAnsi="Arial" w:cs="Arial"/>
                <w:noProof/>
                <w:webHidden/>
              </w:rPr>
              <w:fldChar w:fldCharType="end"/>
            </w:r>
          </w:hyperlink>
        </w:p>
        <w:p w14:paraId="0757647C" w14:textId="7904F461"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07" w:history="1">
            <w:r w:rsidR="002920D5" w:rsidRPr="00024BB0">
              <w:rPr>
                <w:rStyle w:val="Hyperlink"/>
                <w:rFonts w:ascii="Arial" w:hAnsi="Arial" w:cs="Arial"/>
                <w:noProof/>
              </w:rPr>
              <w:t>3.5.1 Academic Sources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30</w:t>
            </w:r>
            <w:r w:rsidR="002920D5" w:rsidRPr="00024BB0">
              <w:rPr>
                <w:rFonts w:ascii="Arial" w:hAnsi="Arial" w:cs="Arial"/>
                <w:noProof/>
                <w:webHidden/>
              </w:rPr>
              <w:fldChar w:fldCharType="end"/>
            </w:r>
          </w:hyperlink>
        </w:p>
        <w:p w14:paraId="3EB69C4C" w14:textId="276CBEC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08" w:history="1">
            <w:r w:rsidR="002920D5" w:rsidRPr="00024BB0">
              <w:rPr>
                <w:rStyle w:val="Hyperlink"/>
                <w:rFonts w:ascii="Arial" w:hAnsi="Arial" w:cs="Arial"/>
                <w:noProof/>
              </w:rPr>
              <w:t>3.5.2 Industry and Organisational Sources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31</w:t>
            </w:r>
            <w:r w:rsidR="002920D5" w:rsidRPr="00024BB0">
              <w:rPr>
                <w:rFonts w:ascii="Arial" w:hAnsi="Arial" w:cs="Arial"/>
                <w:noProof/>
                <w:webHidden/>
              </w:rPr>
              <w:fldChar w:fldCharType="end"/>
            </w:r>
          </w:hyperlink>
        </w:p>
        <w:p w14:paraId="7E96F2BC" w14:textId="17D4B32A"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09" w:history="1">
            <w:r w:rsidR="002920D5" w:rsidRPr="00024BB0">
              <w:rPr>
                <w:rStyle w:val="Hyperlink"/>
                <w:rFonts w:ascii="Arial" w:hAnsi="Arial" w:cs="Arial"/>
                <w:noProof/>
              </w:rPr>
              <w:t>3.5.3 Source Selection and Quality Assurance</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_Toc235889309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32</w:t>
            </w:r>
            <w:r w:rsidR="002920D5" w:rsidRPr="00024BB0">
              <w:rPr>
                <w:rFonts w:ascii="Arial" w:hAnsi="Arial" w:cs="Arial"/>
                <w:noProof/>
                <w:webHidden/>
              </w:rPr>
              <w:fldChar w:fldCharType="end"/>
            </w:r>
          </w:hyperlink>
        </w:p>
        <w:p w14:paraId="7FEB2269" w14:textId="275734FC"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10" w:history="1">
            <w:r w:rsidR="002920D5" w:rsidRPr="00024BB0">
              <w:rPr>
                <w:rStyle w:val="Hyperlink"/>
                <w:rFonts w:ascii="Arial" w:hAnsi="Arial" w:cs="Arial"/>
                <w:noProof/>
              </w:rPr>
              <w:t>3.6 Research Strategy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32</w:t>
            </w:r>
            <w:r w:rsidR="002920D5" w:rsidRPr="00024BB0">
              <w:rPr>
                <w:rFonts w:ascii="Arial" w:hAnsi="Arial" w:cs="Arial"/>
                <w:noProof/>
                <w:webHidden/>
              </w:rPr>
              <w:fldChar w:fldCharType="end"/>
            </w:r>
          </w:hyperlink>
        </w:p>
        <w:p w14:paraId="7A9409C1" w14:textId="3224DD75"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1" w:history="1">
            <w:r w:rsidR="002920D5" w:rsidRPr="00024BB0">
              <w:rPr>
                <w:rStyle w:val="Hyperlink"/>
                <w:rFonts w:ascii="Arial" w:hAnsi="Arial" w:cs="Arial"/>
                <w:noProof/>
              </w:rPr>
              <w:t>3.6.1 Systematic Literature Review</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32</w:t>
            </w:r>
            <w:r w:rsidR="002920D5" w:rsidRPr="00024BB0">
              <w:rPr>
                <w:rFonts w:ascii="Arial" w:hAnsi="Arial" w:cs="Arial"/>
                <w:noProof/>
                <w:webHidden/>
              </w:rPr>
              <w:fldChar w:fldCharType="end"/>
            </w:r>
          </w:hyperlink>
        </w:p>
        <w:p w14:paraId="1C473BCF" w14:textId="218F49F1"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2" w:history="1">
            <w:r w:rsidR="002920D5" w:rsidRPr="00024BB0">
              <w:rPr>
                <w:rStyle w:val="Hyperlink"/>
                <w:rFonts w:ascii="Arial" w:hAnsi="Arial" w:cs="Arial"/>
                <w:noProof/>
              </w:rPr>
              <w:t>3.6.2 Inclusion and Exclusion Criteria</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33</w:t>
            </w:r>
            <w:r w:rsidR="002920D5" w:rsidRPr="00024BB0">
              <w:rPr>
                <w:rFonts w:ascii="Arial" w:hAnsi="Arial" w:cs="Arial"/>
                <w:noProof/>
                <w:webHidden/>
              </w:rPr>
              <w:fldChar w:fldCharType="end"/>
            </w:r>
          </w:hyperlink>
        </w:p>
        <w:p w14:paraId="73CE3010" w14:textId="20FC0EE2"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3" w:history="1">
            <w:r w:rsidR="002920D5" w:rsidRPr="00024BB0">
              <w:rPr>
                <w:rStyle w:val="Hyperlink"/>
                <w:rFonts w:ascii="Arial" w:hAnsi="Arial" w:cs="Arial"/>
                <w:noProof/>
              </w:rPr>
              <w:t>3.6.3 Search Strategy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33</w:t>
            </w:r>
            <w:r w:rsidR="002920D5" w:rsidRPr="00024BB0">
              <w:rPr>
                <w:rFonts w:ascii="Arial" w:hAnsi="Arial" w:cs="Arial"/>
                <w:noProof/>
                <w:webHidden/>
              </w:rPr>
              <w:fldChar w:fldCharType="end"/>
            </w:r>
          </w:hyperlink>
        </w:p>
        <w:p w14:paraId="4816DB09" w14:textId="6C96DA5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14" w:history="1">
            <w:r w:rsidR="002920D5" w:rsidRPr="00024BB0">
              <w:rPr>
                <w:rStyle w:val="Hyperlink"/>
                <w:rFonts w:ascii="Arial" w:hAnsi="Arial" w:cs="Arial"/>
                <w:noProof/>
              </w:rPr>
              <w:t>3.7 Selection of Studies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34</w:t>
            </w:r>
            <w:r w:rsidR="002920D5" w:rsidRPr="00024BB0">
              <w:rPr>
                <w:rFonts w:ascii="Arial" w:hAnsi="Arial" w:cs="Arial"/>
                <w:noProof/>
                <w:webHidden/>
              </w:rPr>
              <w:fldChar w:fldCharType="end"/>
            </w:r>
          </w:hyperlink>
        </w:p>
        <w:p w14:paraId="2FDDC09C" w14:textId="2930AFC0"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5" w:history="1">
            <w:r w:rsidR="002920D5" w:rsidRPr="00024BB0">
              <w:rPr>
                <w:rStyle w:val="Hyperlink"/>
                <w:rFonts w:ascii="Arial" w:hAnsi="Arial" w:cs="Arial"/>
                <w:noProof/>
              </w:rPr>
              <w:t>3.7.1 Secondary Data Collection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34</w:t>
            </w:r>
            <w:r w:rsidR="002920D5" w:rsidRPr="00024BB0">
              <w:rPr>
                <w:rFonts w:ascii="Arial" w:hAnsi="Arial" w:cs="Arial"/>
                <w:noProof/>
                <w:webHidden/>
              </w:rPr>
              <w:fldChar w:fldCharType="end"/>
            </w:r>
          </w:hyperlink>
        </w:p>
        <w:p w14:paraId="6933006E" w14:textId="0955DB23"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6" w:history="1">
            <w:r w:rsidR="002920D5" w:rsidRPr="00024BB0">
              <w:rPr>
                <w:rStyle w:val="Hyperlink"/>
                <w:rFonts w:ascii="Arial" w:hAnsi="Arial" w:cs="Arial"/>
                <w:noProof/>
              </w:rPr>
              <w:t>3.7.2 Document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34</w:t>
            </w:r>
            <w:r w:rsidR="002920D5" w:rsidRPr="00024BB0">
              <w:rPr>
                <w:rFonts w:ascii="Arial" w:hAnsi="Arial" w:cs="Arial"/>
                <w:noProof/>
                <w:webHidden/>
              </w:rPr>
              <w:fldChar w:fldCharType="end"/>
            </w:r>
          </w:hyperlink>
        </w:p>
        <w:p w14:paraId="64A45B0B" w14:textId="18E319BE"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17" w:history="1">
            <w:r w:rsidR="002920D5" w:rsidRPr="00024BB0">
              <w:rPr>
                <w:rStyle w:val="Hyperlink"/>
                <w:rFonts w:ascii="Arial" w:hAnsi="Arial" w:cs="Arial"/>
                <w:noProof/>
              </w:rPr>
              <w:t>3.8 Selection Criteria using PRISMA</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35</w:t>
            </w:r>
            <w:r w:rsidR="002920D5" w:rsidRPr="00024BB0">
              <w:rPr>
                <w:rFonts w:ascii="Arial" w:hAnsi="Arial" w:cs="Arial"/>
                <w:noProof/>
                <w:webHidden/>
              </w:rPr>
              <w:fldChar w:fldCharType="end"/>
            </w:r>
          </w:hyperlink>
        </w:p>
        <w:p w14:paraId="1045A218" w14:textId="48014DA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18" w:history="1">
            <w:r w:rsidR="002920D5" w:rsidRPr="00024BB0">
              <w:rPr>
                <w:rStyle w:val="Hyperlink"/>
                <w:rFonts w:ascii="Arial" w:hAnsi="Arial" w:cs="Arial"/>
                <w:noProof/>
              </w:rPr>
              <w:t>3.8.1 Thematic Analysis and Coding</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36</w:t>
            </w:r>
            <w:r w:rsidR="002920D5" w:rsidRPr="00024BB0">
              <w:rPr>
                <w:rFonts w:ascii="Arial" w:hAnsi="Arial" w:cs="Arial"/>
                <w:noProof/>
                <w:webHidden/>
              </w:rPr>
              <w:fldChar w:fldCharType="end"/>
            </w:r>
          </w:hyperlink>
        </w:p>
        <w:p w14:paraId="5A68382D" w14:textId="14410EDA"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19" w:history="1">
            <w:r w:rsidR="002920D5" w:rsidRPr="00024BB0">
              <w:rPr>
                <w:rStyle w:val="Hyperlink"/>
                <w:rFonts w:ascii="Arial" w:hAnsi="Arial" w:cs="Arial"/>
                <w:noProof/>
              </w:rPr>
              <w:t>3.9 Ethics Approval</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_Toc235889319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37</w:t>
            </w:r>
            <w:r w:rsidR="002920D5" w:rsidRPr="00024BB0">
              <w:rPr>
                <w:rFonts w:ascii="Arial" w:hAnsi="Arial" w:cs="Arial"/>
                <w:noProof/>
                <w:webHidden/>
              </w:rPr>
              <w:fldChar w:fldCharType="end"/>
            </w:r>
          </w:hyperlink>
        </w:p>
        <w:p w14:paraId="6B3FFECC" w14:textId="164E722F"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20" w:history="1">
            <w:r w:rsidR="002920D5" w:rsidRPr="00024BB0">
              <w:rPr>
                <w:rStyle w:val="Hyperlink"/>
                <w:rFonts w:ascii="Arial" w:hAnsi="Arial" w:cs="Arial"/>
                <w:noProof/>
              </w:rPr>
              <w:t>3.10 Chapter Summary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38</w:t>
            </w:r>
            <w:r w:rsidR="002920D5" w:rsidRPr="00024BB0">
              <w:rPr>
                <w:rFonts w:ascii="Arial" w:hAnsi="Arial" w:cs="Arial"/>
                <w:noProof/>
                <w:webHidden/>
              </w:rPr>
              <w:fldChar w:fldCharType="end"/>
            </w:r>
          </w:hyperlink>
        </w:p>
        <w:p w14:paraId="111EB9E5" w14:textId="040D9A79" w:rsidR="002920D5" w:rsidRPr="00024BB0" w:rsidRDefault="00697E31" w:rsidP="00024BB0">
          <w:pPr>
            <w:pStyle w:val="TOC1"/>
            <w:tabs>
              <w:tab w:val="right" w:leader="dot" w:pos="9016"/>
            </w:tabs>
            <w:rPr>
              <w:rFonts w:ascii="Arial" w:eastAsiaTheme="minorEastAsia" w:hAnsi="Arial" w:cs="Arial"/>
              <w:noProof/>
              <w:sz w:val="22"/>
              <w:szCs w:val="22"/>
            </w:rPr>
          </w:pPr>
          <w:hyperlink w:anchor="_Toc235889321" w:history="1">
            <w:r w:rsidR="002920D5" w:rsidRPr="00024BB0">
              <w:rPr>
                <w:rStyle w:val="Hyperlink"/>
                <w:rFonts w:ascii="Arial" w:hAnsi="Arial" w:cs="Arial"/>
                <w:noProof/>
              </w:rPr>
              <w:t>CHAPTER 4: FINDINGS / RESULTS, ANALYSIS AND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39</w:t>
            </w:r>
            <w:r w:rsidR="002920D5" w:rsidRPr="00024BB0">
              <w:rPr>
                <w:rFonts w:ascii="Arial" w:hAnsi="Arial" w:cs="Arial"/>
                <w:noProof/>
                <w:webHidden/>
              </w:rPr>
              <w:fldChar w:fldCharType="end"/>
            </w:r>
          </w:hyperlink>
        </w:p>
        <w:p w14:paraId="62CE3B50" w14:textId="55BD4F2E"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22" w:history="1">
            <w:r w:rsidR="002920D5" w:rsidRPr="00024BB0">
              <w:rPr>
                <w:rStyle w:val="Hyperlink"/>
                <w:rFonts w:ascii="Arial" w:hAnsi="Arial" w:cs="Arial"/>
                <w:noProof/>
              </w:rPr>
              <w:t>4.1 Introduction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39</w:t>
            </w:r>
            <w:r w:rsidR="002920D5" w:rsidRPr="00024BB0">
              <w:rPr>
                <w:rFonts w:ascii="Arial" w:hAnsi="Arial" w:cs="Arial"/>
                <w:noProof/>
                <w:webHidden/>
              </w:rPr>
              <w:fldChar w:fldCharType="end"/>
            </w:r>
          </w:hyperlink>
        </w:p>
        <w:p w14:paraId="1CC663F3" w14:textId="4C29B15A"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23" w:history="1">
            <w:r w:rsidR="002920D5" w:rsidRPr="00024BB0">
              <w:rPr>
                <w:rStyle w:val="Hyperlink"/>
                <w:rFonts w:ascii="Arial" w:hAnsi="Arial" w:cs="Arial"/>
                <w:noProof/>
              </w:rPr>
              <w:t>4.2 Systematic Literature Review Results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39</w:t>
            </w:r>
            <w:r w:rsidR="002920D5" w:rsidRPr="00024BB0">
              <w:rPr>
                <w:rFonts w:ascii="Arial" w:hAnsi="Arial" w:cs="Arial"/>
                <w:noProof/>
                <w:webHidden/>
              </w:rPr>
              <w:fldChar w:fldCharType="end"/>
            </w:r>
          </w:hyperlink>
        </w:p>
        <w:p w14:paraId="01F52CBC" w14:textId="391C4197"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24" w:history="1">
            <w:r w:rsidR="002920D5" w:rsidRPr="00024BB0">
              <w:rPr>
                <w:rStyle w:val="Hyperlink"/>
                <w:rFonts w:ascii="Arial" w:hAnsi="Arial" w:cs="Arial"/>
                <w:noProof/>
              </w:rPr>
              <w:t>4.2.1 Literature Search and Screening Process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39</w:t>
            </w:r>
            <w:r w:rsidR="002920D5" w:rsidRPr="00024BB0">
              <w:rPr>
                <w:rFonts w:ascii="Arial" w:hAnsi="Arial" w:cs="Arial"/>
                <w:noProof/>
                <w:webHidden/>
              </w:rPr>
              <w:fldChar w:fldCharType="end"/>
            </w:r>
          </w:hyperlink>
        </w:p>
        <w:p w14:paraId="35C1D867" w14:textId="7DFA2561"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25" w:history="1">
            <w:r w:rsidR="002920D5" w:rsidRPr="00024BB0">
              <w:rPr>
                <w:rStyle w:val="Hyperlink"/>
                <w:rFonts w:ascii="Arial" w:hAnsi="Arial" w:cs="Arial"/>
                <w:noProof/>
              </w:rPr>
              <w:t>4.2.2 Characteristics of Included Studies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40</w:t>
            </w:r>
            <w:r w:rsidR="002920D5" w:rsidRPr="00024BB0">
              <w:rPr>
                <w:rFonts w:ascii="Arial" w:hAnsi="Arial" w:cs="Arial"/>
                <w:noProof/>
                <w:webHidden/>
              </w:rPr>
              <w:fldChar w:fldCharType="end"/>
            </w:r>
          </w:hyperlink>
        </w:p>
        <w:p w14:paraId="6897B26C" w14:textId="6902170F"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26" w:history="1">
            <w:r w:rsidR="002920D5" w:rsidRPr="00024BB0">
              <w:rPr>
                <w:rStyle w:val="Hyperlink"/>
                <w:rFonts w:ascii="Arial" w:hAnsi="Arial" w:cs="Arial"/>
                <w:noProof/>
              </w:rPr>
              <w:t>4.3 Theme 1: ESG Disclosure Frameworks and Reporting Practices in Aviation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40</w:t>
            </w:r>
            <w:r w:rsidR="002920D5" w:rsidRPr="00024BB0">
              <w:rPr>
                <w:rFonts w:ascii="Arial" w:hAnsi="Arial" w:cs="Arial"/>
                <w:noProof/>
                <w:webHidden/>
              </w:rPr>
              <w:fldChar w:fldCharType="end"/>
            </w:r>
          </w:hyperlink>
        </w:p>
        <w:p w14:paraId="1EA4C343" w14:textId="48B9581A"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27" w:history="1">
            <w:r w:rsidR="002920D5" w:rsidRPr="00024BB0">
              <w:rPr>
                <w:rStyle w:val="Hyperlink"/>
                <w:rFonts w:ascii="Arial" w:hAnsi="Arial" w:cs="Arial"/>
                <w:noProof/>
              </w:rPr>
              <w:t>4.3.1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40</w:t>
            </w:r>
            <w:r w:rsidR="002920D5" w:rsidRPr="00024BB0">
              <w:rPr>
                <w:rFonts w:ascii="Arial" w:hAnsi="Arial" w:cs="Arial"/>
                <w:noProof/>
                <w:webHidden/>
              </w:rPr>
              <w:fldChar w:fldCharType="end"/>
            </w:r>
          </w:hyperlink>
        </w:p>
        <w:p w14:paraId="31E395A4" w14:textId="16CBC885"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28" w:history="1">
            <w:r w:rsidR="002920D5" w:rsidRPr="00024BB0">
              <w:rPr>
                <w:rStyle w:val="Hyperlink"/>
                <w:rFonts w:ascii="Arial" w:hAnsi="Arial" w:cs="Arial"/>
                <w:noProof/>
              </w:rPr>
              <w:t>4.3.2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43</w:t>
            </w:r>
            <w:r w:rsidR="002920D5" w:rsidRPr="00024BB0">
              <w:rPr>
                <w:rFonts w:ascii="Arial" w:hAnsi="Arial" w:cs="Arial"/>
                <w:noProof/>
                <w:webHidden/>
              </w:rPr>
              <w:fldChar w:fldCharType="end"/>
            </w:r>
          </w:hyperlink>
        </w:p>
        <w:p w14:paraId="02F0862E" w14:textId="2EF91A84"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29" w:history="1">
            <w:r w:rsidR="002920D5" w:rsidRPr="00024BB0">
              <w:rPr>
                <w:rStyle w:val="Hyperlink"/>
                <w:rFonts w:ascii="Arial" w:hAnsi="Arial" w:cs="Arial"/>
                <w:noProof/>
              </w:rPr>
              <w:t>4.3.3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_Toc235889329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43</w:t>
            </w:r>
            <w:r w:rsidR="002920D5" w:rsidRPr="00024BB0">
              <w:rPr>
                <w:rFonts w:ascii="Arial" w:hAnsi="Arial" w:cs="Arial"/>
                <w:noProof/>
                <w:webHidden/>
              </w:rPr>
              <w:fldChar w:fldCharType="end"/>
            </w:r>
          </w:hyperlink>
        </w:p>
        <w:p w14:paraId="60583EC4" w14:textId="1F054D23"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30" w:history="1">
            <w:r w:rsidR="002920D5" w:rsidRPr="00024BB0">
              <w:rPr>
                <w:rStyle w:val="Hyperlink"/>
                <w:rFonts w:ascii="Arial" w:hAnsi="Arial" w:cs="Arial"/>
                <w:noProof/>
              </w:rPr>
              <w:t>4.4 Theme 2: Operational Carbon Reduction Strategies Improve Environmental Performance but Require Strong ESG Governance</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44</w:t>
            </w:r>
            <w:r w:rsidR="002920D5" w:rsidRPr="00024BB0">
              <w:rPr>
                <w:rFonts w:ascii="Arial" w:hAnsi="Arial" w:cs="Arial"/>
                <w:noProof/>
                <w:webHidden/>
              </w:rPr>
              <w:fldChar w:fldCharType="end"/>
            </w:r>
          </w:hyperlink>
        </w:p>
        <w:p w14:paraId="346CDDEA" w14:textId="187AFD3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1" w:history="1">
            <w:r w:rsidR="002920D5" w:rsidRPr="00024BB0">
              <w:rPr>
                <w:rStyle w:val="Hyperlink"/>
                <w:rFonts w:ascii="Arial" w:hAnsi="Arial" w:cs="Arial"/>
                <w:noProof/>
              </w:rPr>
              <w:t>4.4.1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44</w:t>
            </w:r>
            <w:r w:rsidR="002920D5" w:rsidRPr="00024BB0">
              <w:rPr>
                <w:rFonts w:ascii="Arial" w:hAnsi="Arial" w:cs="Arial"/>
                <w:noProof/>
                <w:webHidden/>
              </w:rPr>
              <w:fldChar w:fldCharType="end"/>
            </w:r>
          </w:hyperlink>
        </w:p>
        <w:p w14:paraId="4F8A3C63" w14:textId="1EEF4E8D"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2" w:history="1">
            <w:r w:rsidR="002920D5" w:rsidRPr="00024BB0">
              <w:rPr>
                <w:rStyle w:val="Hyperlink"/>
                <w:rFonts w:ascii="Arial" w:hAnsi="Arial" w:cs="Arial"/>
                <w:noProof/>
              </w:rPr>
              <w:t>4.4.2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46</w:t>
            </w:r>
            <w:r w:rsidR="002920D5" w:rsidRPr="00024BB0">
              <w:rPr>
                <w:rFonts w:ascii="Arial" w:hAnsi="Arial" w:cs="Arial"/>
                <w:noProof/>
                <w:webHidden/>
              </w:rPr>
              <w:fldChar w:fldCharType="end"/>
            </w:r>
          </w:hyperlink>
        </w:p>
        <w:p w14:paraId="053B8EC4" w14:textId="73694C7F"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3" w:history="1">
            <w:r w:rsidR="002920D5" w:rsidRPr="00024BB0">
              <w:rPr>
                <w:rStyle w:val="Hyperlink"/>
                <w:rFonts w:ascii="Arial" w:hAnsi="Arial" w:cs="Arial"/>
                <w:noProof/>
              </w:rPr>
              <w:t>4.4.3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47</w:t>
            </w:r>
            <w:r w:rsidR="002920D5" w:rsidRPr="00024BB0">
              <w:rPr>
                <w:rFonts w:ascii="Arial" w:hAnsi="Arial" w:cs="Arial"/>
                <w:noProof/>
                <w:webHidden/>
              </w:rPr>
              <w:fldChar w:fldCharType="end"/>
            </w:r>
          </w:hyperlink>
        </w:p>
        <w:p w14:paraId="58E09ECA" w14:textId="7FF4AF39"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34" w:history="1">
            <w:r w:rsidR="002920D5" w:rsidRPr="00024BB0">
              <w:rPr>
                <w:rStyle w:val="Hyperlink"/>
                <w:rFonts w:ascii="Arial" w:hAnsi="Arial" w:cs="Arial"/>
                <w:noProof/>
              </w:rPr>
              <w:t>4.5 Theme 3: ESG Disclosure Enhances Transparency but Does Not Always Deliver Measurable Carbon Reduction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48</w:t>
            </w:r>
            <w:r w:rsidR="002920D5" w:rsidRPr="00024BB0">
              <w:rPr>
                <w:rFonts w:ascii="Arial" w:hAnsi="Arial" w:cs="Arial"/>
                <w:noProof/>
                <w:webHidden/>
              </w:rPr>
              <w:fldChar w:fldCharType="end"/>
            </w:r>
          </w:hyperlink>
        </w:p>
        <w:p w14:paraId="3C387DF4" w14:textId="719BE13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5" w:history="1">
            <w:r w:rsidR="002920D5" w:rsidRPr="00024BB0">
              <w:rPr>
                <w:rStyle w:val="Hyperlink"/>
                <w:rFonts w:ascii="Arial" w:hAnsi="Arial" w:cs="Arial"/>
                <w:noProof/>
              </w:rPr>
              <w:t>4.5.1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48</w:t>
            </w:r>
            <w:r w:rsidR="002920D5" w:rsidRPr="00024BB0">
              <w:rPr>
                <w:rFonts w:ascii="Arial" w:hAnsi="Arial" w:cs="Arial"/>
                <w:noProof/>
                <w:webHidden/>
              </w:rPr>
              <w:fldChar w:fldCharType="end"/>
            </w:r>
          </w:hyperlink>
        </w:p>
        <w:p w14:paraId="5E44D9EC" w14:textId="02AA87C2"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6" w:history="1">
            <w:r w:rsidR="002920D5" w:rsidRPr="00024BB0">
              <w:rPr>
                <w:rStyle w:val="Hyperlink"/>
                <w:rFonts w:ascii="Arial" w:hAnsi="Arial" w:cs="Arial"/>
                <w:noProof/>
              </w:rPr>
              <w:t>4.5.2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50</w:t>
            </w:r>
            <w:r w:rsidR="002920D5" w:rsidRPr="00024BB0">
              <w:rPr>
                <w:rFonts w:ascii="Arial" w:hAnsi="Arial" w:cs="Arial"/>
                <w:noProof/>
                <w:webHidden/>
              </w:rPr>
              <w:fldChar w:fldCharType="end"/>
            </w:r>
          </w:hyperlink>
        </w:p>
        <w:p w14:paraId="12691C3D" w14:textId="6A6F5EB9"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7" w:history="1">
            <w:r w:rsidR="002920D5" w:rsidRPr="00024BB0">
              <w:rPr>
                <w:rStyle w:val="Hyperlink"/>
                <w:rFonts w:ascii="Arial" w:hAnsi="Arial" w:cs="Arial"/>
                <w:noProof/>
              </w:rPr>
              <w:t>4.5.3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51</w:t>
            </w:r>
            <w:r w:rsidR="002920D5" w:rsidRPr="00024BB0">
              <w:rPr>
                <w:rFonts w:ascii="Arial" w:hAnsi="Arial" w:cs="Arial"/>
                <w:noProof/>
                <w:webHidden/>
              </w:rPr>
              <w:fldChar w:fldCharType="end"/>
            </w:r>
          </w:hyperlink>
        </w:p>
        <w:p w14:paraId="656CFA0B" w14:textId="3B613EBD"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38" w:history="1">
            <w:r w:rsidR="002920D5" w:rsidRPr="00024BB0">
              <w:rPr>
                <w:rStyle w:val="Hyperlink"/>
                <w:rFonts w:ascii="Arial" w:hAnsi="Arial" w:cs="Arial"/>
                <w:noProof/>
              </w:rPr>
              <w:t>4.6 Theme 4: Greenwashing Risks and Disclosure-Performance Gap</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51</w:t>
            </w:r>
            <w:r w:rsidR="002920D5" w:rsidRPr="00024BB0">
              <w:rPr>
                <w:rFonts w:ascii="Arial" w:hAnsi="Arial" w:cs="Arial"/>
                <w:noProof/>
                <w:webHidden/>
              </w:rPr>
              <w:fldChar w:fldCharType="end"/>
            </w:r>
          </w:hyperlink>
        </w:p>
        <w:p w14:paraId="20C16671" w14:textId="4D27B911"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39" w:history="1">
            <w:r w:rsidR="002920D5" w:rsidRPr="00024BB0">
              <w:rPr>
                <w:rStyle w:val="Hyperlink"/>
                <w:rFonts w:ascii="Arial" w:hAnsi="Arial" w:cs="Arial"/>
                <w:noProof/>
              </w:rPr>
              <w:t>4.6.1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_Toc235889339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51</w:t>
            </w:r>
            <w:r w:rsidR="002920D5" w:rsidRPr="00024BB0">
              <w:rPr>
                <w:rFonts w:ascii="Arial" w:hAnsi="Arial" w:cs="Arial"/>
                <w:noProof/>
                <w:webHidden/>
              </w:rPr>
              <w:fldChar w:fldCharType="end"/>
            </w:r>
          </w:hyperlink>
        </w:p>
        <w:p w14:paraId="3683CCDA" w14:textId="361F60C8"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40" w:history="1">
            <w:r w:rsidR="002920D5" w:rsidRPr="00024BB0">
              <w:rPr>
                <w:rStyle w:val="Hyperlink"/>
                <w:rFonts w:ascii="Arial" w:hAnsi="Arial" w:cs="Arial"/>
                <w:noProof/>
              </w:rPr>
              <w:t>4.6.2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54</w:t>
            </w:r>
            <w:r w:rsidR="002920D5" w:rsidRPr="00024BB0">
              <w:rPr>
                <w:rFonts w:ascii="Arial" w:hAnsi="Arial" w:cs="Arial"/>
                <w:noProof/>
                <w:webHidden/>
              </w:rPr>
              <w:fldChar w:fldCharType="end"/>
            </w:r>
          </w:hyperlink>
        </w:p>
        <w:p w14:paraId="79568BD4" w14:textId="12DFA466"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41" w:history="1">
            <w:r w:rsidR="002920D5" w:rsidRPr="00024BB0">
              <w:rPr>
                <w:rStyle w:val="Hyperlink"/>
                <w:rFonts w:ascii="Arial" w:hAnsi="Arial" w:cs="Arial"/>
                <w:noProof/>
              </w:rPr>
              <w:t>4.6.3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54</w:t>
            </w:r>
            <w:r w:rsidR="002920D5" w:rsidRPr="00024BB0">
              <w:rPr>
                <w:rFonts w:ascii="Arial" w:hAnsi="Arial" w:cs="Arial"/>
                <w:noProof/>
                <w:webHidden/>
              </w:rPr>
              <w:fldChar w:fldCharType="end"/>
            </w:r>
          </w:hyperlink>
        </w:p>
        <w:p w14:paraId="083F2C8B" w14:textId="0FBB7B64"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42" w:history="1">
            <w:r w:rsidR="002920D5" w:rsidRPr="00024BB0">
              <w:rPr>
                <w:rStyle w:val="Hyperlink"/>
                <w:rFonts w:ascii="Arial" w:hAnsi="Arial" w:cs="Arial"/>
                <w:noProof/>
              </w:rPr>
              <w:t>4.7 Theme 5: Challenges in Measuring ESG and Carbon Performance</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55</w:t>
            </w:r>
            <w:r w:rsidR="002920D5" w:rsidRPr="00024BB0">
              <w:rPr>
                <w:rFonts w:ascii="Arial" w:hAnsi="Arial" w:cs="Arial"/>
                <w:noProof/>
                <w:webHidden/>
              </w:rPr>
              <w:fldChar w:fldCharType="end"/>
            </w:r>
          </w:hyperlink>
        </w:p>
        <w:p w14:paraId="7A9C92F4" w14:textId="619D1CBC"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43" w:history="1">
            <w:r w:rsidR="002920D5" w:rsidRPr="00024BB0">
              <w:rPr>
                <w:rStyle w:val="Hyperlink"/>
                <w:rFonts w:ascii="Arial" w:hAnsi="Arial" w:cs="Arial"/>
                <w:noProof/>
              </w:rPr>
              <w:t>4.7.1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55</w:t>
            </w:r>
            <w:r w:rsidR="002920D5" w:rsidRPr="00024BB0">
              <w:rPr>
                <w:rFonts w:ascii="Arial" w:hAnsi="Arial" w:cs="Arial"/>
                <w:noProof/>
                <w:webHidden/>
              </w:rPr>
              <w:fldChar w:fldCharType="end"/>
            </w:r>
          </w:hyperlink>
        </w:p>
        <w:p w14:paraId="63BE9F43" w14:textId="3222DA1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44" w:history="1">
            <w:r w:rsidR="002920D5" w:rsidRPr="00024BB0">
              <w:rPr>
                <w:rStyle w:val="Hyperlink"/>
                <w:rFonts w:ascii="Arial" w:hAnsi="Arial" w:cs="Arial"/>
                <w:noProof/>
              </w:rPr>
              <w:t>4.7.2 Analysis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57</w:t>
            </w:r>
            <w:r w:rsidR="002920D5" w:rsidRPr="00024BB0">
              <w:rPr>
                <w:rFonts w:ascii="Arial" w:hAnsi="Arial" w:cs="Arial"/>
                <w:noProof/>
                <w:webHidden/>
              </w:rPr>
              <w:fldChar w:fldCharType="end"/>
            </w:r>
          </w:hyperlink>
        </w:p>
        <w:p w14:paraId="22F0BAAA" w14:textId="600DA4BD"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45" w:history="1">
            <w:r w:rsidR="002920D5" w:rsidRPr="00024BB0">
              <w:rPr>
                <w:rStyle w:val="Hyperlink"/>
                <w:rFonts w:ascii="Arial" w:hAnsi="Arial" w:cs="Arial"/>
                <w:noProof/>
              </w:rPr>
              <w:t>4.7.3 Discussion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58</w:t>
            </w:r>
            <w:r w:rsidR="002920D5" w:rsidRPr="00024BB0">
              <w:rPr>
                <w:rFonts w:ascii="Arial" w:hAnsi="Arial" w:cs="Arial"/>
                <w:noProof/>
                <w:webHidden/>
              </w:rPr>
              <w:fldChar w:fldCharType="end"/>
            </w:r>
          </w:hyperlink>
        </w:p>
        <w:p w14:paraId="0835BFC3" w14:textId="7EE7691C"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46" w:history="1">
            <w:r w:rsidR="002920D5" w:rsidRPr="00024BB0">
              <w:rPr>
                <w:rStyle w:val="Hyperlink"/>
                <w:rFonts w:ascii="Arial" w:hAnsi="Arial" w:cs="Arial"/>
                <w:noProof/>
              </w:rPr>
              <w:t>4.8 Development of strategic framework for Indian Airlines and application to IndiGo</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59</w:t>
            </w:r>
            <w:r w:rsidR="002920D5" w:rsidRPr="00024BB0">
              <w:rPr>
                <w:rFonts w:ascii="Arial" w:hAnsi="Arial" w:cs="Arial"/>
                <w:noProof/>
                <w:webHidden/>
              </w:rPr>
              <w:fldChar w:fldCharType="end"/>
            </w:r>
          </w:hyperlink>
        </w:p>
        <w:p w14:paraId="110A5191" w14:textId="4FC29804"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47" w:history="1">
            <w:r w:rsidR="002920D5" w:rsidRPr="00024BB0">
              <w:rPr>
                <w:rStyle w:val="Hyperlink"/>
                <w:rFonts w:ascii="Arial" w:hAnsi="Arial" w:cs="Arial"/>
                <w:noProof/>
              </w:rPr>
              <w:t>4.9 Chapter Summary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61</w:t>
            </w:r>
            <w:r w:rsidR="002920D5" w:rsidRPr="00024BB0">
              <w:rPr>
                <w:rFonts w:ascii="Arial" w:hAnsi="Arial" w:cs="Arial"/>
                <w:noProof/>
                <w:webHidden/>
              </w:rPr>
              <w:fldChar w:fldCharType="end"/>
            </w:r>
          </w:hyperlink>
        </w:p>
        <w:p w14:paraId="53E7E438" w14:textId="17176585" w:rsidR="002920D5" w:rsidRPr="00024BB0" w:rsidRDefault="00697E31" w:rsidP="00024BB0">
          <w:pPr>
            <w:pStyle w:val="TOC1"/>
            <w:tabs>
              <w:tab w:val="right" w:leader="dot" w:pos="9016"/>
            </w:tabs>
            <w:rPr>
              <w:rFonts w:ascii="Arial" w:eastAsiaTheme="minorEastAsia" w:hAnsi="Arial" w:cs="Arial"/>
              <w:noProof/>
              <w:sz w:val="22"/>
              <w:szCs w:val="22"/>
            </w:rPr>
          </w:pPr>
          <w:hyperlink w:anchor="_Toc235889348" w:history="1">
            <w:r w:rsidR="002920D5" w:rsidRPr="00024BB0">
              <w:rPr>
                <w:rStyle w:val="Hyperlink"/>
                <w:rFonts w:ascii="Arial" w:hAnsi="Arial" w:cs="Arial"/>
                <w:noProof/>
              </w:rPr>
              <w:t>CHAPTER 5: CONCLUSIONS AND RECOMMENDATIONS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62</w:t>
            </w:r>
            <w:r w:rsidR="002920D5" w:rsidRPr="00024BB0">
              <w:rPr>
                <w:rFonts w:ascii="Arial" w:hAnsi="Arial" w:cs="Arial"/>
                <w:noProof/>
                <w:webHidden/>
              </w:rPr>
              <w:fldChar w:fldCharType="end"/>
            </w:r>
          </w:hyperlink>
        </w:p>
        <w:p w14:paraId="022B0932" w14:textId="7913A792"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49" w:history="1">
            <w:r w:rsidR="002920D5" w:rsidRPr="00024BB0">
              <w:rPr>
                <w:rStyle w:val="Hyperlink"/>
                <w:rFonts w:ascii="Arial" w:hAnsi="Arial" w:cs="Arial"/>
                <w:noProof/>
              </w:rPr>
              <w:t>5.1 Introduction</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_Toc235889349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62</w:t>
            </w:r>
            <w:r w:rsidR="002920D5" w:rsidRPr="00024BB0">
              <w:rPr>
                <w:rFonts w:ascii="Arial" w:hAnsi="Arial" w:cs="Arial"/>
                <w:noProof/>
                <w:webHidden/>
              </w:rPr>
              <w:fldChar w:fldCharType="end"/>
            </w:r>
          </w:hyperlink>
        </w:p>
        <w:p w14:paraId="480C7644" w14:textId="11823182"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50" w:history="1">
            <w:r w:rsidR="002920D5" w:rsidRPr="00024BB0">
              <w:rPr>
                <w:rStyle w:val="Hyperlink"/>
                <w:rFonts w:ascii="Arial" w:hAnsi="Arial" w:cs="Arial"/>
                <w:noProof/>
              </w:rPr>
              <w:t>5.2 Summary of key findings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62</w:t>
            </w:r>
            <w:r w:rsidR="002920D5" w:rsidRPr="00024BB0">
              <w:rPr>
                <w:rFonts w:ascii="Arial" w:hAnsi="Arial" w:cs="Arial"/>
                <w:noProof/>
                <w:webHidden/>
              </w:rPr>
              <w:fldChar w:fldCharType="end"/>
            </w:r>
          </w:hyperlink>
        </w:p>
        <w:p w14:paraId="2121E3E7" w14:textId="109E1045"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51" w:history="1">
            <w:r w:rsidR="002920D5" w:rsidRPr="00024BB0">
              <w:rPr>
                <w:rStyle w:val="Hyperlink"/>
                <w:rFonts w:ascii="Arial" w:hAnsi="Arial" w:cs="Arial"/>
                <w:noProof/>
              </w:rPr>
              <w:t>5.3 Conclusions Based on the Research Questions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63</w:t>
            </w:r>
            <w:r w:rsidR="002920D5" w:rsidRPr="00024BB0">
              <w:rPr>
                <w:rFonts w:ascii="Arial" w:hAnsi="Arial" w:cs="Arial"/>
                <w:noProof/>
                <w:webHidden/>
              </w:rPr>
              <w:fldChar w:fldCharType="end"/>
            </w:r>
          </w:hyperlink>
        </w:p>
        <w:p w14:paraId="2C30CD31" w14:textId="772839FD"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52" w:history="1">
            <w:r w:rsidR="002920D5" w:rsidRPr="00024BB0">
              <w:rPr>
                <w:rStyle w:val="Hyperlink"/>
                <w:rFonts w:ascii="Arial" w:hAnsi="Arial" w:cs="Arial"/>
                <w:noProof/>
              </w:rPr>
              <w:t>5.3.1 Conclusion to Research Question 1</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_Toc235889352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63</w:t>
            </w:r>
            <w:r w:rsidR="002920D5" w:rsidRPr="00024BB0">
              <w:rPr>
                <w:rFonts w:ascii="Arial" w:hAnsi="Arial" w:cs="Arial"/>
                <w:noProof/>
                <w:webHidden/>
              </w:rPr>
              <w:fldChar w:fldCharType="end"/>
            </w:r>
          </w:hyperlink>
        </w:p>
        <w:p w14:paraId="673C9416" w14:textId="395565AB"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53" w:history="1">
            <w:r w:rsidR="002920D5" w:rsidRPr="00024BB0">
              <w:rPr>
                <w:rStyle w:val="Hyperlink"/>
                <w:rFonts w:ascii="Arial" w:hAnsi="Arial" w:cs="Arial"/>
                <w:noProof/>
              </w:rPr>
              <w:t>5.3.2 Conclusion to Research Question 2</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_Toc235889353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63</w:t>
            </w:r>
            <w:r w:rsidR="002920D5" w:rsidRPr="00024BB0">
              <w:rPr>
                <w:rFonts w:ascii="Arial" w:hAnsi="Arial" w:cs="Arial"/>
                <w:noProof/>
                <w:webHidden/>
              </w:rPr>
              <w:fldChar w:fldCharType="end"/>
            </w:r>
          </w:hyperlink>
        </w:p>
        <w:p w14:paraId="1A09EE2E" w14:textId="4F5473F6"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54" w:history="1">
            <w:r w:rsidR="002920D5" w:rsidRPr="00024BB0">
              <w:rPr>
                <w:rStyle w:val="Hyperlink"/>
                <w:rFonts w:ascii="Arial" w:hAnsi="Arial" w:cs="Arial"/>
                <w:noProof/>
              </w:rPr>
              <w:t>5.3.3 Conclusion to Research Question 3</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_Toc235889354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63</w:t>
            </w:r>
            <w:r w:rsidR="002920D5" w:rsidRPr="00024BB0">
              <w:rPr>
                <w:rFonts w:ascii="Arial" w:hAnsi="Arial" w:cs="Arial"/>
                <w:noProof/>
                <w:webHidden/>
              </w:rPr>
              <w:fldChar w:fldCharType="end"/>
            </w:r>
          </w:hyperlink>
        </w:p>
        <w:p w14:paraId="0A031A8E" w14:textId="60C49FA6"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55" w:history="1">
            <w:r w:rsidR="002920D5" w:rsidRPr="00024BB0">
              <w:rPr>
                <w:rStyle w:val="Hyperlink"/>
                <w:rFonts w:ascii="Arial" w:hAnsi="Arial" w:cs="Arial"/>
                <w:noProof/>
              </w:rPr>
              <w:t>5.4 Recommendations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_Toc235889355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64</w:t>
            </w:r>
            <w:r w:rsidR="002920D5" w:rsidRPr="00024BB0">
              <w:rPr>
                <w:rFonts w:ascii="Arial" w:hAnsi="Arial" w:cs="Arial"/>
                <w:noProof/>
                <w:webHidden/>
              </w:rPr>
              <w:fldChar w:fldCharType="end"/>
            </w:r>
          </w:hyperlink>
        </w:p>
        <w:p w14:paraId="341E63C6" w14:textId="355274C4"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56" w:history="1">
            <w:r w:rsidR="002920D5" w:rsidRPr="00024BB0">
              <w:rPr>
                <w:rStyle w:val="Hyperlink"/>
                <w:rFonts w:ascii="Arial" w:hAnsi="Arial" w:cs="Arial"/>
                <w:noProof/>
              </w:rPr>
              <w:t>5.4.1 Practical Recommendations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_Toc235889356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64</w:t>
            </w:r>
            <w:r w:rsidR="002920D5" w:rsidRPr="00024BB0">
              <w:rPr>
                <w:rFonts w:ascii="Arial" w:hAnsi="Arial" w:cs="Arial"/>
                <w:noProof/>
                <w:webHidden/>
              </w:rPr>
              <w:fldChar w:fldCharType="end"/>
            </w:r>
          </w:hyperlink>
        </w:p>
        <w:p w14:paraId="0CE66086" w14:textId="6C06EFD4" w:rsidR="002920D5" w:rsidRPr="00024BB0" w:rsidRDefault="00697E31" w:rsidP="00024BB0">
          <w:pPr>
            <w:pStyle w:val="TOC3"/>
            <w:tabs>
              <w:tab w:val="right" w:leader="dot" w:pos="9016"/>
            </w:tabs>
            <w:rPr>
              <w:rFonts w:ascii="Arial" w:eastAsiaTheme="minorEastAsia" w:hAnsi="Arial" w:cs="Arial"/>
              <w:noProof/>
              <w:sz w:val="22"/>
              <w:szCs w:val="22"/>
            </w:rPr>
          </w:pPr>
          <w:hyperlink w:anchor="_Toc235889357" w:history="1">
            <w:r w:rsidR="002920D5" w:rsidRPr="00024BB0">
              <w:rPr>
                <w:rStyle w:val="Hyperlink"/>
                <w:rFonts w:ascii="Arial" w:hAnsi="Arial" w:cs="Arial"/>
                <w:noProof/>
              </w:rPr>
              <w:t>5.4.2 Theoretical Recommendations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_Toc235889357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64</w:t>
            </w:r>
            <w:r w:rsidR="002920D5" w:rsidRPr="00024BB0">
              <w:rPr>
                <w:rFonts w:ascii="Arial" w:hAnsi="Arial" w:cs="Arial"/>
                <w:noProof/>
                <w:webHidden/>
              </w:rPr>
              <w:fldChar w:fldCharType="end"/>
            </w:r>
          </w:hyperlink>
        </w:p>
        <w:p w14:paraId="7D11B3FE" w14:textId="78146F8C"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58" w:history="1">
            <w:r w:rsidR="002920D5" w:rsidRPr="00024BB0">
              <w:rPr>
                <w:rStyle w:val="Hyperlink"/>
                <w:rFonts w:ascii="Arial" w:hAnsi="Arial" w:cs="Arial"/>
                <w:noProof/>
              </w:rPr>
              <w:t>5.5 Research Limitations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_Toc235889358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65</w:t>
            </w:r>
            <w:r w:rsidR="002920D5" w:rsidRPr="00024BB0">
              <w:rPr>
                <w:rFonts w:ascii="Arial" w:hAnsi="Arial" w:cs="Arial"/>
                <w:noProof/>
                <w:webHidden/>
              </w:rPr>
              <w:fldChar w:fldCharType="end"/>
            </w:r>
          </w:hyperlink>
        </w:p>
        <w:p w14:paraId="2B3303C5" w14:textId="019E6FBD"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59" w:history="1">
            <w:r w:rsidR="002920D5" w:rsidRPr="00024BB0">
              <w:rPr>
                <w:rStyle w:val="Hyperlink"/>
                <w:rFonts w:ascii="Arial" w:hAnsi="Arial" w:cs="Arial"/>
                <w:noProof/>
              </w:rPr>
              <w:t>5.6 Recommendations for Future Research</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_Toc235889359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65</w:t>
            </w:r>
            <w:r w:rsidR="002920D5" w:rsidRPr="00024BB0">
              <w:rPr>
                <w:rFonts w:ascii="Arial" w:hAnsi="Arial" w:cs="Arial"/>
                <w:noProof/>
                <w:webHidden/>
              </w:rPr>
              <w:fldChar w:fldCharType="end"/>
            </w:r>
          </w:hyperlink>
        </w:p>
        <w:p w14:paraId="5F247701" w14:textId="1CA2CCC6" w:rsidR="002920D5" w:rsidRPr="00024BB0" w:rsidRDefault="00697E31" w:rsidP="00024BB0">
          <w:pPr>
            <w:pStyle w:val="TOC2"/>
            <w:tabs>
              <w:tab w:val="right" w:leader="dot" w:pos="9016"/>
            </w:tabs>
            <w:rPr>
              <w:rFonts w:ascii="Arial" w:eastAsiaTheme="minorEastAsia" w:hAnsi="Arial" w:cs="Arial"/>
              <w:noProof/>
              <w:sz w:val="22"/>
              <w:szCs w:val="22"/>
            </w:rPr>
          </w:pPr>
          <w:hyperlink w:anchor="_Toc235889360" w:history="1">
            <w:r w:rsidR="002920D5" w:rsidRPr="00024BB0">
              <w:rPr>
                <w:rStyle w:val="Hyperlink"/>
                <w:rFonts w:ascii="Arial" w:hAnsi="Arial" w:cs="Arial"/>
                <w:noProof/>
              </w:rPr>
              <w:t>5.7 Chapter Summary</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_Toc235889360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65</w:t>
            </w:r>
            <w:r w:rsidR="002920D5" w:rsidRPr="00024BB0">
              <w:rPr>
                <w:rFonts w:ascii="Arial" w:hAnsi="Arial" w:cs="Arial"/>
                <w:noProof/>
                <w:webHidden/>
              </w:rPr>
              <w:fldChar w:fldCharType="end"/>
            </w:r>
          </w:hyperlink>
        </w:p>
        <w:p w14:paraId="14F6446C" w14:textId="794850C9" w:rsidR="002920D5" w:rsidRPr="00024BB0" w:rsidRDefault="00697E31" w:rsidP="00024BB0">
          <w:pPr>
            <w:pStyle w:val="TOC1"/>
            <w:tabs>
              <w:tab w:val="right" w:leader="dot" w:pos="9016"/>
            </w:tabs>
            <w:rPr>
              <w:rFonts w:ascii="Arial" w:eastAsiaTheme="minorEastAsia" w:hAnsi="Arial" w:cs="Arial"/>
              <w:noProof/>
              <w:sz w:val="22"/>
              <w:szCs w:val="22"/>
            </w:rPr>
          </w:pPr>
          <w:hyperlink w:anchor="_Toc235889361" w:history="1">
            <w:r w:rsidR="002920D5" w:rsidRPr="00024BB0">
              <w:rPr>
                <w:rStyle w:val="Hyperlink"/>
                <w:rFonts w:ascii="Arial" w:hAnsi="Arial" w:cs="Arial"/>
                <w:noProof/>
              </w:rPr>
              <w:t>References</w:t>
            </w:r>
            <w:r w:rsidR="002920D5" w:rsidRPr="00024BB0">
              <w:rPr>
                <w:rFonts w:ascii="Arial" w:hAnsi="Arial" w:cs="Arial"/>
                <w:noProof/>
                <w:webHidden/>
              </w:rPr>
              <w:tab/>
            </w:r>
            <w:r w:rsidR="002920D5" w:rsidRPr="00024BB0">
              <w:rPr>
                <w:rFonts w:ascii="Arial" w:hAnsi="Arial" w:cs="Arial"/>
                <w:noProof/>
                <w:webHidden/>
              </w:rPr>
              <w:fldChar w:fldCharType="begin"/>
            </w:r>
            <w:r w:rsidR="002920D5" w:rsidRPr="00024BB0">
              <w:rPr>
                <w:rFonts w:ascii="Arial" w:hAnsi="Arial" w:cs="Arial"/>
                <w:noProof/>
                <w:webHidden/>
              </w:rPr>
              <w:instrText xml:space="preserve"> PAGEREF _Toc235889361 \h </w:instrText>
            </w:r>
            <w:r w:rsidR="002920D5" w:rsidRPr="00024BB0">
              <w:rPr>
                <w:rFonts w:ascii="Arial" w:hAnsi="Arial" w:cs="Arial"/>
                <w:noProof/>
                <w:webHidden/>
              </w:rPr>
            </w:r>
            <w:r w:rsidR="002920D5" w:rsidRPr="00024BB0">
              <w:rPr>
                <w:rFonts w:ascii="Arial" w:hAnsi="Arial" w:cs="Arial"/>
                <w:noProof/>
                <w:webHidden/>
              </w:rPr>
              <w:fldChar w:fldCharType="separate"/>
            </w:r>
            <w:r w:rsidR="008060F9">
              <w:rPr>
                <w:rFonts w:ascii="Arial" w:hAnsi="Arial" w:cs="Arial"/>
                <w:noProof/>
                <w:webHidden/>
              </w:rPr>
              <w:t>67</w:t>
            </w:r>
            <w:r w:rsidR="002920D5" w:rsidRPr="00024BB0">
              <w:rPr>
                <w:rFonts w:ascii="Arial" w:hAnsi="Arial" w:cs="Arial"/>
                <w:noProof/>
                <w:webHidden/>
              </w:rPr>
              <w:fldChar w:fldCharType="end"/>
            </w:r>
          </w:hyperlink>
        </w:p>
        <w:p w14:paraId="68C3BEF5" w14:textId="46AB9BA8" w:rsidR="003A3064" w:rsidRPr="00024BB0" w:rsidRDefault="003A3064" w:rsidP="00024BB0">
          <w:pPr>
            <w:rPr>
              <w:rFonts w:ascii="Arial" w:hAnsi="Arial" w:cs="Arial"/>
            </w:rPr>
          </w:pPr>
          <w:r w:rsidRPr="00024BB0">
            <w:rPr>
              <w:rFonts w:ascii="Arial" w:hAnsi="Arial" w:cs="Arial"/>
              <w:b/>
              <w:bCs/>
              <w:noProof/>
            </w:rPr>
            <w:fldChar w:fldCharType="end"/>
          </w:r>
        </w:p>
      </w:sdtContent>
    </w:sdt>
    <w:p w14:paraId="7448636D" w14:textId="77777777" w:rsidR="007575B8" w:rsidRPr="00024BB0" w:rsidRDefault="007575B8" w:rsidP="00024BB0">
      <w:pPr>
        <w:rPr>
          <w:rFonts w:ascii="Arial" w:hAnsi="Arial" w:cs="Arial"/>
        </w:rPr>
      </w:pPr>
    </w:p>
    <w:p w14:paraId="181B3892" w14:textId="2FB656B5" w:rsidR="007575B8" w:rsidRPr="00024BB0" w:rsidRDefault="003A3064" w:rsidP="00024BB0">
      <w:pPr>
        <w:jc w:val="center"/>
        <w:rPr>
          <w:rFonts w:ascii="Arial" w:hAnsi="Arial" w:cs="Arial"/>
          <w:b/>
          <w:bCs/>
        </w:rPr>
      </w:pPr>
      <w:r w:rsidRPr="00024BB0">
        <w:rPr>
          <w:rFonts w:ascii="Arial" w:hAnsi="Arial" w:cs="Arial"/>
        </w:rPr>
        <w:br w:type="page"/>
      </w:r>
      <w:r w:rsidRPr="00024BB0">
        <w:rPr>
          <w:rFonts w:ascii="Arial" w:hAnsi="Arial" w:cs="Arial"/>
          <w:b/>
          <w:bCs/>
        </w:rPr>
        <w:lastRenderedPageBreak/>
        <w:t>LIST OF FIGURES</w:t>
      </w:r>
    </w:p>
    <w:p w14:paraId="6BC1F6D5" w14:textId="77777777" w:rsidR="003A3064" w:rsidRPr="00024BB0" w:rsidRDefault="003A3064" w:rsidP="00024BB0">
      <w:pPr>
        <w:jc w:val="center"/>
        <w:rPr>
          <w:rFonts w:ascii="Arial" w:hAnsi="Arial" w:cs="Arial"/>
          <w:b/>
          <w:bCs/>
        </w:rPr>
      </w:pPr>
    </w:p>
    <w:p w14:paraId="0F838410" w14:textId="47763D73" w:rsidR="003A3064" w:rsidRPr="00024BB0" w:rsidRDefault="003A3064" w:rsidP="00024BB0">
      <w:pPr>
        <w:pStyle w:val="TableofFigures"/>
        <w:tabs>
          <w:tab w:val="right" w:leader="dot" w:pos="9016"/>
        </w:tabs>
        <w:rPr>
          <w:rFonts w:ascii="Arial" w:eastAsiaTheme="minorEastAsia" w:hAnsi="Arial" w:cs="Arial"/>
          <w:noProof/>
          <w:sz w:val="22"/>
          <w:szCs w:val="22"/>
        </w:rPr>
      </w:pPr>
      <w:r w:rsidRPr="00024BB0">
        <w:rPr>
          <w:rFonts w:ascii="Arial" w:hAnsi="Arial" w:cs="Arial"/>
          <w:b/>
          <w:bCs/>
          <w:color w:val="000000"/>
        </w:rPr>
        <w:fldChar w:fldCharType="begin"/>
      </w:r>
      <w:r w:rsidRPr="00024BB0">
        <w:rPr>
          <w:rFonts w:ascii="Arial" w:hAnsi="Arial" w:cs="Arial"/>
          <w:b/>
          <w:bCs/>
          <w:color w:val="000000"/>
        </w:rPr>
        <w:instrText xml:space="preserve"> TOC \h \z \t "Heading 4" \c </w:instrText>
      </w:r>
      <w:r w:rsidRPr="00024BB0">
        <w:rPr>
          <w:rFonts w:ascii="Arial" w:hAnsi="Arial" w:cs="Arial"/>
          <w:b/>
          <w:bCs/>
          <w:color w:val="000000"/>
        </w:rPr>
        <w:fldChar w:fldCharType="separate"/>
      </w:r>
      <w:hyperlink w:anchor="_Toc235889274" w:history="1">
        <w:r w:rsidRPr="00024BB0">
          <w:rPr>
            <w:rStyle w:val="Hyperlink"/>
            <w:rFonts w:ascii="Arial" w:hAnsi="Arial" w:cs="Arial"/>
            <w:noProof/>
          </w:rPr>
          <w:t>Figure 1.1: Historical Trend in Global Carbon Dioxide</w:t>
        </w:r>
        <w:r w:rsidRPr="00024BB0">
          <w:rPr>
            <w:rFonts w:ascii="Arial" w:hAnsi="Arial" w:cs="Arial"/>
            <w:noProof/>
            <w:webHidden/>
          </w:rPr>
          <w:tab/>
        </w:r>
        <w:r w:rsidRPr="00024BB0">
          <w:rPr>
            <w:rFonts w:ascii="Arial" w:hAnsi="Arial" w:cs="Arial"/>
            <w:noProof/>
            <w:webHidden/>
          </w:rPr>
          <w:fldChar w:fldCharType="begin"/>
        </w:r>
        <w:r w:rsidRPr="00024BB0">
          <w:rPr>
            <w:rFonts w:ascii="Arial" w:hAnsi="Arial" w:cs="Arial"/>
            <w:noProof/>
            <w:webHidden/>
          </w:rPr>
          <w:instrText xml:space="preserve"> PAGEREF _Toc235889274 \h </w:instrText>
        </w:r>
        <w:r w:rsidRPr="00024BB0">
          <w:rPr>
            <w:rFonts w:ascii="Arial" w:hAnsi="Arial" w:cs="Arial"/>
            <w:noProof/>
            <w:webHidden/>
          </w:rPr>
        </w:r>
        <w:r w:rsidRPr="00024BB0">
          <w:rPr>
            <w:rFonts w:ascii="Arial" w:hAnsi="Arial" w:cs="Arial"/>
            <w:noProof/>
            <w:webHidden/>
          </w:rPr>
          <w:fldChar w:fldCharType="separate"/>
        </w:r>
        <w:r w:rsidRPr="00024BB0">
          <w:rPr>
            <w:rFonts w:ascii="Arial" w:hAnsi="Arial" w:cs="Arial"/>
            <w:noProof/>
            <w:webHidden/>
          </w:rPr>
          <w:t>11</w:t>
        </w:r>
        <w:r w:rsidRPr="00024BB0">
          <w:rPr>
            <w:rFonts w:ascii="Arial" w:hAnsi="Arial" w:cs="Arial"/>
            <w:noProof/>
            <w:webHidden/>
          </w:rPr>
          <w:fldChar w:fldCharType="end"/>
        </w:r>
      </w:hyperlink>
    </w:p>
    <w:p w14:paraId="436E0499" w14:textId="496C711C"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75" w:history="1">
        <w:r w:rsidR="003A3064" w:rsidRPr="00024BB0">
          <w:rPr>
            <w:rStyle w:val="Hyperlink"/>
            <w:rFonts w:ascii="Arial" w:hAnsi="Arial" w:cs="Arial"/>
            <w:noProof/>
          </w:rPr>
          <w:t>Figure 2.1: Growth in ESG Reporting by Companies in India, the United States and the Global Average</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_Toc235889275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15</w:t>
        </w:r>
        <w:r w:rsidR="003A3064" w:rsidRPr="00024BB0">
          <w:rPr>
            <w:rFonts w:ascii="Arial" w:hAnsi="Arial" w:cs="Arial"/>
            <w:noProof/>
            <w:webHidden/>
          </w:rPr>
          <w:fldChar w:fldCharType="end"/>
        </w:r>
      </w:hyperlink>
    </w:p>
    <w:p w14:paraId="6EB3308E" w14:textId="1F35E86F"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76" w:history="1">
        <w:r w:rsidR="003A3064" w:rsidRPr="00024BB0">
          <w:rPr>
            <w:rStyle w:val="Hyperlink"/>
            <w:rFonts w:ascii="Arial" w:hAnsi="Arial" w:cs="Arial"/>
            <w:noProof/>
          </w:rPr>
          <w:t>Figure 2.2: Annual Growth Rate of India's CO</w:t>
        </w:r>
        <w:r w:rsidR="003A3064" w:rsidRPr="00024BB0">
          <w:rPr>
            <w:rStyle w:val="Hyperlink"/>
            <w:rFonts w:ascii="Cambria Math" w:hAnsi="Cambria Math" w:cs="Cambria Math"/>
            <w:noProof/>
          </w:rPr>
          <w:t>₂</w:t>
        </w:r>
        <w:r w:rsidR="003A3064" w:rsidRPr="00024BB0">
          <w:rPr>
            <w:rStyle w:val="Hyperlink"/>
            <w:rFonts w:ascii="Arial" w:hAnsi="Arial" w:cs="Arial"/>
            <w:noProof/>
          </w:rPr>
          <w:t xml:space="preserve"> Emissions</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_Toc235889276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18</w:t>
        </w:r>
        <w:r w:rsidR="003A3064" w:rsidRPr="00024BB0">
          <w:rPr>
            <w:rFonts w:ascii="Arial" w:hAnsi="Arial" w:cs="Arial"/>
            <w:noProof/>
            <w:webHidden/>
          </w:rPr>
          <w:fldChar w:fldCharType="end"/>
        </w:r>
      </w:hyperlink>
    </w:p>
    <w:p w14:paraId="6B5AA2A8" w14:textId="2CFDC496"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77" w:history="1">
        <w:r w:rsidR="003A3064" w:rsidRPr="00024BB0">
          <w:rPr>
            <w:rStyle w:val="Hyperlink"/>
            <w:rFonts w:ascii="Arial" w:hAnsi="Arial" w:cs="Arial"/>
            <w:noProof/>
          </w:rPr>
          <w:t>Figure 2.3: Growth of ESG-Related Regulations across Major Global Regions</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_Toc235889277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23</w:t>
        </w:r>
        <w:r w:rsidR="003A3064" w:rsidRPr="00024BB0">
          <w:rPr>
            <w:rFonts w:ascii="Arial" w:hAnsi="Arial" w:cs="Arial"/>
            <w:noProof/>
            <w:webHidden/>
          </w:rPr>
          <w:fldChar w:fldCharType="end"/>
        </w:r>
      </w:hyperlink>
    </w:p>
    <w:p w14:paraId="0F1EF69A" w14:textId="7E39C672"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78" w:history="1">
        <w:r w:rsidR="003A3064" w:rsidRPr="00024BB0">
          <w:rPr>
            <w:rStyle w:val="Hyperlink"/>
            <w:rFonts w:ascii="Arial" w:hAnsi="Arial" w:cs="Arial"/>
            <w:noProof/>
          </w:rPr>
          <w:t>Figure 2.4: Conceptual Framework</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_Toc235889278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25</w:t>
        </w:r>
        <w:r w:rsidR="003A3064" w:rsidRPr="00024BB0">
          <w:rPr>
            <w:rFonts w:ascii="Arial" w:hAnsi="Arial" w:cs="Arial"/>
            <w:noProof/>
            <w:webHidden/>
          </w:rPr>
          <w:fldChar w:fldCharType="end"/>
        </w:r>
      </w:hyperlink>
    </w:p>
    <w:p w14:paraId="31E73741" w14:textId="0BBA054D"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79" w:history="1">
        <w:r w:rsidR="003A3064" w:rsidRPr="00024BB0">
          <w:rPr>
            <w:rStyle w:val="Hyperlink"/>
            <w:rFonts w:ascii="Arial" w:hAnsi="Arial" w:cs="Arial"/>
            <w:noProof/>
          </w:rPr>
          <w:t>Figure 3.1: Research Onion</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_Toc235889279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28</w:t>
        </w:r>
        <w:r w:rsidR="003A3064" w:rsidRPr="00024BB0">
          <w:rPr>
            <w:rFonts w:ascii="Arial" w:hAnsi="Arial" w:cs="Arial"/>
            <w:noProof/>
            <w:webHidden/>
          </w:rPr>
          <w:fldChar w:fldCharType="end"/>
        </w:r>
      </w:hyperlink>
    </w:p>
    <w:p w14:paraId="0E3F9321" w14:textId="2DA39611"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80" w:history="1">
        <w:r w:rsidR="003A3064" w:rsidRPr="00024BB0">
          <w:rPr>
            <w:rStyle w:val="Hyperlink"/>
            <w:rFonts w:ascii="Arial" w:hAnsi="Arial" w:cs="Arial"/>
            <w:noProof/>
          </w:rPr>
          <w:t>Figure 3.2: PRISMA Framework</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_Toc235889280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35</w:t>
        </w:r>
        <w:r w:rsidR="003A3064" w:rsidRPr="00024BB0">
          <w:rPr>
            <w:rFonts w:ascii="Arial" w:hAnsi="Arial" w:cs="Arial"/>
            <w:noProof/>
            <w:webHidden/>
          </w:rPr>
          <w:fldChar w:fldCharType="end"/>
        </w:r>
      </w:hyperlink>
    </w:p>
    <w:p w14:paraId="37FC1CA6" w14:textId="0E805AC2"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81" w:history="1">
        <w:r w:rsidR="003A3064" w:rsidRPr="00024BB0">
          <w:rPr>
            <w:rStyle w:val="Hyperlink"/>
            <w:rFonts w:ascii="Arial" w:hAnsi="Arial" w:cs="Arial"/>
            <w:noProof/>
          </w:rPr>
          <w:t>Figure 4.1: Projected Aviation Carbon Emission Reduction</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_Toc235889281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46</w:t>
        </w:r>
        <w:r w:rsidR="003A3064" w:rsidRPr="00024BB0">
          <w:rPr>
            <w:rFonts w:ascii="Arial" w:hAnsi="Arial" w:cs="Arial"/>
            <w:noProof/>
            <w:webHidden/>
          </w:rPr>
          <w:fldChar w:fldCharType="end"/>
        </w:r>
      </w:hyperlink>
    </w:p>
    <w:p w14:paraId="5DE3E6F7" w14:textId="34DF71AE" w:rsidR="003A3064" w:rsidRPr="00024BB0" w:rsidRDefault="00697E31" w:rsidP="00024BB0">
      <w:pPr>
        <w:pStyle w:val="TableofFigures"/>
        <w:tabs>
          <w:tab w:val="right" w:leader="dot" w:pos="9016"/>
        </w:tabs>
        <w:rPr>
          <w:rFonts w:ascii="Arial" w:eastAsiaTheme="minorEastAsia" w:hAnsi="Arial" w:cs="Arial"/>
          <w:noProof/>
          <w:sz w:val="22"/>
          <w:szCs w:val="22"/>
        </w:rPr>
      </w:pPr>
      <w:hyperlink w:anchor="_Toc235889282" w:history="1">
        <w:r w:rsidR="003A3064" w:rsidRPr="00024BB0">
          <w:rPr>
            <w:rStyle w:val="Hyperlink"/>
            <w:rFonts w:ascii="Arial" w:hAnsi="Arial" w:cs="Arial"/>
            <w:noProof/>
          </w:rPr>
          <w:t>Figure 4.2: Production of SAFs in eco-friendly ways</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_Toc235889282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58</w:t>
        </w:r>
        <w:r w:rsidR="003A3064" w:rsidRPr="00024BB0">
          <w:rPr>
            <w:rFonts w:ascii="Arial" w:hAnsi="Arial" w:cs="Arial"/>
            <w:noProof/>
            <w:webHidden/>
          </w:rPr>
          <w:fldChar w:fldCharType="end"/>
        </w:r>
      </w:hyperlink>
    </w:p>
    <w:p w14:paraId="772BDD13" w14:textId="0B2089B2" w:rsidR="007575B8" w:rsidRPr="00024BB0" w:rsidRDefault="003A3064" w:rsidP="00024BB0">
      <w:pPr>
        <w:pBdr>
          <w:top w:val="nil"/>
          <w:left w:val="nil"/>
          <w:bottom w:val="nil"/>
          <w:right w:val="nil"/>
          <w:between w:val="nil"/>
        </w:pBdr>
        <w:tabs>
          <w:tab w:val="right" w:pos="9016"/>
        </w:tabs>
        <w:spacing w:after="100"/>
        <w:rPr>
          <w:rFonts w:ascii="Arial" w:hAnsi="Arial" w:cs="Arial"/>
          <w:b/>
          <w:bCs/>
          <w:color w:val="000000"/>
        </w:rPr>
      </w:pPr>
      <w:r w:rsidRPr="00024BB0">
        <w:rPr>
          <w:rFonts w:ascii="Arial" w:hAnsi="Arial" w:cs="Arial"/>
          <w:b/>
          <w:bCs/>
          <w:color w:val="000000"/>
        </w:rPr>
        <w:fldChar w:fldCharType="end"/>
      </w:r>
    </w:p>
    <w:p w14:paraId="68CD0C26" w14:textId="27E874CE" w:rsidR="007575B8" w:rsidRPr="00024BB0" w:rsidRDefault="003A3064" w:rsidP="00024BB0">
      <w:pPr>
        <w:widowControl w:val="0"/>
        <w:pBdr>
          <w:top w:val="nil"/>
          <w:left w:val="nil"/>
          <w:bottom w:val="nil"/>
          <w:right w:val="nil"/>
          <w:between w:val="nil"/>
        </w:pBdr>
        <w:jc w:val="center"/>
        <w:rPr>
          <w:rFonts w:ascii="Arial" w:hAnsi="Arial" w:cs="Arial"/>
          <w:b/>
          <w:bCs/>
        </w:rPr>
      </w:pPr>
      <w:r w:rsidRPr="00024BB0">
        <w:rPr>
          <w:rFonts w:ascii="Arial" w:hAnsi="Arial" w:cs="Arial"/>
        </w:rPr>
        <w:br w:type="page"/>
      </w:r>
      <w:r w:rsidRPr="00024BB0">
        <w:rPr>
          <w:rFonts w:ascii="Arial" w:hAnsi="Arial" w:cs="Arial"/>
          <w:b/>
          <w:bCs/>
        </w:rPr>
        <w:lastRenderedPageBreak/>
        <w:t>LIST OF TABLES</w:t>
      </w:r>
    </w:p>
    <w:p w14:paraId="0820CF7D" w14:textId="0E9B15EC" w:rsidR="003A3064" w:rsidRPr="00024BB0" w:rsidRDefault="003A3064" w:rsidP="00024BB0">
      <w:pPr>
        <w:tabs>
          <w:tab w:val="left" w:pos="2626"/>
        </w:tabs>
        <w:rPr>
          <w:rFonts w:ascii="Arial" w:hAnsi="Arial" w:cs="Arial"/>
        </w:rPr>
      </w:pPr>
    </w:p>
    <w:p w14:paraId="2EF41543" w14:textId="15766A83" w:rsidR="003A3064" w:rsidRPr="00024BB0" w:rsidRDefault="003A3064" w:rsidP="00024BB0">
      <w:pPr>
        <w:pStyle w:val="TableofFigures"/>
        <w:tabs>
          <w:tab w:val="right" w:leader="dot" w:pos="9016"/>
        </w:tabs>
        <w:rPr>
          <w:rFonts w:ascii="Arial" w:hAnsi="Arial" w:cs="Arial"/>
          <w:noProof/>
        </w:rPr>
      </w:pPr>
      <w:r w:rsidRPr="00024BB0">
        <w:rPr>
          <w:rFonts w:ascii="Arial" w:hAnsi="Arial" w:cs="Arial"/>
        </w:rPr>
        <w:fldChar w:fldCharType="begin"/>
      </w:r>
      <w:r w:rsidRPr="00024BB0">
        <w:rPr>
          <w:rFonts w:ascii="Arial" w:hAnsi="Arial" w:cs="Arial"/>
        </w:rPr>
        <w:instrText xml:space="preserve"> TOC \h \z \t "Heading 5" \c </w:instrText>
      </w:r>
      <w:r w:rsidRPr="00024BB0">
        <w:rPr>
          <w:rFonts w:ascii="Arial" w:hAnsi="Arial" w:cs="Arial"/>
        </w:rPr>
        <w:fldChar w:fldCharType="separate"/>
      </w:r>
      <w:hyperlink w:anchor="_Toc235889266" w:history="1">
        <w:r w:rsidRPr="00024BB0">
          <w:rPr>
            <w:rStyle w:val="Hyperlink"/>
            <w:rFonts w:ascii="Arial" w:hAnsi="Arial" w:cs="Arial"/>
            <w:noProof/>
          </w:rPr>
          <w:t>Table 3.1: Database Table</w:t>
        </w:r>
        <w:r w:rsidRPr="00024BB0">
          <w:rPr>
            <w:rFonts w:ascii="Arial" w:hAnsi="Arial" w:cs="Arial"/>
            <w:noProof/>
            <w:webHidden/>
          </w:rPr>
          <w:tab/>
        </w:r>
        <w:r w:rsidRPr="00024BB0">
          <w:rPr>
            <w:rFonts w:ascii="Arial" w:hAnsi="Arial" w:cs="Arial"/>
            <w:noProof/>
            <w:webHidden/>
          </w:rPr>
          <w:fldChar w:fldCharType="begin"/>
        </w:r>
        <w:r w:rsidRPr="00024BB0">
          <w:rPr>
            <w:rFonts w:ascii="Arial" w:hAnsi="Arial" w:cs="Arial"/>
            <w:noProof/>
            <w:webHidden/>
          </w:rPr>
          <w:instrText xml:space="preserve"> PAGEREF _Toc235889266 \h </w:instrText>
        </w:r>
        <w:r w:rsidRPr="00024BB0">
          <w:rPr>
            <w:rFonts w:ascii="Arial" w:hAnsi="Arial" w:cs="Arial"/>
            <w:noProof/>
            <w:webHidden/>
          </w:rPr>
        </w:r>
        <w:r w:rsidRPr="00024BB0">
          <w:rPr>
            <w:rFonts w:ascii="Arial" w:hAnsi="Arial" w:cs="Arial"/>
            <w:noProof/>
            <w:webHidden/>
          </w:rPr>
          <w:fldChar w:fldCharType="separate"/>
        </w:r>
        <w:r w:rsidRPr="00024BB0">
          <w:rPr>
            <w:rFonts w:ascii="Arial" w:hAnsi="Arial" w:cs="Arial"/>
            <w:noProof/>
            <w:webHidden/>
          </w:rPr>
          <w:t>32</w:t>
        </w:r>
        <w:r w:rsidRPr="00024BB0">
          <w:rPr>
            <w:rFonts w:ascii="Arial" w:hAnsi="Arial" w:cs="Arial"/>
            <w:noProof/>
            <w:webHidden/>
          </w:rPr>
          <w:fldChar w:fldCharType="end"/>
        </w:r>
      </w:hyperlink>
    </w:p>
    <w:p w14:paraId="64E078D0" w14:textId="5E6CAF42" w:rsidR="003A3064" w:rsidRPr="00024BB0" w:rsidRDefault="00697E31" w:rsidP="00024BB0">
      <w:pPr>
        <w:pStyle w:val="TableofFigures"/>
        <w:tabs>
          <w:tab w:val="right" w:leader="dot" w:pos="9016"/>
        </w:tabs>
        <w:rPr>
          <w:rFonts w:ascii="Arial" w:hAnsi="Arial" w:cs="Arial"/>
          <w:noProof/>
        </w:rPr>
      </w:pPr>
      <w:hyperlink w:anchor="_Toc235889267" w:history="1">
        <w:r w:rsidR="003A3064" w:rsidRPr="00024BB0">
          <w:rPr>
            <w:rStyle w:val="Hyperlink"/>
            <w:rFonts w:ascii="Arial" w:hAnsi="Arial" w:cs="Arial"/>
            <w:noProof/>
          </w:rPr>
          <w:t>Table 3.2: Inclusion and Exclusion Criteria</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_Toc235889267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33</w:t>
        </w:r>
        <w:r w:rsidR="003A3064" w:rsidRPr="00024BB0">
          <w:rPr>
            <w:rFonts w:ascii="Arial" w:hAnsi="Arial" w:cs="Arial"/>
            <w:noProof/>
            <w:webHidden/>
          </w:rPr>
          <w:fldChar w:fldCharType="end"/>
        </w:r>
      </w:hyperlink>
    </w:p>
    <w:p w14:paraId="1287BCBA" w14:textId="190FA971" w:rsidR="003A3064" w:rsidRPr="00024BB0" w:rsidRDefault="00697E31" w:rsidP="00024BB0">
      <w:pPr>
        <w:pStyle w:val="TableofFigures"/>
        <w:tabs>
          <w:tab w:val="right" w:leader="dot" w:pos="9016"/>
        </w:tabs>
        <w:rPr>
          <w:rFonts w:ascii="Arial" w:hAnsi="Arial" w:cs="Arial"/>
          <w:noProof/>
        </w:rPr>
      </w:pPr>
      <w:hyperlink w:anchor="_Toc235889268" w:history="1">
        <w:r w:rsidR="003A3064" w:rsidRPr="00024BB0">
          <w:rPr>
            <w:rStyle w:val="Hyperlink"/>
            <w:rFonts w:ascii="Arial" w:hAnsi="Arial" w:cs="Arial"/>
            <w:noProof/>
          </w:rPr>
          <w:t>Table 3.3: Coding Process</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_Toc235889268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37</w:t>
        </w:r>
        <w:r w:rsidR="003A3064" w:rsidRPr="00024BB0">
          <w:rPr>
            <w:rFonts w:ascii="Arial" w:hAnsi="Arial" w:cs="Arial"/>
            <w:noProof/>
            <w:webHidden/>
          </w:rPr>
          <w:fldChar w:fldCharType="end"/>
        </w:r>
      </w:hyperlink>
    </w:p>
    <w:p w14:paraId="7C5FD407" w14:textId="439094DF" w:rsidR="003A3064" w:rsidRPr="00024BB0" w:rsidRDefault="00697E31" w:rsidP="00024BB0">
      <w:pPr>
        <w:pStyle w:val="TableofFigures"/>
        <w:tabs>
          <w:tab w:val="right" w:leader="dot" w:pos="9016"/>
        </w:tabs>
        <w:rPr>
          <w:rFonts w:ascii="Arial" w:hAnsi="Arial" w:cs="Arial"/>
          <w:noProof/>
        </w:rPr>
      </w:pPr>
      <w:hyperlink w:anchor="_Toc235889269" w:history="1">
        <w:r w:rsidR="003A3064" w:rsidRPr="00024BB0">
          <w:rPr>
            <w:rStyle w:val="Hyperlink"/>
            <w:rFonts w:ascii="Arial" w:hAnsi="Arial" w:cs="Arial"/>
            <w:noProof/>
          </w:rPr>
          <w:t>Table 4.1: Theme 1 Summary – ESG Disclosure Frameworks and Reporting Practices in Aviation</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_Toc235889269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42</w:t>
        </w:r>
        <w:r w:rsidR="003A3064" w:rsidRPr="00024BB0">
          <w:rPr>
            <w:rFonts w:ascii="Arial" w:hAnsi="Arial" w:cs="Arial"/>
            <w:noProof/>
            <w:webHidden/>
          </w:rPr>
          <w:fldChar w:fldCharType="end"/>
        </w:r>
      </w:hyperlink>
    </w:p>
    <w:p w14:paraId="0356140C" w14:textId="560C36F1" w:rsidR="003A3064" w:rsidRPr="00024BB0" w:rsidRDefault="00697E31" w:rsidP="00024BB0">
      <w:pPr>
        <w:pStyle w:val="TableofFigures"/>
        <w:tabs>
          <w:tab w:val="right" w:leader="dot" w:pos="9016"/>
        </w:tabs>
        <w:rPr>
          <w:rFonts w:ascii="Arial" w:hAnsi="Arial" w:cs="Arial"/>
          <w:noProof/>
        </w:rPr>
      </w:pPr>
      <w:hyperlink w:anchor="_Toc235889270" w:history="1">
        <w:r w:rsidR="003A3064" w:rsidRPr="00024BB0">
          <w:rPr>
            <w:rStyle w:val="Hyperlink"/>
            <w:rFonts w:ascii="Arial" w:hAnsi="Arial" w:cs="Arial"/>
            <w:noProof/>
          </w:rPr>
          <w:t>Table 4.2: Theme 2 Summary – Carbon Reduction Strategies in Airlines and IndiGo</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_Toc235889270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45</w:t>
        </w:r>
        <w:r w:rsidR="003A3064" w:rsidRPr="00024BB0">
          <w:rPr>
            <w:rFonts w:ascii="Arial" w:hAnsi="Arial" w:cs="Arial"/>
            <w:noProof/>
            <w:webHidden/>
          </w:rPr>
          <w:fldChar w:fldCharType="end"/>
        </w:r>
      </w:hyperlink>
    </w:p>
    <w:p w14:paraId="184BBB72" w14:textId="07F5C324" w:rsidR="003A3064" w:rsidRPr="00024BB0" w:rsidRDefault="00697E31" w:rsidP="00024BB0">
      <w:pPr>
        <w:pStyle w:val="TableofFigures"/>
        <w:tabs>
          <w:tab w:val="right" w:leader="dot" w:pos="9016"/>
        </w:tabs>
        <w:rPr>
          <w:rFonts w:ascii="Arial" w:hAnsi="Arial" w:cs="Arial"/>
          <w:noProof/>
        </w:rPr>
      </w:pPr>
      <w:hyperlink w:anchor="_Toc235889271" w:history="1">
        <w:r w:rsidR="003A3064" w:rsidRPr="00024BB0">
          <w:rPr>
            <w:rStyle w:val="Hyperlink"/>
            <w:rFonts w:ascii="Arial" w:hAnsi="Arial" w:cs="Arial"/>
            <w:noProof/>
          </w:rPr>
          <w:t>Table 4.3: Theme 3 Summary – Relationship Between ESG Disclosure and Carbon Reduction Performance</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_Toc235889271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48</w:t>
        </w:r>
        <w:r w:rsidR="003A3064" w:rsidRPr="00024BB0">
          <w:rPr>
            <w:rFonts w:ascii="Arial" w:hAnsi="Arial" w:cs="Arial"/>
            <w:noProof/>
            <w:webHidden/>
          </w:rPr>
          <w:fldChar w:fldCharType="end"/>
        </w:r>
      </w:hyperlink>
    </w:p>
    <w:p w14:paraId="2C62C8E6" w14:textId="5C78CF7A" w:rsidR="003A3064" w:rsidRPr="00024BB0" w:rsidRDefault="00697E31" w:rsidP="00024BB0">
      <w:pPr>
        <w:pStyle w:val="TableofFigures"/>
        <w:tabs>
          <w:tab w:val="right" w:leader="dot" w:pos="9016"/>
        </w:tabs>
        <w:rPr>
          <w:rFonts w:ascii="Arial" w:hAnsi="Arial" w:cs="Arial"/>
          <w:noProof/>
        </w:rPr>
      </w:pPr>
      <w:hyperlink w:anchor="_Toc235889272" w:history="1">
        <w:r w:rsidR="003A3064" w:rsidRPr="00024BB0">
          <w:rPr>
            <w:rStyle w:val="Hyperlink"/>
            <w:rFonts w:ascii="Arial" w:hAnsi="Arial" w:cs="Arial"/>
            <w:noProof/>
          </w:rPr>
          <w:t>Table 4.4: Theme 4 Summary – Greenwashing Risks and Disclosure–Performance Gap</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_Toc235889272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52</w:t>
        </w:r>
        <w:r w:rsidR="003A3064" w:rsidRPr="00024BB0">
          <w:rPr>
            <w:rFonts w:ascii="Arial" w:hAnsi="Arial" w:cs="Arial"/>
            <w:noProof/>
            <w:webHidden/>
          </w:rPr>
          <w:fldChar w:fldCharType="end"/>
        </w:r>
      </w:hyperlink>
    </w:p>
    <w:p w14:paraId="64C1FA24" w14:textId="6665F2B4" w:rsidR="003A3064" w:rsidRPr="00024BB0" w:rsidRDefault="00697E31" w:rsidP="00024BB0">
      <w:pPr>
        <w:pStyle w:val="TableofFigures"/>
        <w:tabs>
          <w:tab w:val="right" w:leader="dot" w:pos="9016"/>
        </w:tabs>
        <w:rPr>
          <w:rFonts w:ascii="Arial" w:hAnsi="Arial" w:cs="Arial"/>
          <w:noProof/>
        </w:rPr>
      </w:pPr>
      <w:hyperlink w:anchor="_Toc235889273" w:history="1">
        <w:r w:rsidR="003A3064" w:rsidRPr="00024BB0">
          <w:rPr>
            <w:rStyle w:val="Hyperlink"/>
            <w:rFonts w:ascii="Arial" w:hAnsi="Arial" w:cs="Arial"/>
            <w:noProof/>
          </w:rPr>
          <w:t>Table 4.5: Theme 5 Summary – Challenges in Measuring ESG and Carbon Performance</w:t>
        </w:r>
        <w:r w:rsidR="003A3064" w:rsidRPr="00024BB0">
          <w:rPr>
            <w:rFonts w:ascii="Arial" w:hAnsi="Arial" w:cs="Arial"/>
            <w:noProof/>
            <w:webHidden/>
          </w:rPr>
          <w:tab/>
        </w:r>
        <w:r w:rsidR="003A3064" w:rsidRPr="00024BB0">
          <w:rPr>
            <w:rFonts w:ascii="Arial" w:hAnsi="Arial" w:cs="Arial"/>
            <w:noProof/>
            <w:webHidden/>
          </w:rPr>
          <w:fldChar w:fldCharType="begin"/>
        </w:r>
        <w:r w:rsidR="003A3064" w:rsidRPr="00024BB0">
          <w:rPr>
            <w:rFonts w:ascii="Arial" w:hAnsi="Arial" w:cs="Arial"/>
            <w:noProof/>
            <w:webHidden/>
          </w:rPr>
          <w:instrText xml:space="preserve"> PAGEREF _Toc235889273 \h </w:instrText>
        </w:r>
        <w:r w:rsidR="003A3064" w:rsidRPr="00024BB0">
          <w:rPr>
            <w:rFonts w:ascii="Arial" w:hAnsi="Arial" w:cs="Arial"/>
            <w:noProof/>
            <w:webHidden/>
          </w:rPr>
        </w:r>
        <w:r w:rsidR="003A3064" w:rsidRPr="00024BB0">
          <w:rPr>
            <w:rFonts w:ascii="Arial" w:hAnsi="Arial" w:cs="Arial"/>
            <w:noProof/>
            <w:webHidden/>
          </w:rPr>
          <w:fldChar w:fldCharType="separate"/>
        </w:r>
        <w:r w:rsidR="003A3064" w:rsidRPr="00024BB0">
          <w:rPr>
            <w:rFonts w:ascii="Arial" w:hAnsi="Arial" w:cs="Arial"/>
            <w:noProof/>
            <w:webHidden/>
          </w:rPr>
          <w:t>55</w:t>
        </w:r>
        <w:r w:rsidR="003A3064" w:rsidRPr="00024BB0">
          <w:rPr>
            <w:rFonts w:ascii="Arial" w:hAnsi="Arial" w:cs="Arial"/>
            <w:noProof/>
            <w:webHidden/>
          </w:rPr>
          <w:fldChar w:fldCharType="end"/>
        </w:r>
      </w:hyperlink>
    </w:p>
    <w:p w14:paraId="561B1C5F" w14:textId="00A62813" w:rsidR="007575B8" w:rsidRPr="00024BB0" w:rsidRDefault="003A3064" w:rsidP="00024BB0">
      <w:pPr>
        <w:rPr>
          <w:rFonts w:ascii="Arial" w:hAnsi="Arial" w:cs="Arial"/>
          <w:b/>
          <w:bCs/>
        </w:rPr>
      </w:pPr>
      <w:r w:rsidRPr="00024BB0">
        <w:rPr>
          <w:rFonts w:ascii="Arial" w:hAnsi="Arial" w:cs="Arial"/>
        </w:rPr>
        <w:fldChar w:fldCharType="end"/>
      </w:r>
      <w:r w:rsidR="004D78AD" w:rsidRPr="00024BB0">
        <w:rPr>
          <w:rFonts w:ascii="Arial" w:hAnsi="Arial" w:cs="Arial"/>
        </w:rPr>
        <w:br w:type="page"/>
      </w:r>
    </w:p>
    <w:p w14:paraId="691C4DAA" w14:textId="77777777" w:rsidR="007575B8" w:rsidRPr="0048631F" w:rsidRDefault="004D78AD" w:rsidP="00024BB0">
      <w:pPr>
        <w:pStyle w:val="Heading1"/>
        <w:rPr>
          <w:rFonts w:ascii="Arial" w:hAnsi="Arial" w:cs="Arial"/>
        </w:rPr>
      </w:pPr>
      <w:bookmarkStart w:id="6" w:name="_Toc235889283"/>
      <w:r w:rsidRPr="0048631F">
        <w:rPr>
          <w:rFonts w:ascii="Arial" w:hAnsi="Arial" w:cs="Arial"/>
        </w:rPr>
        <w:lastRenderedPageBreak/>
        <w:t>CHAPTER 1: INTRODUCTION</w:t>
      </w:r>
      <w:bookmarkEnd w:id="6"/>
    </w:p>
    <w:p w14:paraId="7DDC54D6" w14:textId="77777777" w:rsidR="007575B8" w:rsidRPr="0048631F" w:rsidRDefault="004D78AD" w:rsidP="00024BB0">
      <w:pPr>
        <w:pStyle w:val="Heading2"/>
        <w:numPr>
          <w:ilvl w:val="1"/>
          <w:numId w:val="3"/>
        </w:numPr>
        <w:rPr>
          <w:rFonts w:ascii="Arial" w:hAnsi="Arial" w:cs="Arial"/>
        </w:rPr>
      </w:pPr>
      <w:bookmarkStart w:id="7" w:name="_Toc235889284"/>
      <w:r w:rsidRPr="0048631F">
        <w:rPr>
          <w:rFonts w:ascii="Arial" w:hAnsi="Arial" w:cs="Arial"/>
        </w:rPr>
        <w:t>Background &amp; Problem Statement</w:t>
      </w:r>
      <w:bookmarkEnd w:id="7"/>
    </w:p>
    <w:p w14:paraId="08AF8D08" w14:textId="77777777" w:rsidR="007575B8" w:rsidRPr="0048631F" w:rsidRDefault="004D78AD" w:rsidP="00024BB0">
      <w:pPr>
        <w:rPr>
          <w:rFonts w:ascii="Arial" w:hAnsi="Arial" w:cs="Arial"/>
        </w:rPr>
      </w:pPr>
      <w:r w:rsidRPr="0048631F">
        <w:rPr>
          <w:rFonts w:ascii="Arial" w:hAnsi="Arial" w:cs="Arial"/>
        </w:rPr>
        <w:t xml:space="preserve">ESG disclosure practices have seen fast growth worldwide and, in the figure, the number of companies reporting globally has gone from about 200 companies in 1970 to close to 3,000 by 2023 (JGBC, 2025). The aviation industry is one of the most closely monitored sectors in the worldwide shift towards sustainable development, given its large share of GHGs and the growing demands from a wide range of stakeholders for clear and reliable environmental reporting. This has led to an increased focus on Environmental, Social and Governance (ESG) disclosure as a key way for airlines to convey their sustainability target and environmental actions. </w:t>
      </w:r>
    </w:p>
    <w:p w14:paraId="51C225FA" w14:textId="77777777" w:rsidR="007575B8" w:rsidRPr="0048631F" w:rsidRDefault="004D78AD" w:rsidP="00024BB0">
      <w:pPr>
        <w:jc w:val="center"/>
        <w:rPr>
          <w:rFonts w:ascii="Arial" w:hAnsi="Arial" w:cs="Arial"/>
        </w:rPr>
      </w:pPr>
      <w:r w:rsidRPr="0048631F">
        <w:rPr>
          <w:rFonts w:ascii="Arial" w:hAnsi="Arial" w:cs="Arial"/>
          <w:noProof/>
        </w:rPr>
        <w:drawing>
          <wp:inline distT="0" distB="0" distL="0" distR="0" wp14:anchorId="3DB0A35D" wp14:editId="3C77F922">
            <wp:extent cx="5490210" cy="2486660"/>
            <wp:effectExtent l="0" t="0" r="0" b="0"/>
            <wp:docPr id="24" name="image1.jpg" descr="Balancing Economic Growth and Emission Reductions: Policy Trade-offs in  India's Power Sector Towards Achieving the 2070 Net-Zero Goal | Published  in Journal for Global Business and Community"/>
            <wp:cNvGraphicFramePr/>
            <a:graphic xmlns:a="http://schemas.openxmlformats.org/drawingml/2006/main">
              <a:graphicData uri="http://schemas.openxmlformats.org/drawingml/2006/picture">
                <pic:pic xmlns:pic="http://schemas.openxmlformats.org/drawingml/2006/picture">
                  <pic:nvPicPr>
                    <pic:cNvPr id="0" name="image1.jpg" descr="Balancing Economic Growth and Emission Reductions: Policy Trade-offs in  India's Power Sector Towards Achieving the 2070 Net-Zero Goal | Published  in Journal for Global Business and Community"/>
                    <pic:cNvPicPr preferRelativeResize="0"/>
                  </pic:nvPicPr>
                  <pic:blipFill>
                    <a:blip r:embed="rId10"/>
                    <a:srcRect/>
                    <a:stretch>
                      <a:fillRect/>
                    </a:stretch>
                  </pic:blipFill>
                  <pic:spPr>
                    <a:xfrm>
                      <a:off x="0" y="0"/>
                      <a:ext cx="5490210" cy="2486660"/>
                    </a:xfrm>
                    <a:prstGeom prst="rect">
                      <a:avLst/>
                    </a:prstGeom>
                    <a:ln/>
                  </pic:spPr>
                </pic:pic>
              </a:graphicData>
            </a:graphic>
          </wp:inline>
        </w:drawing>
      </w:r>
    </w:p>
    <w:p w14:paraId="2037B8E5" w14:textId="77777777" w:rsidR="007575B8" w:rsidRPr="0048631F" w:rsidRDefault="004D78AD" w:rsidP="00024BB0">
      <w:pPr>
        <w:pStyle w:val="Heading4"/>
        <w:rPr>
          <w:rFonts w:ascii="Arial" w:hAnsi="Arial" w:cs="Arial"/>
        </w:rPr>
      </w:pPr>
      <w:bookmarkStart w:id="8" w:name="_heading=h.ilg99zvf3o17" w:colFirst="0" w:colLast="0"/>
      <w:bookmarkStart w:id="9" w:name="_Toc235889274"/>
      <w:bookmarkEnd w:id="8"/>
      <w:r w:rsidRPr="0048631F">
        <w:rPr>
          <w:rFonts w:ascii="Arial" w:hAnsi="Arial" w:cs="Arial"/>
        </w:rPr>
        <w:t>Figure 1.1: Historical Trend in Global Carbon Dioxide</w:t>
      </w:r>
      <w:bookmarkEnd w:id="9"/>
    </w:p>
    <w:p w14:paraId="14BCF133" w14:textId="77777777" w:rsidR="007575B8" w:rsidRPr="0048631F" w:rsidRDefault="004D78AD" w:rsidP="00024BB0">
      <w:pPr>
        <w:jc w:val="center"/>
        <w:rPr>
          <w:rFonts w:ascii="Arial" w:hAnsi="Arial" w:cs="Arial"/>
        </w:rPr>
      </w:pPr>
      <w:r w:rsidRPr="0048631F">
        <w:rPr>
          <w:rFonts w:ascii="Arial" w:hAnsi="Arial" w:cs="Arial"/>
        </w:rPr>
        <w:t>(Source: JGBC, 2025)</w:t>
      </w:r>
    </w:p>
    <w:p w14:paraId="2F7DFA5C" w14:textId="77777777" w:rsidR="007575B8" w:rsidRPr="0048631F" w:rsidRDefault="004D78AD" w:rsidP="00024BB0">
      <w:pPr>
        <w:rPr>
          <w:rFonts w:ascii="Arial" w:hAnsi="Arial" w:cs="Arial"/>
        </w:rPr>
      </w:pPr>
      <w:r w:rsidRPr="0048631F">
        <w:rPr>
          <w:rFonts w:ascii="Arial" w:hAnsi="Arial" w:cs="Arial"/>
        </w:rPr>
        <w:t xml:space="preserve">As Marete and Zakharov (2025) described, the way sustainability reporting has been framed within the airport and aviation sector has shifted from the concept of Corporate Social Responsibility (CSR) in general to the ESG (environmental, social, and governance) framework with measurable indicators for the environment, social, and governance. Toivanen (2025), for instance, observes that airlines are increasingly taking steps to curb emissions through carbon-neutral measures, such as the modernisation of their fleets, sustainable aviation fuel (SAF), and fuel-efficient operations. India is expected to have a total of 520 million aviation passengers per year by 2037, which further demands sustainability measures (Deloitte 2025). India aims to introduce a 5% target for SAF use by 2030, bolstering aviation sustainability policies (IMPRI, 2025). As India's robust carrier, IndiGo has undertaken several </w:t>
      </w:r>
      <w:r w:rsidRPr="0048631F">
        <w:rPr>
          <w:rFonts w:ascii="Arial" w:hAnsi="Arial" w:cs="Arial"/>
        </w:rPr>
        <w:lastRenderedPageBreak/>
        <w:t>sustainability efforts and launched some ESG disclosure for enhancing its environmental efficiency.</w:t>
      </w:r>
    </w:p>
    <w:p w14:paraId="0EFA642E" w14:textId="77777777" w:rsidR="007575B8" w:rsidRPr="0048631F" w:rsidRDefault="004D78AD" w:rsidP="00024BB0">
      <w:pPr>
        <w:pStyle w:val="Heading2"/>
        <w:rPr>
          <w:rFonts w:ascii="Arial" w:hAnsi="Arial" w:cs="Arial"/>
        </w:rPr>
      </w:pPr>
      <w:bookmarkStart w:id="10" w:name="_Toc235889285"/>
      <w:r w:rsidRPr="0048631F">
        <w:rPr>
          <w:rFonts w:ascii="Arial" w:hAnsi="Arial" w:cs="Arial"/>
        </w:rPr>
        <w:t>1.2 Research Aim</w:t>
      </w:r>
      <w:bookmarkEnd w:id="10"/>
    </w:p>
    <w:p w14:paraId="36E1FA80" w14:textId="77777777" w:rsidR="007575B8" w:rsidRPr="0048631F" w:rsidRDefault="004D78AD" w:rsidP="00024BB0">
      <w:pPr>
        <w:rPr>
          <w:rFonts w:ascii="Arial" w:hAnsi="Arial" w:cs="Arial"/>
        </w:rPr>
      </w:pPr>
      <w:r w:rsidRPr="0048631F">
        <w:rPr>
          <w:rFonts w:ascii="Arial" w:hAnsi="Arial" w:cs="Arial"/>
        </w:rPr>
        <w:t>The main aim of this research is to critically analyse the relationship between ESG disclosures and actual carbon footprint reductions in IndiGo within the Indian airline industry. This study is designed to measure for how much the sustainability information given in ESG reports is truly indicative of the decarbonisation performance and environmental benefits of the operations.</w:t>
      </w:r>
    </w:p>
    <w:p w14:paraId="1653C669" w14:textId="77777777" w:rsidR="007575B8" w:rsidRPr="0048631F" w:rsidRDefault="004D78AD" w:rsidP="00024BB0">
      <w:pPr>
        <w:pStyle w:val="Heading2"/>
        <w:rPr>
          <w:rFonts w:ascii="Arial" w:hAnsi="Arial" w:cs="Arial"/>
        </w:rPr>
      </w:pPr>
      <w:bookmarkStart w:id="11" w:name="_Toc235889286"/>
      <w:r w:rsidRPr="0048631F">
        <w:rPr>
          <w:rFonts w:ascii="Arial" w:hAnsi="Arial" w:cs="Arial"/>
        </w:rPr>
        <w:t>1.3 Research Objectives</w:t>
      </w:r>
      <w:bookmarkEnd w:id="11"/>
    </w:p>
    <w:p w14:paraId="26EF6FAE" w14:textId="77777777" w:rsidR="007575B8" w:rsidRPr="0048631F" w:rsidRDefault="004D78AD" w:rsidP="00024BB0">
      <w:pPr>
        <w:numPr>
          <w:ilvl w:val="0"/>
          <w:numId w:val="1"/>
        </w:numPr>
        <w:rPr>
          <w:rFonts w:ascii="Arial" w:hAnsi="Arial" w:cs="Arial"/>
        </w:rPr>
      </w:pPr>
      <w:r w:rsidRPr="0048631F">
        <w:rPr>
          <w:rFonts w:ascii="Arial" w:hAnsi="Arial" w:cs="Arial"/>
        </w:rPr>
        <w:t>To critically review the ESG disclosure frameworks in the Indian aviation industry</w:t>
      </w:r>
    </w:p>
    <w:p w14:paraId="4A9C2F44" w14:textId="77777777" w:rsidR="007575B8" w:rsidRPr="0048631F" w:rsidRDefault="004D78AD" w:rsidP="00024BB0">
      <w:pPr>
        <w:numPr>
          <w:ilvl w:val="0"/>
          <w:numId w:val="1"/>
        </w:numPr>
        <w:rPr>
          <w:rFonts w:ascii="Arial" w:hAnsi="Arial" w:cs="Arial"/>
        </w:rPr>
      </w:pPr>
      <w:r w:rsidRPr="0048631F">
        <w:rPr>
          <w:rFonts w:ascii="Arial" w:hAnsi="Arial" w:cs="Arial"/>
        </w:rPr>
        <w:t>To analyse the ESG reporting patterns of IndiGo in context to scope emissions boundaries, and sustainability claims</w:t>
      </w:r>
    </w:p>
    <w:p w14:paraId="64CE215D" w14:textId="77777777" w:rsidR="007575B8" w:rsidRPr="0048631F" w:rsidRDefault="004D78AD" w:rsidP="00024BB0">
      <w:pPr>
        <w:numPr>
          <w:ilvl w:val="0"/>
          <w:numId w:val="1"/>
        </w:numPr>
        <w:rPr>
          <w:rFonts w:ascii="Arial" w:hAnsi="Arial" w:cs="Arial"/>
        </w:rPr>
      </w:pPr>
      <w:r w:rsidRPr="0048631F">
        <w:rPr>
          <w:rFonts w:ascii="Arial" w:hAnsi="Arial" w:cs="Arial"/>
        </w:rPr>
        <w:t>To analyse ways in which IndiGo presents ESG disclosures in relation to its reported carbon reduction efforts in the Indian aviation industry</w:t>
      </w:r>
    </w:p>
    <w:p w14:paraId="52E2C892" w14:textId="77777777" w:rsidR="007575B8" w:rsidRPr="0048631F" w:rsidRDefault="004D78AD" w:rsidP="00024BB0">
      <w:pPr>
        <w:numPr>
          <w:ilvl w:val="0"/>
          <w:numId w:val="1"/>
        </w:numPr>
        <w:rPr>
          <w:rFonts w:ascii="Arial" w:hAnsi="Arial" w:cs="Arial"/>
        </w:rPr>
      </w:pPr>
      <w:r w:rsidRPr="0048631F">
        <w:rPr>
          <w:rFonts w:ascii="Arial" w:hAnsi="Arial" w:cs="Arial"/>
        </w:rPr>
        <w:t>To propose a strategic framework for Indian airlines to bridge the gap between sustainability compliance and actual carbon reduction, while minimizing the risk of green washing.</w:t>
      </w:r>
    </w:p>
    <w:p w14:paraId="6135766F" w14:textId="77777777" w:rsidR="007575B8" w:rsidRPr="0048631F" w:rsidRDefault="004D78AD" w:rsidP="00024BB0">
      <w:pPr>
        <w:pStyle w:val="Heading2"/>
        <w:rPr>
          <w:rFonts w:ascii="Arial" w:hAnsi="Arial" w:cs="Arial"/>
        </w:rPr>
      </w:pPr>
      <w:bookmarkStart w:id="12" w:name="_Toc235889287"/>
      <w:r w:rsidRPr="0048631F">
        <w:rPr>
          <w:rFonts w:ascii="Arial" w:hAnsi="Arial" w:cs="Arial"/>
        </w:rPr>
        <w:t>1.4 Research Questions</w:t>
      </w:r>
      <w:bookmarkEnd w:id="12"/>
    </w:p>
    <w:p w14:paraId="5B0D61A8" w14:textId="77777777" w:rsidR="007575B8" w:rsidRPr="0048631F" w:rsidRDefault="004D78AD" w:rsidP="00024BB0">
      <w:pPr>
        <w:numPr>
          <w:ilvl w:val="0"/>
          <w:numId w:val="2"/>
        </w:numPr>
        <w:pBdr>
          <w:top w:val="nil"/>
          <w:left w:val="nil"/>
          <w:bottom w:val="nil"/>
          <w:right w:val="nil"/>
          <w:between w:val="nil"/>
        </w:pBdr>
        <w:rPr>
          <w:rFonts w:ascii="Arial" w:hAnsi="Arial" w:cs="Arial"/>
        </w:rPr>
      </w:pPr>
      <w:bookmarkStart w:id="13" w:name="_heading=h.tcwiw3h0l1b3" w:colFirst="0" w:colLast="0"/>
      <w:bookmarkEnd w:id="13"/>
      <w:r w:rsidRPr="0048631F">
        <w:rPr>
          <w:rFonts w:ascii="Arial" w:hAnsi="Arial" w:cs="Arial"/>
        </w:rPr>
        <w:t xml:space="preserve">What is the utility of ESG disclosure frameworks in the Indian aviation industry in terms of scope emissions boundaries, and sustainability claims? </w:t>
      </w:r>
    </w:p>
    <w:p w14:paraId="2B684200" w14:textId="77777777" w:rsidR="007575B8" w:rsidRPr="0048631F" w:rsidRDefault="004D78AD" w:rsidP="00024BB0">
      <w:pPr>
        <w:numPr>
          <w:ilvl w:val="0"/>
          <w:numId w:val="2"/>
        </w:numPr>
        <w:rPr>
          <w:rFonts w:ascii="Arial" w:hAnsi="Arial" w:cs="Arial"/>
        </w:rPr>
      </w:pPr>
      <w:r w:rsidRPr="0048631F">
        <w:rPr>
          <w:rFonts w:ascii="Arial" w:hAnsi="Arial" w:cs="Arial"/>
        </w:rPr>
        <w:t>How IndiGo presents ESG disclosures in relation to its reported carbon reduction efforts in the Indian aviation industry?</w:t>
      </w:r>
    </w:p>
    <w:p w14:paraId="59B8B6EA" w14:textId="77777777" w:rsidR="007575B8" w:rsidRPr="0048631F" w:rsidRDefault="004D78AD" w:rsidP="00024BB0">
      <w:pPr>
        <w:numPr>
          <w:ilvl w:val="0"/>
          <w:numId w:val="2"/>
        </w:numPr>
        <w:rPr>
          <w:rFonts w:ascii="Arial" w:hAnsi="Arial" w:cs="Arial"/>
        </w:rPr>
      </w:pPr>
      <w:r w:rsidRPr="0048631F">
        <w:rPr>
          <w:rFonts w:ascii="Arial" w:hAnsi="Arial" w:cs="Arial"/>
        </w:rPr>
        <w:t>How can Indian airlines like IndiGo Bridge the gap between sustainability compliance and actual carbon reduction, while minimizing the risk of green washing using a strategic framework?</w:t>
      </w:r>
    </w:p>
    <w:p w14:paraId="1E4E22B3" w14:textId="77777777" w:rsidR="007575B8" w:rsidRPr="0048631F" w:rsidRDefault="004D78AD" w:rsidP="00024BB0">
      <w:pPr>
        <w:pStyle w:val="Heading2"/>
        <w:rPr>
          <w:rFonts w:ascii="Arial" w:hAnsi="Arial" w:cs="Arial"/>
        </w:rPr>
      </w:pPr>
      <w:bookmarkStart w:id="14" w:name="_Toc235889288"/>
      <w:r w:rsidRPr="0048631F">
        <w:rPr>
          <w:rFonts w:ascii="Arial" w:hAnsi="Arial" w:cs="Arial"/>
        </w:rPr>
        <w:t>1.5 Significance of the Study</w:t>
      </w:r>
      <w:bookmarkEnd w:id="14"/>
    </w:p>
    <w:p w14:paraId="3695F1E3" w14:textId="77777777" w:rsidR="007575B8" w:rsidRPr="0048631F" w:rsidRDefault="004D78AD" w:rsidP="00024BB0">
      <w:pPr>
        <w:rPr>
          <w:rFonts w:ascii="Arial" w:hAnsi="Arial" w:cs="Arial"/>
        </w:rPr>
      </w:pPr>
      <w:r w:rsidRPr="0048631F">
        <w:rPr>
          <w:rFonts w:ascii="Arial" w:hAnsi="Arial" w:cs="Arial"/>
        </w:rPr>
        <w:t xml:space="preserve">This study is relevant as it helps to gain a better insight into the extent of carbon reduction efforts in India's aviation sector and whether the numbers reported in ESG disclosures represent the actual decrease in carbon emissions. Much of the research so far has concentrated on the financial impact of performing ESG, not the environmental impact. Magnússon (2025) discovered that the financial distress of aviation companies is negatively correlated with their ESG rating. Weber et al. (2025) also reported the financial performance advantage of airlines that score better when it </w:t>
      </w:r>
      <w:r w:rsidRPr="0048631F">
        <w:rPr>
          <w:rFonts w:ascii="Arial" w:hAnsi="Arial" w:cs="Arial"/>
        </w:rPr>
        <w:lastRenderedPageBreak/>
        <w:t>comes to sustainability. A study performed in EU aviation companies shows that the better the ESG performance, the more profit is generated by the company (Zengin, 2025). The importance of this study, therefore, lies in the synthesis of the evidence found concerning environmental performance and the disclosure of these factors by companies, creating a knowledge gap that has been little explored to date.</w:t>
      </w:r>
    </w:p>
    <w:p w14:paraId="316D6888" w14:textId="77777777" w:rsidR="007575B8" w:rsidRPr="0048631F" w:rsidRDefault="004D78AD" w:rsidP="00024BB0">
      <w:pPr>
        <w:pStyle w:val="Heading2"/>
        <w:rPr>
          <w:rFonts w:ascii="Arial" w:hAnsi="Arial" w:cs="Arial"/>
        </w:rPr>
      </w:pPr>
      <w:bookmarkStart w:id="15" w:name="_Toc235889289"/>
      <w:r w:rsidRPr="0048631F">
        <w:rPr>
          <w:rFonts w:ascii="Arial" w:hAnsi="Arial" w:cs="Arial"/>
        </w:rPr>
        <w:t>1.6 Brief Research Methodology</w:t>
      </w:r>
      <w:bookmarkEnd w:id="15"/>
    </w:p>
    <w:p w14:paraId="4D5005CB" w14:textId="4DC20BB1" w:rsidR="007575B8" w:rsidRPr="0048631F" w:rsidRDefault="004D78AD" w:rsidP="00024BB0">
      <w:pPr>
        <w:rPr>
          <w:rFonts w:ascii="Arial" w:hAnsi="Arial" w:cs="Arial"/>
        </w:rPr>
      </w:pPr>
      <w:r w:rsidRPr="0048631F">
        <w:rPr>
          <w:rFonts w:ascii="Arial" w:hAnsi="Arial" w:cs="Arial"/>
        </w:rPr>
        <w:t xml:space="preserve">This study adopts an </w:t>
      </w:r>
      <w:r w:rsidR="00D943BF" w:rsidRPr="0048631F">
        <w:rPr>
          <w:rFonts w:ascii="Arial" w:hAnsi="Arial" w:cs="Arial"/>
        </w:rPr>
        <w:t>interpretivism</w:t>
      </w:r>
      <w:r w:rsidRPr="0048631F">
        <w:rPr>
          <w:rFonts w:ascii="Arial" w:hAnsi="Arial" w:cs="Arial"/>
        </w:rPr>
        <w:t xml:space="preserve"> research philosophy because it seeks to understand and critically interpret existing evidence concerning ESG disclosure and carbon reduction rather than measuring relationships using primary quantitative data. The method of research is inductive research, where the evidence will be obtained from previous research in both academic and industry domains to be further used for constructing a broader understanding of the phenomenon. The research is based on a qualitative research approach with the Systematic Literature Review (SLR) as a research method, which allows for the identification, selection, and critical evaluation of relevant literature in order to elucidate ESG disclosure and environmental sustainability in aviation. Peer-reviewed journal articles, conference proceedings, aviation industry publications, government publications, sustainability reports and corporate ESG reports about IndiGo and the overall aviation sector will be looked at for the secondary data. </w:t>
      </w:r>
    </w:p>
    <w:p w14:paraId="11FB152A" w14:textId="61A34463" w:rsidR="007575B8" w:rsidRPr="0048631F" w:rsidRDefault="004D78AD" w:rsidP="00024BB0">
      <w:pPr>
        <w:rPr>
          <w:rFonts w:ascii="Arial" w:hAnsi="Arial" w:cs="Arial"/>
        </w:rPr>
      </w:pPr>
      <w:r w:rsidRPr="0048631F">
        <w:rPr>
          <w:rFonts w:ascii="Arial" w:hAnsi="Arial" w:cs="Arial"/>
        </w:rPr>
        <w:t xml:space="preserve">Past literary works will be identified systematically using recognised academic databases according to predefined inclusion and exclusion criteria with a view to transparency, reliability and </w:t>
      </w:r>
      <w:r w:rsidR="000D1EE7" w:rsidRPr="0048631F">
        <w:rPr>
          <w:rFonts w:ascii="Arial" w:hAnsi="Arial" w:cs="Arial"/>
        </w:rPr>
        <w:t>reliability</w:t>
      </w:r>
      <w:r w:rsidRPr="0048631F">
        <w:rPr>
          <w:rFonts w:ascii="Arial" w:hAnsi="Arial" w:cs="Arial"/>
        </w:rPr>
        <w:t>. Thematic analysis will be used to search for patterns in the data after it has been collected and to draw parallels between it and the results of previous studies, and how this compares to actual carbon reduction through ESG reporting. Moreover, Goyal (2026) revealed that sustainability disclosures have strong effects on the financial performance of low-cost airlines. However, studies assessing whether disclosures correlate with actual carbon reductions are scarce, including for the Indian aviation industry. An SLR also gives a synthesis from the existing knowledge in a rigorous and evidence-based process and minimises the researcher's bias.</w:t>
      </w:r>
    </w:p>
    <w:p w14:paraId="6867AC9E" w14:textId="77777777" w:rsidR="007575B8" w:rsidRPr="0048631F" w:rsidRDefault="004D78AD" w:rsidP="00024BB0">
      <w:pPr>
        <w:pStyle w:val="Heading2"/>
        <w:rPr>
          <w:rFonts w:ascii="Arial" w:hAnsi="Arial" w:cs="Arial"/>
        </w:rPr>
      </w:pPr>
      <w:bookmarkStart w:id="16" w:name="_Toc235889290"/>
      <w:r w:rsidRPr="0048631F">
        <w:rPr>
          <w:rFonts w:ascii="Arial" w:hAnsi="Arial" w:cs="Arial"/>
        </w:rPr>
        <w:t>1.7 Structure of rest of project</w:t>
      </w:r>
      <w:bookmarkEnd w:id="16"/>
    </w:p>
    <w:p w14:paraId="6C562AB9" w14:textId="77777777" w:rsidR="007575B8" w:rsidRDefault="004D78AD" w:rsidP="00024BB0">
      <w:pPr>
        <w:rPr>
          <w:rFonts w:ascii="Arial" w:hAnsi="Arial" w:cs="Arial"/>
        </w:rPr>
      </w:pPr>
      <w:r w:rsidRPr="0048631F">
        <w:rPr>
          <w:rFonts w:ascii="Arial" w:hAnsi="Arial" w:cs="Arial"/>
        </w:rPr>
        <w:t>This Dissertation is structured in five chapters, which are all geared towards the research aim and objectives.</w:t>
      </w:r>
    </w:p>
    <w:p w14:paraId="6B644BEB" w14:textId="77777777" w:rsidR="00801D4E" w:rsidRPr="0048631F" w:rsidRDefault="00801D4E" w:rsidP="00024BB0">
      <w:pPr>
        <w:rPr>
          <w:rFonts w:ascii="Arial" w:hAnsi="Arial" w:cs="Arial"/>
        </w:rPr>
      </w:pPr>
    </w:p>
    <w:p w14:paraId="40B1E8AD" w14:textId="77777777" w:rsidR="007575B8" w:rsidRPr="00801D4E" w:rsidRDefault="004D78AD" w:rsidP="00024BB0">
      <w:pPr>
        <w:rPr>
          <w:rFonts w:ascii="Arial" w:hAnsi="Arial" w:cs="Arial"/>
          <w:b/>
          <w:bCs/>
          <w:iCs/>
        </w:rPr>
      </w:pPr>
      <w:r w:rsidRPr="00801D4E">
        <w:rPr>
          <w:rFonts w:ascii="Arial" w:hAnsi="Arial" w:cs="Arial"/>
          <w:b/>
          <w:bCs/>
          <w:iCs/>
        </w:rPr>
        <w:lastRenderedPageBreak/>
        <w:t xml:space="preserve">Chapter 1: Introduction </w:t>
      </w:r>
    </w:p>
    <w:p w14:paraId="04381D3A" w14:textId="77777777" w:rsidR="007575B8" w:rsidRPr="0048631F" w:rsidRDefault="004D78AD" w:rsidP="00024BB0">
      <w:pPr>
        <w:rPr>
          <w:rFonts w:ascii="Arial" w:hAnsi="Arial" w:cs="Arial"/>
        </w:rPr>
      </w:pPr>
      <w:r w:rsidRPr="0048631F">
        <w:rPr>
          <w:rFonts w:ascii="Arial" w:hAnsi="Arial" w:cs="Arial"/>
        </w:rPr>
        <w:t>Provides background and problem statement, research aim, research objectives, research questions, significance of the study, brief research methodology, and overall structure of the dissertation to provide context and justification for studying the ESG disclosure and carbon reduction relationship in IndiGo.</w:t>
      </w:r>
    </w:p>
    <w:p w14:paraId="77C5EE84" w14:textId="77777777" w:rsidR="007575B8" w:rsidRPr="00801D4E" w:rsidRDefault="004D78AD" w:rsidP="00024BB0">
      <w:pPr>
        <w:rPr>
          <w:rFonts w:ascii="Arial" w:hAnsi="Arial" w:cs="Arial"/>
          <w:b/>
          <w:bCs/>
          <w:iCs/>
        </w:rPr>
      </w:pPr>
      <w:r w:rsidRPr="00801D4E">
        <w:rPr>
          <w:rFonts w:ascii="Arial" w:hAnsi="Arial" w:cs="Arial"/>
          <w:b/>
          <w:bCs/>
          <w:iCs/>
        </w:rPr>
        <w:t>Chapter 2: Literature Review</w:t>
      </w:r>
    </w:p>
    <w:p w14:paraId="7F5C43D9" w14:textId="77777777" w:rsidR="007575B8" w:rsidRPr="0048631F" w:rsidRDefault="004D78AD" w:rsidP="00024BB0">
      <w:pPr>
        <w:rPr>
          <w:rFonts w:ascii="Arial" w:hAnsi="Arial" w:cs="Arial"/>
        </w:rPr>
      </w:pPr>
      <w:r w:rsidRPr="0048631F">
        <w:rPr>
          <w:rFonts w:ascii="Arial" w:hAnsi="Arial" w:cs="Arial"/>
        </w:rPr>
        <w:t>Critically analyses existing academic and industry literature on the subjects of ESG disclosure, carbon reduction strategies, sustainability reporting and greenwashing, as well as the perspectives of the aviation industry and the influences of regulators. Finally, the chapter reveals certain research gaps and puts forth the concept that has formed the basis of the study.</w:t>
      </w:r>
    </w:p>
    <w:p w14:paraId="11A3CC74" w14:textId="77777777" w:rsidR="007575B8" w:rsidRPr="00801D4E" w:rsidRDefault="004D78AD" w:rsidP="00024BB0">
      <w:pPr>
        <w:rPr>
          <w:rFonts w:ascii="Arial" w:hAnsi="Arial" w:cs="Arial"/>
          <w:b/>
          <w:bCs/>
          <w:iCs/>
        </w:rPr>
      </w:pPr>
      <w:r w:rsidRPr="00801D4E">
        <w:rPr>
          <w:rFonts w:ascii="Arial" w:hAnsi="Arial" w:cs="Arial"/>
          <w:b/>
          <w:bCs/>
          <w:iCs/>
        </w:rPr>
        <w:t xml:space="preserve">Chapter 3: Research Methodology </w:t>
      </w:r>
    </w:p>
    <w:p w14:paraId="53E731EA" w14:textId="77777777" w:rsidR="007575B8" w:rsidRPr="0048631F" w:rsidRDefault="004D78AD" w:rsidP="00024BB0">
      <w:pPr>
        <w:rPr>
          <w:rFonts w:ascii="Arial" w:hAnsi="Arial" w:cs="Arial"/>
        </w:rPr>
      </w:pPr>
      <w:r w:rsidRPr="0048631F">
        <w:rPr>
          <w:rFonts w:ascii="Arial" w:hAnsi="Arial" w:cs="Arial"/>
        </w:rPr>
        <w:t>Provide and explain the research philosophy, research design, research approach, data collection thematic analysis procedure and ethical considerations used to conduct the systematic literature review.</w:t>
      </w:r>
    </w:p>
    <w:p w14:paraId="6772CB8D" w14:textId="77777777" w:rsidR="007575B8" w:rsidRPr="00801D4E" w:rsidRDefault="004D78AD" w:rsidP="00024BB0">
      <w:pPr>
        <w:rPr>
          <w:rFonts w:ascii="Arial" w:hAnsi="Arial" w:cs="Arial"/>
        </w:rPr>
      </w:pPr>
      <w:r w:rsidRPr="00801D4E">
        <w:rPr>
          <w:rFonts w:ascii="Arial" w:hAnsi="Arial" w:cs="Arial"/>
          <w:b/>
          <w:bCs/>
          <w:iCs/>
        </w:rPr>
        <w:t xml:space="preserve">Chapter 4: Findings, Results, Analysis and Discussion </w:t>
      </w:r>
    </w:p>
    <w:p w14:paraId="39F7CF7E" w14:textId="77777777" w:rsidR="007575B8" w:rsidRPr="0048631F" w:rsidRDefault="004D78AD" w:rsidP="00024BB0">
      <w:pPr>
        <w:rPr>
          <w:rFonts w:ascii="Arial" w:hAnsi="Arial" w:cs="Arial"/>
        </w:rPr>
      </w:pPr>
      <w:r w:rsidRPr="0048631F">
        <w:rPr>
          <w:rFonts w:ascii="Arial" w:hAnsi="Arial" w:cs="Arial"/>
        </w:rPr>
        <w:t>Presents findings from a systematic literature review and analyses the themes found and critically discusses them in context with the literature, theory and the research objective.</w:t>
      </w:r>
    </w:p>
    <w:p w14:paraId="72DFE47F" w14:textId="77777777" w:rsidR="007575B8" w:rsidRPr="00801D4E" w:rsidRDefault="004D78AD" w:rsidP="00024BB0">
      <w:pPr>
        <w:rPr>
          <w:rFonts w:ascii="Arial" w:hAnsi="Arial" w:cs="Arial"/>
          <w:b/>
          <w:bCs/>
          <w:iCs/>
        </w:rPr>
      </w:pPr>
      <w:r w:rsidRPr="00801D4E">
        <w:rPr>
          <w:rFonts w:ascii="Arial" w:hAnsi="Arial" w:cs="Arial"/>
          <w:b/>
          <w:bCs/>
          <w:iCs/>
        </w:rPr>
        <w:t xml:space="preserve">Chapter 5: Conclusions and Recommendations </w:t>
      </w:r>
    </w:p>
    <w:p w14:paraId="124DC02B" w14:textId="77777777" w:rsidR="007575B8" w:rsidRPr="0048631F" w:rsidRDefault="004D78AD" w:rsidP="00024BB0">
      <w:pPr>
        <w:rPr>
          <w:rFonts w:ascii="Arial" w:hAnsi="Arial" w:cs="Arial"/>
        </w:rPr>
      </w:pPr>
      <w:r w:rsidRPr="0048631F">
        <w:rPr>
          <w:rFonts w:ascii="Arial" w:hAnsi="Arial" w:cs="Arial"/>
        </w:rPr>
        <w:t>Provides a summary of the results and addresses the research questions, makes theoretical and practical recommendations, identifies respective gaps in the study and provides suggestions for further research in the Indian aviation industry.</w:t>
      </w:r>
    </w:p>
    <w:p w14:paraId="4BD1F7FA" w14:textId="77777777" w:rsidR="007575B8" w:rsidRPr="0048631F" w:rsidRDefault="004D78AD" w:rsidP="00024BB0">
      <w:pPr>
        <w:jc w:val="left"/>
        <w:rPr>
          <w:rFonts w:ascii="Arial" w:hAnsi="Arial" w:cs="Arial"/>
        </w:rPr>
      </w:pPr>
      <w:bookmarkStart w:id="17" w:name="_heading=h.vnivw8x3gg54" w:colFirst="0" w:colLast="0"/>
      <w:bookmarkEnd w:id="17"/>
      <w:r w:rsidRPr="0048631F">
        <w:rPr>
          <w:rFonts w:ascii="Arial" w:hAnsi="Arial" w:cs="Arial"/>
        </w:rPr>
        <w:br w:type="page"/>
      </w:r>
    </w:p>
    <w:p w14:paraId="5123212A" w14:textId="77777777" w:rsidR="007575B8" w:rsidRPr="0048631F" w:rsidRDefault="004D78AD" w:rsidP="00024BB0">
      <w:pPr>
        <w:pStyle w:val="Heading1"/>
        <w:rPr>
          <w:rFonts w:ascii="Arial" w:hAnsi="Arial" w:cs="Arial"/>
        </w:rPr>
      </w:pPr>
      <w:bookmarkStart w:id="18" w:name="_Toc235889291"/>
      <w:r w:rsidRPr="0048631F">
        <w:rPr>
          <w:rFonts w:ascii="Arial" w:hAnsi="Arial" w:cs="Arial"/>
        </w:rPr>
        <w:lastRenderedPageBreak/>
        <w:t>CHAPTER 2: LITERATURE REVIEW</w:t>
      </w:r>
      <w:bookmarkEnd w:id="18"/>
    </w:p>
    <w:p w14:paraId="4BBC1EF3" w14:textId="77777777" w:rsidR="007575B8" w:rsidRPr="0048631F" w:rsidRDefault="004D78AD" w:rsidP="00024BB0">
      <w:pPr>
        <w:pStyle w:val="Heading2"/>
        <w:rPr>
          <w:rFonts w:ascii="Arial" w:hAnsi="Arial" w:cs="Arial"/>
        </w:rPr>
      </w:pPr>
      <w:bookmarkStart w:id="19" w:name="_Toc235889292"/>
      <w:r w:rsidRPr="0048631F">
        <w:rPr>
          <w:rFonts w:ascii="Arial" w:hAnsi="Arial" w:cs="Arial"/>
        </w:rPr>
        <w:t>2.1 Introduction</w:t>
      </w:r>
      <w:bookmarkEnd w:id="19"/>
    </w:p>
    <w:p w14:paraId="0AFC3030" w14:textId="77777777" w:rsidR="007575B8" w:rsidRPr="0048631F" w:rsidRDefault="004D78AD" w:rsidP="00024BB0">
      <w:pPr>
        <w:rPr>
          <w:rFonts w:ascii="Arial" w:hAnsi="Arial" w:cs="Arial"/>
        </w:rPr>
      </w:pPr>
      <w:r w:rsidRPr="0048631F">
        <w:rPr>
          <w:rFonts w:ascii="Arial" w:hAnsi="Arial" w:cs="Arial"/>
        </w:rPr>
        <w:t>This chapter critically examines relevant literature on the role of ESG disclosures and carbon reduction in the aviation industry, especially the Indian aviation industry. The review follows an approach of key themes involving ESG disclosure, Indian aviation industry, ESG reporting patterns, making sustainability claims, managing carbon reductions, sustainability compliance and greenwashing. Existing findings are analysed for each theme in a critical way and the incompleteness is highlighted, considering current industry practice. The chapter also explores some of the key findings in the literature and identifies key research gaps, providing a sound groundwork for examining the link between ESG information and actual environmental performance in the context of IndiGo.</w:t>
      </w:r>
    </w:p>
    <w:p w14:paraId="07D16819" w14:textId="77777777" w:rsidR="007575B8" w:rsidRPr="0048631F" w:rsidRDefault="004D78AD" w:rsidP="00024BB0">
      <w:pPr>
        <w:pStyle w:val="Heading2"/>
        <w:rPr>
          <w:rFonts w:ascii="Arial" w:hAnsi="Arial" w:cs="Arial"/>
        </w:rPr>
      </w:pPr>
      <w:bookmarkStart w:id="20" w:name="_Toc235889293"/>
      <w:r w:rsidRPr="0048631F">
        <w:rPr>
          <w:rFonts w:ascii="Arial" w:hAnsi="Arial" w:cs="Arial"/>
        </w:rPr>
        <w:t>2.2 Research Areas</w:t>
      </w:r>
      <w:bookmarkEnd w:id="20"/>
    </w:p>
    <w:p w14:paraId="07934593" w14:textId="77777777" w:rsidR="007575B8" w:rsidRPr="0048631F" w:rsidRDefault="004D78AD" w:rsidP="00024BB0">
      <w:pPr>
        <w:pStyle w:val="Heading3"/>
        <w:rPr>
          <w:rFonts w:ascii="Arial" w:hAnsi="Arial" w:cs="Arial"/>
        </w:rPr>
      </w:pPr>
      <w:bookmarkStart w:id="21" w:name="_Toc235889294"/>
      <w:r w:rsidRPr="0048631F">
        <w:rPr>
          <w:rFonts w:ascii="Arial" w:hAnsi="Arial" w:cs="Arial"/>
        </w:rPr>
        <w:t>2.2.1 Theme 1: Evolution and Frameworks of ESG Disclosure in the Aviation Industry</w:t>
      </w:r>
      <w:bookmarkEnd w:id="21"/>
    </w:p>
    <w:p w14:paraId="37E0DE9C" w14:textId="77777777" w:rsidR="007575B8" w:rsidRPr="0048631F" w:rsidRDefault="004D78AD" w:rsidP="00024BB0">
      <w:pPr>
        <w:jc w:val="center"/>
        <w:rPr>
          <w:rFonts w:ascii="Arial" w:hAnsi="Arial" w:cs="Arial"/>
        </w:rPr>
      </w:pPr>
      <w:r w:rsidRPr="0048631F">
        <w:rPr>
          <w:rFonts w:ascii="Arial" w:hAnsi="Arial" w:cs="Arial"/>
          <w:noProof/>
        </w:rPr>
        <w:drawing>
          <wp:inline distT="0" distB="0" distL="0" distR="0" wp14:anchorId="619D58BA" wp14:editId="6C61CD6E">
            <wp:extent cx="4976603" cy="2790109"/>
            <wp:effectExtent l="9525" t="9525" r="9525" b="9525"/>
            <wp:docPr id="23" name="image4.jpg" descr="ESG Reporting- history, present and future- A comparative study of India  and United States - IISPPR"/>
            <wp:cNvGraphicFramePr/>
            <a:graphic xmlns:a="http://schemas.openxmlformats.org/drawingml/2006/main">
              <a:graphicData uri="http://schemas.openxmlformats.org/drawingml/2006/picture">
                <pic:pic xmlns:pic="http://schemas.openxmlformats.org/drawingml/2006/picture">
                  <pic:nvPicPr>
                    <pic:cNvPr id="0" name="image4.jpg" descr="ESG Reporting- history, present and future- A comparative study of India  and United States - IISPPR"/>
                    <pic:cNvPicPr preferRelativeResize="0"/>
                  </pic:nvPicPr>
                  <pic:blipFill>
                    <a:blip r:embed="rId11"/>
                    <a:srcRect t="7783"/>
                    <a:stretch>
                      <a:fillRect/>
                    </a:stretch>
                  </pic:blipFill>
                  <pic:spPr>
                    <a:xfrm>
                      <a:off x="0" y="0"/>
                      <a:ext cx="4976603" cy="2790109"/>
                    </a:xfrm>
                    <a:prstGeom prst="rect">
                      <a:avLst/>
                    </a:prstGeom>
                    <a:ln w="9525">
                      <a:solidFill>
                        <a:srgbClr val="000000"/>
                      </a:solidFill>
                      <a:prstDash val="solid"/>
                    </a:ln>
                  </pic:spPr>
                </pic:pic>
              </a:graphicData>
            </a:graphic>
          </wp:inline>
        </w:drawing>
      </w:r>
    </w:p>
    <w:p w14:paraId="48C8E814" w14:textId="77777777" w:rsidR="007575B8" w:rsidRPr="0048631F" w:rsidRDefault="004D78AD" w:rsidP="00024BB0">
      <w:pPr>
        <w:pStyle w:val="Heading4"/>
        <w:rPr>
          <w:rFonts w:ascii="Arial" w:hAnsi="Arial" w:cs="Arial"/>
        </w:rPr>
      </w:pPr>
      <w:bookmarkStart w:id="22" w:name="_heading=h.jxoe3b67wzkx" w:colFirst="0" w:colLast="0"/>
      <w:bookmarkStart w:id="23" w:name="_Toc235889275"/>
      <w:bookmarkEnd w:id="22"/>
      <w:r w:rsidRPr="0048631F">
        <w:rPr>
          <w:rFonts w:ascii="Arial" w:hAnsi="Arial" w:cs="Arial"/>
        </w:rPr>
        <w:t>Figure 2.1: Growth in ESG Reporting by Companies in India, the United States and the Global Average</w:t>
      </w:r>
      <w:bookmarkEnd w:id="23"/>
    </w:p>
    <w:p w14:paraId="5E7C2633" w14:textId="77777777" w:rsidR="007575B8" w:rsidRPr="0048631F" w:rsidRDefault="004D78AD" w:rsidP="00024BB0">
      <w:pPr>
        <w:jc w:val="center"/>
        <w:rPr>
          <w:rFonts w:ascii="Arial" w:hAnsi="Arial" w:cs="Arial"/>
        </w:rPr>
      </w:pPr>
      <w:r w:rsidRPr="0048631F">
        <w:rPr>
          <w:rFonts w:ascii="Arial" w:hAnsi="Arial" w:cs="Arial"/>
        </w:rPr>
        <w:t>(Source: IISPPR, 2025)</w:t>
      </w:r>
    </w:p>
    <w:p w14:paraId="5BD251AF" w14:textId="77777777" w:rsidR="007575B8" w:rsidRPr="0048631F" w:rsidRDefault="004D78AD" w:rsidP="00024BB0">
      <w:pPr>
        <w:rPr>
          <w:rFonts w:ascii="Arial" w:hAnsi="Arial" w:cs="Arial"/>
        </w:rPr>
      </w:pPr>
      <w:r w:rsidRPr="0048631F">
        <w:rPr>
          <w:rFonts w:ascii="Arial" w:hAnsi="Arial" w:cs="Arial"/>
        </w:rPr>
        <w:t xml:space="preserve">The graph reveals that ESG reporting has been steadily growing from 2010 to 2023. In 2010, around 500 companies reported on ESG, while in 2023 it reached 9,500 companies in the United States (US), 9,000 companies on average globally, and 3,000 companies in India (IISPPR, 2025). As a global sector, aviation has undergone a sea change in terms of environmental reporting due to the increased focus on sustainable </w:t>
      </w:r>
      <w:r w:rsidRPr="0048631F">
        <w:rPr>
          <w:rFonts w:ascii="Arial" w:hAnsi="Arial" w:cs="Arial"/>
        </w:rPr>
        <w:lastRenderedPageBreak/>
        <w:t xml:space="preserve">business practices. In the beginning, the main attention of airlines was given to financial reporting, with environmental-related projects reported mainly in corporate social responsibility (CSR) reports that are published voluntarily. Public attention on climate change, investor requests and regulation have, however, pushed the focus of organisations towards making a full disclosure on their ESG performance. Modern ESG standards call for organisations to have tangible sustainability achievements, not just sustainability declarations, to increase transparency and corporate accountability. The bonding of sustainability with legitimacy has emerged as a vital issue in the management of firms in general, and particularly in the airline industry. Koparan and Çıtak (2025) contend that airlines that take the environment seriously perform better in financial terms, since being known as a company that acts in an environmentally responsible manner generates trust among stakeholders and increases the competitiveness of the organisation. Their work suggests that the environmental disclosure contributes to the strengthening of the company's reputation and, as a demonstration of responsible behaviour in operation, supports the arguments of the Legitimacy Theory. </w:t>
      </w:r>
    </w:p>
    <w:p w14:paraId="2E949AA4" w14:textId="77777777" w:rsidR="007575B8" w:rsidRPr="00801D4E" w:rsidRDefault="004D78AD" w:rsidP="00024BB0">
      <w:pPr>
        <w:rPr>
          <w:rFonts w:ascii="Arial" w:hAnsi="Arial" w:cs="Arial"/>
          <w:b/>
          <w:bCs/>
          <w:iCs/>
        </w:rPr>
      </w:pPr>
      <w:r w:rsidRPr="00801D4E">
        <w:rPr>
          <w:rFonts w:ascii="Arial" w:hAnsi="Arial" w:cs="Arial"/>
          <w:b/>
          <w:bCs/>
          <w:iCs/>
        </w:rPr>
        <w:t>The Indian Aviation Industry, ESG Reporting Patterns, Sustainability Claims, Carbon Reduction, Sustainability Compliance and Greenwashing</w:t>
      </w:r>
    </w:p>
    <w:p w14:paraId="15FD46EB" w14:textId="77777777" w:rsidR="007575B8" w:rsidRPr="0048631F" w:rsidRDefault="004D78AD" w:rsidP="00024BB0">
      <w:pPr>
        <w:rPr>
          <w:rFonts w:ascii="Arial" w:hAnsi="Arial" w:cs="Arial"/>
        </w:rPr>
      </w:pPr>
      <w:r w:rsidRPr="0048631F">
        <w:rPr>
          <w:rFonts w:ascii="Arial" w:hAnsi="Arial" w:cs="Arial"/>
        </w:rPr>
        <w:t>The aviation sector of India has grown at a great speed in the past ten years, which poses a huge environmental problem that places pressure on airlines to boost their sustainability score. As India's biggest airline, IndiGo has introduced ESG reporting to communicate its environment and reduction efforts towards carbon emissions. The adoption of ESG reporting has progressed beyond simple sustainability reporting to more formalised, emissions-centric and stakeholder engagement and governance accounting and environmental performance. However, the level of reporting quality and transparency is still variable among the airlines, making it difficult to compare the results of the airlines' sustainability performance.</w:t>
      </w:r>
    </w:p>
    <w:p w14:paraId="309667D5" w14:textId="75FBD98B" w:rsidR="007575B8" w:rsidRPr="0048631F" w:rsidRDefault="004D78AD" w:rsidP="00024BB0">
      <w:pPr>
        <w:rPr>
          <w:rFonts w:ascii="Arial" w:hAnsi="Arial" w:cs="Arial"/>
        </w:rPr>
      </w:pPr>
      <w:r w:rsidRPr="0048631F">
        <w:rPr>
          <w:rFonts w:ascii="Arial" w:hAnsi="Arial" w:cs="Arial"/>
        </w:rPr>
        <w:t xml:space="preserve">Sustainability is a frequently mentioned part of airline ESG reports, with special focus on fleet modernisation and fuel-efficient flying, the use and adoption of SAFs, and on digital optimisation projects. The disclosures serve as evidence of their commitment to the environment and to enhance stakeholder confidence. However, there are questions whether sustainability commitments are backed by tangible and measurable environmental changes. According to Mintah et al. (2026), enhanced governance is, in general, associated with higher depths of sustainability disclosures, but the quality </w:t>
      </w:r>
      <w:r w:rsidRPr="0048631F">
        <w:rPr>
          <w:rFonts w:ascii="Arial" w:hAnsi="Arial" w:cs="Arial"/>
        </w:rPr>
        <w:lastRenderedPageBreak/>
        <w:t xml:space="preserve">of these disclosures does not necessarily decline the greenhouse gas emissions. One of the most significant sustainability issues for the aviation industry continues to be the reduction of carbon. To meet sustainability goals and minimize emissions, airlines continue to invest in efforts to optimize operations, cleaner technologies and fleet modernization. Environmentally sustainable airlines have been found to have better operational efficiency and financial performance compared with less sustainable airlines, as Kaffash et al. (2026) highlighted. Likewise, environmental programs are highly effective in delivering positive outcomes to the organisation when there are effective governance systems and the capital of relationships (Lu </w:t>
      </w:r>
      <w:r w:rsidR="00CB6A49" w:rsidRPr="0048631F">
        <w:rPr>
          <w:rFonts w:ascii="Arial" w:hAnsi="Arial" w:cs="Arial"/>
        </w:rPr>
        <w:t>et al.</w:t>
      </w:r>
      <w:r w:rsidRPr="0048631F">
        <w:rPr>
          <w:rFonts w:ascii="Arial" w:hAnsi="Arial" w:cs="Arial"/>
        </w:rPr>
        <w:t xml:space="preserve"> 2025). In spite of the progress towards sustainability compliance, greenwashing is still a significant problem in the aviation industry. Further, there were significant shifts in practice in the sustainability reporting after the Covid-19 pandemic, particularly regarding stakeholder engagement and operational resilience among the airlines, with fewer investments in large-scale decarbonisation initiatives (Mintah and Gulko, 2025). </w:t>
      </w:r>
    </w:p>
    <w:p w14:paraId="151A34A4" w14:textId="77777777" w:rsidR="007575B8" w:rsidRPr="00801D4E" w:rsidRDefault="004D78AD" w:rsidP="00024BB0">
      <w:pPr>
        <w:rPr>
          <w:rFonts w:ascii="Arial" w:hAnsi="Arial" w:cs="Arial"/>
          <w:b/>
          <w:bCs/>
          <w:iCs/>
        </w:rPr>
      </w:pPr>
      <w:r w:rsidRPr="00801D4E">
        <w:rPr>
          <w:rFonts w:ascii="Arial" w:hAnsi="Arial" w:cs="Arial"/>
          <w:b/>
          <w:bCs/>
          <w:iCs/>
        </w:rPr>
        <w:t>ESG Disclosure Effectiveness and Stakeholder Perceptions</w:t>
      </w:r>
    </w:p>
    <w:p w14:paraId="29623E63" w14:textId="77777777" w:rsidR="007575B8" w:rsidRPr="0048631F" w:rsidRDefault="004D78AD" w:rsidP="00024BB0">
      <w:pPr>
        <w:rPr>
          <w:rFonts w:ascii="Arial" w:hAnsi="Arial" w:cs="Arial"/>
        </w:rPr>
      </w:pPr>
      <w:r w:rsidRPr="0048631F">
        <w:rPr>
          <w:rFonts w:ascii="Arial" w:hAnsi="Arial" w:cs="Arial"/>
        </w:rPr>
        <w:t>ESG disclosure effectiveness relies on stakeholder perceptions more and more. Setälä et al. (2025) studied airline sustainability signalling via social media and discovered that stakeholders engage in assessing organisational sustainability claims, rather than just taking their word for it. There was a general correlation between positive responses and transparency of communication with credible environmental information. On the other hand, there was scepticism and a loss of trust within organisations when the sustainability claims were vague. These results show that useful ESG reporting also requires the credibility and consistency of, and verification for, the information disclosed. Although significant strides have been made in sustainability reporting, there are key gaps in current disclosure frameworks. It is further suggested that airline emission disclosures tend to be on the thin line between being substantial environmental accountability and symbolic communication (Poppi, 2025). Some of the airlines have ambitious plans for carbon reduction, but offer little information on the actual carbon reductions that are achieved in their operations.</w:t>
      </w:r>
    </w:p>
    <w:p w14:paraId="39002864" w14:textId="77777777" w:rsidR="007575B8" w:rsidRPr="0048631F" w:rsidRDefault="004D78AD" w:rsidP="00024BB0">
      <w:pPr>
        <w:pStyle w:val="Heading3"/>
        <w:rPr>
          <w:rFonts w:ascii="Arial" w:hAnsi="Arial" w:cs="Arial"/>
        </w:rPr>
      </w:pPr>
      <w:bookmarkStart w:id="24" w:name="_Toc235889295"/>
      <w:r w:rsidRPr="0048631F">
        <w:rPr>
          <w:rFonts w:ascii="Arial" w:hAnsi="Arial" w:cs="Arial"/>
        </w:rPr>
        <w:lastRenderedPageBreak/>
        <w:t>2.2.2 Theme 2: Carbon Reduction Strategies and Decarbonisation in the Airline</w:t>
      </w:r>
      <w:bookmarkEnd w:id="24"/>
    </w:p>
    <w:p w14:paraId="561A68A8" w14:textId="77777777" w:rsidR="007575B8" w:rsidRPr="0048631F" w:rsidRDefault="004D78AD" w:rsidP="00024BB0">
      <w:pPr>
        <w:jc w:val="center"/>
        <w:rPr>
          <w:rFonts w:ascii="Arial" w:hAnsi="Arial" w:cs="Arial"/>
        </w:rPr>
      </w:pPr>
      <w:r w:rsidRPr="0048631F">
        <w:rPr>
          <w:rFonts w:ascii="Arial" w:hAnsi="Arial" w:cs="Arial"/>
          <w:noProof/>
        </w:rPr>
        <w:drawing>
          <wp:inline distT="0" distB="0" distL="0" distR="0" wp14:anchorId="7F12EA72" wp14:editId="13B9106D">
            <wp:extent cx="5746383" cy="2817205"/>
            <wp:effectExtent l="9525" t="9525" r="9525" b="9525"/>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t="11449" b="8215"/>
                    <a:stretch>
                      <a:fillRect/>
                    </a:stretch>
                  </pic:blipFill>
                  <pic:spPr>
                    <a:xfrm>
                      <a:off x="0" y="0"/>
                      <a:ext cx="5746383" cy="2817205"/>
                    </a:xfrm>
                    <a:prstGeom prst="rect">
                      <a:avLst/>
                    </a:prstGeom>
                    <a:ln w="9525">
                      <a:solidFill>
                        <a:srgbClr val="000000"/>
                      </a:solidFill>
                      <a:prstDash val="solid"/>
                    </a:ln>
                  </pic:spPr>
                </pic:pic>
              </a:graphicData>
            </a:graphic>
          </wp:inline>
        </w:drawing>
      </w:r>
    </w:p>
    <w:p w14:paraId="4E2DD730" w14:textId="77777777" w:rsidR="007575B8" w:rsidRPr="0048631F" w:rsidRDefault="004D78AD" w:rsidP="00024BB0">
      <w:pPr>
        <w:pStyle w:val="Heading4"/>
        <w:rPr>
          <w:rFonts w:ascii="Arial" w:hAnsi="Arial" w:cs="Arial"/>
        </w:rPr>
      </w:pPr>
      <w:bookmarkStart w:id="25" w:name="_heading=h.srnccu7br1rc" w:colFirst="0" w:colLast="0"/>
      <w:bookmarkStart w:id="26" w:name="_Toc235889276"/>
      <w:bookmarkEnd w:id="25"/>
      <w:r w:rsidRPr="0048631F">
        <w:rPr>
          <w:rFonts w:ascii="Arial" w:hAnsi="Arial" w:cs="Arial"/>
        </w:rPr>
        <w:t>Figure 2.2: Annual Growth Rate of India's CO</w:t>
      </w:r>
      <w:r w:rsidRPr="0048631F">
        <w:rPr>
          <w:rFonts w:ascii="Cambria Math" w:hAnsi="Cambria Math" w:cs="Cambria Math"/>
        </w:rPr>
        <w:t>₂</w:t>
      </w:r>
      <w:r w:rsidRPr="0048631F">
        <w:rPr>
          <w:rFonts w:ascii="Arial" w:hAnsi="Arial" w:cs="Arial"/>
        </w:rPr>
        <w:t xml:space="preserve"> Emissions</w:t>
      </w:r>
      <w:bookmarkEnd w:id="26"/>
    </w:p>
    <w:p w14:paraId="4FA52454" w14:textId="77777777" w:rsidR="007575B8" w:rsidRPr="0048631F" w:rsidRDefault="004D78AD" w:rsidP="00024BB0">
      <w:pPr>
        <w:jc w:val="center"/>
        <w:rPr>
          <w:rFonts w:ascii="Arial" w:hAnsi="Arial" w:cs="Arial"/>
        </w:rPr>
      </w:pPr>
      <w:r w:rsidRPr="0048631F">
        <w:rPr>
          <w:rFonts w:ascii="Arial" w:hAnsi="Arial" w:cs="Arial"/>
        </w:rPr>
        <w:t>(Source: CB, 2025)</w:t>
      </w:r>
    </w:p>
    <w:p w14:paraId="0D6F86D5" w14:textId="77777777" w:rsidR="007575B8" w:rsidRPr="0048631F" w:rsidRDefault="004D78AD" w:rsidP="00024BB0">
      <w:pPr>
        <w:rPr>
          <w:rFonts w:ascii="Arial" w:hAnsi="Arial" w:cs="Arial"/>
        </w:rPr>
      </w:pPr>
      <w:r w:rsidRPr="0048631F">
        <w:rPr>
          <w:rFonts w:ascii="Arial" w:hAnsi="Arial" w:cs="Arial"/>
        </w:rPr>
        <w:t>According to the above figure, India's emissions growth ranged from roughly 1% to 11.5% for the 34 years from 1992 to 2025, and dropped by 6.7% in 2020, but rose by 11.5% in 2021, before easing to near 0.7% in 2025, (CB, 2025). Carbon reduction goals have been pushed increasingly to the top of the agenda by the aviation industry as governments, investors and society continue to call for tangible steps towards the aim of achieving ‘net zero'. It is the airlines' duty to develop operational and technological measures to reduce GHGs as much as possible without being unable to compete economically. Decarbonisation is thus now a strategic aim that includes fleet modernisation, optimisation, and fleet management, sustainable aviation fuel (SAF) projects or initiatives related to the circular economy and digital innovations. Despite the contribution of these strategies to environmental sustainability, the existing literature implies that the effectiveness of these strategies varies as per technological capability, regulatory sources offered and organisations' commitment.</w:t>
      </w:r>
    </w:p>
    <w:p w14:paraId="0A944477" w14:textId="77777777" w:rsidR="007575B8" w:rsidRPr="00942D94" w:rsidRDefault="004D78AD" w:rsidP="00024BB0">
      <w:pPr>
        <w:rPr>
          <w:rFonts w:ascii="Arial" w:hAnsi="Arial" w:cs="Arial"/>
          <w:b/>
          <w:bCs/>
          <w:iCs/>
        </w:rPr>
      </w:pPr>
      <w:r w:rsidRPr="00942D94">
        <w:rPr>
          <w:rFonts w:ascii="Arial" w:hAnsi="Arial" w:cs="Arial"/>
          <w:b/>
          <w:bCs/>
          <w:iCs/>
        </w:rPr>
        <w:t>Decarbonisation Strategies and Sustainability Governance in the Aviation Industry</w:t>
      </w:r>
    </w:p>
    <w:p w14:paraId="75134DB6" w14:textId="77777777" w:rsidR="007575B8" w:rsidRPr="0048631F" w:rsidRDefault="004D78AD" w:rsidP="00024BB0">
      <w:pPr>
        <w:rPr>
          <w:rFonts w:ascii="Arial" w:hAnsi="Arial" w:cs="Arial"/>
        </w:rPr>
      </w:pPr>
      <w:r w:rsidRPr="0048631F">
        <w:rPr>
          <w:rFonts w:ascii="Arial" w:hAnsi="Arial" w:cs="Arial"/>
        </w:rPr>
        <w:t xml:space="preserve">One of the most successful decarbonisation measures implemented by airlines, and recently the most noticeable, is fleet modernisation. Fuel-efficient aircraft replace ageing aircraft, which will help reduce fuel consumption, reduce operational emissions and increase overall efficiency. According to Sales et al. (2025), incorporating circular </w:t>
      </w:r>
      <w:r w:rsidRPr="0048631F">
        <w:rPr>
          <w:rFonts w:ascii="Arial" w:hAnsi="Arial" w:cs="Arial"/>
        </w:rPr>
        <w:lastRenderedPageBreak/>
        <w:t>economy principles in the aircraft production, maintenance, and recycling process substantially boosts the sustainability performance across the aviation value chain. Their research highlights the environmental benefits of prolonging the lifespan of aircraft components and recovering valuable resources in the process. However, for the circular economy to happen, significant investment is needed, and cooperation between manufacturers, suppliers and airlines is required. Thus, while promoting circularity can have long-term consequences for the environment, doing so is still challenged by economic and operational aspects.</w:t>
      </w:r>
    </w:p>
    <w:p w14:paraId="00994013" w14:textId="77777777" w:rsidR="007575B8" w:rsidRPr="0048631F" w:rsidRDefault="004D78AD" w:rsidP="00024BB0">
      <w:pPr>
        <w:rPr>
          <w:rFonts w:ascii="Arial" w:hAnsi="Arial" w:cs="Arial"/>
        </w:rPr>
      </w:pPr>
      <w:r w:rsidRPr="0048631F">
        <w:rPr>
          <w:rFonts w:ascii="Arial" w:hAnsi="Arial" w:cs="Arial"/>
        </w:rPr>
        <w:t>It is also true that having good sustainability communication makes decarbonisation policies more effective. In fact, Bini and Fissi (2025) analysed the readability of corporate sustainability stories and concluded that in times of uncertainty, organisations tend to simplify or strategically present the sustainability information. They have found that when a sustainability report is straightforward, they enhance the understanding of stakeholders and the credibility of the organisation, while a complex or not very straightforward reporting decreases transparency. However, better communication doesn't necessarily mean better environmental action as organisations can communicate better about sustainability even if they are not making a proportionate change in their operations. This restriction makes it essential to consider the impacts of the carbon reductions that are measured, and, complementary, the quality of the narrative disclosure. The incorporation of ESG performance in corporate governance and executive decision-making has also been growing. Cregan et al (2025) describe why many organisations are now introducing ESG (Environmental, Social, and Governance) metrics in their executive rewards programs to incentivise more environmental stewardship. Tie pay to sustainability goals to incentivise leadership to focus on environmental issues, and it can help make sustainability more of a long-term strategic objective.</w:t>
      </w:r>
    </w:p>
    <w:p w14:paraId="123BBD3F" w14:textId="4C4AC58D" w:rsidR="007575B8" w:rsidRPr="00942D94" w:rsidRDefault="004D78AD" w:rsidP="00024BB0">
      <w:pPr>
        <w:rPr>
          <w:rFonts w:ascii="Arial" w:hAnsi="Arial" w:cs="Arial"/>
          <w:b/>
          <w:bCs/>
          <w:iCs/>
        </w:rPr>
      </w:pPr>
      <w:r w:rsidRPr="00942D94">
        <w:rPr>
          <w:rFonts w:ascii="Arial" w:hAnsi="Arial" w:cs="Arial"/>
          <w:b/>
          <w:bCs/>
          <w:iCs/>
        </w:rPr>
        <w:t xml:space="preserve">Decarbonisation </w:t>
      </w:r>
      <w:r w:rsidR="00942D94" w:rsidRPr="00942D94">
        <w:rPr>
          <w:rFonts w:ascii="Arial" w:hAnsi="Arial" w:cs="Arial"/>
          <w:b/>
          <w:bCs/>
          <w:iCs/>
        </w:rPr>
        <w:t>through</w:t>
      </w:r>
      <w:r w:rsidRPr="00942D94">
        <w:rPr>
          <w:rFonts w:ascii="Arial" w:hAnsi="Arial" w:cs="Arial"/>
          <w:b/>
          <w:bCs/>
          <w:iCs/>
        </w:rPr>
        <w:t xml:space="preserve"> Artificial Intelligence and Technological Innovation in Aviation</w:t>
      </w:r>
    </w:p>
    <w:p w14:paraId="18D7D10A" w14:textId="77777777" w:rsidR="007575B8" w:rsidRPr="0048631F" w:rsidRDefault="004D78AD" w:rsidP="00024BB0">
      <w:pPr>
        <w:rPr>
          <w:rFonts w:ascii="Arial" w:hAnsi="Arial" w:cs="Arial"/>
        </w:rPr>
      </w:pPr>
      <w:r w:rsidRPr="0048631F">
        <w:rPr>
          <w:rFonts w:ascii="Arial" w:hAnsi="Arial" w:cs="Arial"/>
        </w:rPr>
        <w:t xml:space="preserve">There is also a significant technological step needed in order to achieve decarbonisation in aviation. More recently, industry evidence has shown that sustainable aviation fuel (SAF), hydrogen-powered aircraft and electric propulsion technologies are viable long-term solutions in order to mitigate aviation emissions. Technological development depends, however, on production capacity, the facilities available and investment costs. By 2050, the total contribution of SAF to the </w:t>
      </w:r>
      <w:r w:rsidRPr="0048631F">
        <w:rPr>
          <w:rFonts w:ascii="Arial" w:hAnsi="Arial" w:cs="Arial"/>
        </w:rPr>
        <w:lastRenderedPageBreak/>
        <w:t xml:space="preserve">consumption of aviation fuels is expected to be only about 45% (SF, 2025). Hence, for the time being, airlines still rely heavily on the improvement of their operational efficiency until new propulsion technologies are developed. Other important ways of reducing emissions without immediate technological change are operational optimisation. Fuel savings up to 10% can be achieved through operational measures, which will reduce emissions without significant capital investment (IATA, 2025). </w:t>
      </w:r>
    </w:p>
    <w:p w14:paraId="2A7B1FA0" w14:textId="77777777" w:rsidR="007575B8" w:rsidRPr="0048631F" w:rsidRDefault="004D78AD" w:rsidP="00024BB0">
      <w:pPr>
        <w:rPr>
          <w:rFonts w:ascii="Arial" w:hAnsi="Arial" w:cs="Arial"/>
        </w:rPr>
      </w:pPr>
      <w:r w:rsidRPr="0048631F">
        <w:rPr>
          <w:rFonts w:ascii="Arial" w:hAnsi="Arial" w:cs="Arial"/>
        </w:rPr>
        <w:t>AI is proving to be a useful instrument to aid aviation sustainability. MoghadasNian (2025) suggests that AI-powered inventory optimization optimises airline logistics by cutting down on the waste of transporting and storing unnecessary inventory, advancing maintenance planning, and boosting operational efficiency. These enhancements help to reduce fuel consumption and environmental effects indirectly due to the more efficient use of resources. While there are huge potential gains for AI to be used to improve sustainability performance, this study also notes that a high quality of data, digital infrastructure and organisational readiness are essential for successful implementation. This could potentially make it more difficult for smaller airlines to implement AI-powered sustainability solutions if they make the decision to do so. There is also evidence to show that carbon reduction programmes are strongly linked to company competitiveness. Innovation in the field of aviation and environmental protection can lead to more, deeper, and stable confidence from all stakeholders, a higher operational resilience and better long-term market positions for the airlines.</w:t>
      </w:r>
    </w:p>
    <w:p w14:paraId="5078F4AF" w14:textId="77777777" w:rsidR="007575B8" w:rsidRPr="0048631F" w:rsidRDefault="004D78AD" w:rsidP="00024BB0">
      <w:pPr>
        <w:rPr>
          <w:rFonts w:ascii="Arial" w:hAnsi="Arial" w:cs="Arial"/>
        </w:rPr>
      </w:pPr>
      <w:r w:rsidRPr="0048631F">
        <w:rPr>
          <w:rFonts w:ascii="Arial" w:hAnsi="Arial" w:cs="Arial"/>
        </w:rPr>
        <w:t xml:space="preserve">Even as there is an increasing investment in sustainability initiatives, the task of achieving aviation decarbonisation is still a complex challenge. The sector continues to be a significant contributor to energy-related CO2 emissions, accounting for about 2.5% of global emissions, based on current industry figures (IEA, 2025). More than 35 sustainable aviation technologies are helping to decarbonise every aircraft through SAF, hydrogen, electrification and concepts such as digital optimisation (Adopter, 2026). All these developments underscore the progress made but also the magnitude of the change needed. In general, the literature shows that a multi-fold approach is needed for the reduction of carbon in the aircraft industry which includes not only technological innovation and operational efficiency but also practices of circular economy as well as good governance and sustainability communication. Despite the significant strides made in fleet modernisation, AI, and operational management, there </w:t>
      </w:r>
      <w:r w:rsidRPr="0048631F">
        <w:rPr>
          <w:rFonts w:ascii="Arial" w:hAnsi="Arial" w:cs="Arial"/>
        </w:rPr>
        <w:lastRenderedPageBreak/>
        <w:t xml:space="preserve">are still critical constraints in the technology they have at their disposal, the cost of implementation, and the ability to measure the actual environmental results. </w:t>
      </w:r>
    </w:p>
    <w:p w14:paraId="4B4FBE92" w14:textId="77777777" w:rsidR="007575B8" w:rsidRPr="0048631F" w:rsidRDefault="004D78AD" w:rsidP="00024BB0">
      <w:pPr>
        <w:pStyle w:val="Heading3"/>
        <w:rPr>
          <w:rFonts w:ascii="Arial" w:hAnsi="Arial" w:cs="Arial"/>
        </w:rPr>
      </w:pPr>
      <w:bookmarkStart w:id="27" w:name="_Toc235889296"/>
      <w:r w:rsidRPr="0048631F">
        <w:rPr>
          <w:rFonts w:ascii="Arial" w:hAnsi="Arial" w:cs="Arial"/>
        </w:rPr>
        <w:t>2.2.3 Theme 3: ESG Disclosure and Actual Carbon Reduction Performance</w:t>
      </w:r>
      <w:bookmarkEnd w:id="27"/>
    </w:p>
    <w:p w14:paraId="4D4EB2DE" w14:textId="77777777" w:rsidR="007575B8" w:rsidRPr="0048631F" w:rsidRDefault="004D78AD" w:rsidP="00024BB0">
      <w:pPr>
        <w:rPr>
          <w:rFonts w:ascii="Arial" w:hAnsi="Arial" w:cs="Arial"/>
        </w:rPr>
      </w:pPr>
      <w:r w:rsidRPr="0048631F">
        <w:rPr>
          <w:rFonts w:ascii="Arial" w:hAnsi="Arial" w:cs="Arial"/>
        </w:rPr>
        <w:t>ESG disclosure has now emerged as a key tool for airlines to portray their commitment to the environment to stakeholders. However, there has been a growing focus away from the number of sustainability disclosures and toward whether sustainability disclosures accurately reflect measurable carbon reduction performance. The literature shows that detailed ESG reporting may improve organisational transparency and confidence of investors, but the evidence of whether disclosure leads to actual environmental improvements is still not conclusive. This has created an increasing academic appeal in looking at the disclosure–performance relationship for the aviation industry. Environmental indicators in the sustainability reporting of companies have become more and more a part of corporate sustainability reporting in recent years, such as emissions of greenhouse gases, fuel efficiency, and carbon reduction goals. Longston et al. (2025) uncovered that the more robust the ESG disclosure, the better the corporate financial performance of organisations in the selected Asian economies. The authors state that disclosure of sustainability improves stakeholders' confidence and the organisation's reputation. The study, though, mostly looks at monetary returns and not at whether or not declared environmental programmes lead to tangible climate change reductions. Therefore, better disclosure of ESG should not be seen as necessarily equivalent to better ESG performance.</w:t>
      </w:r>
    </w:p>
    <w:p w14:paraId="5F30C198" w14:textId="77777777" w:rsidR="007575B8" w:rsidRPr="001A6BA7" w:rsidRDefault="004D78AD" w:rsidP="00024BB0">
      <w:pPr>
        <w:rPr>
          <w:rFonts w:ascii="Arial" w:hAnsi="Arial" w:cs="Arial"/>
          <w:b/>
          <w:bCs/>
          <w:iCs/>
        </w:rPr>
      </w:pPr>
      <w:r w:rsidRPr="001A6BA7">
        <w:rPr>
          <w:rFonts w:ascii="Arial" w:hAnsi="Arial" w:cs="Arial"/>
          <w:b/>
          <w:bCs/>
          <w:iCs/>
        </w:rPr>
        <w:t>Sustainability Reporting: Technology, Assurance and Disclosure Credibility</w:t>
      </w:r>
    </w:p>
    <w:p w14:paraId="6C7FC0FA" w14:textId="7585A211" w:rsidR="007575B8" w:rsidRPr="0048631F" w:rsidRDefault="004D78AD" w:rsidP="00024BB0">
      <w:pPr>
        <w:rPr>
          <w:rFonts w:ascii="Arial" w:hAnsi="Arial" w:cs="Arial"/>
        </w:rPr>
      </w:pPr>
      <w:r w:rsidRPr="0048631F">
        <w:rPr>
          <w:rFonts w:ascii="Arial" w:hAnsi="Arial" w:cs="Arial"/>
        </w:rPr>
        <w:t xml:space="preserve">The nature of sustainability reporting is changing as a result of technological development, which makes the information more credible and of better quality. They highlight that AI can be used to aid sustainability reporting through various functions, such as more accurate reporting data, automating environmental data capturing, and detecting inconsistencies to ensure the completeness of reports. AI-powered reporting tools can help organisations more effectively handle large amounts of environmental data, minimise errors and enhance the reliability of reporting. Notwithstanding these benefits, the authors recognise that while technological advancements cannot be seen as a substitute for an organisation's commitment towards actual carbon reduction. Hence, a good reporting system is still effective in the presence of real environmental action. But the credibility of sustainability disclosure relies on independent verification, as well as the confidence of stakeholders. Organisations that have an investment in </w:t>
      </w:r>
      <w:r w:rsidRPr="0048631F">
        <w:rPr>
          <w:rFonts w:ascii="Arial" w:hAnsi="Arial" w:cs="Arial"/>
        </w:rPr>
        <w:lastRenderedPageBreak/>
        <w:t xml:space="preserve">initiatives to build trust tend to have higher quality sustainability reporting assurance (Krasodomska </w:t>
      </w:r>
      <w:r w:rsidR="00CB6A49" w:rsidRPr="0048631F">
        <w:rPr>
          <w:rFonts w:ascii="Arial" w:hAnsi="Arial" w:cs="Arial"/>
        </w:rPr>
        <w:t>et al.</w:t>
      </w:r>
      <w:r w:rsidRPr="0048631F">
        <w:rPr>
          <w:rFonts w:ascii="Arial" w:hAnsi="Arial" w:cs="Arial"/>
        </w:rPr>
        <w:t xml:space="preserve"> 2025). Confidence by external assurance is achieved as a result of effective external verification (independence) of the disclosures and is higher than that arising from non-audited Sustainability Reports. However, the focus of assurance procedures is mainly on the reporting procedures and not on whether or not environmental initiatives are effective. This leaves externally assured reporting potentially with bold climate strategies, with no evidence of actual climate impact seen through operational emissions reduction.</w:t>
      </w:r>
    </w:p>
    <w:p w14:paraId="7C1B3213" w14:textId="77777777" w:rsidR="007575B8" w:rsidRPr="0048631F" w:rsidRDefault="004D78AD" w:rsidP="00024BB0">
      <w:pPr>
        <w:pStyle w:val="Heading3"/>
        <w:rPr>
          <w:rFonts w:ascii="Arial" w:hAnsi="Arial" w:cs="Arial"/>
        </w:rPr>
      </w:pPr>
      <w:bookmarkStart w:id="28" w:name="_Toc235889297"/>
      <w:r w:rsidRPr="0048631F">
        <w:rPr>
          <w:rFonts w:ascii="Arial" w:hAnsi="Arial" w:cs="Arial"/>
        </w:rPr>
        <w:t>2.2.4 Theme 4: Greenwashing, Legitimacy and Stakeholder Perspectives in Aviation</w:t>
      </w:r>
      <w:bookmarkEnd w:id="28"/>
    </w:p>
    <w:p w14:paraId="3A5CFB76" w14:textId="77777777" w:rsidR="007575B8" w:rsidRPr="0048631F" w:rsidRDefault="004D78AD" w:rsidP="00024BB0">
      <w:pPr>
        <w:rPr>
          <w:rFonts w:ascii="Arial" w:hAnsi="Arial" w:cs="Arial"/>
        </w:rPr>
      </w:pPr>
      <w:r w:rsidRPr="0048631F">
        <w:rPr>
          <w:rFonts w:ascii="Arial" w:hAnsi="Arial" w:cs="Arial"/>
        </w:rPr>
        <w:t>As the number of ESG reports has risen quickly, there is growing worry about "greenwashing" in the aviation sector. Greenwashing can happen when organisations convey a lot more about environmental responsibility than their environmental performance has science to support it. Aviation is one of the least carbon-efficient modes of transport, making the pressure to show its sustainability especially high for the airlines. As such, sustainability communication is intrinsically linked to the organisation's legitimacy, to care for the company's reputation as well as to satisfy the ever-growing expectations of a variety of stakeholders. Organisations have to engage in tangible, not symbolic actions, to be legitimised as now operating in an environmentally friendly manner. Aragón-Correa et al. (2025) proposed that enhanced corporate environmental performance is the function of the interaction of external stakeholders' pressures and internal governance mechanisms. When it comes to the environment, organisational responsibility, effective leadership and regular scrutiny from stakeholders are the 3 main things without which no real progress is possible. However, those with lower regulatory pressures have been more likely to keep stressing sustainability stories in the absence of comparable steps in their operations and will run a greater risk of falling into the ‘greenwash' category.</w:t>
      </w:r>
    </w:p>
    <w:p w14:paraId="1C27C1C0" w14:textId="77777777" w:rsidR="007575B8" w:rsidRPr="0048631F" w:rsidRDefault="004D78AD" w:rsidP="00024BB0">
      <w:pPr>
        <w:rPr>
          <w:rFonts w:ascii="Arial" w:hAnsi="Arial" w:cs="Arial"/>
        </w:rPr>
      </w:pPr>
      <w:r w:rsidRPr="0048631F">
        <w:rPr>
          <w:rFonts w:ascii="Arial" w:hAnsi="Arial" w:cs="Arial"/>
        </w:rPr>
        <w:t xml:space="preserve">Sustainability reporting frameworks used by organisations also affect the confidence in them by the stakeholders. Raimo et al. (2025) put it that the Corporate Sustainability Reporting Directive (CSRD) promotes enhanced consistency in reporting as well as more financial and sustainability reporting as an integrated whole. The idea of the framework is to diminish the information asymmetry as well as boost comparability among organisations. Nevertheless, the authors acknowledge that the wider scope of the reporting requirements also brings with it increased compliance burden, especially </w:t>
      </w:r>
      <w:r w:rsidRPr="0048631F">
        <w:rPr>
          <w:rFonts w:ascii="Arial" w:hAnsi="Arial" w:cs="Arial"/>
        </w:rPr>
        <w:lastRenderedPageBreak/>
        <w:t xml:space="preserve">for organisations lacking in the capability to report on sustainability. The trust of stakeholders in corporate sustainability communication is steadily growing, and so is the reliance on credible sustainability communication. Amran et al. (2026) concluded that reporting of sustainability positively affects corporate reputation and the performance of the organisation with the help of an independent third-party assurance. Verified sustainability reports can build up trust from stakeholders as they will give a greater certainty for environmental claims. </w:t>
      </w:r>
    </w:p>
    <w:p w14:paraId="3C409B19" w14:textId="77777777" w:rsidR="007575B8" w:rsidRPr="0048631F" w:rsidRDefault="004D78AD" w:rsidP="00024BB0">
      <w:pPr>
        <w:rPr>
          <w:rFonts w:ascii="Arial" w:hAnsi="Arial" w:cs="Arial"/>
        </w:rPr>
      </w:pPr>
      <w:r w:rsidRPr="0048631F">
        <w:rPr>
          <w:rFonts w:ascii="Arial" w:hAnsi="Arial" w:cs="Arial"/>
        </w:rPr>
        <w:t>Another major concern in the present times associated with sustainability reporting is materiality. Dunfjäll (2025) maintained that the recent regulation of reports has become an imperative for organisations in a world that calls for them to disclose the most pertinent sustainability aspects and challenges that are most material to their environment and stakeholders. Materiality-based reporting focuses on key impacts on the environment, such as carbon emissions and the risks associated with climate change that affect the reporting organisation, and adds to greater transparency. Interpretation of material issues requires managerial judgement, however, and there may be a risk of organisations emphasising positive environmental performance while underreporting. In general, the literature argues that reporting of sustainability is much enhanced throughout the aviation industry due to legitimacy and the trust from stakeholders and regulatory requirements.</w:t>
      </w:r>
    </w:p>
    <w:p w14:paraId="158AD857" w14:textId="77777777" w:rsidR="007575B8" w:rsidRPr="0048631F" w:rsidRDefault="004D78AD" w:rsidP="00024BB0">
      <w:pPr>
        <w:pStyle w:val="Heading3"/>
        <w:rPr>
          <w:rFonts w:ascii="Arial" w:hAnsi="Arial" w:cs="Arial"/>
        </w:rPr>
      </w:pPr>
      <w:bookmarkStart w:id="29" w:name="_Toc235889298"/>
      <w:r w:rsidRPr="0048631F">
        <w:rPr>
          <w:rFonts w:ascii="Arial" w:hAnsi="Arial" w:cs="Arial"/>
        </w:rPr>
        <w:t>2.2.5 Theme 5: Regulatory and Governance Drivers of ESG Disclosure and Carbon Reduction in the Aviation Industry</w:t>
      </w:r>
      <w:bookmarkEnd w:id="29"/>
    </w:p>
    <w:p w14:paraId="0A9A354F" w14:textId="77777777" w:rsidR="007575B8" w:rsidRPr="0048631F" w:rsidRDefault="004D78AD" w:rsidP="00024BB0">
      <w:pPr>
        <w:jc w:val="center"/>
        <w:rPr>
          <w:rFonts w:ascii="Arial" w:hAnsi="Arial" w:cs="Arial"/>
        </w:rPr>
      </w:pPr>
      <w:r w:rsidRPr="0048631F">
        <w:rPr>
          <w:rFonts w:ascii="Arial" w:hAnsi="Arial" w:cs="Arial"/>
          <w:noProof/>
        </w:rPr>
        <w:drawing>
          <wp:inline distT="0" distB="0" distL="0" distR="0" wp14:anchorId="3DB7E690" wp14:editId="5314E84B">
            <wp:extent cx="3734014" cy="2361356"/>
            <wp:effectExtent l="0" t="0" r="0" b="0"/>
            <wp:docPr id="25" name="image5.png" descr="Number of ESG regulations | Download Scientific Diagram"/>
            <wp:cNvGraphicFramePr/>
            <a:graphic xmlns:a="http://schemas.openxmlformats.org/drawingml/2006/main">
              <a:graphicData uri="http://schemas.openxmlformats.org/drawingml/2006/picture">
                <pic:pic xmlns:pic="http://schemas.openxmlformats.org/drawingml/2006/picture">
                  <pic:nvPicPr>
                    <pic:cNvPr id="0" name="image5.png" descr="Number of ESG regulations | Download Scientific Diagram"/>
                    <pic:cNvPicPr preferRelativeResize="0"/>
                  </pic:nvPicPr>
                  <pic:blipFill>
                    <a:blip r:embed="rId13"/>
                    <a:srcRect/>
                    <a:stretch>
                      <a:fillRect/>
                    </a:stretch>
                  </pic:blipFill>
                  <pic:spPr>
                    <a:xfrm>
                      <a:off x="0" y="0"/>
                      <a:ext cx="3734014" cy="2361356"/>
                    </a:xfrm>
                    <a:prstGeom prst="rect">
                      <a:avLst/>
                    </a:prstGeom>
                    <a:ln/>
                  </pic:spPr>
                </pic:pic>
              </a:graphicData>
            </a:graphic>
          </wp:inline>
        </w:drawing>
      </w:r>
    </w:p>
    <w:p w14:paraId="58FBD7E9" w14:textId="77777777" w:rsidR="007575B8" w:rsidRPr="0048631F" w:rsidRDefault="004D78AD" w:rsidP="00024BB0">
      <w:pPr>
        <w:pStyle w:val="Heading4"/>
        <w:rPr>
          <w:rFonts w:ascii="Arial" w:hAnsi="Arial" w:cs="Arial"/>
        </w:rPr>
      </w:pPr>
      <w:bookmarkStart w:id="30" w:name="_heading=h.x7rv3tanaxbi" w:colFirst="0" w:colLast="0"/>
      <w:bookmarkStart w:id="31" w:name="_Toc235889277"/>
      <w:bookmarkEnd w:id="30"/>
      <w:r w:rsidRPr="0048631F">
        <w:rPr>
          <w:rFonts w:ascii="Arial" w:hAnsi="Arial" w:cs="Arial"/>
        </w:rPr>
        <w:t>Figure 2.3: Growth of ESG-Related Regulations across Major Global Regions</w:t>
      </w:r>
      <w:bookmarkEnd w:id="31"/>
    </w:p>
    <w:p w14:paraId="5096F909" w14:textId="77777777" w:rsidR="007575B8" w:rsidRPr="0048631F" w:rsidRDefault="004D78AD" w:rsidP="00024BB0">
      <w:pPr>
        <w:jc w:val="center"/>
        <w:rPr>
          <w:rFonts w:ascii="Arial" w:hAnsi="Arial" w:cs="Arial"/>
        </w:rPr>
      </w:pPr>
      <w:r w:rsidRPr="0048631F">
        <w:rPr>
          <w:rFonts w:ascii="Arial" w:hAnsi="Arial" w:cs="Arial"/>
        </w:rPr>
        <w:t>(Source: RG, 2025)</w:t>
      </w:r>
    </w:p>
    <w:p w14:paraId="4ADC9D9E" w14:textId="77777777" w:rsidR="007575B8" w:rsidRPr="0048631F" w:rsidRDefault="004D78AD" w:rsidP="00024BB0">
      <w:pPr>
        <w:rPr>
          <w:rFonts w:ascii="Arial" w:hAnsi="Arial" w:cs="Arial"/>
        </w:rPr>
      </w:pPr>
      <w:r w:rsidRPr="0048631F">
        <w:rPr>
          <w:rFonts w:ascii="Arial" w:hAnsi="Arial" w:cs="Arial"/>
        </w:rPr>
        <w:lastRenderedPageBreak/>
        <w:t xml:space="preserve">As understood from figure 2.3, there is a rising demand for aviation ESG disclosure from the market, driven by growing regulation, stakeholder expectations, investor demands, and corporate accountability. The above figure shows that the number of ESG related regulations worldwide has increased significantly, with Europe having the highest number of sustainability regulations followed by Asia, Latin America and North America (RG, 2025). As a result, airlines are increasingly being urged to provide more detailed ESG information to show their dedication to environmental and carbon reduction solutions and provide more open and transparent disclosures. </w:t>
      </w:r>
    </w:p>
    <w:p w14:paraId="0C979DF4" w14:textId="77777777" w:rsidR="007575B8" w:rsidRPr="0092504C" w:rsidRDefault="004D78AD" w:rsidP="00024BB0">
      <w:pPr>
        <w:rPr>
          <w:rFonts w:ascii="Arial" w:hAnsi="Arial" w:cs="Arial"/>
          <w:b/>
          <w:bCs/>
          <w:iCs/>
        </w:rPr>
      </w:pPr>
      <w:r w:rsidRPr="0092504C">
        <w:rPr>
          <w:rFonts w:ascii="Arial" w:hAnsi="Arial" w:cs="Arial"/>
          <w:b/>
          <w:bCs/>
          <w:iCs/>
        </w:rPr>
        <w:t>Regulatory Drivers of ESG Disclosure</w:t>
      </w:r>
    </w:p>
    <w:p w14:paraId="2F934E2B" w14:textId="77777777" w:rsidR="007575B8" w:rsidRPr="0048631F" w:rsidRDefault="004D78AD" w:rsidP="00024BB0">
      <w:pPr>
        <w:rPr>
          <w:rFonts w:ascii="Arial" w:hAnsi="Arial" w:cs="Arial"/>
        </w:rPr>
      </w:pPr>
      <w:r w:rsidRPr="0048631F">
        <w:rPr>
          <w:rFonts w:ascii="Arial" w:hAnsi="Arial" w:cs="Arial"/>
        </w:rPr>
        <w:t>Europe has 176 ESG regulations, followed by Asia, Latin America and North America (Timextender, 2025). Regulators and governments, along with international organisations, have enacted more and more stringent regulations on sustainability reporting, thereby boosting transparency and facilitating decarbonisation in aviation. These rules push airlines to align environmental disclosures as well as boost accountability towards investors and other stakeholders. In the literature, however, there are many examples and suggestions that the regulation compliance does not necessarily lead to environmental results, especially because organisations can concentrate on adhering to the reporting requirements while failing to make genuine carbon cuts.</w:t>
      </w:r>
    </w:p>
    <w:p w14:paraId="412A87C3" w14:textId="77777777" w:rsidR="007575B8" w:rsidRPr="0092504C" w:rsidRDefault="004D78AD" w:rsidP="00024BB0">
      <w:pPr>
        <w:rPr>
          <w:rFonts w:ascii="Arial" w:hAnsi="Arial" w:cs="Arial"/>
          <w:b/>
          <w:bCs/>
          <w:iCs/>
        </w:rPr>
      </w:pPr>
      <w:r w:rsidRPr="0092504C">
        <w:rPr>
          <w:rFonts w:ascii="Arial" w:hAnsi="Arial" w:cs="Arial"/>
          <w:b/>
          <w:bCs/>
          <w:iCs/>
        </w:rPr>
        <w:t>Governance Drivers of ESG Disclosure</w:t>
      </w:r>
    </w:p>
    <w:p w14:paraId="17A709E7" w14:textId="77777777" w:rsidR="007575B8" w:rsidRPr="0048631F" w:rsidRDefault="004D78AD" w:rsidP="00024BB0">
      <w:pPr>
        <w:rPr>
          <w:rFonts w:ascii="Arial" w:hAnsi="Arial" w:cs="Arial"/>
        </w:rPr>
      </w:pPr>
      <w:r w:rsidRPr="0048631F">
        <w:rPr>
          <w:rFonts w:ascii="Arial" w:hAnsi="Arial" w:cs="Arial"/>
        </w:rPr>
        <w:t xml:space="preserve">Corporate governance is a key influence toward ESG disclosure and sustainability performance in aviation. Increasing sustainability efforts became part of the governance process of airlines and helped to improve environmental oversight/ risk management and long-term strategic planning. Aviation industry power players suggest that more than 70% of executives are interested in reporting on ESG to meet investors' requirements and manage climate-related risks (NM, 2025). Good governance frameworks can help to enhance accountability at the Board level, enable investments in sustainability, and help to implement the carbon reduction measures. However, airlines still face the many issues related to the economic pressures, shortage of aircraft, maintenance cost and operational disruption which impact the potential for sustainability. The aviation industry has experienced substantial advances in relation to sustainability. Despite these issues, it has dedicated over 300 aviation sustainability programmes and over 250 green aviation projects for reducing aviation contribution to global decarbonisation, including through cleaner aircraft </w:t>
      </w:r>
      <w:r w:rsidRPr="0048631F">
        <w:rPr>
          <w:rFonts w:ascii="Arial" w:hAnsi="Arial" w:cs="Arial"/>
        </w:rPr>
        <w:lastRenderedPageBreak/>
        <w:t>technologies, operational improvements and sustainable aviation fuels (Statista, 2025).</w:t>
      </w:r>
    </w:p>
    <w:p w14:paraId="7E339005" w14:textId="77777777" w:rsidR="007575B8" w:rsidRPr="0048631F" w:rsidRDefault="004D78AD" w:rsidP="00024BB0">
      <w:pPr>
        <w:pStyle w:val="Heading2"/>
        <w:rPr>
          <w:rFonts w:ascii="Arial" w:hAnsi="Arial" w:cs="Arial"/>
        </w:rPr>
      </w:pPr>
      <w:bookmarkStart w:id="32" w:name="_Toc235889299"/>
      <w:r w:rsidRPr="0048631F">
        <w:rPr>
          <w:rFonts w:ascii="Arial" w:hAnsi="Arial" w:cs="Arial"/>
        </w:rPr>
        <w:t>2.3 Conceptual Framework</w:t>
      </w:r>
      <w:bookmarkEnd w:id="32"/>
    </w:p>
    <w:p w14:paraId="1B291D5C" w14:textId="77777777" w:rsidR="007575B8" w:rsidRPr="0048631F" w:rsidRDefault="004D78AD" w:rsidP="00024BB0">
      <w:pPr>
        <w:jc w:val="center"/>
        <w:rPr>
          <w:rFonts w:ascii="Arial" w:hAnsi="Arial" w:cs="Arial"/>
        </w:rPr>
      </w:pPr>
      <w:r w:rsidRPr="0048631F">
        <w:rPr>
          <w:rFonts w:ascii="Arial" w:hAnsi="Arial" w:cs="Arial"/>
          <w:noProof/>
        </w:rPr>
        <w:drawing>
          <wp:inline distT="114300" distB="114300" distL="114300" distR="114300" wp14:anchorId="6420781C" wp14:editId="4CACB578">
            <wp:extent cx="3492500" cy="6226175"/>
            <wp:effectExtent l="12700" t="12700" r="12700" b="1270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492500" cy="6226175"/>
                    </a:xfrm>
                    <a:prstGeom prst="rect">
                      <a:avLst/>
                    </a:prstGeom>
                    <a:ln w="12700">
                      <a:solidFill>
                        <a:srgbClr val="000000"/>
                      </a:solidFill>
                      <a:prstDash val="solid"/>
                    </a:ln>
                  </pic:spPr>
                </pic:pic>
              </a:graphicData>
            </a:graphic>
          </wp:inline>
        </w:drawing>
      </w:r>
    </w:p>
    <w:p w14:paraId="13580A8C" w14:textId="77777777" w:rsidR="007575B8" w:rsidRPr="0048631F" w:rsidRDefault="004D78AD" w:rsidP="00024BB0">
      <w:pPr>
        <w:pStyle w:val="Heading4"/>
        <w:rPr>
          <w:rFonts w:ascii="Arial" w:hAnsi="Arial" w:cs="Arial"/>
        </w:rPr>
      </w:pPr>
      <w:bookmarkStart w:id="33" w:name="_heading=h.tza31knwqne" w:colFirst="0" w:colLast="0"/>
      <w:bookmarkStart w:id="34" w:name="_Toc235889278"/>
      <w:bookmarkEnd w:id="33"/>
      <w:r w:rsidRPr="0048631F">
        <w:rPr>
          <w:rFonts w:ascii="Arial" w:hAnsi="Arial" w:cs="Arial"/>
        </w:rPr>
        <w:t>Figure 2.4: Conceptual Framework</w:t>
      </w:r>
      <w:bookmarkEnd w:id="34"/>
    </w:p>
    <w:p w14:paraId="33995236" w14:textId="77777777" w:rsidR="007575B8" w:rsidRPr="0048631F" w:rsidRDefault="004D78AD" w:rsidP="00024BB0">
      <w:pPr>
        <w:jc w:val="center"/>
        <w:rPr>
          <w:rFonts w:ascii="Arial" w:hAnsi="Arial" w:cs="Arial"/>
        </w:rPr>
      </w:pPr>
      <w:r w:rsidRPr="0048631F">
        <w:rPr>
          <w:rFonts w:ascii="Arial" w:hAnsi="Arial" w:cs="Arial"/>
        </w:rPr>
        <w:t>(Source: Self-Developed)</w:t>
      </w:r>
    </w:p>
    <w:p w14:paraId="1BF3A1AF" w14:textId="77777777" w:rsidR="007575B8" w:rsidRPr="0092504C" w:rsidRDefault="004D78AD" w:rsidP="00024BB0">
      <w:pPr>
        <w:rPr>
          <w:rFonts w:ascii="Arial" w:hAnsi="Arial" w:cs="Arial"/>
          <w:b/>
          <w:bCs/>
          <w:iCs/>
        </w:rPr>
      </w:pPr>
      <w:r w:rsidRPr="0092504C">
        <w:rPr>
          <w:rFonts w:ascii="Arial" w:hAnsi="Arial" w:cs="Arial"/>
          <w:b/>
          <w:bCs/>
          <w:iCs/>
        </w:rPr>
        <w:t>Conceptual Framework for ESG Disclosure and Carbon Reduction in the Indian Aviation Industry</w:t>
      </w:r>
    </w:p>
    <w:p w14:paraId="6C8E75A9" w14:textId="77777777" w:rsidR="007575B8" w:rsidRPr="0048631F" w:rsidRDefault="004D78AD" w:rsidP="00024BB0">
      <w:pPr>
        <w:rPr>
          <w:rFonts w:ascii="Arial" w:hAnsi="Arial" w:cs="Arial"/>
        </w:rPr>
      </w:pPr>
      <w:r w:rsidRPr="0048631F">
        <w:rPr>
          <w:rFonts w:ascii="Arial" w:hAnsi="Arial" w:cs="Arial"/>
        </w:rPr>
        <w:t xml:space="preserve">The conceptual framework reflects the proposed link between the disclosure of environmental and social factors and carbon reduction in the Indian aviation sector. It </w:t>
      </w:r>
      <w:r w:rsidRPr="0048631F">
        <w:rPr>
          <w:rFonts w:ascii="Arial" w:hAnsi="Arial" w:cs="Arial"/>
        </w:rPr>
        <w:lastRenderedPageBreak/>
        <w:t xml:space="preserve">shows that there is an effect of external pressures related to regulatory positions on the quality of the ESG disclosure, as well as stakeholder expectations and corporate governance. Krasodomska et al. (2025) added that better transparency attracts capital for initiatives to reduce carbon emissions via fleet modernisation, efficient aviation, sustainable aviation fuel and digital optimisation. Effective implementation is correlated with actual carbon reduction and enhances organisational legitimacy. On the other hand, if there is no disclosure, or disclosure does not match environmental performance, a disclosure–performance gap arises. This, in turn, would increase the risk level of greenwashing and decrease the trust level of the stakeholders (Verbruggen and Schuijers, 2025). This study is aimed at developing a conceptual framework to demonstrate the link between ESG disclosure and the actual reduction of carbon emissions within the Indian aviation industry by using IndiGo as one of the study's cases. The framework suggests that external regulatory forces, along with the expectations of different stakeholder groups and corporate governance mechanisms as a whole, have an impact on the ESG disclosures that are adopted by airlines. </w:t>
      </w:r>
    </w:p>
    <w:p w14:paraId="3044D25A" w14:textId="77777777" w:rsidR="007575B8" w:rsidRPr="0092504C" w:rsidRDefault="004D78AD" w:rsidP="00024BB0">
      <w:pPr>
        <w:rPr>
          <w:rFonts w:ascii="Arial" w:hAnsi="Arial" w:cs="Arial"/>
          <w:b/>
          <w:bCs/>
          <w:iCs/>
        </w:rPr>
      </w:pPr>
      <w:r w:rsidRPr="0092504C">
        <w:rPr>
          <w:rFonts w:ascii="Arial" w:hAnsi="Arial" w:cs="Arial"/>
          <w:b/>
          <w:bCs/>
          <w:iCs/>
        </w:rPr>
        <w:t>Components and Relationships of the Conceptual Framework</w:t>
      </w:r>
    </w:p>
    <w:p w14:paraId="5B468735" w14:textId="77777777" w:rsidR="007575B8" w:rsidRPr="0048631F" w:rsidRDefault="004D78AD" w:rsidP="00024BB0">
      <w:pPr>
        <w:rPr>
          <w:rFonts w:ascii="Arial" w:hAnsi="Arial" w:cs="Arial"/>
        </w:rPr>
      </w:pPr>
      <w:r w:rsidRPr="0048631F">
        <w:rPr>
          <w:rFonts w:ascii="Arial" w:hAnsi="Arial" w:cs="Arial"/>
        </w:rPr>
        <w:t>The frame of reference also presumes that tangible measures in the form of fleet modernisation, fuel-efficient operations, sustainable aviation fuel use and digital optimisation are essential for successful carbon reduction. These efficiencies result in tangible reductions in GHG emissions that ultimately equate to better ESG disclosures within credible bounds (Raimo et al. 2025). Where sustainability reporting goes beyond actual environmental performance, a disclosure–performance gap may occur. This, in turn, will make green washing possible and compromise an organisation's legitimacy more likely. Applying the conceptual framework, disclosure of ESG will be the independent construct, whereas the primary outcome will be the carbon reduction performance, and the secondary elements to be included in the conceptual framework are the regulatory pressures, governance quality, and stakeholder expectations. This framework can be used as a means to systematically assess sustainability commitments that are reported and whether this reflects the environmental performance in the Indian aviation industry.</w:t>
      </w:r>
    </w:p>
    <w:p w14:paraId="3BBDE527" w14:textId="77777777" w:rsidR="007575B8" w:rsidRPr="0048631F" w:rsidRDefault="004D78AD" w:rsidP="00024BB0">
      <w:pPr>
        <w:pStyle w:val="Heading2"/>
        <w:rPr>
          <w:rFonts w:ascii="Arial" w:hAnsi="Arial" w:cs="Arial"/>
        </w:rPr>
      </w:pPr>
      <w:bookmarkStart w:id="35" w:name="_Toc235889300"/>
      <w:r w:rsidRPr="0048631F">
        <w:rPr>
          <w:rFonts w:ascii="Arial" w:hAnsi="Arial" w:cs="Arial"/>
        </w:rPr>
        <w:t>2.4 Conclusion of Chapter</w:t>
      </w:r>
      <w:bookmarkEnd w:id="35"/>
    </w:p>
    <w:p w14:paraId="7F0CEE64" w14:textId="77777777" w:rsidR="007575B8" w:rsidRPr="0048631F" w:rsidRDefault="004D78AD" w:rsidP="00024BB0">
      <w:pPr>
        <w:rPr>
          <w:rFonts w:ascii="Arial" w:hAnsi="Arial" w:cs="Arial"/>
        </w:rPr>
      </w:pPr>
      <w:r w:rsidRPr="0048631F">
        <w:rPr>
          <w:rFonts w:ascii="Arial" w:hAnsi="Arial" w:cs="Arial"/>
        </w:rPr>
        <w:t xml:space="preserve">This chapter critically examined the literature on different subjects of ESG disclosure, carbon reduction strategies, environmental performance, greenwashing and the regulatory influence on the aviation industry. The review identified that the </w:t>
      </w:r>
      <w:r w:rsidRPr="0048631F">
        <w:rPr>
          <w:rFonts w:ascii="Arial" w:hAnsi="Arial" w:cs="Arial"/>
        </w:rPr>
        <w:lastRenderedPageBreak/>
        <w:t>environment, social and governance (ESG) reporting landscape has come a long way with growing expectations from stakeholders, better governance systems and a growing number of sustainability regulations. However, there were also signs of ongoing variation in the quality of the sustainability disclosures and how these relate to actual carbon reduction results achieved. Most studies have focused on the advantages of ESG reporting, such as financial and reputation, and only a few have assessed the correlation between the level of disclosure and the environment.</w:t>
      </w:r>
      <w:r w:rsidRPr="0048631F">
        <w:rPr>
          <w:rFonts w:ascii="Arial" w:hAnsi="Arial" w:cs="Arial"/>
        </w:rPr>
        <w:br w:type="page"/>
      </w:r>
    </w:p>
    <w:p w14:paraId="2E2281BE" w14:textId="77777777" w:rsidR="007575B8" w:rsidRPr="0048631F" w:rsidRDefault="004D78AD" w:rsidP="00024BB0">
      <w:pPr>
        <w:pStyle w:val="Heading1"/>
        <w:rPr>
          <w:rFonts w:ascii="Arial" w:hAnsi="Arial" w:cs="Arial"/>
        </w:rPr>
      </w:pPr>
      <w:bookmarkStart w:id="36" w:name="_Toc235889301"/>
      <w:r w:rsidRPr="0048631F">
        <w:rPr>
          <w:rFonts w:ascii="Arial" w:hAnsi="Arial" w:cs="Arial"/>
        </w:rPr>
        <w:lastRenderedPageBreak/>
        <w:t>CHAPTER 3: SYSTEMATIC REVIEW METHODOLOGY</w:t>
      </w:r>
      <w:bookmarkEnd w:id="36"/>
    </w:p>
    <w:p w14:paraId="7CD822F9" w14:textId="77777777" w:rsidR="007575B8" w:rsidRPr="0048631F" w:rsidRDefault="004D78AD" w:rsidP="00024BB0">
      <w:pPr>
        <w:pStyle w:val="Heading2"/>
        <w:rPr>
          <w:rFonts w:ascii="Arial" w:hAnsi="Arial" w:cs="Arial"/>
        </w:rPr>
      </w:pPr>
      <w:bookmarkStart w:id="37" w:name="_Toc235889302"/>
      <w:r w:rsidRPr="0048631F">
        <w:rPr>
          <w:rFonts w:ascii="Arial" w:hAnsi="Arial" w:cs="Arial"/>
        </w:rPr>
        <w:t>3.1 Introduction to Methodology</w:t>
      </w:r>
      <w:bookmarkEnd w:id="37"/>
    </w:p>
    <w:p w14:paraId="0AC29934" w14:textId="73443B1B" w:rsidR="007575B8" w:rsidRPr="0048631F" w:rsidRDefault="004D78AD" w:rsidP="00024BB0">
      <w:pPr>
        <w:rPr>
          <w:rFonts w:ascii="Arial" w:hAnsi="Arial" w:cs="Arial"/>
        </w:rPr>
      </w:pPr>
      <w:r w:rsidRPr="0048631F">
        <w:rPr>
          <w:rFonts w:ascii="Arial" w:hAnsi="Arial" w:cs="Arial"/>
        </w:rPr>
        <w:t xml:space="preserve">The methodological structure adopted for this SLR, which seeks to explore the link between Carbon reduction, and the disclosure of information with regard to the issue of ESG in IndiGo and India's aviation sector, is discussed in this chapter. This chapter explains the research philosophy, research approach, method, research strategy, time concession, and data gathering. It also includes an explanation of the systematic literature review process and the PRISMA screening process, the thematic analysis, the trustworthiness criteria, ethical points, and methodological limitations, all in order to make sure that all the way through the research process, transparency, rigour, credibility, and </w:t>
      </w:r>
      <w:r w:rsidR="004E2739" w:rsidRPr="0048631F">
        <w:rPr>
          <w:rFonts w:ascii="Arial" w:hAnsi="Arial" w:cs="Arial"/>
        </w:rPr>
        <w:t>reliability</w:t>
      </w:r>
      <w:r w:rsidRPr="0048631F">
        <w:rPr>
          <w:rFonts w:ascii="Arial" w:hAnsi="Arial" w:cs="Arial"/>
        </w:rPr>
        <w:t xml:space="preserve"> are maintained.</w:t>
      </w:r>
    </w:p>
    <w:p w14:paraId="667C2559" w14:textId="77777777" w:rsidR="007575B8" w:rsidRPr="0048631F" w:rsidRDefault="004D78AD" w:rsidP="00024BB0">
      <w:pPr>
        <w:pStyle w:val="Heading2"/>
        <w:rPr>
          <w:rFonts w:ascii="Arial" w:hAnsi="Arial" w:cs="Arial"/>
        </w:rPr>
      </w:pPr>
      <w:bookmarkStart w:id="38" w:name="_Toc235889303"/>
      <w:r w:rsidRPr="0048631F">
        <w:rPr>
          <w:rFonts w:ascii="Arial" w:hAnsi="Arial" w:cs="Arial"/>
        </w:rPr>
        <w:t>3.2 Study Design</w:t>
      </w:r>
      <w:bookmarkEnd w:id="38"/>
    </w:p>
    <w:p w14:paraId="43B1AFC8" w14:textId="77777777" w:rsidR="007575B8" w:rsidRPr="0048631F" w:rsidRDefault="004D78AD" w:rsidP="00024BB0">
      <w:pPr>
        <w:jc w:val="center"/>
        <w:rPr>
          <w:rFonts w:ascii="Arial" w:hAnsi="Arial" w:cs="Arial"/>
        </w:rPr>
      </w:pPr>
      <w:r w:rsidRPr="0048631F">
        <w:rPr>
          <w:rFonts w:ascii="Arial" w:hAnsi="Arial" w:cs="Arial"/>
          <w:noProof/>
        </w:rPr>
        <w:drawing>
          <wp:inline distT="0" distB="0" distL="0" distR="0" wp14:anchorId="18BA9AA2" wp14:editId="49CAEAC1">
            <wp:extent cx="5731510" cy="4095115"/>
            <wp:effectExtent l="0" t="0" r="0" b="0"/>
            <wp:docPr id="27" name="image6.png" descr="The Research Onion Explained: Layers, Methodology, and Application -  getitdone experience | Academic Writing Solutions"/>
            <wp:cNvGraphicFramePr/>
            <a:graphic xmlns:a="http://schemas.openxmlformats.org/drawingml/2006/main">
              <a:graphicData uri="http://schemas.openxmlformats.org/drawingml/2006/picture">
                <pic:pic xmlns:pic="http://schemas.openxmlformats.org/drawingml/2006/picture">
                  <pic:nvPicPr>
                    <pic:cNvPr id="0" name="image6.png" descr="The Research Onion Explained: Layers, Methodology, and Application -  getitdone experience | Academic Writing Solutions"/>
                    <pic:cNvPicPr preferRelativeResize="0"/>
                  </pic:nvPicPr>
                  <pic:blipFill>
                    <a:blip r:embed="rId15"/>
                    <a:srcRect/>
                    <a:stretch>
                      <a:fillRect/>
                    </a:stretch>
                  </pic:blipFill>
                  <pic:spPr>
                    <a:xfrm>
                      <a:off x="0" y="0"/>
                      <a:ext cx="5731510" cy="4095115"/>
                    </a:xfrm>
                    <a:prstGeom prst="rect">
                      <a:avLst/>
                    </a:prstGeom>
                    <a:ln/>
                  </pic:spPr>
                </pic:pic>
              </a:graphicData>
            </a:graphic>
          </wp:inline>
        </w:drawing>
      </w:r>
    </w:p>
    <w:p w14:paraId="12B16D71" w14:textId="77777777" w:rsidR="007575B8" w:rsidRPr="0048631F" w:rsidRDefault="004D78AD" w:rsidP="00024BB0">
      <w:pPr>
        <w:pStyle w:val="Heading4"/>
        <w:rPr>
          <w:rFonts w:ascii="Arial" w:hAnsi="Arial" w:cs="Arial"/>
        </w:rPr>
      </w:pPr>
      <w:bookmarkStart w:id="39" w:name="_heading=h.m3xtuxipwafy" w:colFirst="0" w:colLast="0"/>
      <w:bookmarkStart w:id="40" w:name="_Toc235889279"/>
      <w:bookmarkEnd w:id="39"/>
      <w:r w:rsidRPr="0048631F">
        <w:rPr>
          <w:rFonts w:ascii="Arial" w:hAnsi="Arial" w:cs="Arial"/>
        </w:rPr>
        <w:t>Figure 3.1: Research Onion</w:t>
      </w:r>
      <w:bookmarkEnd w:id="40"/>
    </w:p>
    <w:p w14:paraId="3BC03D1A" w14:textId="77777777" w:rsidR="007575B8" w:rsidRPr="0048631F" w:rsidRDefault="004D78AD" w:rsidP="00024BB0">
      <w:pPr>
        <w:jc w:val="center"/>
        <w:rPr>
          <w:rFonts w:ascii="Arial" w:hAnsi="Arial" w:cs="Arial"/>
        </w:rPr>
      </w:pPr>
      <w:r w:rsidRPr="0048631F">
        <w:rPr>
          <w:rFonts w:ascii="Arial" w:hAnsi="Arial" w:cs="Arial"/>
        </w:rPr>
        <w:t>(Source: Saunders et al. 2003)</w:t>
      </w:r>
    </w:p>
    <w:p w14:paraId="58F4D8FF" w14:textId="3C515BE7" w:rsidR="007575B8" w:rsidRPr="0048631F" w:rsidRDefault="004D78AD" w:rsidP="00024BB0">
      <w:pPr>
        <w:rPr>
          <w:rFonts w:ascii="Arial" w:hAnsi="Arial" w:cs="Arial"/>
        </w:rPr>
      </w:pPr>
      <w:r w:rsidRPr="0048631F">
        <w:rPr>
          <w:rFonts w:ascii="Arial" w:hAnsi="Arial" w:cs="Arial"/>
        </w:rPr>
        <w:t xml:space="preserve">Professor Saunders' Research Onion serves as a structured approach to designing and conducting research as it involves a series of methodological decisions. The model is comprised of six inter-related layers: Research Philosophy, Research Approach, Methodological Selection, Research Strategy, Time Perspective, </w:t>
      </w:r>
      <w:r w:rsidR="00E9596A" w:rsidRPr="0048631F">
        <w:rPr>
          <w:rFonts w:ascii="Arial" w:hAnsi="Arial" w:cs="Arial"/>
        </w:rPr>
        <w:t>and Data</w:t>
      </w:r>
      <w:r w:rsidRPr="0048631F">
        <w:rPr>
          <w:rFonts w:ascii="Arial" w:hAnsi="Arial" w:cs="Arial"/>
        </w:rPr>
        <w:t xml:space="preserve"> </w:t>
      </w:r>
      <w:r w:rsidRPr="0048631F">
        <w:rPr>
          <w:rFonts w:ascii="Arial" w:hAnsi="Arial" w:cs="Arial"/>
        </w:rPr>
        <w:lastRenderedPageBreak/>
        <w:t>Collection Methods. The Research Onion ensures that methodological decisions are in harmony with the research goal and goals. In this research the framework was utilized to aid a qualitative systematic literature review on the linkage between aviation carbon reduction and disclosure of ESG. Each of the onion's layers was purposefully chosen and thoroughly described in order to add methodological coherence and uniformity, transparency, credibility and consistency in the research process.</w:t>
      </w:r>
    </w:p>
    <w:p w14:paraId="4435A493" w14:textId="77777777" w:rsidR="007575B8" w:rsidRPr="0048631F" w:rsidRDefault="004D78AD" w:rsidP="00024BB0">
      <w:pPr>
        <w:pStyle w:val="Heading2"/>
        <w:rPr>
          <w:rFonts w:ascii="Arial" w:hAnsi="Arial" w:cs="Arial"/>
        </w:rPr>
      </w:pPr>
      <w:bookmarkStart w:id="41" w:name="_Toc235889304"/>
      <w:r w:rsidRPr="0048631F">
        <w:rPr>
          <w:rFonts w:ascii="Arial" w:hAnsi="Arial" w:cs="Arial"/>
        </w:rPr>
        <w:t>3.3 Research Philosophy</w:t>
      </w:r>
      <w:bookmarkEnd w:id="41"/>
    </w:p>
    <w:p w14:paraId="58F7717E" w14:textId="77777777" w:rsidR="007575B8" w:rsidRPr="0048631F" w:rsidRDefault="004D78AD" w:rsidP="00024BB0">
      <w:pPr>
        <w:rPr>
          <w:rFonts w:ascii="Arial" w:hAnsi="Arial" w:cs="Arial"/>
        </w:rPr>
      </w:pPr>
      <w:r w:rsidRPr="0048631F">
        <w:rPr>
          <w:rFonts w:ascii="Arial" w:hAnsi="Arial" w:cs="Arial"/>
        </w:rPr>
        <w:t>Research philosophy is defined as the approach that outlines the assumptions, beliefs and values that shape the production, interpretation, and use of knowledge in a study. It serves as a pillar on which methodological choices are based, and shapes perspectives on reality and research issues. Importance of philosophical assumption is for consistency of the research objective, data collection method, and data analysis technique. Bayramova and Edwards (2026) state that an appropriate research philosophy increases the credibility and coherence of the research process. Qualitative research adopts several types of philosophies such as positivism and interpretivism as applied to business and management. Positivism takes the view that reality is known and exists independent of the observer, which in turn allows quantitative knowledge, that is, knowledge based on hypothesis testing and the calculation of statistics, to be obtained. In contrast, interpretivism conceptualises reality as a social construction and emphasizes meaning of phenomena, experiences, and perceptions. Positivism aims to find findings that are generalizable based on numbers and statistics, while interpretivism aims to explore context, interpretation and subjective understanding. According to Makateng and Mokala (2025), interpretivism is very applicable in studying the meanings that are socially constructed and organisational communications.</w:t>
      </w:r>
    </w:p>
    <w:p w14:paraId="27C9E3AA" w14:textId="54EBBBD1" w:rsidR="007575B8" w:rsidRPr="0048631F" w:rsidRDefault="004D78AD" w:rsidP="00024BB0">
      <w:pPr>
        <w:rPr>
          <w:rFonts w:ascii="Arial" w:hAnsi="Arial" w:cs="Arial"/>
        </w:rPr>
      </w:pPr>
      <w:r w:rsidRPr="0048631F">
        <w:rPr>
          <w:rFonts w:ascii="Arial" w:hAnsi="Arial" w:cs="Arial"/>
        </w:rPr>
        <w:t xml:space="preserve">The </w:t>
      </w:r>
      <w:r w:rsidR="00D943BF" w:rsidRPr="0048631F">
        <w:rPr>
          <w:rFonts w:ascii="Arial" w:hAnsi="Arial" w:cs="Arial"/>
        </w:rPr>
        <w:t>interpretivism</w:t>
      </w:r>
      <w:r w:rsidRPr="0048631F">
        <w:rPr>
          <w:rFonts w:ascii="Arial" w:hAnsi="Arial" w:cs="Arial"/>
        </w:rPr>
        <w:t xml:space="preserve"> philosophy was chosen because the purpose of this study is to interpret ESG disclosures as they communicate sustainability commitments and as they represent carbon reduction efforts in the aviation industry. The intention for the research is not to test hypotheses, but rather to interpret sustainability narratives and disclosure practices and analyse organisational reporting. Thus, the interpretivism approach is deemed most suitable to reach the research purpose and in support of the design of qualitative systematic literature review.</w:t>
      </w:r>
    </w:p>
    <w:p w14:paraId="072FB206" w14:textId="77777777" w:rsidR="007575B8" w:rsidRPr="0048631F" w:rsidRDefault="004D78AD" w:rsidP="00024BB0">
      <w:pPr>
        <w:pStyle w:val="Heading2"/>
        <w:rPr>
          <w:rFonts w:ascii="Arial" w:hAnsi="Arial" w:cs="Arial"/>
        </w:rPr>
      </w:pPr>
      <w:bookmarkStart w:id="42" w:name="_Toc235889305"/>
      <w:r w:rsidRPr="0048631F">
        <w:rPr>
          <w:rFonts w:ascii="Arial" w:hAnsi="Arial" w:cs="Arial"/>
        </w:rPr>
        <w:lastRenderedPageBreak/>
        <w:t>3.4 Research Approach</w:t>
      </w:r>
      <w:bookmarkEnd w:id="42"/>
    </w:p>
    <w:p w14:paraId="4BCD4BAC" w14:textId="77777777" w:rsidR="007575B8" w:rsidRPr="0048631F" w:rsidRDefault="004D78AD" w:rsidP="00024BB0">
      <w:pPr>
        <w:rPr>
          <w:rFonts w:ascii="Arial" w:hAnsi="Arial" w:cs="Arial"/>
        </w:rPr>
      </w:pPr>
      <w:r w:rsidRPr="0048631F">
        <w:rPr>
          <w:rFonts w:ascii="Arial" w:hAnsi="Arial" w:cs="Arial"/>
        </w:rPr>
        <w:t>Research approach is the way researchers use when they create their knowledge and draw their conclusions from the evidence they gathered in the study. There are two popular methods used for reasoning, one being deductive and the other inductive. A deductive approach starts from the already established theories and hypotheses to test them with the empirical data. An inductive approach involves first noticing and evoking patterns, themes and relationships from observations and evidence, and then developing broader conclusions. Susilawati et al. (2025) found that inductive reasoning facilitates the production of knowledge by systematically interpreting research findings and discovering useful relationships among them.</w:t>
      </w:r>
    </w:p>
    <w:p w14:paraId="1DDCE7DE" w14:textId="77777777" w:rsidR="007575B8" w:rsidRPr="0048631F" w:rsidRDefault="004D78AD" w:rsidP="00024BB0">
      <w:pPr>
        <w:rPr>
          <w:rFonts w:ascii="Arial" w:hAnsi="Arial" w:cs="Arial"/>
        </w:rPr>
      </w:pPr>
      <w:r w:rsidRPr="0048631F">
        <w:rPr>
          <w:rFonts w:ascii="Arial" w:hAnsi="Arial" w:cs="Arial"/>
        </w:rPr>
        <w:t>For this study, the research design is an inductive design as it does not aim to test predetermined hypotheses on the relation of the disclosure of ESG and carbon reduction. Instead, this research seeks to analyse and synthesize current evidence from academic studies, sustainability reports, ESG reports, and industry journalism. The recurring themes and patterns that emerged from the systematic review of secondary sources were synthesised to gain greater understanding of the link between ESG disclosure and carbon reduction practices within the aviation industry. Thus, the use of an inductive approach is believed to be the most appropriate method for conducting the systematic literature review and fulfilling the purpose of the research.</w:t>
      </w:r>
    </w:p>
    <w:p w14:paraId="3EB7F615" w14:textId="77777777" w:rsidR="007575B8" w:rsidRPr="0048631F" w:rsidRDefault="004D78AD" w:rsidP="00024BB0">
      <w:pPr>
        <w:pStyle w:val="Heading2"/>
        <w:rPr>
          <w:rFonts w:ascii="Arial" w:hAnsi="Arial" w:cs="Arial"/>
        </w:rPr>
      </w:pPr>
      <w:bookmarkStart w:id="43" w:name="_Toc235889306"/>
      <w:r w:rsidRPr="0048631F">
        <w:rPr>
          <w:rFonts w:ascii="Arial" w:hAnsi="Arial" w:cs="Arial"/>
        </w:rPr>
        <w:t>3.5 Sources of Data</w:t>
      </w:r>
      <w:bookmarkEnd w:id="43"/>
    </w:p>
    <w:p w14:paraId="32685394" w14:textId="77777777" w:rsidR="007575B8" w:rsidRPr="0048631F" w:rsidRDefault="004D78AD" w:rsidP="00024BB0">
      <w:pPr>
        <w:pStyle w:val="Heading3"/>
        <w:rPr>
          <w:rFonts w:ascii="Arial" w:hAnsi="Arial" w:cs="Arial"/>
        </w:rPr>
      </w:pPr>
      <w:bookmarkStart w:id="44" w:name="_Toc235889307"/>
      <w:r w:rsidRPr="0048631F">
        <w:rPr>
          <w:rFonts w:ascii="Arial" w:hAnsi="Arial" w:cs="Arial"/>
        </w:rPr>
        <w:t>3.5.1 Academic Sources</w:t>
      </w:r>
      <w:bookmarkEnd w:id="44"/>
    </w:p>
    <w:p w14:paraId="675B2756" w14:textId="77777777" w:rsidR="007575B8" w:rsidRPr="0048631F" w:rsidRDefault="004D78AD" w:rsidP="00024BB0">
      <w:pPr>
        <w:rPr>
          <w:rFonts w:ascii="Arial" w:hAnsi="Arial" w:cs="Arial"/>
        </w:rPr>
      </w:pPr>
      <w:r w:rsidRPr="0048631F">
        <w:rPr>
          <w:rFonts w:ascii="Arial" w:hAnsi="Arial" w:cs="Arial"/>
        </w:rPr>
        <w:t xml:space="preserve">Having gathered most data from secondary sources in the form of peer-reviewed academic literature, this study has investigated the link between carbon reduction performance and disclosures in the bearing of ESG principles in the aviation industry of India. Considering that the research applied systematic literature review (SLR), primary data was not considered as more suitable since there was already enough scholarly published evidence available to reference. There is theoretically-based and empirically supported knowledge that can contribute to the critical analysis of sustainability reporting and environmental governance and performance in organisations, which has been conveyed in academic literature. Bayramova and Edwards (2026) assert that selecting data sources is critical in order to be consistent in both methodology and to reach the goals of research. </w:t>
      </w:r>
    </w:p>
    <w:p w14:paraId="2F00EE87" w14:textId="77777777" w:rsidR="007575B8" w:rsidRPr="0048631F" w:rsidRDefault="004D78AD" w:rsidP="00024BB0">
      <w:pPr>
        <w:rPr>
          <w:rFonts w:ascii="Arial" w:hAnsi="Arial" w:cs="Arial"/>
        </w:rPr>
      </w:pPr>
      <w:r w:rsidRPr="0048631F">
        <w:rPr>
          <w:rFonts w:ascii="Arial" w:hAnsi="Arial" w:cs="Arial"/>
        </w:rPr>
        <w:t xml:space="preserve">Likewise, Denscombe (2025) stated that using credible and contextually relevant evidence creates the possibility for the detailed examination of complex issues in </w:t>
      </w:r>
      <w:r w:rsidRPr="0048631F">
        <w:rPr>
          <w:rFonts w:ascii="Arial" w:hAnsi="Arial" w:cs="Arial"/>
        </w:rPr>
        <w:lastRenderedPageBreak/>
        <w:t>organisations for obtaining high quality qualitative research. Knowledge content resources went into the academic sources, which consist of peer-reviewed journal articles, conference papers and scholarly books found in reputable academic databases. The following databases were primarily selected due to their rich collection of relevant literature on environmental management, sustainability reporting, corporate governance and aviation studies; Google Scholar, Scopus, ScienceDirect, SpringerLink, Emerald Insight and Taylor and Francis Online. The databases were chosen due to their ability to deliver quality publications that have undergone a robust peer-review process, in order to ensure the credibility and reliability of the evidence utilised in the study. The literature search was targeted at publications that focused on ESG disclosure, sustainability reporting, carbon reduction, environmental governance, greenwashing, corporate sustainability and environmental performance of airlines. Publications in the two years 2022-2026 were given priority to ensure the review aligned with the latest developments with regards to ESG regulations, to sustainability reporting standards and to decarbonisation strategies in the aviation industry. Only if an older publication offered important theory and/or method background information for the continuation of the research objectives was it included.</w:t>
      </w:r>
    </w:p>
    <w:p w14:paraId="51CB742E" w14:textId="77777777" w:rsidR="007575B8" w:rsidRPr="0048631F" w:rsidRDefault="004D78AD" w:rsidP="00024BB0">
      <w:pPr>
        <w:pStyle w:val="Heading3"/>
        <w:rPr>
          <w:rFonts w:ascii="Arial" w:hAnsi="Arial" w:cs="Arial"/>
        </w:rPr>
      </w:pPr>
      <w:bookmarkStart w:id="45" w:name="_Toc235889308"/>
      <w:r w:rsidRPr="0048631F">
        <w:rPr>
          <w:rFonts w:ascii="Arial" w:hAnsi="Arial" w:cs="Arial"/>
        </w:rPr>
        <w:t>3.5.2 Industry and Organisational Sources</w:t>
      </w:r>
      <w:bookmarkEnd w:id="45"/>
    </w:p>
    <w:p w14:paraId="0534D8F7" w14:textId="77777777" w:rsidR="007575B8" w:rsidRPr="0048631F" w:rsidRDefault="004D78AD" w:rsidP="00024BB0">
      <w:pPr>
        <w:rPr>
          <w:rFonts w:ascii="Arial" w:hAnsi="Arial" w:cs="Arial"/>
        </w:rPr>
      </w:pPr>
      <w:r w:rsidRPr="0048631F">
        <w:rPr>
          <w:rFonts w:ascii="Arial" w:hAnsi="Arial" w:cs="Arial"/>
        </w:rPr>
        <w:t xml:space="preserve">To augment the academic literature, cisterns and documents from industry and organisations were also included in this study, making it more relevant for practice. The secondary evidence was gathered through publically available corporate reports, ESG reports and official publications that offered an insight of ESG implementation within the aviation industry. According to DSilva (2025), sustainability reports are becoming significant sources and tools to assess airline's environmental commitments, particularly in terms of carbon reduction programs, governance and airline's sustainability plans. The key organizational sources were Indigo’s Annual Reports, Sustainability Reports, ESG Reports, Integrated Report and Corporate Governance Reports. Given that the study centres on the IndiGo as a representative focal case organisation looking at the relationship between ESG disclosure and carbon reduction performance, these documents were considered suitable to be used. Further industry data was sourced from aviation organisations, environmental agencies, regulatory bodies and international sustainability organisations' reports. This paperwork gave background information on aviation emissions, airline sustainability policy, reporting requirements, and air environment laws. Both academic and industry </w:t>
      </w:r>
      <w:r w:rsidRPr="0048631F">
        <w:rPr>
          <w:rFonts w:ascii="Arial" w:hAnsi="Arial" w:cs="Arial"/>
        </w:rPr>
        <w:lastRenderedPageBreak/>
        <w:t>sources were included, to be able to compare theory with practice in organisations. This mixture enhanced the systematic review process by assessing published sustainability statements against practical organizational strategies aimed at carbon reduction and ESG reporting.</w:t>
      </w:r>
    </w:p>
    <w:p w14:paraId="57741D72" w14:textId="77777777" w:rsidR="007575B8" w:rsidRPr="0048631F" w:rsidRDefault="004D78AD" w:rsidP="00024BB0">
      <w:pPr>
        <w:pStyle w:val="Heading3"/>
        <w:rPr>
          <w:rFonts w:ascii="Arial" w:hAnsi="Arial" w:cs="Arial"/>
        </w:rPr>
      </w:pPr>
      <w:bookmarkStart w:id="46" w:name="_Toc235889309"/>
      <w:r w:rsidRPr="0048631F">
        <w:rPr>
          <w:rFonts w:ascii="Arial" w:hAnsi="Arial" w:cs="Arial"/>
        </w:rPr>
        <w:t>3.5.3 Source Selection and Quality Assurance</w:t>
      </w:r>
      <w:bookmarkEnd w:id="46"/>
    </w:p>
    <w:p w14:paraId="1C9A9494" w14:textId="77777777" w:rsidR="007575B8" w:rsidRPr="0048631F" w:rsidRDefault="004D78AD" w:rsidP="00024BB0">
      <w:pPr>
        <w:rPr>
          <w:rFonts w:ascii="Arial" w:hAnsi="Arial" w:cs="Arial"/>
        </w:rPr>
      </w:pPr>
      <w:r w:rsidRPr="0048631F">
        <w:rPr>
          <w:rFonts w:ascii="Arial" w:hAnsi="Arial" w:cs="Arial"/>
        </w:rPr>
        <w:t xml:space="preserve">The quality and relevance of secondary sources were ensured, and only top-quality secondary sources were included in the systematic literature review to maintain credibility and reliability. A set of inclusion and exclusion criteria pre-established following the PRISMA guideline adopted during the review were used for source selection. Carter, Tagalik and Ljubicic (2025) argued that a systematic way of selecting the sources also includes a lesser amount of selection bias and that the evidence directly answers the research goals thus enhancing the trustworthiness of the study. Similarly, Jiao (2026) maintained that the methodological reliability of structured validation methods is enhanced by enhancing transparency and consistency in the selection of validity evidence. The chosen sources were obligatory to include either one or more of the following core research themes: ESG disclosure, sustainability reporting, carbon reduction, airline sustainability, environmental governance and greenwashing. Only peer reviewed journal articles and official organisational publications were considered fully reliable and verifiable evidence therefore priority was given. The duplicate publications, studies that did not provide detailed methodological information and studies that did not address the research questions were excluded to assure the quality of the review. A thorough academic literature review and industry documentation allowed a detailed picture to be synthesised of the existing understanding around ESG disclosure and carbon reductions in the aviation sector. Multiple SDS also increased the robustness of the findings by allowing the cross-comparisons of different perspectives and by improving the transparency, reliability and the academic quality of the SLR. </w:t>
      </w:r>
    </w:p>
    <w:p w14:paraId="7142B666" w14:textId="77777777" w:rsidR="007575B8" w:rsidRPr="0048631F" w:rsidRDefault="004D78AD" w:rsidP="00024BB0">
      <w:pPr>
        <w:pStyle w:val="Heading2"/>
        <w:rPr>
          <w:rFonts w:ascii="Arial" w:hAnsi="Arial" w:cs="Arial"/>
        </w:rPr>
      </w:pPr>
      <w:bookmarkStart w:id="47" w:name="_Toc235889310"/>
      <w:r w:rsidRPr="0048631F">
        <w:rPr>
          <w:rFonts w:ascii="Arial" w:hAnsi="Arial" w:cs="Arial"/>
        </w:rPr>
        <w:t>3.6 Research Strategy</w:t>
      </w:r>
      <w:bookmarkEnd w:id="47"/>
    </w:p>
    <w:p w14:paraId="275C4F95" w14:textId="77777777" w:rsidR="007575B8" w:rsidRPr="0048631F" w:rsidRDefault="004D78AD" w:rsidP="00024BB0">
      <w:pPr>
        <w:pStyle w:val="Heading3"/>
        <w:rPr>
          <w:rFonts w:ascii="Arial" w:hAnsi="Arial" w:cs="Arial"/>
        </w:rPr>
      </w:pPr>
      <w:bookmarkStart w:id="48" w:name="_Toc235889311"/>
      <w:r w:rsidRPr="0048631F">
        <w:rPr>
          <w:rFonts w:ascii="Arial" w:hAnsi="Arial" w:cs="Arial"/>
        </w:rPr>
        <w:t>3.6.1 Systematic Literature Review</w:t>
      </w:r>
      <w:bookmarkEnd w:id="48"/>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6"/>
        <w:gridCol w:w="3240"/>
      </w:tblGrid>
      <w:tr w:rsidR="0048631F" w:rsidRPr="0048631F" w14:paraId="5B2039B4" w14:textId="77777777">
        <w:tc>
          <w:tcPr>
            <w:tcW w:w="5776" w:type="dxa"/>
          </w:tcPr>
          <w:p w14:paraId="1B65C998"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Database</w:t>
            </w:r>
          </w:p>
        </w:tc>
        <w:tc>
          <w:tcPr>
            <w:tcW w:w="3240" w:type="dxa"/>
          </w:tcPr>
          <w:p w14:paraId="2AF3841E"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Results</w:t>
            </w:r>
          </w:p>
        </w:tc>
      </w:tr>
      <w:tr w:rsidR="0048631F" w:rsidRPr="0048631F" w14:paraId="2FD1CFDD" w14:textId="77777777">
        <w:tc>
          <w:tcPr>
            <w:tcW w:w="5776" w:type="dxa"/>
          </w:tcPr>
          <w:p w14:paraId="7E52A12D" w14:textId="77777777" w:rsidR="007575B8" w:rsidRPr="0048631F" w:rsidRDefault="004D78AD" w:rsidP="00024BB0">
            <w:pPr>
              <w:spacing w:line="360" w:lineRule="auto"/>
              <w:jc w:val="left"/>
              <w:rPr>
                <w:rFonts w:ascii="Arial" w:hAnsi="Arial" w:cs="Arial"/>
              </w:rPr>
            </w:pPr>
            <w:r w:rsidRPr="0048631F">
              <w:rPr>
                <w:rFonts w:ascii="Arial" w:hAnsi="Arial" w:cs="Arial"/>
              </w:rPr>
              <w:t>Scopus</w:t>
            </w:r>
          </w:p>
        </w:tc>
        <w:tc>
          <w:tcPr>
            <w:tcW w:w="3240" w:type="dxa"/>
          </w:tcPr>
          <w:p w14:paraId="42FE460A" w14:textId="77777777" w:rsidR="007575B8" w:rsidRPr="0048631F" w:rsidRDefault="004D78AD" w:rsidP="00024BB0">
            <w:pPr>
              <w:spacing w:line="360" w:lineRule="auto"/>
              <w:jc w:val="left"/>
              <w:rPr>
                <w:rFonts w:ascii="Arial" w:hAnsi="Arial" w:cs="Arial"/>
              </w:rPr>
            </w:pPr>
            <w:r w:rsidRPr="0048631F">
              <w:rPr>
                <w:rFonts w:ascii="Arial" w:hAnsi="Arial" w:cs="Arial"/>
              </w:rPr>
              <w:t>43</w:t>
            </w:r>
          </w:p>
        </w:tc>
      </w:tr>
      <w:tr w:rsidR="0048631F" w:rsidRPr="0048631F" w14:paraId="2F3ABFAD" w14:textId="77777777">
        <w:tc>
          <w:tcPr>
            <w:tcW w:w="5776" w:type="dxa"/>
          </w:tcPr>
          <w:p w14:paraId="1F203026" w14:textId="77777777" w:rsidR="007575B8" w:rsidRPr="0048631F" w:rsidRDefault="004D78AD" w:rsidP="00024BB0">
            <w:pPr>
              <w:spacing w:line="360" w:lineRule="auto"/>
              <w:jc w:val="left"/>
              <w:rPr>
                <w:rFonts w:ascii="Arial" w:hAnsi="Arial" w:cs="Arial"/>
              </w:rPr>
            </w:pPr>
            <w:r w:rsidRPr="0048631F">
              <w:rPr>
                <w:rFonts w:ascii="Arial" w:hAnsi="Arial" w:cs="Arial"/>
              </w:rPr>
              <w:t>Emerald</w:t>
            </w:r>
          </w:p>
        </w:tc>
        <w:tc>
          <w:tcPr>
            <w:tcW w:w="3240" w:type="dxa"/>
          </w:tcPr>
          <w:p w14:paraId="30E3D3A2" w14:textId="77777777" w:rsidR="007575B8" w:rsidRPr="0048631F" w:rsidRDefault="004D78AD" w:rsidP="00024BB0">
            <w:pPr>
              <w:spacing w:line="360" w:lineRule="auto"/>
              <w:jc w:val="left"/>
              <w:rPr>
                <w:rFonts w:ascii="Arial" w:hAnsi="Arial" w:cs="Arial"/>
              </w:rPr>
            </w:pPr>
            <w:r w:rsidRPr="0048631F">
              <w:rPr>
                <w:rFonts w:ascii="Arial" w:hAnsi="Arial" w:cs="Arial"/>
              </w:rPr>
              <w:t>26</w:t>
            </w:r>
          </w:p>
        </w:tc>
      </w:tr>
      <w:tr w:rsidR="0048631F" w:rsidRPr="0048631F" w14:paraId="3052E483" w14:textId="77777777">
        <w:tc>
          <w:tcPr>
            <w:tcW w:w="5776" w:type="dxa"/>
          </w:tcPr>
          <w:p w14:paraId="7BD810CF" w14:textId="77777777" w:rsidR="007575B8" w:rsidRPr="0048631F" w:rsidRDefault="004D78AD" w:rsidP="00024BB0">
            <w:pPr>
              <w:spacing w:line="360" w:lineRule="auto"/>
              <w:jc w:val="left"/>
              <w:rPr>
                <w:rFonts w:ascii="Arial" w:hAnsi="Arial" w:cs="Arial"/>
              </w:rPr>
            </w:pPr>
            <w:r w:rsidRPr="0048631F">
              <w:rPr>
                <w:rFonts w:ascii="Arial" w:hAnsi="Arial" w:cs="Arial"/>
              </w:rPr>
              <w:t>ScienceDirect</w:t>
            </w:r>
          </w:p>
        </w:tc>
        <w:tc>
          <w:tcPr>
            <w:tcW w:w="3240" w:type="dxa"/>
          </w:tcPr>
          <w:p w14:paraId="2B09C18C" w14:textId="77777777" w:rsidR="007575B8" w:rsidRPr="0048631F" w:rsidRDefault="004D78AD" w:rsidP="00024BB0">
            <w:pPr>
              <w:spacing w:line="360" w:lineRule="auto"/>
              <w:jc w:val="left"/>
              <w:rPr>
                <w:rFonts w:ascii="Arial" w:hAnsi="Arial" w:cs="Arial"/>
              </w:rPr>
            </w:pPr>
            <w:r w:rsidRPr="0048631F">
              <w:rPr>
                <w:rFonts w:ascii="Arial" w:hAnsi="Arial" w:cs="Arial"/>
              </w:rPr>
              <w:t>18</w:t>
            </w:r>
          </w:p>
        </w:tc>
      </w:tr>
      <w:tr w:rsidR="0048631F" w:rsidRPr="0048631F" w14:paraId="6AB1A87B" w14:textId="77777777">
        <w:tc>
          <w:tcPr>
            <w:tcW w:w="5776" w:type="dxa"/>
          </w:tcPr>
          <w:p w14:paraId="77154875"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SpringerLink</w:t>
            </w:r>
          </w:p>
        </w:tc>
        <w:tc>
          <w:tcPr>
            <w:tcW w:w="3240" w:type="dxa"/>
          </w:tcPr>
          <w:p w14:paraId="0689ACAA" w14:textId="77777777" w:rsidR="007575B8" w:rsidRPr="0048631F" w:rsidRDefault="004D78AD" w:rsidP="00024BB0">
            <w:pPr>
              <w:spacing w:line="360" w:lineRule="auto"/>
              <w:jc w:val="left"/>
              <w:rPr>
                <w:rFonts w:ascii="Arial" w:hAnsi="Arial" w:cs="Arial"/>
              </w:rPr>
            </w:pPr>
            <w:r w:rsidRPr="0048631F">
              <w:rPr>
                <w:rFonts w:ascii="Arial" w:hAnsi="Arial" w:cs="Arial"/>
              </w:rPr>
              <w:t>15</w:t>
            </w:r>
          </w:p>
        </w:tc>
      </w:tr>
      <w:tr w:rsidR="0048631F" w:rsidRPr="0048631F" w14:paraId="635547BE" w14:textId="77777777">
        <w:tc>
          <w:tcPr>
            <w:tcW w:w="5776" w:type="dxa"/>
          </w:tcPr>
          <w:p w14:paraId="3C9975C3" w14:textId="77777777" w:rsidR="007575B8" w:rsidRPr="0048631F" w:rsidRDefault="004D78AD" w:rsidP="00024BB0">
            <w:pPr>
              <w:spacing w:line="360" w:lineRule="auto"/>
              <w:jc w:val="left"/>
              <w:rPr>
                <w:rFonts w:ascii="Arial" w:hAnsi="Arial" w:cs="Arial"/>
              </w:rPr>
            </w:pPr>
            <w:r w:rsidRPr="0048631F">
              <w:rPr>
                <w:rFonts w:ascii="Arial" w:hAnsi="Arial" w:cs="Arial"/>
              </w:rPr>
              <w:t>Google Scholar</w:t>
            </w:r>
          </w:p>
        </w:tc>
        <w:tc>
          <w:tcPr>
            <w:tcW w:w="3240" w:type="dxa"/>
          </w:tcPr>
          <w:p w14:paraId="66479613" w14:textId="77777777" w:rsidR="007575B8" w:rsidRPr="0048631F" w:rsidRDefault="004D78AD" w:rsidP="00024BB0">
            <w:pPr>
              <w:spacing w:line="360" w:lineRule="auto"/>
              <w:jc w:val="left"/>
              <w:rPr>
                <w:rFonts w:ascii="Arial" w:hAnsi="Arial" w:cs="Arial"/>
              </w:rPr>
            </w:pPr>
            <w:r w:rsidRPr="0048631F">
              <w:rPr>
                <w:rFonts w:ascii="Arial" w:hAnsi="Arial" w:cs="Arial"/>
              </w:rPr>
              <w:t>18</w:t>
            </w:r>
          </w:p>
        </w:tc>
      </w:tr>
      <w:tr w:rsidR="0048631F" w:rsidRPr="0048631F" w14:paraId="5E09CD8F" w14:textId="77777777">
        <w:tc>
          <w:tcPr>
            <w:tcW w:w="5776" w:type="dxa"/>
          </w:tcPr>
          <w:p w14:paraId="59AE32FE" w14:textId="77777777" w:rsidR="007575B8" w:rsidRPr="0048631F" w:rsidRDefault="004D78AD" w:rsidP="00024BB0">
            <w:pPr>
              <w:spacing w:line="360" w:lineRule="auto"/>
              <w:jc w:val="left"/>
              <w:rPr>
                <w:rFonts w:ascii="Arial" w:hAnsi="Arial" w:cs="Arial"/>
              </w:rPr>
            </w:pPr>
            <w:r w:rsidRPr="0048631F">
              <w:rPr>
                <w:rFonts w:ascii="Arial" w:hAnsi="Arial" w:cs="Arial"/>
              </w:rPr>
              <w:t>Total</w:t>
            </w:r>
          </w:p>
        </w:tc>
        <w:tc>
          <w:tcPr>
            <w:tcW w:w="3240" w:type="dxa"/>
          </w:tcPr>
          <w:p w14:paraId="0AE7147E" w14:textId="77777777" w:rsidR="007575B8" w:rsidRPr="0048631F" w:rsidRDefault="004D78AD" w:rsidP="00024BB0">
            <w:pPr>
              <w:spacing w:line="360" w:lineRule="auto"/>
              <w:jc w:val="left"/>
              <w:rPr>
                <w:rFonts w:ascii="Arial" w:hAnsi="Arial" w:cs="Arial"/>
              </w:rPr>
            </w:pPr>
            <w:r w:rsidRPr="0048631F">
              <w:rPr>
                <w:rFonts w:ascii="Arial" w:hAnsi="Arial" w:cs="Arial"/>
              </w:rPr>
              <w:t>120</w:t>
            </w:r>
          </w:p>
        </w:tc>
      </w:tr>
    </w:tbl>
    <w:p w14:paraId="391FD219" w14:textId="77777777" w:rsidR="007575B8" w:rsidRPr="0048631F" w:rsidRDefault="004D78AD" w:rsidP="00024BB0">
      <w:pPr>
        <w:pStyle w:val="Heading5"/>
        <w:rPr>
          <w:rFonts w:ascii="Arial" w:hAnsi="Arial" w:cs="Arial"/>
        </w:rPr>
      </w:pPr>
      <w:bookmarkStart w:id="49" w:name="_heading=h.w0obbwcalane" w:colFirst="0" w:colLast="0"/>
      <w:bookmarkStart w:id="50" w:name="_Toc235889266"/>
      <w:bookmarkEnd w:id="49"/>
      <w:r w:rsidRPr="0048631F">
        <w:rPr>
          <w:rFonts w:ascii="Arial" w:hAnsi="Arial" w:cs="Arial"/>
        </w:rPr>
        <w:t>Table 3.1: Database Table</w:t>
      </w:r>
      <w:bookmarkEnd w:id="50"/>
    </w:p>
    <w:p w14:paraId="14CBD92F" w14:textId="59E09999" w:rsidR="007575B8" w:rsidRPr="0048631F" w:rsidRDefault="004D78AD" w:rsidP="00024BB0">
      <w:pPr>
        <w:rPr>
          <w:rFonts w:ascii="Arial" w:hAnsi="Arial" w:cs="Arial"/>
        </w:rPr>
      </w:pPr>
      <w:r w:rsidRPr="0048631F">
        <w:rPr>
          <w:rFonts w:ascii="Arial" w:hAnsi="Arial" w:cs="Arial"/>
        </w:rPr>
        <w:t xml:space="preserve">The Systematic Literature Review (SLR) is a method of conducting systematic research to locate, assess and combine evidence on a defined topic. The process of conducting an SLR differs from the standard literature review in that they have defined procedures that ensure transparency, objectivity and </w:t>
      </w:r>
      <w:r w:rsidR="004E2739" w:rsidRPr="0048631F">
        <w:rPr>
          <w:rFonts w:ascii="Arial" w:hAnsi="Arial" w:cs="Arial"/>
        </w:rPr>
        <w:t>reliability</w:t>
      </w:r>
      <w:r w:rsidRPr="0048631F">
        <w:rPr>
          <w:rFonts w:ascii="Arial" w:hAnsi="Arial" w:cs="Arial"/>
        </w:rPr>
        <w:t>. According to Jamaluddin et al. (2025), systematic reviews provide an opportunity to gain a full understanding by synthesizing the evidence from several scholarly materials. This research used the SLR method to explore how carbon reduction can be related to ESG disclosure in the aviation industry. This was the search query used: ("ESG Disclosure" OR "Sustainability Reporting") AND ("Carbon Reduction" OR "Carbon Emissions") AND (Aviation OR Airlines).</w:t>
      </w:r>
    </w:p>
    <w:p w14:paraId="6B579A37" w14:textId="77777777" w:rsidR="007575B8" w:rsidRPr="0048631F" w:rsidRDefault="004D78AD" w:rsidP="00024BB0">
      <w:pPr>
        <w:pStyle w:val="Heading3"/>
        <w:rPr>
          <w:rFonts w:ascii="Arial" w:hAnsi="Arial" w:cs="Arial"/>
        </w:rPr>
      </w:pPr>
      <w:bookmarkStart w:id="51" w:name="_Toc235889312"/>
      <w:r w:rsidRPr="0048631F">
        <w:rPr>
          <w:rFonts w:ascii="Arial" w:hAnsi="Arial" w:cs="Arial"/>
        </w:rPr>
        <w:t>3.6.2 Inclusion and Exclusion Criteria</w:t>
      </w:r>
      <w:bookmarkEnd w:id="51"/>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37"/>
        <w:gridCol w:w="4279"/>
      </w:tblGrid>
      <w:tr w:rsidR="0048631F" w:rsidRPr="0048631F" w14:paraId="38EB0746" w14:textId="77777777">
        <w:tc>
          <w:tcPr>
            <w:tcW w:w="4737" w:type="dxa"/>
          </w:tcPr>
          <w:p w14:paraId="1AC42E6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Inclusion Criteria</w:t>
            </w:r>
          </w:p>
        </w:tc>
        <w:tc>
          <w:tcPr>
            <w:tcW w:w="4279" w:type="dxa"/>
          </w:tcPr>
          <w:p w14:paraId="73344FEC"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Exclusion Criteria</w:t>
            </w:r>
          </w:p>
        </w:tc>
      </w:tr>
      <w:tr w:rsidR="0048631F" w:rsidRPr="0048631F" w14:paraId="00E879EB" w14:textId="77777777">
        <w:tc>
          <w:tcPr>
            <w:tcW w:w="4737" w:type="dxa"/>
          </w:tcPr>
          <w:p w14:paraId="2B82C9B2" w14:textId="77777777" w:rsidR="007575B8" w:rsidRPr="0048631F" w:rsidRDefault="004D78AD" w:rsidP="00024BB0">
            <w:pPr>
              <w:spacing w:line="360" w:lineRule="auto"/>
              <w:jc w:val="left"/>
              <w:rPr>
                <w:rFonts w:ascii="Arial" w:hAnsi="Arial" w:cs="Arial"/>
              </w:rPr>
            </w:pPr>
            <w:r w:rsidRPr="0048631F">
              <w:rPr>
                <w:rFonts w:ascii="Arial" w:hAnsi="Arial" w:cs="Arial"/>
              </w:rPr>
              <w:t>Peer-reviewed studies</w:t>
            </w:r>
          </w:p>
        </w:tc>
        <w:tc>
          <w:tcPr>
            <w:tcW w:w="4279" w:type="dxa"/>
          </w:tcPr>
          <w:p w14:paraId="53806D28" w14:textId="77777777" w:rsidR="007575B8" w:rsidRPr="0048631F" w:rsidRDefault="004D78AD" w:rsidP="00024BB0">
            <w:pPr>
              <w:spacing w:line="360" w:lineRule="auto"/>
              <w:jc w:val="left"/>
              <w:rPr>
                <w:rFonts w:ascii="Arial" w:hAnsi="Arial" w:cs="Arial"/>
              </w:rPr>
            </w:pPr>
            <w:r w:rsidRPr="0048631F">
              <w:rPr>
                <w:rFonts w:ascii="Arial" w:hAnsi="Arial" w:cs="Arial"/>
              </w:rPr>
              <w:t>Opinion papers</w:t>
            </w:r>
          </w:p>
        </w:tc>
      </w:tr>
      <w:tr w:rsidR="0048631F" w:rsidRPr="0048631F" w14:paraId="50926D2F" w14:textId="77777777">
        <w:tc>
          <w:tcPr>
            <w:tcW w:w="4737" w:type="dxa"/>
          </w:tcPr>
          <w:p w14:paraId="7199CC70" w14:textId="77777777" w:rsidR="007575B8" w:rsidRPr="0048631F" w:rsidRDefault="004D78AD" w:rsidP="00024BB0">
            <w:pPr>
              <w:spacing w:line="360" w:lineRule="auto"/>
              <w:jc w:val="left"/>
              <w:rPr>
                <w:rFonts w:ascii="Arial" w:hAnsi="Arial" w:cs="Arial"/>
              </w:rPr>
            </w:pPr>
            <w:r w:rsidRPr="0048631F">
              <w:rPr>
                <w:rFonts w:ascii="Arial" w:hAnsi="Arial" w:cs="Arial"/>
              </w:rPr>
              <w:t>English language</w:t>
            </w:r>
          </w:p>
        </w:tc>
        <w:tc>
          <w:tcPr>
            <w:tcW w:w="4279" w:type="dxa"/>
          </w:tcPr>
          <w:p w14:paraId="3444DB00" w14:textId="77777777" w:rsidR="007575B8" w:rsidRPr="0048631F" w:rsidRDefault="004D78AD" w:rsidP="00024BB0">
            <w:pPr>
              <w:spacing w:line="360" w:lineRule="auto"/>
              <w:jc w:val="left"/>
              <w:rPr>
                <w:rFonts w:ascii="Arial" w:hAnsi="Arial" w:cs="Arial"/>
              </w:rPr>
            </w:pPr>
            <w:r w:rsidRPr="0048631F">
              <w:rPr>
                <w:rFonts w:ascii="Arial" w:hAnsi="Arial" w:cs="Arial"/>
              </w:rPr>
              <w:t>Non-English</w:t>
            </w:r>
          </w:p>
        </w:tc>
      </w:tr>
      <w:tr w:rsidR="0048631F" w:rsidRPr="0048631F" w14:paraId="07706B90" w14:textId="77777777">
        <w:tc>
          <w:tcPr>
            <w:tcW w:w="4737" w:type="dxa"/>
          </w:tcPr>
          <w:p w14:paraId="1C738A47" w14:textId="77777777" w:rsidR="007575B8" w:rsidRPr="0048631F" w:rsidRDefault="004D78AD" w:rsidP="00024BB0">
            <w:pPr>
              <w:spacing w:line="360" w:lineRule="auto"/>
              <w:jc w:val="left"/>
              <w:rPr>
                <w:rFonts w:ascii="Arial" w:hAnsi="Arial" w:cs="Arial"/>
              </w:rPr>
            </w:pPr>
            <w:r w:rsidRPr="0048631F">
              <w:rPr>
                <w:rFonts w:ascii="Arial" w:hAnsi="Arial" w:cs="Arial"/>
              </w:rPr>
              <w:t>2020–2026</w:t>
            </w:r>
          </w:p>
        </w:tc>
        <w:tc>
          <w:tcPr>
            <w:tcW w:w="4279" w:type="dxa"/>
          </w:tcPr>
          <w:p w14:paraId="178C9658" w14:textId="77777777" w:rsidR="007575B8" w:rsidRPr="0048631F" w:rsidRDefault="004D78AD" w:rsidP="00024BB0">
            <w:pPr>
              <w:spacing w:line="360" w:lineRule="auto"/>
              <w:jc w:val="left"/>
              <w:rPr>
                <w:rFonts w:ascii="Arial" w:hAnsi="Arial" w:cs="Arial"/>
              </w:rPr>
            </w:pPr>
            <w:r w:rsidRPr="0048631F">
              <w:rPr>
                <w:rFonts w:ascii="Arial" w:hAnsi="Arial" w:cs="Arial"/>
              </w:rPr>
              <w:t>Before 2020</w:t>
            </w:r>
          </w:p>
        </w:tc>
      </w:tr>
      <w:tr w:rsidR="0048631F" w:rsidRPr="0048631F" w14:paraId="2DB47E34" w14:textId="77777777">
        <w:tc>
          <w:tcPr>
            <w:tcW w:w="4737" w:type="dxa"/>
          </w:tcPr>
          <w:p w14:paraId="7EDB32A0" w14:textId="77777777" w:rsidR="007575B8" w:rsidRPr="0048631F" w:rsidRDefault="004D78AD" w:rsidP="00024BB0">
            <w:pPr>
              <w:spacing w:line="360" w:lineRule="auto"/>
              <w:jc w:val="left"/>
              <w:rPr>
                <w:rFonts w:ascii="Arial" w:hAnsi="Arial" w:cs="Arial"/>
              </w:rPr>
            </w:pPr>
            <w:r w:rsidRPr="0048631F">
              <w:rPr>
                <w:rFonts w:ascii="Arial" w:hAnsi="Arial" w:cs="Arial"/>
              </w:rPr>
              <w:t>Aviation industry</w:t>
            </w:r>
          </w:p>
        </w:tc>
        <w:tc>
          <w:tcPr>
            <w:tcW w:w="4279" w:type="dxa"/>
          </w:tcPr>
          <w:p w14:paraId="3A32109F" w14:textId="77777777" w:rsidR="007575B8" w:rsidRPr="0048631F" w:rsidRDefault="004D78AD" w:rsidP="00024BB0">
            <w:pPr>
              <w:spacing w:line="360" w:lineRule="auto"/>
              <w:jc w:val="left"/>
              <w:rPr>
                <w:rFonts w:ascii="Arial" w:hAnsi="Arial" w:cs="Arial"/>
              </w:rPr>
            </w:pPr>
            <w:r w:rsidRPr="0048631F">
              <w:rPr>
                <w:rFonts w:ascii="Arial" w:hAnsi="Arial" w:cs="Arial"/>
              </w:rPr>
              <w:t>Non-aviation</w:t>
            </w:r>
          </w:p>
        </w:tc>
      </w:tr>
      <w:tr w:rsidR="0048631F" w:rsidRPr="0048631F" w14:paraId="1524813C" w14:textId="77777777">
        <w:tc>
          <w:tcPr>
            <w:tcW w:w="4737" w:type="dxa"/>
          </w:tcPr>
          <w:p w14:paraId="005A4D96" w14:textId="77777777" w:rsidR="007575B8" w:rsidRPr="0048631F" w:rsidRDefault="004D78AD" w:rsidP="00024BB0">
            <w:pPr>
              <w:spacing w:line="360" w:lineRule="auto"/>
              <w:jc w:val="left"/>
              <w:rPr>
                <w:rFonts w:ascii="Arial" w:hAnsi="Arial" w:cs="Arial"/>
              </w:rPr>
            </w:pPr>
            <w:r w:rsidRPr="0048631F">
              <w:rPr>
                <w:rFonts w:ascii="Arial" w:hAnsi="Arial" w:cs="Arial"/>
              </w:rPr>
              <w:t>ESG disclosure</w:t>
            </w:r>
          </w:p>
        </w:tc>
        <w:tc>
          <w:tcPr>
            <w:tcW w:w="4279" w:type="dxa"/>
          </w:tcPr>
          <w:p w14:paraId="235F2BEA" w14:textId="77777777" w:rsidR="007575B8" w:rsidRPr="0048631F" w:rsidRDefault="004D78AD" w:rsidP="00024BB0">
            <w:pPr>
              <w:spacing w:line="360" w:lineRule="auto"/>
              <w:jc w:val="left"/>
              <w:rPr>
                <w:rFonts w:ascii="Arial" w:hAnsi="Arial" w:cs="Arial"/>
              </w:rPr>
            </w:pPr>
            <w:r w:rsidRPr="0048631F">
              <w:rPr>
                <w:rFonts w:ascii="Arial" w:hAnsi="Arial" w:cs="Arial"/>
              </w:rPr>
              <w:t>Unrelated topics</w:t>
            </w:r>
          </w:p>
        </w:tc>
      </w:tr>
    </w:tbl>
    <w:p w14:paraId="347E98C3" w14:textId="77777777" w:rsidR="007575B8" w:rsidRPr="0048631F" w:rsidRDefault="004D78AD" w:rsidP="00024BB0">
      <w:pPr>
        <w:pStyle w:val="Heading5"/>
        <w:rPr>
          <w:rFonts w:ascii="Arial" w:hAnsi="Arial" w:cs="Arial"/>
        </w:rPr>
      </w:pPr>
      <w:bookmarkStart w:id="52" w:name="_heading=h.8501n6p71ah5" w:colFirst="0" w:colLast="0"/>
      <w:bookmarkStart w:id="53" w:name="_Toc235889267"/>
      <w:bookmarkEnd w:id="52"/>
      <w:r w:rsidRPr="0048631F">
        <w:rPr>
          <w:rFonts w:ascii="Arial" w:hAnsi="Arial" w:cs="Arial"/>
        </w:rPr>
        <w:t>Table 3.2: Inclusion and Exclusion Criteria</w:t>
      </w:r>
      <w:bookmarkEnd w:id="53"/>
    </w:p>
    <w:p w14:paraId="77B752FE" w14:textId="77777777" w:rsidR="007575B8" w:rsidRPr="0048631F" w:rsidRDefault="004D78AD" w:rsidP="00024BB0">
      <w:pPr>
        <w:rPr>
          <w:rFonts w:ascii="Arial" w:hAnsi="Arial" w:cs="Arial"/>
        </w:rPr>
      </w:pPr>
      <w:r w:rsidRPr="0048631F">
        <w:rPr>
          <w:rFonts w:ascii="Arial" w:hAnsi="Arial" w:cs="Arial"/>
        </w:rPr>
        <w:t>Articles included in the study were peer-reviewed journal articles, ESG reports, sustainability reports, annual reports, and industry publications that met the timeframe of 2020-2026. Those that were included were English-language publications on ESG disclosure, sustainability reporting, carbon reduction, aviation sustainability and greenwashing. Possible limitations were applied to exclude duplicate articles, non-English articles, conference abstracts, opinion papers, and articles not relevant to aviation sustainability. These criteria ensured that only relevant and credible evidence was used as part of this final analysis.</w:t>
      </w:r>
    </w:p>
    <w:p w14:paraId="4EF7D887" w14:textId="77777777" w:rsidR="007575B8" w:rsidRPr="0048631F" w:rsidRDefault="004D78AD" w:rsidP="00024BB0">
      <w:pPr>
        <w:pStyle w:val="Heading3"/>
        <w:rPr>
          <w:rFonts w:ascii="Arial" w:hAnsi="Arial" w:cs="Arial"/>
        </w:rPr>
      </w:pPr>
      <w:bookmarkStart w:id="54" w:name="_Toc235889313"/>
      <w:r w:rsidRPr="0048631F">
        <w:rPr>
          <w:rFonts w:ascii="Arial" w:hAnsi="Arial" w:cs="Arial"/>
        </w:rPr>
        <w:t>3.6.3 Search Strategy</w:t>
      </w:r>
      <w:bookmarkEnd w:id="54"/>
    </w:p>
    <w:p w14:paraId="153A8F6F" w14:textId="7AF2A631" w:rsidR="007575B8" w:rsidRPr="0048631F" w:rsidRDefault="004D78AD" w:rsidP="00024BB0">
      <w:pPr>
        <w:rPr>
          <w:rFonts w:ascii="Arial" w:hAnsi="Arial" w:cs="Arial"/>
        </w:rPr>
      </w:pPr>
      <w:r w:rsidRPr="0048631F">
        <w:rPr>
          <w:rFonts w:ascii="Arial" w:hAnsi="Arial" w:cs="Arial"/>
        </w:rPr>
        <w:t xml:space="preserve">The relevant literature was retrieved from academic databases, which are considered good academic sources, such as Google Scholar, Web of Science, ScienceDirect, </w:t>
      </w:r>
      <w:r w:rsidRPr="0048631F">
        <w:rPr>
          <w:rFonts w:ascii="Arial" w:hAnsi="Arial" w:cs="Arial"/>
        </w:rPr>
        <w:lastRenderedPageBreak/>
        <w:t xml:space="preserve">SpringerLink, </w:t>
      </w:r>
      <w:r w:rsidR="0002175F" w:rsidRPr="0048631F">
        <w:rPr>
          <w:rFonts w:ascii="Arial" w:hAnsi="Arial" w:cs="Arial"/>
        </w:rPr>
        <w:t>and Emerald</w:t>
      </w:r>
      <w:r w:rsidRPr="0048631F">
        <w:rPr>
          <w:rFonts w:ascii="Arial" w:hAnsi="Arial" w:cs="Arial"/>
        </w:rPr>
        <w:t xml:space="preserve"> Insight. The following key phrases were used:</w:t>
      </w:r>
      <w:r w:rsidRPr="0048631F">
        <w:rPr>
          <w:rFonts w:ascii="Arial" w:hAnsi="Arial" w:cs="Arial"/>
          <w:i/>
          <w:iCs/>
        </w:rPr>
        <w:t xml:space="preserve"> </w:t>
      </w:r>
      <w:r w:rsidRPr="0002175F">
        <w:rPr>
          <w:rFonts w:ascii="Arial" w:hAnsi="Arial" w:cs="Arial"/>
          <w:iCs/>
        </w:rPr>
        <w:t>ESG</w:t>
      </w:r>
      <w:r w:rsidRPr="0048631F">
        <w:rPr>
          <w:rFonts w:ascii="Arial" w:hAnsi="Arial" w:cs="Arial"/>
          <w:i/>
          <w:iCs/>
        </w:rPr>
        <w:t xml:space="preserve"> </w:t>
      </w:r>
      <w:r w:rsidRPr="0002175F">
        <w:rPr>
          <w:rFonts w:ascii="Arial" w:hAnsi="Arial" w:cs="Arial"/>
          <w:iCs/>
        </w:rPr>
        <w:t>disclosure, carbon reduction</w:t>
      </w:r>
      <w:r w:rsidRPr="0048631F">
        <w:rPr>
          <w:rFonts w:ascii="Arial" w:hAnsi="Arial" w:cs="Arial"/>
          <w:i/>
          <w:iCs/>
        </w:rPr>
        <w:t xml:space="preserve">, </w:t>
      </w:r>
      <w:r w:rsidRPr="0002175F">
        <w:rPr>
          <w:rFonts w:ascii="Arial" w:hAnsi="Arial" w:cs="Arial"/>
          <w:iCs/>
        </w:rPr>
        <w:t>aviation sustainability, greenwashing, ESG reporting</w:t>
      </w:r>
      <w:r w:rsidRPr="0048631F">
        <w:rPr>
          <w:rFonts w:ascii="Arial" w:hAnsi="Arial" w:cs="Arial"/>
          <w:i/>
          <w:iCs/>
        </w:rPr>
        <w:t xml:space="preserve"> </w:t>
      </w:r>
      <w:r w:rsidRPr="0002175F">
        <w:rPr>
          <w:rFonts w:ascii="Arial" w:hAnsi="Arial" w:cs="Arial"/>
          <w:iCs/>
        </w:rPr>
        <w:t>and</w:t>
      </w:r>
      <w:r w:rsidRPr="0048631F">
        <w:rPr>
          <w:rFonts w:ascii="Arial" w:hAnsi="Arial" w:cs="Arial"/>
          <w:i/>
          <w:iCs/>
        </w:rPr>
        <w:t xml:space="preserve"> </w:t>
      </w:r>
      <w:r w:rsidRPr="0002175F">
        <w:rPr>
          <w:rFonts w:ascii="Arial" w:hAnsi="Arial" w:cs="Arial"/>
          <w:iCs/>
        </w:rPr>
        <w:t>Indian airlines</w:t>
      </w:r>
      <w:r w:rsidRPr="0048631F">
        <w:rPr>
          <w:rFonts w:ascii="Arial" w:hAnsi="Arial" w:cs="Arial"/>
        </w:rPr>
        <w:t>. The literature has been searched under carefully designed inclusion and exclusion criteria to ensure the methodological uniformity and transparency. This means that peer-reviewed journal articles, conference articles, industry reports, sustainability reports and government publications were preferred in recent years, rather than other non-academic sources, duplicate papers and those not relevant to the research aim. This structured search method enabled in uncovering high-quality evidence and facilitated the synthesis of the current knowledge, including ESG Disclosure, Carbon reduction, and Sustainability in the Indian aviation industry.</w:t>
      </w:r>
    </w:p>
    <w:p w14:paraId="029D4761" w14:textId="77777777" w:rsidR="007575B8" w:rsidRPr="0048631F" w:rsidRDefault="004D78AD" w:rsidP="00024BB0">
      <w:pPr>
        <w:pStyle w:val="Heading2"/>
        <w:rPr>
          <w:rFonts w:ascii="Arial" w:hAnsi="Arial" w:cs="Arial"/>
        </w:rPr>
      </w:pPr>
      <w:bookmarkStart w:id="55" w:name="_Toc235889314"/>
      <w:r w:rsidRPr="0048631F">
        <w:rPr>
          <w:rFonts w:ascii="Arial" w:hAnsi="Arial" w:cs="Arial"/>
        </w:rPr>
        <w:t>3.7 Selection of Studies</w:t>
      </w:r>
      <w:bookmarkEnd w:id="55"/>
    </w:p>
    <w:p w14:paraId="66C8149A" w14:textId="77777777" w:rsidR="007575B8" w:rsidRPr="0048631F" w:rsidRDefault="004D78AD" w:rsidP="00024BB0">
      <w:pPr>
        <w:pStyle w:val="Heading3"/>
        <w:rPr>
          <w:rFonts w:ascii="Arial" w:hAnsi="Arial" w:cs="Arial"/>
        </w:rPr>
      </w:pPr>
      <w:bookmarkStart w:id="56" w:name="_Toc235889315"/>
      <w:r w:rsidRPr="0048631F">
        <w:rPr>
          <w:rFonts w:ascii="Arial" w:hAnsi="Arial" w:cs="Arial"/>
        </w:rPr>
        <w:t>3.7.1 Secondary Data Collection</w:t>
      </w:r>
      <w:bookmarkEnd w:id="56"/>
    </w:p>
    <w:p w14:paraId="24CB32EA" w14:textId="77777777" w:rsidR="007575B8" w:rsidRPr="0048631F" w:rsidRDefault="004D78AD" w:rsidP="00024BB0">
      <w:pPr>
        <w:rPr>
          <w:rFonts w:ascii="Arial" w:hAnsi="Arial" w:cs="Arial"/>
        </w:rPr>
      </w:pPr>
      <w:r w:rsidRPr="0048631F">
        <w:rPr>
          <w:rFonts w:ascii="Arial" w:hAnsi="Arial" w:cs="Arial"/>
        </w:rPr>
        <w:t>The study is based on Secondary data only. Secondary data consists of data and material that have already been collected and published by researchers, organisations and regulatory authorities. Peer-reviewed journals, ESG reports, sustainability reports, annual reports and publications from the industry are used as sources. According to Wulandari (2026), secondary research methods allow for a more efficient analysis of available knowledge, with lower needs for resources in gathering primary data.</w:t>
      </w:r>
    </w:p>
    <w:p w14:paraId="226CF2C2" w14:textId="77777777" w:rsidR="007575B8" w:rsidRPr="0048631F" w:rsidRDefault="004D78AD" w:rsidP="00024BB0">
      <w:pPr>
        <w:pStyle w:val="Heading3"/>
        <w:rPr>
          <w:rFonts w:ascii="Arial" w:hAnsi="Arial" w:cs="Arial"/>
        </w:rPr>
      </w:pPr>
      <w:bookmarkStart w:id="57" w:name="_Toc235889316"/>
      <w:r w:rsidRPr="0048631F">
        <w:rPr>
          <w:rFonts w:ascii="Arial" w:hAnsi="Arial" w:cs="Arial"/>
        </w:rPr>
        <w:t>3.7.2 Document Analysis</w:t>
      </w:r>
      <w:bookmarkEnd w:id="57"/>
    </w:p>
    <w:p w14:paraId="48A9B559" w14:textId="77777777" w:rsidR="007575B8" w:rsidRDefault="004D78AD" w:rsidP="00024BB0">
      <w:pPr>
        <w:rPr>
          <w:rFonts w:ascii="Arial" w:hAnsi="Arial" w:cs="Arial"/>
        </w:rPr>
      </w:pPr>
      <w:r w:rsidRPr="0048631F">
        <w:rPr>
          <w:rFonts w:ascii="Arial" w:hAnsi="Arial" w:cs="Arial"/>
        </w:rPr>
        <w:t>Document analysis was used as the major means of collecting data. A systematic approach to analyse the texts to find relevant information and bring out patterns. This method is especially appropriate for assessing sustainability reports, as such reporting is mainly in the form of a document. Tusquellas et al. (2025) emphasised the importance of document-based research for understanding the whole practice of an organisation by an interpretive process of existing documents in a systematic way.</w:t>
      </w:r>
    </w:p>
    <w:p w14:paraId="49DEAC39" w14:textId="77777777" w:rsidR="0002175F" w:rsidRDefault="0002175F" w:rsidP="00024BB0">
      <w:pPr>
        <w:rPr>
          <w:rFonts w:ascii="Arial" w:hAnsi="Arial" w:cs="Arial"/>
        </w:rPr>
      </w:pPr>
    </w:p>
    <w:p w14:paraId="7E81DB73" w14:textId="77777777" w:rsidR="0002175F" w:rsidRDefault="0002175F" w:rsidP="00024BB0">
      <w:pPr>
        <w:rPr>
          <w:rFonts w:ascii="Arial" w:hAnsi="Arial" w:cs="Arial"/>
        </w:rPr>
      </w:pPr>
    </w:p>
    <w:p w14:paraId="56CCB553" w14:textId="77777777" w:rsidR="0002175F" w:rsidRDefault="0002175F" w:rsidP="00024BB0">
      <w:pPr>
        <w:rPr>
          <w:rFonts w:ascii="Arial" w:hAnsi="Arial" w:cs="Arial"/>
        </w:rPr>
      </w:pPr>
    </w:p>
    <w:p w14:paraId="06551662" w14:textId="77777777" w:rsidR="0002175F" w:rsidRDefault="0002175F" w:rsidP="00024BB0">
      <w:pPr>
        <w:rPr>
          <w:rFonts w:ascii="Arial" w:hAnsi="Arial" w:cs="Arial"/>
        </w:rPr>
      </w:pPr>
    </w:p>
    <w:p w14:paraId="0948704B" w14:textId="77777777" w:rsidR="0002175F" w:rsidRDefault="0002175F" w:rsidP="00024BB0">
      <w:pPr>
        <w:rPr>
          <w:rFonts w:ascii="Arial" w:hAnsi="Arial" w:cs="Arial"/>
        </w:rPr>
      </w:pPr>
    </w:p>
    <w:p w14:paraId="3B0893AF" w14:textId="77777777" w:rsidR="0002175F" w:rsidRDefault="0002175F" w:rsidP="00024BB0">
      <w:pPr>
        <w:rPr>
          <w:rFonts w:ascii="Arial" w:hAnsi="Arial" w:cs="Arial"/>
        </w:rPr>
      </w:pPr>
    </w:p>
    <w:p w14:paraId="53168161" w14:textId="77777777" w:rsidR="0002175F" w:rsidRDefault="0002175F" w:rsidP="00024BB0">
      <w:pPr>
        <w:rPr>
          <w:rFonts w:ascii="Arial" w:hAnsi="Arial" w:cs="Arial"/>
        </w:rPr>
      </w:pPr>
    </w:p>
    <w:p w14:paraId="216E5A28" w14:textId="77777777" w:rsidR="0002175F" w:rsidRDefault="0002175F" w:rsidP="00024BB0">
      <w:pPr>
        <w:rPr>
          <w:rFonts w:ascii="Arial" w:hAnsi="Arial" w:cs="Arial"/>
        </w:rPr>
      </w:pPr>
    </w:p>
    <w:p w14:paraId="5B9D228D" w14:textId="77777777" w:rsidR="0002175F" w:rsidRPr="0048631F" w:rsidRDefault="0002175F" w:rsidP="00024BB0">
      <w:pPr>
        <w:rPr>
          <w:rFonts w:ascii="Arial" w:hAnsi="Arial" w:cs="Arial"/>
        </w:rPr>
      </w:pPr>
    </w:p>
    <w:p w14:paraId="36436F70" w14:textId="77777777" w:rsidR="0002175F" w:rsidRDefault="004D78AD" w:rsidP="00024BB0">
      <w:pPr>
        <w:pStyle w:val="Heading2"/>
        <w:rPr>
          <w:rFonts w:ascii="Arial" w:hAnsi="Arial" w:cs="Arial"/>
        </w:rPr>
      </w:pPr>
      <w:bookmarkStart w:id="58" w:name="_Toc235889317"/>
      <w:r w:rsidRPr="0048631F">
        <w:rPr>
          <w:rFonts w:ascii="Arial" w:hAnsi="Arial" w:cs="Arial"/>
        </w:rPr>
        <w:lastRenderedPageBreak/>
        <w:t>3.8 Selection Criteria using PRISMA</w:t>
      </w:r>
      <w:bookmarkEnd w:id="58"/>
    </w:p>
    <w:p w14:paraId="0E40BFF4" w14:textId="77777777" w:rsidR="0002175F" w:rsidRDefault="0002175F" w:rsidP="00024BB0">
      <w:pPr>
        <w:pStyle w:val="Heading2"/>
        <w:rPr>
          <w:rFonts w:ascii="Arial" w:hAnsi="Arial" w:cs="Arial"/>
        </w:rPr>
      </w:pPr>
    </w:p>
    <w:bookmarkStart w:id="59" w:name="_heading=h.yy7cyke847vc" w:colFirst="0" w:colLast="0"/>
    <w:bookmarkEnd w:id="59"/>
    <w:p w14:paraId="3686D9F7" w14:textId="77777777" w:rsidR="007575B8" w:rsidRPr="0048631F" w:rsidRDefault="004D78AD"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58240" behindDoc="0" locked="0" layoutInCell="1" hidden="0" allowOverlap="1" wp14:anchorId="089CC6E8" wp14:editId="01876F21">
                <wp:simplePos x="0" y="0"/>
                <wp:positionH relativeFrom="column">
                  <wp:posOffset>528828</wp:posOffset>
                </wp:positionH>
                <wp:positionV relativeFrom="paragraph">
                  <wp:posOffset>36145</wp:posOffset>
                </wp:positionV>
                <wp:extent cx="4421429" cy="339166"/>
                <wp:effectExtent l="0" t="0" r="0" b="0"/>
                <wp:wrapNone/>
                <wp:docPr id="16" name="Flowchart: Alternate Process 16"/>
                <wp:cNvGraphicFramePr/>
                <a:graphic xmlns:a="http://schemas.openxmlformats.org/drawingml/2006/main">
                  <a:graphicData uri="http://schemas.microsoft.com/office/word/2010/wordprocessingShape">
                    <wps:wsp>
                      <wps:cNvSpPr/>
                      <wps:spPr>
                        <a:xfrm>
                          <a:off x="3173386" y="3648517"/>
                          <a:ext cx="4345229" cy="262966"/>
                        </a:xfrm>
                        <a:prstGeom prst="flowChartAlternateProcess">
                          <a:avLst/>
                        </a:prstGeom>
                        <a:solidFill>
                          <a:schemeClr val="accent4"/>
                        </a:solidFill>
                        <a:ln w="25400" cap="flat" cmpd="sng">
                          <a:solidFill>
                            <a:srgbClr val="5D4876"/>
                          </a:solidFill>
                          <a:prstDash val="solid"/>
                          <a:round/>
                          <a:headEnd type="none" w="sm" len="sm"/>
                          <a:tailEnd type="none" w="sm" len="sm"/>
                        </a:ln>
                      </wps:spPr>
                      <wps:txbx>
                        <w:txbxContent>
                          <w:p w14:paraId="47B270D9" w14:textId="77777777" w:rsidR="008060F9" w:rsidRDefault="008060F9">
                            <w:pPr>
                              <w:spacing w:line="240" w:lineRule="auto"/>
                              <w:jc w:val="center"/>
                              <w:textDirection w:val="btLr"/>
                            </w:pPr>
                            <w:r>
                              <w:rPr>
                                <w:rFonts w:ascii="Arial" w:eastAsia="Arial" w:hAnsi="Arial" w:cs="Arial"/>
                                <w:b/>
                                <w:color w:val="000000"/>
                                <w:sz w:val="18"/>
                              </w:rPr>
                              <w:t>Identification of studies via databases and registers</w:t>
                            </w:r>
                          </w:p>
                        </w:txbxContent>
                      </wps:txbx>
                      <wps:bodyPr spcFirstLastPara="1" wrap="square" lIns="91425" tIns="45700" rIns="91425" bIns="45700" anchor="ctr" anchorCtr="0">
                        <a:noAutofit/>
                      </wps:bodyPr>
                    </wps:wsp>
                  </a:graphicData>
                </a:graphic>
              </wp:anchor>
            </w:drawing>
          </mc:Choice>
          <mc:Fallback>
            <w:pict>
              <v:shapetype w14:anchorId="089CC6E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26" type="#_x0000_t176" style="position:absolute;left:0;text-align:left;margin-left:41.65pt;margin-top:2.85pt;width:348.15pt;height:26.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" fillcolor="#8064a2 [3207]" strokecolor="#5d4876" strokeweight="2pt">
                <v:stroke startarrowwidth="narrow" startarrowlength="short" endarrowwidth="narrow" endarrowlength="short" joinstyle="round"/>
                <v:textbox inset="2.53958mm,1.2694mm,2.53958mm,1.2694mm">
                  <w:txbxContent>
                    <w:p w14:paraId="47B270D9" w14:textId="77777777" w:rsidR="008060F9" w:rsidRDefault="008060F9">
                      <w:pPr>
                        <w:spacing w:line="240" w:lineRule="auto"/>
                        <w:jc w:val="center"/>
                        <w:textDirection w:val="btLr"/>
                      </w:pPr>
                      <w:r>
                        <w:rPr>
                          <w:rFonts w:ascii="Arial" w:eastAsia="Arial" w:hAnsi="Arial" w:cs="Arial"/>
                          <w:b/>
                          <w:color w:val="000000"/>
                          <w:sz w:val="18"/>
                        </w:rPr>
                        <w:t>Identification of studies via databases and registers</w:t>
                      </w:r>
                    </w:p>
                  </w:txbxContent>
                </v:textbox>
              </v:shape>
            </w:pict>
          </mc:Fallback>
        </mc:AlternateContent>
      </w:r>
    </w:p>
    <w:p w14:paraId="6E64B377" w14:textId="77777777" w:rsidR="007575B8" w:rsidRPr="0048631F" w:rsidRDefault="007575B8" w:rsidP="00024BB0">
      <w:pPr>
        <w:rPr>
          <w:rFonts w:ascii="Arial" w:hAnsi="Arial" w:cs="Arial"/>
        </w:rPr>
      </w:pPr>
    </w:p>
    <w:p w14:paraId="2845DB29" w14:textId="0265EE31"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59264" behindDoc="0" locked="0" layoutInCell="1" hidden="0" allowOverlap="1" wp14:anchorId="43BEE4FC" wp14:editId="1E327866">
                <wp:simplePos x="0" y="0"/>
                <wp:positionH relativeFrom="column">
                  <wp:posOffset>523875</wp:posOffset>
                </wp:positionH>
                <wp:positionV relativeFrom="paragraph">
                  <wp:posOffset>163830</wp:posOffset>
                </wp:positionV>
                <wp:extent cx="1887220" cy="1057275"/>
                <wp:effectExtent l="0" t="0" r="17780" b="28575"/>
                <wp:wrapNone/>
                <wp:docPr id="1" name="Rectangle 1"/>
                <wp:cNvGraphicFramePr/>
                <a:graphic xmlns:a="http://schemas.openxmlformats.org/drawingml/2006/main">
                  <a:graphicData uri="http://schemas.microsoft.com/office/word/2010/wordprocessingShape">
                    <wps:wsp>
                      <wps:cNvSpPr/>
                      <wps:spPr>
                        <a:xfrm>
                          <a:off x="0" y="0"/>
                          <a:ext cx="1887220" cy="1057275"/>
                        </a:xfrm>
                        <a:prstGeom prst="rect">
                          <a:avLst/>
                        </a:prstGeom>
                        <a:noFill/>
                        <a:ln w="25400" cap="flat" cmpd="sng">
                          <a:solidFill>
                            <a:schemeClr val="dk1"/>
                          </a:solidFill>
                          <a:prstDash val="solid"/>
                          <a:round/>
                          <a:headEnd type="none" w="sm" len="sm"/>
                          <a:tailEnd type="none" w="sm" len="sm"/>
                        </a:ln>
                      </wps:spPr>
                      <wps:txbx>
                        <w:txbxContent>
                          <w:p w14:paraId="4E3D2FB5" w14:textId="77777777" w:rsidR="008060F9" w:rsidRDefault="008060F9">
                            <w:pPr>
                              <w:spacing w:line="240" w:lineRule="auto"/>
                              <w:jc w:val="left"/>
                              <w:textDirection w:val="btLr"/>
                            </w:pPr>
                            <w:r>
                              <w:rPr>
                                <w:rFonts w:ascii="Arial" w:eastAsia="Arial" w:hAnsi="Arial" w:cs="Arial"/>
                                <w:color w:val="000000"/>
                                <w:sz w:val="18"/>
                              </w:rPr>
                              <w:t>Records identified from*:</w:t>
                            </w:r>
                          </w:p>
                          <w:p w14:paraId="1F24F1F7" w14:textId="77777777" w:rsidR="008060F9" w:rsidRDefault="008060F9" w:rsidP="0048631F">
                            <w:pPr>
                              <w:spacing w:line="240" w:lineRule="auto"/>
                              <w:ind w:left="282"/>
                              <w:textDirection w:val="btLr"/>
                              <w:rPr>
                                <w:rFonts w:ascii="Arial" w:eastAsia="Arial" w:hAnsi="Arial" w:cs="Arial"/>
                                <w:color w:val="000000"/>
                                <w:sz w:val="18"/>
                              </w:rPr>
                            </w:pPr>
                          </w:p>
                          <w:p w14:paraId="1C5C173C" w14:textId="1141AA0A" w:rsidR="008060F9" w:rsidRDefault="008060F9" w:rsidP="0048631F">
                            <w:pPr>
                              <w:spacing w:line="240" w:lineRule="auto"/>
                              <w:ind w:left="282"/>
                              <w:textDirection w:val="btLr"/>
                            </w:pPr>
                            <w:r>
                              <w:rPr>
                                <w:rFonts w:ascii="Arial" w:eastAsia="Arial" w:hAnsi="Arial" w:cs="Arial"/>
                                <w:color w:val="000000"/>
                                <w:sz w:val="18"/>
                              </w:rPr>
                              <w:t>Databases (n = 120)</w:t>
                            </w:r>
                          </w:p>
                          <w:p w14:paraId="13F42288" w14:textId="77777777" w:rsidR="008060F9" w:rsidRDefault="008060F9" w:rsidP="0048631F">
                            <w:pPr>
                              <w:spacing w:line="240" w:lineRule="auto"/>
                              <w:ind w:firstLine="282"/>
                              <w:textDirection w:val="btLr"/>
                            </w:pPr>
                            <w:r>
                              <w:rPr>
                                <w:rFonts w:ascii="Arial" w:eastAsia="Arial" w:hAnsi="Arial" w:cs="Arial"/>
                                <w:color w:val="000000"/>
                                <w:sz w:val="18"/>
                              </w:rPr>
                              <w:t>Registers (n = 0)</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43BEE4FC" id="Rectangle 1" o:spid="_x0000_s1027" style="position:absolute;left:0;text-align:left;margin-left:41.25pt;margin-top:12.9pt;width:148.6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" filled="f" strokecolor="black [3200]" strokeweight="2pt">
                <v:stroke startarrowwidth="narrow" startarrowlength="short" endarrowwidth="narrow" endarrowlength="short" joinstyle="round"/>
                <v:textbox inset="2.53958mm,1.2694mm,2.53958mm,1.2694mm">
                  <w:txbxContent>
                    <w:p w14:paraId="4E3D2FB5" w14:textId="77777777" w:rsidR="008060F9" w:rsidRDefault="008060F9">
                      <w:pPr>
                        <w:spacing w:line="240" w:lineRule="auto"/>
                        <w:jc w:val="left"/>
                        <w:textDirection w:val="btLr"/>
                      </w:pPr>
                      <w:r>
                        <w:rPr>
                          <w:rFonts w:ascii="Arial" w:eastAsia="Arial" w:hAnsi="Arial" w:cs="Arial"/>
                          <w:color w:val="000000"/>
                          <w:sz w:val="18"/>
                        </w:rPr>
                        <w:t>Records identified from*:</w:t>
                      </w:r>
                    </w:p>
                    <w:p w14:paraId="1F24F1F7" w14:textId="77777777" w:rsidR="008060F9" w:rsidRDefault="008060F9" w:rsidP="0048631F">
                      <w:pPr>
                        <w:spacing w:line="240" w:lineRule="auto"/>
                        <w:ind w:left="282"/>
                        <w:textDirection w:val="btLr"/>
                        <w:rPr>
                          <w:rFonts w:ascii="Arial" w:eastAsia="Arial" w:hAnsi="Arial" w:cs="Arial"/>
                          <w:color w:val="000000"/>
                          <w:sz w:val="18"/>
                        </w:rPr>
                      </w:pPr>
                    </w:p>
                    <w:p w14:paraId="1C5C173C" w14:textId="1141AA0A" w:rsidR="008060F9" w:rsidRDefault="008060F9" w:rsidP="0048631F">
                      <w:pPr>
                        <w:spacing w:line="240" w:lineRule="auto"/>
                        <w:ind w:left="282"/>
                        <w:textDirection w:val="btLr"/>
                      </w:pPr>
                      <w:r>
                        <w:rPr>
                          <w:rFonts w:ascii="Arial" w:eastAsia="Arial" w:hAnsi="Arial" w:cs="Arial"/>
                          <w:color w:val="000000"/>
                          <w:sz w:val="18"/>
                        </w:rPr>
                        <w:t>Databases (n = 120)</w:t>
                      </w:r>
                    </w:p>
                    <w:p w14:paraId="13F42288" w14:textId="77777777" w:rsidR="008060F9" w:rsidRDefault="008060F9" w:rsidP="0048631F">
                      <w:pPr>
                        <w:spacing w:line="240" w:lineRule="auto"/>
                        <w:ind w:firstLine="282"/>
                        <w:textDirection w:val="btLr"/>
                      </w:pPr>
                      <w:r>
                        <w:rPr>
                          <w:rFonts w:ascii="Arial" w:eastAsia="Arial" w:hAnsi="Arial" w:cs="Arial"/>
                          <w:color w:val="000000"/>
                          <w:sz w:val="18"/>
                        </w:rPr>
                        <w:t>Registers (n = 0)</w:t>
                      </w:r>
                    </w:p>
                  </w:txbxContent>
                </v:textbox>
              </v:rect>
            </w:pict>
          </mc:Fallback>
        </mc:AlternateContent>
      </w:r>
      <w:r w:rsidRPr="0048631F">
        <w:rPr>
          <w:rFonts w:ascii="Arial" w:hAnsi="Arial" w:cs="Arial"/>
          <w:noProof/>
        </w:rPr>
        <mc:AlternateContent>
          <mc:Choice Requires="wps">
            <w:drawing>
              <wp:anchor distT="0" distB="0" distL="114300" distR="114300" simplePos="0" relativeHeight="251661312" behindDoc="0" locked="0" layoutInCell="1" hidden="0" allowOverlap="1" wp14:anchorId="644F962E" wp14:editId="30D1EE8F">
                <wp:simplePos x="0" y="0"/>
                <wp:positionH relativeFrom="column">
                  <wp:posOffset>-62230</wp:posOffset>
                </wp:positionH>
                <wp:positionV relativeFrom="paragraph">
                  <wp:posOffset>59690</wp:posOffset>
                </wp:positionV>
                <wp:extent cx="339090" cy="1353185"/>
                <wp:effectExtent l="0" t="0" r="22860" b="18415"/>
                <wp:wrapNone/>
                <wp:docPr id="18" name="Flowchart: Alternate Process 18"/>
                <wp:cNvGraphicFramePr/>
                <a:graphic xmlns:a="http://schemas.openxmlformats.org/drawingml/2006/main">
                  <a:graphicData uri="http://schemas.microsoft.com/office/word/2010/wordprocessingShape">
                    <wps:wsp>
                      <wps:cNvSpPr/>
                      <wps:spPr>
                        <a:xfrm>
                          <a:off x="0" y="0"/>
                          <a:ext cx="339090" cy="1353185"/>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3AEE674F" w14:textId="77777777" w:rsidR="008060F9" w:rsidRDefault="008060F9">
                            <w:pPr>
                              <w:spacing w:line="240" w:lineRule="auto"/>
                              <w:jc w:val="center"/>
                              <w:textDirection w:val="btLr"/>
                            </w:pPr>
                            <w:r>
                              <w:rPr>
                                <w:rFonts w:ascii="Arial" w:eastAsia="Arial" w:hAnsi="Arial" w:cs="Arial"/>
                                <w:b/>
                                <w:color w:val="000000"/>
                                <w:sz w:val="18"/>
                              </w:rPr>
                              <w:t>Identification</w:t>
                            </w:r>
                          </w:p>
                        </w:txbxContent>
                      </wps:txbx>
                      <wps:bodyPr spcFirstLastPara="1" wrap="square" lIns="91425" tIns="45700" rIns="91425" bIns="45700" anchor="ctr" anchorCtr="0">
                        <a:noAutofit/>
                      </wps:bodyPr>
                    </wps:wsp>
                  </a:graphicData>
                </a:graphic>
              </wp:anchor>
            </w:drawing>
          </mc:Choice>
          <mc:Fallback>
            <w:pict>
              <v:shape w14:anchorId="644F962E" id="Flowchart: Alternate Process 18" o:spid="_x0000_s1028" type="#_x0000_t176" style="position:absolute;left:0;text-align:left;margin-left:-4.9pt;margin-top:4.7pt;width:26.7pt;height:10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" fillcolor="#92ccdc" strokecolor="black [3200]" strokeweight="2pt">
                <v:stroke startarrowwidth="narrow" startarrowlength="short" endarrowwidth="narrow" endarrowlength="short" joinstyle="round"/>
                <v:textbox inset="2.53958mm,1.2694mm,2.53958mm,1.2694mm">
                  <w:txbxContent>
                    <w:p w14:paraId="3AEE674F" w14:textId="77777777" w:rsidR="008060F9" w:rsidRDefault="008060F9">
                      <w:pPr>
                        <w:spacing w:line="240" w:lineRule="auto"/>
                        <w:jc w:val="center"/>
                        <w:textDirection w:val="btLr"/>
                      </w:pPr>
                      <w:r>
                        <w:rPr>
                          <w:rFonts w:ascii="Arial" w:eastAsia="Arial" w:hAnsi="Arial" w:cs="Arial"/>
                          <w:b/>
                          <w:color w:val="000000"/>
                          <w:sz w:val="18"/>
                        </w:rPr>
                        <w:t>Identification</w:t>
                      </w:r>
                    </w:p>
                  </w:txbxContent>
                </v:textbox>
              </v:shape>
            </w:pict>
          </mc:Fallback>
        </mc:AlternateContent>
      </w:r>
      <w:r w:rsidR="004D78AD" w:rsidRPr="0048631F">
        <w:rPr>
          <w:rFonts w:ascii="Arial" w:hAnsi="Arial" w:cs="Arial"/>
          <w:noProof/>
        </w:rPr>
        <mc:AlternateContent>
          <mc:Choice Requires="wps">
            <w:drawing>
              <wp:anchor distT="0" distB="0" distL="114300" distR="114300" simplePos="0" relativeHeight="251660288" behindDoc="0" locked="0" layoutInCell="1" hidden="0" allowOverlap="1" wp14:anchorId="387AFD33" wp14:editId="6150656B">
                <wp:simplePos x="0" y="0"/>
                <wp:positionH relativeFrom="column">
                  <wp:posOffset>2997200</wp:posOffset>
                </wp:positionH>
                <wp:positionV relativeFrom="paragraph">
                  <wp:posOffset>36193</wp:posOffset>
                </wp:positionV>
                <wp:extent cx="2273300" cy="1319199"/>
                <wp:effectExtent l="0" t="0" r="0" b="0"/>
                <wp:wrapNone/>
                <wp:docPr id="19" name="Rectangle 19"/>
                <wp:cNvGraphicFramePr/>
                <a:graphic xmlns:a="http://schemas.openxmlformats.org/drawingml/2006/main">
                  <a:graphicData uri="http://schemas.microsoft.com/office/word/2010/wordprocessingShape">
                    <wps:wsp>
                      <wps:cNvSpPr/>
                      <wps:spPr>
                        <a:xfrm>
                          <a:off x="4247450" y="3158501"/>
                          <a:ext cx="2197100" cy="1242999"/>
                        </a:xfrm>
                        <a:prstGeom prst="rect">
                          <a:avLst/>
                        </a:prstGeom>
                        <a:noFill/>
                        <a:ln w="25400" cap="flat" cmpd="sng">
                          <a:solidFill>
                            <a:schemeClr val="dk1"/>
                          </a:solidFill>
                          <a:prstDash val="solid"/>
                          <a:round/>
                          <a:headEnd type="none" w="sm" len="sm"/>
                          <a:tailEnd type="none" w="sm" len="sm"/>
                        </a:ln>
                      </wps:spPr>
                      <wps:txbx>
                        <w:txbxContent>
                          <w:p w14:paraId="236CB75D" w14:textId="77777777" w:rsidR="008060F9" w:rsidRDefault="008060F9">
                            <w:pPr>
                              <w:spacing w:line="240" w:lineRule="auto"/>
                              <w:textDirection w:val="btLr"/>
                            </w:pPr>
                            <w:r>
                              <w:rPr>
                                <w:rFonts w:ascii="Arial" w:eastAsia="Arial" w:hAnsi="Arial" w:cs="Arial"/>
                                <w:color w:val="000000"/>
                                <w:sz w:val="18"/>
                              </w:rPr>
                              <w:t xml:space="preserve">Records removed </w:t>
                            </w:r>
                            <w:r>
                              <w:rPr>
                                <w:rFonts w:ascii="Arial" w:eastAsia="Arial" w:hAnsi="Arial" w:cs="Arial"/>
                                <w:i/>
                                <w:color w:val="000000"/>
                                <w:sz w:val="18"/>
                              </w:rPr>
                              <w:t>before screening</w:t>
                            </w:r>
                            <w:r>
                              <w:rPr>
                                <w:rFonts w:ascii="Arial" w:eastAsia="Arial" w:hAnsi="Arial" w:cs="Arial"/>
                                <w:color w:val="000000"/>
                                <w:sz w:val="18"/>
                              </w:rPr>
                              <w:t>:</w:t>
                            </w:r>
                          </w:p>
                          <w:p w14:paraId="1CC33531" w14:textId="77777777" w:rsidR="008060F9" w:rsidRDefault="008060F9">
                            <w:pPr>
                              <w:spacing w:line="240" w:lineRule="auto"/>
                              <w:ind w:left="282" w:firstLine="846"/>
                              <w:textDirection w:val="btLr"/>
                            </w:pPr>
                            <w:r>
                              <w:rPr>
                                <w:rFonts w:ascii="Arial" w:eastAsia="Arial" w:hAnsi="Arial" w:cs="Arial"/>
                                <w:color w:val="000000"/>
                                <w:sz w:val="18"/>
                              </w:rPr>
                              <w:t>Duplicate records removed (n = 25)</w:t>
                            </w:r>
                          </w:p>
                          <w:p w14:paraId="07DC5A71" w14:textId="77777777" w:rsidR="008060F9" w:rsidRDefault="008060F9">
                            <w:pPr>
                              <w:spacing w:line="240" w:lineRule="auto"/>
                              <w:ind w:left="282" w:firstLine="846"/>
                              <w:textDirection w:val="btLr"/>
                            </w:pPr>
                            <w:r>
                              <w:rPr>
                                <w:rFonts w:ascii="Arial" w:eastAsia="Arial" w:hAnsi="Arial" w:cs="Arial"/>
                                <w:color w:val="000000"/>
                                <w:sz w:val="18"/>
                              </w:rPr>
                              <w:t>Records marked as ineligible by automation tools (n = 0)</w:t>
                            </w:r>
                          </w:p>
                          <w:p w14:paraId="2B865906" w14:textId="77777777" w:rsidR="008060F9" w:rsidRDefault="008060F9">
                            <w:pPr>
                              <w:spacing w:line="240" w:lineRule="auto"/>
                              <w:ind w:left="282" w:firstLine="846"/>
                              <w:textDirection w:val="btLr"/>
                            </w:pPr>
                            <w:r>
                              <w:rPr>
                                <w:rFonts w:ascii="Arial" w:eastAsia="Arial" w:hAnsi="Arial" w:cs="Arial"/>
                                <w:color w:val="000000"/>
                                <w:sz w:val="18"/>
                              </w:rPr>
                              <w:t>Records removed for other reasons (n = 5)</w:t>
                            </w:r>
                          </w:p>
                        </w:txbxContent>
                      </wps:txbx>
                      <wps:bodyPr spcFirstLastPara="1" wrap="square" lIns="91425" tIns="45700" rIns="91425" bIns="45700" anchor="ctr" anchorCtr="0">
                        <a:noAutofit/>
                      </wps:bodyPr>
                    </wps:wsp>
                  </a:graphicData>
                </a:graphic>
              </wp:anchor>
            </w:drawing>
          </mc:Choice>
          <mc:Fallback>
            <w:pict>
              <v:rect w14:anchorId="387AFD33" id="Rectangle 19" o:spid="_x0000_s1029" style="position:absolute;left:0;text-align:left;margin-left:236pt;margin-top:2.85pt;width:179pt;height:103.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" filled="f" strokecolor="black [3200]" strokeweight="2pt">
                <v:stroke startarrowwidth="narrow" startarrowlength="short" endarrowwidth="narrow" endarrowlength="short" joinstyle="round"/>
                <v:textbox inset="2.53958mm,1.2694mm,2.53958mm,1.2694mm">
                  <w:txbxContent>
                    <w:p w14:paraId="236CB75D" w14:textId="77777777" w:rsidR="008060F9" w:rsidRDefault="008060F9">
                      <w:pPr>
                        <w:spacing w:line="240" w:lineRule="auto"/>
                        <w:textDirection w:val="btLr"/>
                      </w:pPr>
                      <w:r>
                        <w:rPr>
                          <w:rFonts w:ascii="Arial" w:eastAsia="Arial" w:hAnsi="Arial" w:cs="Arial"/>
                          <w:color w:val="000000"/>
                          <w:sz w:val="18"/>
                        </w:rPr>
                        <w:t xml:space="preserve">Records removed </w:t>
                      </w:r>
                      <w:r>
                        <w:rPr>
                          <w:rFonts w:ascii="Arial" w:eastAsia="Arial" w:hAnsi="Arial" w:cs="Arial"/>
                          <w:i/>
                          <w:color w:val="000000"/>
                          <w:sz w:val="18"/>
                        </w:rPr>
                        <w:t>before screening</w:t>
                      </w:r>
                      <w:r>
                        <w:rPr>
                          <w:rFonts w:ascii="Arial" w:eastAsia="Arial" w:hAnsi="Arial" w:cs="Arial"/>
                          <w:color w:val="000000"/>
                          <w:sz w:val="18"/>
                        </w:rPr>
                        <w:t>:</w:t>
                      </w:r>
                    </w:p>
                    <w:p w14:paraId="1CC33531" w14:textId="77777777" w:rsidR="008060F9" w:rsidRDefault="008060F9">
                      <w:pPr>
                        <w:spacing w:line="240" w:lineRule="auto"/>
                        <w:ind w:left="282" w:firstLine="846"/>
                        <w:textDirection w:val="btLr"/>
                      </w:pPr>
                      <w:r>
                        <w:rPr>
                          <w:rFonts w:ascii="Arial" w:eastAsia="Arial" w:hAnsi="Arial" w:cs="Arial"/>
                          <w:color w:val="000000"/>
                          <w:sz w:val="18"/>
                        </w:rPr>
                        <w:t>Duplicate records removed (n = 25)</w:t>
                      </w:r>
                    </w:p>
                    <w:p w14:paraId="07DC5A71" w14:textId="77777777" w:rsidR="008060F9" w:rsidRDefault="008060F9">
                      <w:pPr>
                        <w:spacing w:line="240" w:lineRule="auto"/>
                        <w:ind w:left="282" w:firstLine="846"/>
                        <w:textDirection w:val="btLr"/>
                      </w:pPr>
                      <w:r>
                        <w:rPr>
                          <w:rFonts w:ascii="Arial" w:eastAsia="Arial" w:hAnsi="Arial" w:cs="Arial"/>
                          <w:color w:val="000000"/>
                          <w:sz w:val="18"/>
                        </w:rPr>
                        <w:t>Records marked as ineligible by automation tools (n = 0)</w:t>
                      </w:r>
                    </w:p>
                    <w:p w14:paraId="2B865906" w14:textId="77777777" w:rsidR="008060F9" w:rsidRDefault="008060F9">
                      <w:pPr>
                        <w:spacing w:line="240" w:lineRule="auto"/>
                        <w:ind w:left="282" w:firstLine="846"/>
                        <w:textDirection w:val="btLr"/>
                      </w:pPr>
                      <w:r>
                        <w:rPr>
                          <w:rFonts w:ascii="Arial" w:eastAsia="Arial" w:hAnsi="Arial" w:cs="Arial"/>
                          <w:color w:val="000000"/>
                          <w:sz w:val="18"/>
                        </w:rPr>
                        <w:t>Records removed for other reasons (n = 5)</w:t>
                      </w:r>
                    </w:p>
                  </w:txbxContent>
                </v:textbox>
              </v:rect>
            </w:pict>
          </mc:Fallback>
        </mc:AlternateContent>
      </w:r>
    </w:p>
    <w:p w14:paraId="1AF58259" w14:textId="77777777" w:rsidR="007575B8" w:rsidRPr="0048631F" w:rsidRDefault="007575B8" w:rsidP="00024BB0">
      <w:pPr>
        <w:rPr>
          <w:rFonts w:ascii="Arial" w:hAnsi="Arial" w:cs="Arial"/>
        </w:rPr>
      </w:pPr>
    </w:p>
    <w:p w14:paraId="57964AA0" w14:textId="7E178DCD" w:rsidR="007575B8" w:rsidRPr="0048631F" w:rsidRDefault="007575B8" w:rsidP="00024BB0">
      <w:pPr>
        <w:rPr>
          <w:rFonts w:ascii="Arial" w:hAnsi="Arial" w:cs="Arial"/>
        </w:rPr>
      </w:pPr>
    </w:p>
    <w:p w14:paraId="3BB9C21A" w14:textId="3882A77F"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62336" behindDoc="0" locked="0" layoutInCell="1" hidden="0" allowOverlap="1" wp14:anchorId="523A8B2A" wp14:editId="6FE89CCA">
                <wp:simplePos x="0" y="0"/>
                <wp:positionH relativeFrom="column">
                  <wp:posOffset>2464435</wp:posOffset>
                </wp:positionH>
                <wp:positionV relativeFrom="paragraph">
                  <wp:posOffset>12700</wp:posOffset>
                </wp:positionV>
                <wp:extent cx="582320" cy="44450"/>
                <wp:effectExtent l="0" t="0" r="0" b="0"/>
                <wp:wrapNone/>
                <wp:docPr id="9" name="Straight Arrow Connector 9"/>
                <wp:cNvGraphicFramePr/>
                <a:graphic xmlns:a="http://schemas.openxmlformats.org/drawingml/2006/main">
                  <a:graphicData uri="http://schemas.microsoft.com/office/word/2010/wordprocessingShape">
                    <wps:wsp>
                      <wps:cNvCnPr/>
                      <wps:spPr>
                        <a:xfrm>
                          <a:off x="0" y="0"/>
                          <a:ext cx="582320" cy="4445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E8B5D9" id="_x0000_t32" coordsize="21600,21600" o:spt="32" o:oned="t" path="m,l21600,21600e" filled="f">
                <v:path arrowok="t" fillok="f" o:connecttype="none"/>
                <o:lock v:ext="edit" shapetype="t"/>
              </v:shapetype>
              <v:shape id="Straight Arrow Connector 9" o:spid="_x0000_s1026" type="#_x0000_t32" style="position:absolute;margin-left:194.05pt;margin-top:1pt;width:45.85pt;height: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" strokecolor="black [3200]">
                <v:stroke startarrowwidth="narrow" startarrowlength="short" endarrow="block"/>
              </v:shape>
            </w:pict>
          </mc:Fallback>
        </mc:AlternateContent>
      </w:r>
    </w:p>
    <w:p w14:paraId="60584173" w14:textId="132CCB5F" w:rsidR="007575B8" w:rsidRPr="0048631F" w:rsidRDefault="007575B8" w:rsidP="00024BB0">
      <w:pPr>
        <w:rPr>
          <w:rFonts w:ascii="Arial" w:hAnsi="Arial" w:cs="Arial"/>
        </w:rPr>
      </w:pPr>
    </w:p>
    <w:p w14:paraId="34D3C919" w14:textId="77777777" w:rsidR="007575B8" w:rsidRPr="0048631F" w:rsidRDefault="004D78AD"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63360" behindDoc="0" locked="0" layoutInCell="1" hidden="0" allowOverlap="1" wp14:anchorId="4635E376" wp14:editId="649A714C">
                <wp:simplePos x="0" y="0"/>
                <wp:positionH relativeFrom="column">
                  <wp:posOffset>1362075</wp:posOffset>
                </wp:positionH>
                <wp:positionV relativeFrom="paragraph">
                  <wp:posOffset>11430</wp:posOffset>
                </wp:positionV>
                <wp:extent cx="45719" cy="533400"/>
                <wp:effectExtent l="38100" t="0" r="69215" b="57150"/>
                <wp:wrapNone/>
                <wp:docPr id="12" name="Straight Arrow Connector 12"/>
                <wp:cNvGraphicFramePr/>
                <a:graphic xmlns:a="http://schemas.openxmlformats.org/drawingml/2006/main">
                  <a:graphicData uri="http://schemas.microsoft.com/office/word/2010/wordprocessingShape">
                    <wps:wsp>
                      <wps:cNvCnPr/>
                      <wps:spPr>
                        <a:xfrm>
                          <a:off x="0" y="0"/>
                          <a:ext cx="45719" cy="533400"/>
                        </a:xfrm>
                        <a:prstGeom prst="straightConnector1">
                          <a:avLst/>
                        </a:prstGeom>
                        <a:noFill/>
                        <a:ln w="9525" cap="flat" cmpd="sng">
                          <a:solidFill>
                            <a:schemeClr val="dk1"/>
                          </a:solidFill>
                          <a:prstDash val="solid"/>
                          <a:round/>
                          <a:headEnd type="none" w="sm" len="sm"/>
                          <a:tailEnd type="triangle" w="med" len="med"/>
                        </a:ln>
                      </wps:spPr>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9BAD3A" id="Straight Arrow Connector 12" o:spid="_x0000_s1026" type="#_x0000_t32" style="position:absolute;margin-left:107.25pt;margin-top:.9pt;width:3.6pt;height: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" strokecolor="black [3200]">
                <v:stroke startarrowwidth="narrow" startarrowlength="short" endarrow="block"/>
              </v:shape>
            </w:pict>
          </mc:Fallback>
        </mc:AlternateContent>
      </w:r>
    </w:p>
    <w:p w14:paraId="3BD68246" w14:textId="77777777" w:rsidR="007575B8" w:rsidRPr="0048631F" w:rsidRDefault="007575B8" w:rsidP="00024BB0">
      <w:pPr>
        <w:rPr>
          <w:rFonts w:ascii="Arial" w:hAnsi="Arial" w:cs="Arial"/>
        </w:rPr>
      </w:pPr>
    </w:p>
    <w:p w14:paraId="2F508821" w14:textId="30611ED9"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71552" behindDoc="0" locked="0" layoutInCell="1" hidden="0" allowOverlap="1" wp14:anchorId="3538E68E" wp14:editId="3EACDF3E">
                <wp:simplePos x="0" y="0"/>
                <wp:positionH relativeFrom="column">
                  <wp:posOffset>-66674</wp:posOffset>
                </wp:positionH>
                <wp:positionV relativeFrom="paragraph">
                  <wp:posOffset>38100</wp:posOffset>
                </wp:positionV>
                <wp:extent cx="361950" cy="3415665"/>
                <wp:effectExtent l="0" t="0" r="19050" b="13335"/>
                <wp:wrapNone/>
                <wp:docPr id="11" name="Flowchart: Alternate Process 11"/>
                <wp:cNvGraphicFramePr/>
                <a:graphic xmlns:a="http://schemas.openxmlformats.org/drawingml/2006/main">
                  <a:graphicData uri="http://schemas.microsoft.com/office/word/2010/wordprocessingShape">
                    <wps:wsp>
                      <wps:cNvSpPr/>
                      <wps:spPr>
                        <a:xfrm>
                          <a:off x="0" y="0"/>
                          <a:ext cx="361950" cy="3415665"/>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0964BB6D" w14:textId="77777777" w:rsidR="008060F9" w:rsidRDefault="008060F9">
                            <w:pPr>
                              <w:spacing w:line="240" w:lineRule="auto"/>
                              <w:jc w:val="center"/>
                              <w:textDirection w:val="btLr"/>
                            </w:pPr>
                            <w:r>
                              <w:rPr>
                                <w:rFonts w:ascii="Arial" w:eastAsia="Arial" w:hAnsi="Arial" w:cs="Arial"/>
                                <w:b/>
                                <w:color w:val="000000"/>
                                <w:sz w:val="18"/>
                              </w:rPr>
                              <w:t>Screening</w:t>
                            </w:r>
                          </w:p>
                          <w:p w14:paraId="78770BC7" w14:textId="77777777" w:rsidR="008060F9" w:rsidRDefault="008060F9">
                            <w:pPr>
                              <w:spacing w:line="240"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538E68E" id="Flowchart: Alternate Process 11" o:spid="_x0000_s1030" type="#_x0000_t176" style="position:absolute;left:0;text-align:left;margin-left:-5.25pt;margin-top:3pt;width:28.5pt;height:26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" fillcolor="#92ccdc" strokecolor="black [3200]" strokeweight="2pt">
                <v:stroke startarrowwidth="narrow" startarrowlength="short" endarrowwidth="narrow" endarrowlength="short" joinstyle="round"/>
                <v:textbox inset="2.53958mm,1.2694mm,2.53958mm,1.2694mm">
                  <w:txbxContent>
                    <w:p w14:paraId="0964BB6D" w14:textId="77777777" w:rsidR="008060F9" w:rsidRDefault="008060F9">
                      <w:pPr>
                        <w:spacing w:line="240" w:lineRule="auto"/>
                        <w:jc w:val="center"/>
                        <w:textDirection w:val="btLr"/>
                      </w:pPr>
                      <w:r>
                        <w:rPr>
                          <w:rFonts w:ascii="Arial" w:eastAsia="Arial" w:hAnsi="Arial" w:cs="Arial"/>
                          <w:b/>
                          <w:color w:val="000000"/>
                          <w:sz w:val="18"/>
                        </w:rPr>
                        <w:t>Screening</w:t>
                      </w:r>
                    </w:p>
                    <w:p w14:paraId="78770BC7" w14:textId="77777777" w:rsidR="008060F9" w:rsidRDefault="008060F9">
                      <w:pPr>
                        <w:spacing w:line="240" w:lineRule="auto"/>
                        <w:textDirection w:val="btLr"/>
                      </w:pPr>
                    </w:p>
                  </w:txbxContent>
                </v:textbox>
              </v:shape>
            </w:pict>
          </mc:Fallback>
        </mc:AlternateContent>
      </w:r>
      <w:r w:rsidR="004D78AD" w:rsidRPr="0048631F">
        <w:rPr>
          <w:rFonts w:ascii="Arial" w:hAnsi="Arial" w:cs="Arial"/>
          <w:noProof/>
        </w:rPr>
        <mc:AlternateContent>
          <mc:Choice Requires="wps">
            <w:drawing>
              <wp:anchor distT="0" distB="0" distL="114300" distR="114300" simplePos="0" relativeHeight="251664384" behindDoc="0" locked="0" layoutInCell="1" hidden="0" allowOverlap="1" wp14:anchorId="42D71A1E" wp14:editId="5111BFCC">
                <wp:simplePos x="0" y="0"/>
                <wp:positionH relativeFrom="column">
                  <wp:posOffset>521334</wp:posOffset>
                </wp:positionH>
                <wp:positionV relativeFrom="paragraph">
                  <wp:posOffset>36830</wp:posOffset>
                </wp:positionV>
                <wp:extent cx="1963420" cy="602615"/>
                <wp:effectExtent l="0" t="0" r="0" b="0"/>
                <wp:wrapNone/>
                <wp:docPr id="5" name="Rectangle 5"/>
                <wp:cNvGraphicFramePr/>
                <a:graphic xmlns:a="http://schemas.openxmlformats.org/drawingml/2006/main">
                  <a:graphicData uri="http://schemas.microsoft.com/office/word/2010/wordprocessingShape">
                    <wps:wsp>
                      <wps:cNvSpPr/>
                      <wps:spPr>
                        <a:xfrm>
                          <a:off x="4402390" y="3516793"/>
                          <a:ext cx="1887220" cy="526415"/>
                        </a:xfrm>
                        <a:prstGeom prst="rect">
                          <a:avLst/>
                        </a:prstGeom>
                        <a:noFill/>
                        <a:ln w="25400" cap="flat" cmpd="sng">
                          <a:solidFill>
                            <a:schemeClr val="dk1"/>
                          </a:solidFill>
                          <a:prstDash val="solid"/>
                          <a:round/>
                          <a:headEnd type="none" w="sm" len="sm"/>
                          <a:tailEnd type="none" w="sm" len="sm"/>
                        </a:ln>
                      </wps:spPr>
                      <wps:txbx>
                        <w:txbxContent>
                          <w:p w14:paraId="3F141C0E" w14:textId="77777777" w:rsidR="008060F9" w:rsidRDefault="008060F9">
                            <w:pPr>
                              <w:spacing w:line="240" w:lineRule="auto"/>
                              <w:textDirection w:val="btLr"/>
                            </w:pPr>
                            <w:r>
                              <w:rPr>
                                <w:rFonts w:ascii="Arial" w:eastAsia="Arial" w:hAnsi="Arial" w:cs="Arial"/>
                                <w:color w:val="000000"/>
                                <w:sz w:val="18"/>
                              </w:rPr>
                              <w:t>Records screened</w:t>
                            </w:r>
                          </w:p>
                          <w:p w14:paraId="01850860" w14:textId="77777777" w:rsidR="008060F9" w:rsidRDefault="008060F9">
                            <w:pPr>
                              <w:spacing w:line="240" w:lineRule="auto"/>
                              <w:textDirection w:val="btLr"/>
                            </w:pPr>
                            <w:r>
                              <w:rPr>
                                <w:rFonts w:ascii="Arial" w:eastAsia="Arial" w:hAnsi="Arial" w:cs="Arial"/>
                                <w:color w:val="000000"/>
                                <w:sz w:val="18"/>
                              </w:rPr>
                              <w:t>(n = 90)</w:t>
                            </w:r>
                          </w:p>
                        </w:txbxContent>
                      </wps:txbx>
                      <wps:bodyPr spcFirstLastPara="1" wrap="square" lIns="91425" tIns="45700" rIns="91425" bIns="45700" anchor="ctr" anchorCtr="0">
                        <a:noAutofit/>
                      </wps:bodyPr>
                    </wps:wsp>
                  </a:graphicData>
                </a:graphic>
              </wp:anchor>
            </w:drawing>
          </mc:Choice>
          <mc:Fallback>
            <w:pict>
              <v:rect w14:anchorId="42D71A1E" id="Rectangle 5" o:spid="_x0000_s1031" style="position:absolute;left:0;text-align:left;margin-left:41.05pt;margin-top:2.9pt;width:154.6pt;height:47.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" filled="f" strokecolor="black [3200]" strokeweight="2pt">
                <v:stroke startarrowwidth="narrow" startarrowlength="short" endarrowwidth="narrow" endarrowlength="short" joinstyle="round"/>
                <v:textbox inset="2.53958mm,1.2694mm,2.53958mm,1.2694mm">
                  <w:txbxContent>
                    <w:p w14:paraId="3F141C0E" w14:textId="77777777" w:rsidR="008060F9" w:rsidRDefault="008060F9">
                      <w:pPr>
                        <w:spacing w:line="240" w:lineRule="auto"/>
                        <w:textDirection w:val="btLr"/>
                      </w:pPr>
                      <w:r>
                        <w:rPr>
                          <w:rFonts w:ascii="Arial" w:eastAsia="Arial" w:hAnsi="Arial" w:cs="Arial"/>
                          <w:color w:val="000000"/>
                          <w:sz w:val="18"/>
                        </w:rPr>
                        <w:t>Records screened</w:t>
                      </w:r>
                    </w:p>
                    <w:p w14:paraId="01850860" w14:textId="77777777" w:rsidR="008060F9" w:rsidRDefault="008060F9">
                      <w:pPr>
                        <w:spacing w:line="240" w:lineRule="auto"/>
                        <w:textDirection w:val="btLr"/>
                      </w:pPr>
                      <w:r>
                        <w:rPr>
                          <w:rFonts w:ascii="Arial" w:eastAsia="Arial" w:hAnsi="Arial" w:cs="Arial"/>
                          <w:color w:val="000000"/>
                          <w:sz w:val="18"/>
                        </w:rPr>
                        <w:t>(n = 90)</w:t>
                      </w:r>
                    </w:p>
                  </w:txbxContent>
                </v:textbox>
              </v:rect>
            </w:pict>
          </mc:Fallback>
        </mc:AlternateContent>
      </w:r>
      <w:r w:rsidR="004D78AD" w:rsidRPr="0048631F">
        <w:rPr>
          <w:rFonts w:ascii="Arial" w:hAnsi="Arial" w:cs="Arial"/>
          <w:noProof/>
        </w:rPr>
        <mc:AlternateContent>
          <mc:Choice Requires="wps">
            <w:drawing>
              <wp:anchor distT="0" distB="0" distL="114300" distR="114300" simplePos="0" relativeHeight="251665408" behindDoc="0" locked="0" layoutInCell="1" hidden="0" allowOverlap="1" wp14:anchorId="30F7D937" wp14:editId="2F54E03C">
                <wp:simplePos x="0" y="0"/>
                <wp:positionH relativeFrom="column">
                  <wp:posOffset>3009900</wp:posOffset>
                </wp:positionH>
                <wp:positionV relativeFrom="paragraph">
                  <wp:posOffset>36830</wp:posOffset>
                </wp:positionV>
                <wp:extent cx="1963420" cy="602615"/>
                <wp:effectExtent l="0" t="0" r="0" b="0"/>
                <wp:wrapNone/>
                <wp:docPr id="20" name="Rectangle 20"/>
                <wp:cNvGraphicFramePr/>
                <a:graphic xmlns:a="http://schemas.openxmlformats.org/drawingml/2006/main">
                  <a:graphicData uri="http://schemas.microsoft.com/office/word/2010/wordprocessingShape">
                    <wps:wsp>
                      <wps:cNvSpPr/>
                      <wps:spPr>
                        <a:xfrm>
                          <a:off x="4402390" y="3516793"/>
                          <a:ext cx="1887220" cy="526415"/>
                        </a:xfrm>
                        <a:prstGeom prst="rect">
                          <a:avLst/>
                        </a:prstGeom>
                        <a:noFill/>
                        <a:ln w="25400" cap="flat" cmpd="sng">
                          <a:solidFill>
                            <a:schemeClr val="dk1"/>
                          </a:solidFill>
                          <a:prstDash val="solid"/>
                          <a:round/>
                          <a:headEnd type="none" w="sm" len="sm"/>
                          <a:tailEnd type="none" w="sm" len="sm"/>
                        </a:ln>
                      </wps:spPr>
                      <wps:txbx>
                        <w:txbxContent>
                          <w:p w14:paraId="5A374CDE" w14:textId="77777777" w:rsidR="008060F9" w:rsidRDefault="008060F9">
                            <w:pPr>
                              <w:spacing w:line="240" w:lineRule="auto"/>
                              <w:textDirection w:val="btLr"/>
                            </w:pPr>
                            <w:r>
                              <w:rPr>
                                <w:rFonts w:ascii="Arial" w:eastAsia="Arial" w:hAnsi="Arial" w:cs="Arial"/>
                                <w:color w:val="000000"/>
                                <w:sz w:val="18"/>
                              </w:rPr>
                              <w:t>Records excluded**</w:t>
                            </w:r>
                          </w:p>
                          <w:p w14:paraId="168CBCAA" w14:textId="77777777" w:rsidR="008060F9" w:rsidRDefault="008060F9">
                            <w:pPr>
                              <w:spacing w:line="240" w:lineRule="auto"/>
                              <w:textDirection w:val="btLr"/>
                            </w:pPr>
                            <w:r>
                              <w:rPr>
                                <w:rFonts w:ascii="Arial" w:eastAsia="Arial" w:hAnsi="Arial" w:cs="Arial"/>
                                <w:color w:val="000000"/>
                                <w:sz w:val="18"/>
                              </w:rPr>
                              <w:t>(n = 40)</w:t>
                            </w:r>
                          </w:p>
                        </w:txbxContent>
                      </wps:txbx>
                      <wps:bodyPr spcFirstLastPara="1" wrap="square" lIns="91425" tIns="45700" rIns="91425" bIns="45700" anchor="ctr" anchorCtr="0">
                        <a:noAutofit/>
                      </wps:bodyPr>
                    </wps:wsp>
                  </a:graphicData>
                </a:graphic>
              </wp:anchor>
            </w:drawing>
          </mc:Choice>
          <mc:Fallback>
            <w:pict>
              <v:rect w14:anchorId="30F7D937" id="Rectangle 20" o:spid="_x0000_s1032" style="position:absolute;left:0;text-align:left;margin-left:237pt;margin-top:2.9pt;width:154.6pt;height:4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" filled="f" strokecolor="black [3200]" strokeweight="2pt">
                <v:stroke startarrowwidth="narrow" startarrowlength="short" endarrowwidth="narrow" endarrowlength="short" joinstyle="round"/>
                <v:textbox inset="2.53958mm,1.2694mm,2.53958mm,1.2694mm">
                  <w:txbxContent>
                    <w:p w14:paraId="5A374CDE" w14:textId="77777777" w:rsidR="008060F9" w:rsidRDefault="008060F9">
                      <w:pPr>
                        <w:spacing w:line="240" w:lineRule="auto"/>
                        <w:textDirection w:val="btLr"/>
                      </w:pPr>
                      <w:r>
                        <w:rPr>
                          <w:rFonts w:ascii="Arial" w:eastAsia="Arial" w:hAnsi="Arial" w:cs="Arial"/>
                          <w:color w:val="000000"/>
                          <w:sz w:val="18"/>
                        </w:rPr>
                        <w:t>Records excluded**</w:t>
                      </w:r>
                    </w:p>
                    <w:p w14:paraId="168CBCAA" w14:textId="77777777" w:rsidR="008060F9" w:rsidRDefault="008060F9">
                      <w:pPr>
                        <w:spacing w:line="240" w:lineRule="auto"/>
                        <w:textDirection w:val="btLr"/>
                      </w:pPr>
                      <w:r>
                        <w:rPr>
                          <w:rFonts w:ascii="Arial" w:eastAsia="Arial" w:hAnsi="Arial" w:cs="Arial"/>
                          <w:color w:val="000000"/>
                          <w:sz w:val="18"/>
                        </w:rPr>
                        <w:t>(n = 40)</w:t>
                      </w:r>
                    </w:p>
                  </w:txbxContent>
                </v:textbox>
              </v:rect>
            </w:pict>
          </mc:Fallback>
        </mc:AlternateContent>
      </w:r>
      <w:r w:rsidR="004D78AD" w:rsidRPr="0048631F">
        <w:rPr>
          <w:rFonts w:ascii="Arial" w:hAnsi="Arial" w:cs="Arial"/>
          <w:noProof/>
        </w:rPr>
        <mc:AlternateContent>
          <mc:Choice Requires="wpg">
            <w:drawing>
              <wp:anchor distT="0" distB="0" distL="114300" distR="114300" simplePos="0" relativeHeight="251666432" behindDoc="0" locked="0" layoutInCell="1" hidden="0" allowOverlap="1" wp14:anchorId="662B1BB0" wp14:editId="1ED20A21">
                <wp:simplePos x="0" y="0"/>
                <wp:positionH relativeFrom="column">
                  <wp:posOffset>2444115</wp:posOffset>
                </wp:positionH>
                <wp:positionV relativeFrom="paragraph">
                  <wp:posOffset>306071</wp:posOffset>
                </wp:positionV>
                <wp:extent cx="582295" cy="44450"/>
                <wp:effectExtent l="0" t="0" r="0" b="0"/>
                <wp:wrapNone/>
                <wp:docPr id="14" name="Straight Arrow Connector 14"/>
                <wp:cNvGraphicFramePr/>
                <a:graphic xmlns:a="http://schemas.openxmlformats.org/drawingml/2006/main">
                  <a:graphicData uri="http://schemas.microsoft.com/office/word/2010/wordprocessingShape">
                    <wps:wsp>
                      <wps:cNvCnPr/>
                      <wps:spPr>
                        <a:xfrm>
                          <a:off x="5064378" y="3780000"/>
                          <a:ext cx="563245" cy="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oel="http://schemas.microsoft.com/office/2019/extlst" xmlns:w16cei="http://schemas.microsoft.com/office/word/2026/wordml/cei" xmlns:w16sdtfl="http://schemas.microsoft.com/office/word/2024/wordml/sdtformatlock" xmlns:w16du="http://schemas.microsoft.com/office/word/2023/wordml/word16du"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2444115</wp:posOffset>
                </wp:positionH>
                <wp:positionV relativeFrom="paragraph">
                  <wp:posOffset>306071</wp:posOffset>
                </wp:positionV>
                <wp:extent cx="582295" cy="44450"/>
                <wp:effectExtent b="0" l="0" r="0" t="0"/>
                <wp:wrapNone/>
                <wp:docPr id="14" name="image24.png"/>
                <a:graphic>
                  <a:graphicData uri="http://schemas.openxmlformats.org/drawingml/2006/picture">
                    <pic:pic>
                      <pic:nvPicPr>
                        <pic:cNvPr id="0" name="image24.png"/>
                        <pic:cNvPicPr preferRelativeResize="0"/>
                      </pic:nvPicPr>
                      <pic:blipFill>
                        <a:blip r:embed="rId16"/>
                        <a:srcRect/>
                        <a:stretch>
                          <a:fillRect/>
                        </a:stretch>
                      </pic:blipFill>
                      <pic:spPr>
                        <a:xfrm>
                          <a:off x="0" y="0"/>
                          <a:ext cx="582295" cy="44450"/>
                        </a:xfrm>
                        <a:prstGeom prst="rect"/>
                        <a:ln/>
                      </pic:spPr>
                    </pic:pic>
                  </a:graphicData>
                </a:graphic>
              </wp:anchor>
            </w:drawing>
          </mc:Fallback>
        </mc:AlternateContent>
      </w:r>
    </w:p>
    <w:p w14:paraId="3F832584" w14:textId="60B5A128" w:rsidR="007575B8" w:rsidRPr="0048631F" w:rsidRDefault="007575B8" w:rsidP="00024BB0">
      <w:pPr>
        <w:rPr>
          <w:rFonts w:ascii="Arial" w:hAnsi="Arial" w:cs="Arial"/>
        </w:rPr>
      </w:pPr>
    </w:p>
    <w:p w14:paraId="25431664" w14:textId="00DBC706"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80768" behindDoc="0" locked="0" layoutInCell="1" hidden="0" allowOverlap="1" wp14:anchorId="7D93D735" wp14:editId="2F364439">
                <wp:simplePos x="0" y="0"/>
                <wp:positionH relativeFrom="column">
                  <wp:posOffset>1409700</wp:posOffset>
                </wp:positionH>
                <wp:positionV relativeFrom="paragraph">
                  <wp:posOffset>179069</wp:posOffset>
                </wp:positionV>
                <wp:extent cx="57150" cy="542925"/>
                <wp:effectExtent l="19050" t="0" r="57150" b="47625"/>
                <wp:wrapNone/>
                <wp:docPr id="32" name="Straight Arrow Connector 32"/>
                <wp:cNvGraphicFramePr/>
                <a:graphic xmlns:a="http://schemas.openxmlformats.org/drawingml/2006/main">
                  <a:graphicData uri="http://schemas.microsoft.com/office/word/2010/wordprocessingShape">
                    <wps:wsp>
                      <wps:cNvCnPr/>
                      <wps:spPr>
                        <a:xfrm>
                          <a:off x="0" y="0"/>
                          <a:ext cx="57150" cy="542925"/>
                        </a:xfrm>
                        <a:prstGeom prst="straightConnector1">
                          <a:avLst/>
                        </a:prstGeom>
                        <a:noFill/>
                        <a:ln w="9525" cap="flat" cmpd="sng">
                          <a:solidFill>
                            <a:schemeClr val="dk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BF2D39" id="Straight Arrow Connector 32" o:spid="_x0000_s1026" type="#_x0000_t32" style="position:absolute;margin-left:111pt;margin-top:14.1pt;width:4.5pt;height:4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" strokecolor="black [3200]">
                <v:stroke startarrowwidth="narrow" startarrowlength="short" endarrow="block"/>
              </v:shape>
            </w:pict>
          </mc:Fallback>
        </mc:AlternateContent>
      </w:r>
    </w:p>
    <w:p w14:paraId="19BEC137" w14:textId="3D384E21" w:rsidR="007575B8" w:rsidRPr="0048631F" w:rsidRDefault="007575B8" w:rsidP="00024BB0">
      <w:pPr>
        <w:rPr>
          <w:rFonts w:ascii="Arial" w:hAnsi="Arial" w:cs="Arial"/>
        </w:rPr>
      </w:pPr>
    </w:p>
    <w:p w14:paraId="46070803" w14:textId="7263FC87" w:rsidR="007575B8" w:rsidRPr="0048631F" w:rsidRDefault="007575B8" w:rsidP="00024BB0">
      <w:pPr>
        <w:rPr>
          <w:rFonts w:ascii="Arial" w:hAnsi="Arial" w:cs="Arial"/>
        </w:rPr>
      </w:pPr>
    </w:p>
    <w:p w14:paraId="16CB3B4D" w14:textId="77777777" w:rsidR="007575B8" w:rsidRPr="0048631F" w:rsidRDefault="004D78AD"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68480" behindDoc="0" locked="0" layoutInCell="1" hidden="0" allowOverlap="1" wp14:anchorId="52858336" wp14:editId="67078EAC">
                <wp:simplePos x="0" y="0"/>
                <wp:positionH relativeFrom="column">
                  <wp:posOffset>522605</wp:posOffset>
                </wp:positionH>
                <wp:positionV relativeFrom="paragraph">
                  <wp:posOffset>9525</wp:posOffset>
                </wp:positionV>
                <wp:extent cx="1963420" cy="602615"/>
                <wp:effectExtent l="0" t="0" r="0" b="0"/>
                <wp:wrapNone/>
                <wp:docPr id="7" name="Rectangle 7"/>
                <wp:cNvGraphicFramePr/>
                <a:graphic xmlns:a="http://schemas.openxmlformats.org/drawingml/2006/main">
                  <a:graphicData uri="http://schemas.microsoft.com/office/word/2010/wordprocessingShape">
                    <wps:wsp>
                      <wps:cNvSpPr/>
                      <wps:spPr>
                        <a:xfrm>
                          <a:off x="4402390" y="3516793"/>
                          <a:ext cx="1887220" cy="526415"/>
                        </a:xfrm>
                        <a:prstGeom prst="rect">
                          <a:avLst/>
                        </a:prstGeom>
                        <a:noFill/>
                        <a:ln w="25400" cap="flat" cmpd="sng">
                          <a:solidFill>
                            <a:schemeClr val="dk1"/>
                          </a:solidFill>
                          <a:prstDash val="solid"/>
                          <a:round/>
                          <a:headEnd type="none" w="sm" len="sm"/>
                          <a:tailEnd type="none" w="sm" len="sm"/>
                        </a:ln>
                      </wps:spPr>
                      <wps:txbx>
                        <w:txbxContent>
                          <w:p w14:paraId="023E40DA" w14:textId="77777777" w:rsidR="008060F9" w:rsidRDefault="008060F9">
                            <w:pPr>
                              <w:spacing w:line="240" w:lineRule="auto"/>
                              <w:textDirection w:val="btLr"/>
                            </w:pPr>
                            <w:r>
                              <w:rPr>
                                <w:rFonts w:ascii="Arial" w:eastAsia="Arial" w:hAnsi="Arial" w:cs="Arial"/>
                                <w:color w:val="000000"/>
                                <w:sz w:val="18"/>
                              </w:rPr>
                              <w:t>Reports sought for retrieval</w:t>
                            </w:r>
                          </w:p>
                          <w:p w14:paraId="294A9DEC" w14:textId="77777777" w:rsidR="008060F9" w:rsidRDefault="008060F9">
                            <w:pPr>
                              <w:spacing w:line="240" w:lineRule="auto"/>
                              <w:textDirection w:val="btLr"/>
                            </w:pPr>
                            <w:r>
                              <w:rPr>
                                <w:rFonts w:ascii="Arial" w:eastAsia="Arial" w:hAnsi="Arial" w:cs="Arial"/>
                                <w:color w:val="000000"/>
                                <w:sz w:val="18"/>
                              </w:rPr>
                              <w:t>(n = 50)</w:t>
                            </w:r>
                          </w:p>
                        </w:txbxContent>
                      </wps:txbx>
                      <wps:bodyPr spcFirstLastPara="1" wrap="square" lIns="91425" tIns="45700" rIns="91425" bIns="45700" anchor="ctr" anchorCtr="0">
                        <a:noAutofit/>
                      </wps:bodyPr>
                    </wps:wsp>
                  </a:graphicData>
                </a:graphic>
              </wp:anchor>
            </w:drawing>
          </mc:Choice>
          <mc:Fallback>
            <w:pict>
              <v:rect w14:anchorId="52858336" id="Rectangle 7" o:spid="_x0000_s1033" style="position:absolute;left:0;text-align:left;margin-left:41.15pt;margin-top:.75pt;width:154.6pt;height:47.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" filled="f" strokecolor="black [3200]" strokeweight="2pt">
                <v:stroke startarrowwidth="narrow" startarrowlength="short" endarrowwidth="narrow" endarrowlength="short" joinstyle="round"/>
                <v:textbox inset="2.53958mm,1.2694mm,2.53958mm,1.2694mm">
                  <w:txbxContent>
                    <w:p w14:paraId="023E40DA" w14:textId="77777777" w:rsidR="008060F9" w:rsidRDefault="008060F9">
                      <w:pPr>
                        <w:spacing w:line="240" w:lineRule="auto"/>
                        <w:textDirection w:val="btLr"/>
                      </w:pPr>
                      <w:r>
                        <w:rPr>
                          <w:rFonts w:ascii="Arial" w:eastAsia="Arial" w:hAnsi="Arial" w:cs="Arial"/>
                          <w:color w:val="000000"/>
                          <w:sz w:val="18"/>
                        </w:rPr>
                        <w:t>Reports sought for retrieval</w:t>
                      </w:r>
                    </w:p>
                    <w:p w14:paraId="294A9DEC" w14:textId="77777777" w:rsidR="008060F9" w:rsidRDefault="008060F9">
                      <w:pPr>
                        <w:spacing w:line="240" w:lineRule="auto"/>
                        <w:textDirection w:val="btLr"/>
                      </w:pPr>
                      <w:r>
                        <w:rPr>
                          <w:rFonts w:ascii="Arial" w:eastAsia="Arial" w:hAnsi="Arial" w:cs="Arial"/>
                          <w:color w:val="000000"/>
                          <w:sz w:val="18"/>
                        </w:rPr>
                        <w:t>(n = 50)</w:t>
                      </w:r>
                    </w:p>
                  </w:txbxContent>
                </v:textbox>
              </v:rect>
            </w:pict>
          </mc:Fallback>
        </mc:AlternateContent>
      </w:r>
      <w:r w:rsidRPr="0048631F">
        <w:rPr>
          <w:rFonts w:ascii="Arial" w:hAnsi="Arial" w:cs="Arial"/>
          <w:noProof/>
        </w:rPr>
        <mc:AlternateContent>
          <mc:Choice Requires="wps">
            <w:drawing>
              <wp:anchor distT="0" distB="0" distL="114300" distR="114300" simplePos="0" relativeHeight="251669504" behindDoc="0" locked="0" layoutInCell="1" hidden="0" allowOverlap="1" wp14:anchorId="27F95772" wp14:editId="239C66AA">
                <wp:simplePos x="0" y="0"/>
                <wp:positionH relativeFrom="column">
                  <wp:posOffset>3011170</wp:posOffset>
                </wp:positionH>
                <wp:positionV relativeFrom="paragraph">
                  <wp:posOffset>28575</wp:posOffset>
                </wp:positionV>
                <wp:extent cx="1963420" cy="602615"/>
                <wp:effectExtent l="0" t="0" r="0" b="0"/>
                <wp:wrapNone/>
                <wp:docPr id="15" name="Rectangle 15"/>
                <wp:cNvGraphicFramePr/>
                <a:graphic xmlns:a="http://schemas.openxmlformats.org/drawingml/2006/main">
                  <a:graphicData uri="http://schemas.microsoft.com/office/word/2010/wordprocessingShape">
                    <wps:wsp>
                      <wps:cNvSpPr/>
                      <wps:spPr>
                        <a:xfrm>
                          <a:off x="4402390" y="3516793"/>
                          <a:ext cx="1887220" cy="526415"/>
                        </a:xfrm>
                        <a:prstGeom prst="rect">
                          <a:avLst/>
                        </a:prstGeom>
                        <a:noFill/>
                        <a:ln w="25400" cap="flat" cmpd="sng">
                          <a:solidFill>
                            <a:schemeClr val="dk1"/>
                          </a:solidFill>
                          <a:prstDash val="solid"/>
                          <a:round/>
                          <a:headEnd type="none" w="sm" len="sm"/>
                          <a:tailEnd type="none" w="sm" len="sm"/>
                        </a:ln>
                      </wps:spPr>
                      <wps:txbx>
                        <w:txbxContent>
                          <w:p w14:paraId="48241204" w14:textId="77777777" w:rsidR="008060F9" w:rsidRDefault="008060F9">
                            <w:pPr>
                              <w:spacing w:line="240" w:lineRule="auto"/>
                              <w:textDirection w:val="btLr"/>
                            </w:pPr>
                            <w:r>
                              <w:rPr>
                                <w:rFonts w:ascii="Arial" w:eastAsia="Arial" w:hAnsi="Arial" w:cs="Arial"/>
                                <w:color w:val="000000"/>
                                <w:sz w:val="18"/>
                              </w:rPr>
                              <w:t>Reports not retrieved</w:t>
                            </w:r>
                          </w:p>
                          <w:p w14:paraId="2AD40B3B" w14:textId="77777777" w:rsidR="008060F9" w:rsidRDefault="008060F9">
                            <w:pPr>
                              <w:spacing w:line="240" w:lineRule="auto"/>
                              <w:textDirection w:val="btLr"/>
                            </w:pPr>
                            <w:r>
                              <w:rPr>
                                <w:rFonts w:ascii="Arial" w:eastAsia="Arial" w:hAnsi="Arial" w:cs="Arial"/>
                                <w:color w:val="000000"/>
                                <w:sz w:val="18"/>
                              </w:rPr>
                              <w:t>(n = 5)</w:t>
                            </w:r>
                          </w:p>
                        </w:txbxContent>
                      </wps:txbx>
                      <wps:bodyPr spcFirstLastPara="1" wrap="square" lIns="91425" tIns="45700" rIns="91425" bIns="45700" anchor="ctr" anchorCtr="0">
                        <a:noAutofit/>
                      </wps:bodyPr>
                    </wps:wsp>
                  </a:graphicData>
                </a:graphic>
              </wp:anchor>
            </w:drawing>
          </mc:Choice>
          <mc:Fallback>
            <w:pict>
              <v:rect w14:anchorId="27F95772" id="Rectangle 15" o:spid="_x0000_s1034" style="position:absolute;left:0;text-align:left;margin-left:237.1pt;margin-top:2.25pt;width:154.6pt;height:47.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" filled="f" strokecolor="black [3200]" strokeweight="2pt">
                <v:stroke startarrowwidth="narrow" startarrowlength="short" endarrowwidth="narrow" endarrowlength="short" joinstyle="round"/>
                <v:textbox inset="2.53958mm,1.2694mm,2.53958mm,1.2694mm">
                  <w:txbxContent>
                    <w:p w14:paraId="48241204" w14:textId="77777777" w:rsidR="008060F9" w:rsidRDefault="008060F9">
                      <w:pPr>
                        <w:spacing w:line="240" w:lineRule="auto"/>
                        <w:textDirection w:val="btLr"/>
                      </w:pPr>
                      <w:r>
                        <w:rPr>
                          <w:rFonts w:ascii="Arial" w:eastAsia="Arial" w:hAnsi="Arial" w:cs="Arial"/>
                          <w:color w:val="000000"/>
                          <w:sz w:val="18"/>
                        </w:rPr>
                        <w:t>Reports not retrieved</w:t>
                      </w:r>
                    </w:p>
                    <w:p w14:paraId="2AD40B3B" w14:textId="77777777" w:rsidR="008060F9" w:rsidRDefault="008060F9">
                      <w:pPr>
                        <w:spacing w:line="240" w:lineRule="auto"/>
                        <w:textDirection w:val="btLr"/>
                      </w:pPr>
                      <w:r>
                        <w:rPr>
                          <w:rFonts w:ascii="Arial" w:eastAsia="Arial" w:hAnsi="Arial" w:cs="Arial"/>
                          <w:color w:val="000000"/>
                          <w:sz w:val="18"/>
                        </w:rPr>
                        <w:t>(n = 5)</w:t>
                      </w:r>
                    </w:p>
                  </w:txbxContent>
                </v:textbox>
              </v:rect>
            </w:pict>
          </mc:Fallback>
        </mc:AlternateContent>
      </w:r>
      <w:r w:rsidRPr="0048631F">
        <w:rPr>
          <w:rFonts w:ascii="Arial" w:hAnsi="Arial" w:cs="Arial"/>
          <w:noProof/>
        </w:rPr>
        <mc:AlternateContent>
          <mc:Choice Requires="wpg">
            <w:drawing>
              <wp:anchor distT="0" distB="0" distL="114300" distR="114300" simplePos="0" relativeHeight="251670528" behindDoc="0" locked="0" layoutInCell="1" hidden="0" allowOverlap="1" wp14:anchorId="421B4EB7" wp14:editId="2CA79CD8">
                <wp:simplePos x="0" y="0"/>
                <wp:positionH relativeFrom="column">
                  <wp:posOffset>2453640</wp:posOffset>
                </wp:positionH>
                <wp:positionV relativeFrom="paragraph">
                  <wp:posOffset>298451</wp:posOffset>
                </wp:positionV>
                <wp:extent cx="582295" cy="44450"/>
                <wp:effectExtent l="0" t="0" r="0" b="0"/>
                <wp:wrapNone/>
                <wp:docPr id="17" name="Straight Arrow Connector 17"/>
                <wp:cNvGraphicFramePr/>
                <a:graphic xmlns:a="http://schemas.openxmlformats.org/drawingml/2006/main">
                  <a:graphicData uri="http://schemas.microsoft.com/office/word/2010/wordprocessingShape">
                    <wps:wsp>
                      <wps:cNvCnPr/>
                      <wps:spPr>
                        <a:xfrm>
                          <a:off x="5064378" y="3780000"/>
                          <a:ext cx="563245" cy="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oel="http://schemas.microsoft.com/office/2019/extlst" xmlns:w16cei="http://schemas.microsoft.com/office/word/2026/wordml/cei" xmlns:w16sdtfl="http://schemas.microsoft.com/office/word/2024/wordml/sdtformatlock" xmlns:w16du="http://schemas.microsoft.com/office/word/2023/wordml/word16du"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2453640</wp:posOffset>
                </wp:positionH>
                <wp:positionV relativeFrom="paragraph">
                  <wp:posOffset>298451</wp:posOffset>
                </wp:positionV>
                <wp:extent cx="582295" cy="44450"/>
                <wp:effectExtent b="0" l="0" r="0" t="0"/>
                <wp:wrapNone/>
                <wp:docPr id="17" name="image27.png"/>
                <a:graphic>
                  <a:graphicData uri="http://schemas.openxmlformats.org/drawingml/2006/picture">
                    <pic:pic>
                      <pic:nvPicPr>
                        <pic:cNvPr id="0" name="image27.png"/>
                        <pic:cNvPicPr preferRelativeResize="0"/>
                      </pic:nvPicPr>
                      <pic:blipFill>
                        <a:blip r:embed="rId16"/>
                        <a:srcRect/>
                        <a:stretch>
                          <a:fillRect/>
                        </a:stretch>
                      </pic:blipFill>
                      <pic:spPr>
                        <a:xfrm>
                          <a:off x="0" y="0"/>
                          <a:ext cx="582295" cy="44450"/>
                        </a:xfrm>
                        <a:prstGeom prst="rect"/>
                        <a:ln/>
                      </pic:spPr>
                    </pic:pic>
                  </a:graphicData>
                </a:graphic>
              </wp:anchor>
            </w:drawing>
          </mc:Fallback>
        </mc:AlternateContent>
      </w:r>
    </w:p>
    <w:p w14:paraId="0DAEB525" w14:textId="1741CD02" w:rsidR="007575B8" w:rsidRPr="0048631F" w:rsidRDefault="007575B8" w:rsidP="00024BB0">
      <w:pPr>
        <w:rPr>
          <w:rFonts w:ascii="Arial" w:hAnsi="Arial" w:cs="Arial"/>
        </w:rPr>
      </w:pPr>
    </w:p>
    <w:p w14:paraId="0267FA74" w14:textId="195B6DCE"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72576" behindDoc="0" locked="0" layoutInCell="1" hidden="0" allowOverlap="1" wp14:anchorId="6E3F8A9E" wp14:editId="5AF6FA40">
                <wp:simplePos x="0" y="0"/>
                <wp:positionH relativeFrom="column">
                  <wp:posOffset>1428749</wp:posOffset>
                </wp:positionH>
                <wp:positionV relativeFrom="paragraph">
                  <wp:posOffset>122555</wp:posOffset>
                </wp:positionV>
                <wp:extent cx="45719" cy="542925"/>
                <wp:effectExtent l="38100" t="0" r="69215" b="47625"/>
                <wp:wrapNone/>
                <wp:docPr id="4" name="Straight Arrow Connector 4"/>
                <wp:cNvGraphicFramePr/>
                <a:graphic xmlns:a="http://schemas.openxmlformats.org/drawingml/2006/main">
                  <a:graphicData uri="http://schemas.microsoft.com/office/word/2010/wordprocessingShape">
                    <wps:wsp>
                      <wps:cNvCnPr/>
                      <wps:spPr>
                        <a:xfrm>
                          <a:off x="0" y="0"/>
                          <a:ext cx="45719" cy="542925"/>
                        </a:xfrm>
                        <a:prstGeom prst="straightConnector1">
                          <a:avLst/>
                        </a:prstGeom>
                        <a:noFill/>
                        <a:ln w="9525" cap="flat" cmpd="sng">
                          <a:solidFill>
                            <a:schemeClr val="dk1"/>
                          </a:solidFill>
                          <a:prstDash val="solid"/>
                          <a:round/>
                          <a:headEnd type="none" w="sm" len="sm"/>
                          <a:tailEnd type="triangle" w="med" len="med"/>
                        </a:ln>
                      </wps:spPr>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166E81" id="Straight Arrow Connector 4" o:spid="_x0000_s1026" type="#_x0000_t32" style="position:absolute;margin-left:112.5pt;margin-top:9.65pt;width:3.6pt;height:42.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" strokecolor="black [3200]">
                <v:stroke startarrowwidth="narrow" startarrowlength="short" endarrow="block"/>
              </v:shape>
            </w:pict>
          </mc:Fallback>
        </mc:AlternateContent>
      </w:r>
    </w:p>
    <w:p w14:paraId="69FFD57B" w14:textId="0AD49B6D" w:rsidR="007575B8" w:rsidRPr="0048631F" w:rsidRDefault="007575B8" w:rsidP="00024BB0">
      <w:pPr>
        <w:rPr>
          <w:rFonts w:ascii="Arial" w:hAnsi="Arial" w:cs="Arial"/>
        </w:rPr>
      </w:pPr>
    </w:p>
    <w:p w14:paraId="16ADC95F" w14:textId="2ED5B558"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74624" behindDoc="0" locked="0" layoutInCell="1" hidden="0" allowOverlap="1" wp14:anchorId="71E7DC5F" wp14:editId="1530683B">
                <wp:simplePos x="0" y="0"/>
                <wp:positionH relativeFrom="column">
                  <wp:posOffset>3022600</wp:posOffset>
                </wp:positionH>
                <wp:positionV relativeFrom="paragraph">
                  <wp:posOffset>52070</wp:posOffset>
                </wp:positionV>
                <wp:extent cx="2260600" cy="1209675"/>
                <wp:effectExtent l="0" t="0" r="0" b="0"/>
                <wp:wrapNone/>
                <wp:docPr id="13" name="Rectangle 13"/>
                <wp:cNvGraphicFramePr/>
                <a:graphic xmlns:a="http://schemas.openxmlformats.org/drawingml/2006/main">
                  <a:graphicData uri="http://schemas.microsoft.com/office/word/2010/wordprocessingShape">
                    <wps:wsp>
                      <wps:cNvSpPr/>
                      <wps:spPr>
                        <a:xfrm>
                          <a:off x="0" y="0"/>
                          <a:ext cx="2260600" cy="1209675"/>
                        </a:xfrm>
                        <a:prstGeom prst="rect">
                          <a:avLst/>
                        </a:prstGeom>
                        <a:noFill/>
                        <a:ln w="25400" cap="flat" cmpd="sng">
                          <a:solidFill>
                            <a:schemeClr val="dk1"/>
                          </a:solidFill>
                          <a:prstDash val="solid"/>
                          <a:round/>
                          <a:headEnd type="none" w="sm" len="sm"/>
                          <a:tailEnd type="none" w="sm" len="sm"/>
                        </a:ln>
                      </wps:spPr>
                      <wps:txbx>
                        <w:txbxContent>
                          <w:p w14:paraId="15F29F32" w14:textId="77777777" w:rsidR="008060F9" w:rsidRDefault="008060F9">
                            <w:pPr>
                              <w:spacing w:line="240" w:lineRule="auto"/>
                              <w:textDirection w:val="btLr"/>
                            </w:pPr>
                            <w:r>
                              <w:rPr>
                                <w:rFonts w:ascii="Arial" w:eastAsia="Arial" w:hAnsi="Arial" w:cs="Arial"/>
                                <w:color w:val="000000"/>
                                <w:sz w:val="18"/>
                              </w:rPr>
                              <w:t>Reports excluded:</w:t>
                            </w:r>
                          </w:p>
                          <w:p w14:paraId="17D1F218" w14:textId="77777777" w:rsidR="008060F9" w:rsidRDefault="008060F9">
                            <w:pPr>
                              <w:spacing w:line="240" w:lineRule="auto"/>
                              <w:ind w:left="282" w:firstLine="282"/>
                              <w:textDirection w:val="btLr"/>
                            </w:pPr>
                            <w:r>
                              <w:rPr>
                                <w:rFonts w:ascii="Arial" w:eastAsia="Arial" w:hAnsi="Arial" w:cs="Arial"/>
                                <w:color w:val="000000"/>
                                <w:sz w:val="18"/>
                              </w:rPr>
                              <w:t>Reason 1: Irrelevant topic (n = 2)</w:t>
                            </w:r>
                          </w:p>
                          <w:p w14:paraId="6C414DA5" w14:textId="77777777" w:rsidR="008060F9" w:rsidRDefault="008060F9">
                            <w:pPr>
                              <w:spacing w:line="240" w:lineRule="auto"/>
                              <w:ind w:left="282" w:firstLine="282"/>
                              <w:textDirection w:val="btLr"/>
                            </w:pPr>
                            <w:r>
                              <w:rPr>
                                <w:rFonts w:ascii="Arial" w:eastAsia="Arial" w:hAnsi="Arial" w:cs="Arial"/>
                                <w:color w:val="000000"/>
                                <w:sz w:val="18"/>
                              </w:rPr>
                              <w:t>Reason 2: Insufficient data (n = 2)</w:t>
                            </w:r>
                          </w:p>
                          <w:p w14:paraId="204CA55C" w14:textId="77777777" w:rsidR="008060F9" w:rsidRDefault="008060F9">
                            <w:pPr>
                              <w:spacing w:line="240" w:lineRule="auto"/>
                              <w:ind w:left="282" w:firstLine="282"/>
                              <w:textDirection w:val="btLr"/>
                            </w:pPr>
                            <w:r>
                              <w:rPr>
                                <w:rFonts w:ascii="Arial" w:eastAsia="Arial" w:hAnsi="Arial" w:cs="Arial"/>
                                <w:color w:val="000000"/>
                                <w:sz w:val="18"/>
                              </w:rPr>
                              <w:t>Reason 3: Duplicate findings (n = 1)</w:t>
                            </w:r>
                          </w:p>
                          <w:p w14:paraId="37707BFC" w14:textId="77777777" w:rsidR="008060F9" w:rsidRDefault="008060F9">
                            <w:pPr>
                              <w:spacing w:line="240" w:lineRule="auto"/>
                              <w:ind w:left="282" w:firstLine="846"/>
                              <w:textDirection w:val="btLr"/>
                            </w:pPr>
                            <w:proofErr w:type="gramStart"/>
                            <w:r>
                              <w:rPr>
                                <w:rFonts w:ascii="Arial" w:eastAsia="Arial" w:hAnsi="Arial" w:cs="Arial"/>
                                <w:color w:val="000000"/>
                                <w:sz w:val="18"/>
                              </w:rPr>
                              <w:t>etc</w:t>
                            </w:r>
                            <w:proofErr w:type="gramEnd"/>
                            <w:r>
                              <w:rPr>
                                <w:rFonts w:ascii="Arial" w:eastAsia="Arial" w:hAnsi="Arial" w:cs="Arial"/>
                                <w:color w:val="000000"/>
                                <w:sz w:val="18"/>
                              </w:rPr>
                              <w:t>.</w:t>
                            </w:r>
                          </w:p>
                        </w:txbxContent>
                      </wps:txbx>
                      <wps:bodyPr spcFirstLastPara="1" wrap="square" lIns="91425" tIns="45700" rIns="91425" bIns="45700" anchor="ctr" anchorCtr="0">
                        <a:noAutofit/>
                      </wps:bodyPr>
                    </wps:wsp>
                  </a:graphicData>
                </a:graphic>
              </wp:anchor>
            </w:drawing>
          </mc:Choice>
          <mc:Fallback>
            <w:pict>
              <v:rect w14:anchorId="71E7DC5F" id="Rectangle 13" o:spid="_x0000_s1035" style="position:absolute;left:0;text-align:left;margin-left:238pt;margin-top:4.1pt;width:178pt;height:95.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" filled="f" strokecolor="black [3200]" strokeweight="2pt">
                <v:stroke startarrowwidth="narrow" startarrowlength="short" endarrowwidth="narrow" endarrowlength="short" joinstyle="round"/>
                <v:textbox inset="2.53958mm,1.2694mm,2.53958mm,1.2694mm">
                  <w:txbxContent>
                    <w:p w14:paraId="15F29F32" w14:textId="77777777" w:rsidR="008060F9" w:rsidRDefault="008060F9">
                      <w:pPr>
                        <w:spacing w:line="240" w:lineRule="auto"/>
                        <w:textDirection w:val="btLr"/>
                      </w:pPr>
                      <w:r>
                        <w:rPr>
                          <w:rFonts w:ascii="Arial" w:eastAsia="Arial" w:hAnsi="Arial" w:cs="Arial"/>
                          <w:color w:val="000000"/>
                          <w:sz w:val="18"/>
                        </w:rPr>
                        <w:t>Reports excluded:</w:t>
                      </w:r>
                    </w:p>
                    <w:p w14:paraId="17D1F218" w14:textId="77777777" w:rsidR="008060F9" w:rsidRDefault="008060F9">
                      <w:pPr>
                        <w:spacing w:line="240" w:lineRule="auto"/>
                        <w:ind w:left="282" w:firstLine="282"/>
                        <w:textDirection w:val="btLr"/>
                      </w:pPr>
                      <w:r>
                        <w:rPr>
                          <w:rFonts w:ascii="Arial" w:eastAsia="Arial" w:hAnsi="Arial" w:cs="Arial"/>
                          <w:color w:val="000000"/>
                          <w:sz w:val="18"/>
                        </w:rPr>
                        <w:t>Reason 1: Irrelevant topic (n = 2)</w:t>
                      </w:r>
                    </w:p>
                    <w:p w14:paraId="6C414DA5" w14:textId="77777777" w:rsidR="008060F9" w:rsidRDefault="008060F9">
                      <w:pPr>
                        <w:spacing w:line="240" w:lineRule="auto"/>
                        <w:ind w:left="282" w:firstLine="282"/>
                        <w:textDirection w:val="btLr"/>
                      </w:pPr>
                      <w:r>
                        <w:rPr>
                          <w:rFonts w:ascii="Arial" w:eastAsia="Arial" w:hAnsi="Arial" w:cs="Arial"/>
                          <w:color w:val="000000"/>
                          <w:sz w:val="18"/>
                        </w:rPr>
                        <w:t>Reason 2: Insufficient data (n = 2)</w:t>
                      </w:r>
                    </w:p>
                    <w:p w14:paraId="204CA55C" w14:textId="77777777" w:rsidR="008060F9" w:rsidRDefault="008060F9">
                      <w:pPr>
                        <w:spacing w:line="240" w:lineRule="auto"/>
                        <w:ind w:left="282" w:firstLine="282"/>
                        <w:textDirection w:val="btLr"/>
                      </w:pPr>
                      <w:r>
                        <w:rPr>
                          <w:rFonts w:ascii="Arial" w:eastAsia="Arial" w:hAnsi="Arial" w:cs="Arial"/>
                          <w:color w:val="000000"/>
                          <w:sz w:val="18"/>
                        </w:rPr>
                        <w:t>Reason 3: Duplicate findings (n = 1)</w:t>
                      </w:r>
                    </w:p>
                    <w:p w14:paraId="37707BFC" w14:textId="77777777" w:rsidR="008060F9" w:rsidRDefault="008060F9">
                      <w:pPr>
                        <w:spacing w:line="240" w:lineRule="auto"/>
                        <w:ind w:left="282" w:firstLine="846"/>
                        <w:textDirection w:val="btLr"/>
                      </w:pPr>
                      <w:proofErr w:type="gramStart"/>
                      <w:r>
                        <w:rPr>
                          <w:rFonts w:ascii="Arial" w:eastAsia="Arial" w:hAnsi="Arial" w:cs="Arial"/>
                          <w:color w:val="000000"/>
                          <w:sz w:val="18"/>
                        </w:rPr>
                        <w:t>etc</w:t>
                      </w:r>
                      <w:proofErr w:type="gramEnd"/>
                      <w:r>
                        <w:rPr>
                          <w:rFonts w:ascii="Arial" w:eastAsia="Arial" w:hAnsi="Arial" w:cs="Arial"/>
                          <w:color w:val="000000"/>
                          <w:sz w:val="18"/>
                        </w:rPr>
                        <w:t>.</w:t>
                      </w:r>
                    </w:p>
                  </w:txbxContent>
                </v:textbox>
              </v:rect>
            </w:pict>
          </mc:Fallback>
        </mc:AlternateContent>
      </w:r>
      <w:r w:rsidRPr="0048631F">
        <w:rPr>
          <w:rFonts w:ascii="Arial" w:hAnsi="Arial" w:cs="Arial"/>
          <w:noProof/>
        </w:rPr>
        <mc:AlternateContent>
          <mc:Choice Requires="wps">
            <w:drawing>
              <wp:anchor distT="0" distB="0" distL="114300" distR="114300" simplePos="0" relativeHeight="251673600" behindDoc="0" locked="0" layoutInCell="1" hidden="0" allowOverlap="1" wp14:anchorId="57DBB96A" wp14:editId="575B5A61">
                <wp:simplePos x="0" y="0"/>
                <wp:positionH relativeFrom="column">
                  <wp:posOffset>503555</wp:posOffset>
                </wp:positionH>
                <wp:positionV relativeFrom="paragraph">
                  <wp:posOffset>172085</wp:posOffset>
                </wp:positionV>
                <wp:extent cx="1963420" cy="602615"/>
                <wp:effectExtent l="0" t="0" r="0" b="0"/>
                <wp:wrapNone/>
                <wp:docPr id="8" name="Rectangle 8"/>
                <wp:cNvGraphicFramePr/>
                <a:graphic xmlns:a="http://schemas.openxmlformats.org/drawingml/2006/main">
                  <a:graphicData uri="http://schemas.microsoft.com/office/word/2010/wordprocessingShape">
                    <wps:wsp>
                      <wps:cNvSpPr/>
                      <wps:spPr>
                        <a:xfrm>
                          <a:off x="0" y="0"/>
                          <a:ext cx="1963420" cy="602615"/>
                        </a:xfrm>
                        <a:prstGeom prst="rect">
                          <a:avLst/>
                        </a:prstGeom>
                        <a:noFill/>
                        <a:ln w="25400" cap="flat" cmpd="sng">
                          <a:solidFill>
                            <a:schemeClr val="dk1"/>
                          </a:solidFill>
                          <a:prstDash val="solid"/>
                          <a:round/>
                          <a:headEnd type="none" w="sm" len="sm"/>
                          <a:tailEnd type="none" w="sm" len="sm"/>
                        </a:ln>
                      </wps:spPr>
                      <wps:txbx>
                        <w:txbxContent>
                          <w:p w14:paraId="7FE7241C" w14:textId="77777777" w:rsidR="008060F9" w:rsidRDefault="008060F9">
                            <w:pPr>
                              <w:spacing w:line="240" w:lineRule="auto"/>
                              <w:textDirection w:val="btLr"/>
                            </w:pPr>
                            <w:r>
                              <w:rPr>
                                <w:rFonts w:ascii="Arial" w:eastAsia="Arial" w:hAnsi="Arial" w:cs="Arial"/>
                                <w:color w:val="000000"/>
                                <w:sz w:val="18"/>
                              </w:rPr>
                              <w:t>Reports assessed for eligibility</w:t>
                            </w:r>
                          </w:p>
                          <w:p w14:paraId="6161312B" w14:textId="77777777" w:rsidR="008060F9" w:rsidRDefault="008060F9">
                            <w:pPr>
                              <w:spacing w:line="240" w:lineRule="auto"/>
                              <w:textDirection w:val="btLr"/>
                            </w:pPr>
                            <w:r>
                              <w:rPr>
                                <w:rFonts w:ascii="Arial" w:eastAsia="Arial" w:hAnsi="Arial" w:cs="Arial"/>
                                <w:color w:val="000000"/>
                                <w:sz w:val="18"/>
                              </w:rPr>
                              <w:t>(n = 45)</w:t>
                            </w:r>
                          </w:p>
                        </w:txbxContent>
                      </wps:txbx>
                      <wps:bodyPr spcFirstLastPara="1" wrap="square" lIns="91425" tIns="45700" rIns="91425" bIns="45700" anchor="ctr" anchorCtr="0">
                        <a:noAutofit/>
                      </wps:bodyPr>
                    </wps:wsp>
                  </a:graphicData>
                </a:graphic>
              </wp:anchor>
            </w:drawing>
          </mc:Choice>
          <mc:Fallback>
            <w:pict>
              <v:rect w14:anchorId="57DBB96A" id="Rectangle 8" o:spid="_x0000_s1036" style="position:absolute;left:0;text-align:left;margin-left:39.65pt;margin-top:13.55pt;width:154.6pt;height:47.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" filled="f" strokecolor="black [3200]" strokeweight="2pt">
                <v:stroke startarrowwidth="narrow" startarrowlength="short" endarrowwidth="narrow" endarrowlength="short" joinstyle="round"/>
                <v:textbox inset="2.53958mm,1.2694mm,2.53958mm,1.2694mm">
                  <w:txbxContent>
                    <w:p w14:paraId="7FE7241C" w14:textId="77777777" w:rsidR="008060F9" w:rsidRDefault="008060F9">
                      <w:pPr>
                        <w:spacing w:line="240" w:lineRule="auto"/>
                        <w:textDirection w:val="btLr"/>
                      </w:pPr>
                      <w:r>
                        <w:rPr>
                          <w:rFonts w:ascii="Arial" w:eastAsia="Arial" w:hAnsi="Arial" w:cs="Arial"/>
                          <w:color w:val="000000"/>
                          <w:sz w:val="18"/>
                        </w:rPr>
                        <w:t>Reports assessed for eligibility</w:t>
                      </w:r>
                    </w:p>
                    <w:p w14:paraId="6161312B" w14:textId="77777777" w:rsidR="008060F9" w:rsidRDefault="008060F9">
                      <w:pPr>
                        <w:spacing w:line="240" w:lineRule="auto"/>
                        <w:textDirection w:val="btLr"/>
                      </w:pPr>
                      <w:r>
                        <w:rPr>
                          <w:rFonts w:ascii="Arial" w:eastAsia="Arial" w:hAnsi="Arial" w:cs="Arial"/>
                          <w:color w:val="000000"/>
                          <w:sz w:val="18"/>
                        </w:rPr>
                        <w:t>(n = 45)</w:t>
                      </w:r>
                    </w:p>
                  </w:txbxContent>
                </v:textbox>
              </v:rect>
            </w:pict>
          </mc:Fallback>
        </mc:AlternateContent>
      </w:r>
    </w:p>
    <w:p w14:paraId="24130B65" w14:textId="7106D992" w:rsidR="007575B8" w:rsidRPr="0048631F" w:rsidRDefault="004D78AD" w:rsidP="00024BB0">
      <w:pPr>
        <w:rPr>
          <w:rFonts w:ascii="Arial" w:hAnsi="Arial" w:cs="Arial"/>
        </w:rPr>
      </w:pPr>
      <w:r w:rsidRPr="0048631F">
        <w:rPr>
          <w:rFonts w:ascii="Arial" w:hAnsi="Arial" w:cs="Arial"/>
          <w:noProof/>
        </w:rPr>
        <mc:AlternateContent>
          <mc:Choice Requires="wpg">
            <w:drawing>
              <wp:anchor distT="0" distB="0" distL="114300" distR="114300" simplePos="0" relativeHeight="251675648" behindDoc="0" locked="0" layoutInCell="1" hidden="0" allowOverlap="1" wp14:anchorId="40109EC8" wp14:editId="58A83353">
                <wp:simplePos x="0" y="0"/>
                <wp:positionH relativeFrom="column">
                  <wp:posOffset>2466976</wp:posOffset>
                </wp:positionH>
                <wp:positionV relativeFrom="paragraph">
                  <wp:posOffset>272416</wp:posOffset>
                </wp:positionV>
                <wp:extent cx="582295" cy="44450"/>
                <wp:effectExtent l="0" t="0" r="0" b="0"/>
                <wp:wrapNone/>
                <wp:docPr id="2" name="Straight Arrow Connector 2"/>
                <wp:cNvGraphicFramePr/>
                <a:graphic xmlns:a="http://schemas.openxmlformats.org/drawingml/2006/main">
                  <a:graphicData uri="http://schemas.microsoft.com/office/word/2010/wordprocessingShape">
                    <wps:wsp>
                      <wps:cNvCnPr/>
                      <wps:spPr>
                        <a:xfrm>
                          <a:off x="5064378" y="3780000"/>
                          <a:ext cx="563245" cy="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oel="http://schemas.microsoft.com/office/2019/extlst" xmlns:w16cei="http://schemas.microsoft.com/office/word/2026/wordml/cei" xmlns:w16sdtfl="http://schemas.microsoft.com/office/word/2024/wordml/sdtformatlock" xmlns:w16du="http://schemas.microsoft.com/office/word/2023/wordml/word16du"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2466976</wp:posOffset>
                </wp:positionH>
                <wp:positionV relativeFrom="paragraph">
                  <wp:posOffset>272416</wp:posOffset>
                </wp:positionV>
                <wp:extent cx="582295" cy="44450"/>
                <wp:effectExtent b="0" l="0" r="0" t="0"/>
                <wp:wrapNone/>
                <wp:docPr id="2"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582295" cy="44450"/>
                        </a:xfrm>
                        <a:prstGeom prst="rect"/>
                        <a:ln/>
                      </pic:spPr>
                    </pic:pic>
                  </a:graphicData>
                </a:graphic>
              </wp:anchor>
            </w:drawing>
          </mc:Fallback>
        </mc:AlternateContent>
      </w:r>
    </w:p>
    <w:p w14:paraId="09A8D8EB" w14:textId="1FDC6AC9" w:rsidR="007575B8" w:rsidRPr="0048631F" w:rsidRDefault="007575B8" w:rsidP="00024BB0">
      <w:pPr>
        <w:rPr>
          <w:rFonts w:ascii="Arial" w:hAnsi="Arial" w:cs="Arial"/>
        </w:rPr>
      </w:pPr>
    </w:p>
    <w:p w14:paraId="2D965DD4" w14:textId="077E4AE9"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76672" behindDoc="0" locked="0" layoutInCell="1" hidden="0" allowOverlap="1" wp14:anchorId="47C5DABB" wp14:editId="27AEAB86">
                <wp:simplePos x="0" y="0"/>
                <wp:positionH relativeFrom="column">
                  <wp:posOffset>1343024</wp:posOffset>
                </wp:positionH>
                <wp:positionV relativeFrom="paragraph">
                  <wp:posOffset>46355</wp:posOffset>
                </wp:positionV>
                <wp:extent cx="45719" cy="676275"/>
                <wp:effectExtent l="38100" t="0" r="69215" b="47625"/>
                <wp:wrapNone/>
                <wp:docPr id="21" name="Straight Arrow Connector 21"/>
                <wp:cNvGraphicFramePr/>
                <a:graphic xmlns:a="http://schemas.openxmlformats.org/drawingml/2006/main">
                  <a:graphicData uri="http://schemas.microsoft.com/office/word/2010/wordprocessingShape">
                    <wps:wsp>
                      <wps:cNvCnPr/>
                      <wps:spPr>
                        <a:xfrm>
                          <a:off x="0" y="0"/>
                          <a:ext cx="45719" cy="676275"/>
                        </a:xfrm>
                        <a:prstGeom prst="straightConnector1">
                          <a:avLst/>
                        </a:prstGeom>
                        <a:noFill/>
                        <a:ln w="9525" cap="flat" cmpd="sng">
                          <a:solidFill>
                            <a:schemeClr val="dk1"/>
                          </a:solidFill>
                          <a:prstDash val="solid"/>
                          <a:round/>
                          <a:headEnd type="none" w="sm" len="sm"/>
                          <a:tailEnd type="triangle" w="med" len="med"/>
                        </a:ln>
                      </wps:spPr>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AAE464" id="Straight Arrow Connector 21" o:spid="_x0000_s1026" type="#_x0000_t32" style="position:absolute;margin-left:105.75pt;margin-top:3.65pt;width:3.6pt;height:53.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" strokecolor="black [3200]">
                <v:stroke startarrowwidth="narrow" startarrowlength="short" endarrow="block"/>
              </v:shape>
            </w:pict>
          </mc:Fallback>
        </mc:AlternateContent>
      </w:r>
    </w:p>
    <w:p w14:paraId="7C9A592A" w14:textId="1BA797FB" w:rsidR="007575B8" w:rsidRPr="0048631F" w:rsidRDefault="007575B8" w:rsidP="00024BB0">
      <w:pPr>
        <w:rPr>
          <w:rFonts w:ascii="Arial" w:hAnsi="Arial" w:cs="Arial"/>
        </w:rPr>
      </w:pPr>
    </w:p>
    <w:p w14:paraId="485BA794" w14:textId="1D98F2F6" w:rsidR="007575B8" w:rsidRPr="0048631F" w:rsidRDefault="0048631F" w:rsidP="00024BB0">
      <w:pPr>
        <w:rPr>
          <w:rFonts w:ascii="Arial" w:hAnsi="Arial" w:cs="Arial"/>
        </w:rPr>
      </w:pPr>
      <w:r w:rsidRPr="0048631F">
        <w:rPr>
          <w:rFonts w:ascii="Arial" w:hAnsi="Arial" w:cs="Arial"/>
          <w:noProof/>
        </w:rPr>
        <mc:AlternateContent>
          <mc:Choice Requires="wps">
            <w:drawing>
              <wp:anchor distT="0" distB="0" distL="114300" distR="114300" simplePos="0" relativeHeight="251678720" behindDoc="0" locked="0" layoutInCell="1" hidden="0" allowOverlap="1" wp14:anchorId="1C577E09" wp14:editId="05760497">
                <wp:simplePos x="0" y="0"/>
                <wp:positionH relativeFrom="column">
                  <wp:posOffset>-41275</wp:posOffset>
                </wp:positionH>
                <wp:positionV relativeFrom="paragraph">
                  <wp:posOffset>194310</wp:posOffset>
                </wp:positionV>
                <wp:extent cx="339090" cy="840423"/>
                <wp:effectExtent l="0" t="0" r="22860" b="17145"/>
                <wp:wrapNone/>
                <wp:docPr id="6" name="Flowchart: Alternate Process 6"/>
                <wp:cNvGraphicFramePr/>
                <a:graphic xmlns:a="http://schemas.openxmlformats.org/drawingml/2006/main">
                  <a:graphicData uri="http://schemas.microsoft.com/office/word/2010/wordprocessingShape">
                    <wps:wsp>
                      <wps:cNvSpPr/>
                      <wps:spPr>
                        <a:xfrm>
                          <a:off x="0" y="0"/>
                          <a:ext cx="339090" cy="840423"/>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07370057" w14:textId="77777777" w:rsidR="008060F9" w:rsidRDefault="008060F9">
                            <w:pPr>
                              <w:spacing w:line="240" w:lineRule="auto"/>
                              <w:jc w:val="center"/>
                              <w:textDirection w:val="btLr"/>
                            </w:pPr>
                            <w:r>
                              <w:rPr>
                                <w:rFonts w:ascii="Arial" w:eastAsia="Arial" w:hAnsi="Arial" w:cs="Arial"/>
                                <w:b/>
                                <w:color w:val="000000"/>
                                <w:sz w:val="18"/>
                              </w:rPr>
                              <w:t>Included</w:t>
                            </w:r>
                          </w:p>
                        </w:txbxContent>
                      </wps:txbx>
                      <wps:bodyPr spcFirstLastPara="1" wrap="square" lIns="91425" tIns="45700" rIns="91425" bIns="45700" anchor="ctr" anchorCtr="0">
                        <a:noAutofit/>
                      </wps:bodyPr>
                    </wps:wsp>
                  </a:graphicData>
                </a:graphic>
              </wp:anchor>
            </w:drawing>
          </mc:Choice>
          <mc:Fallback>
            <w:pict>
              <v:shape w14:anchorId="1C577E09" id="Flowchart: Alternate Process 6" o:spid="_x0000_s1037" type="#_x0000_t176" style="position:absolute;left:0;text-align:left;margin-left:-3.25pt;margin-top:15.3pt;width:26.7pt;height:66.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" fillcolor="#92ccdc" strokecolor="black [3200]" strokeweight="2pt">
                <v:stroke startarrowwidth="narrow" startarrowlength="short" endarrowwidth="narrow" endarrowlength="short" joinstyle="round"/>
                <v:textbox inset="2.53958mm,1.2694mm,2.53958mm,1.2694mm">
                  <w:txbxContent>
                    <w:p w14:paraId="07370057" w14:textId="77777777" w:rsidR="008060F9" w:rsidRDefault="008060F9">
                      <w:pPr>
                        <w:spacing w:line="240" w:lineRule="auto"/>
                        <w:jc w:val="center"/>
                        <w:textDirection w:val="btLr"/>
                      </w:pPr>
                      <w:r>
                        <w:rPr>
                          <w:rFonts w:ascii="Arial" w:eastAsia="Arial" w:hAnsi="Arial" w:cs="Arial"/>
                          <w:b/>
                          <w:color w:val="000000"/>
                          <w:sz w:val="18"/>
                        </w:rPr>
                        <w:t>Included</w:t>
                      </w:r>
                    </w:p>
                  </w:txbxContent>
                </v:textbox>
              </v:shape>
            </w:pict>
          </mc:Fallback>
        </mc:AlternateContent>
      </w:r>
      <w:r w:rsidRPr="0048631F">
        <w:rPr>
          <w:rFonts w:ascii="Arial" w:hAnsi="Arial" w:cs="Arial"/>
          <w:noProof/>
        </w:rPr>
        <mc:AlternateContent>
          <mc:Choice Requires="wps">
            <w:drawing>
              <wp:anchor distT="0" distB="0" distL="114300" distR="114300" simplePos="0" relativeHeight="251677696" behindDoc="0" locked="0" layoutInCell="1" hidden="0" allowOverlap="1" wp14:anchorId="1EB4F018" wp14:editId="44AED36F">
                <wp:simplePos x="0" y="0"/>
                <wp:positionH relativeFrom="column">
                  <wp:posOffset>546100</wp:posOffset>
                </wp:positionH>
                <wp:positionV relativeFrom="paragraph">
                  <wp:posOffset>240030</wp:posOffset>
                </wp:positionV>
                <wp:extent cx="1981200" cy="800100"/>
                <wp:effectExtent l="0" t="0" r="0" b="0"/>
                <wp:wrapNone/>
                <wp:docPr id="10" name="Rectangle 10"/>
                <wp:cNvGraphicFramePr/>
                <a:graphic xmlns:a="http://schemas.openxmlformats.org/drawingml/2006/main">
                  <a:graphicData uri="http://schemas.microsoft.com/office/word/2010/wordprocessingShape">
                    <wps:wsp>
                      <wps:cNvSpPr/>
                      <wps:spPr>
                        <a:xfrm>
                          <a:off x="0" y="0"/>
                          <a:ext cx="1981200" cy="800100"/>
                        </a:xfrm>
                        <a:prstGeom prst="rect">
                          <a:avLst/>
                        </a:prstGeom>
                        <a:noFill/>
                        <a:ln w="25400" cap="flat" cmpd="sng">
                          <a:solidFill>
                            <a:schemeClr val="dk1"/>
                          </a:solidFill>
                          <a:prstDash val="solid"/>
                          <a:round/>
                          <a:headEnd type="none" w="sm" len="sm"/>
                          <a:tailEnd type="none" w="sm" len="sm"/>
                        </a:ln>
                      </wps:spPr>
                      <wps:txbx>
                        <w:txbxContent>
                          <w:p w14:paraId="568D67E7" w14:textId="77777777" w:rsidR="008060F9" w:rsidRDefault="008060F9">
                            <w:pPr>
                              <w:spacing w:line="240" w:lineRule="auto"/>
                              <w:textDirection w:val="btLr"/>
                            </w:pPr>
                            <w:r>
                              <w:rPr>
                                <w:rFonts w:ascii="Arial" w:eastAsia="Arial" w:hAnsi="Arial" w:cs="Arial"/>
                                <w:color w:val="000000"/>
                                <w:sz w:val="18"/>
                              </w:rPr>
                              <w:t>Studies included in review</w:t>
                            </w:r>
                          </w:p>
                          <w:p w14:paraId="09D7F74A" w14:textId="77777777" w:rsidR="008060F9" w:rsidRDefault="008060F9">
                            <w:pPr>
                              <w:spacing w:line="240" w:lineRule="auto"/>
                              <w:textDirection w:val="btLr"/>
                            </w:pPr>
                            <w:r>
                              <w:rPr>
                                <w:rFonts w:ascii="Arial" w:eastAsia="Arial" w:hAnsi="Arial" w:cs="Arial"/>
                                <w:color w:val="000000"/>
                                <w:sz w:val="18"/>
                              </w:rPr>
                              <w:t>(n = 40)</w:t>
                            </w:r>
                          </w:p>
                          <w:p w14:paraId="3D369AB7" w14:textId="77777777" w:rsidR="008060F9" w:rsidRDefault="008060F9">
                            <w:pPr>
                              <w:spacing w:line="240" w:lineRule="auto"/>
                              <w:textDirection w:val="btLr"/>
                            </w:pPr>
                            <w:r>
                              <w:rPr>
                                <w:rFonts w:ascii="Arial" w:eastAsia="Arial" w:hAnsi="Arial" w:cs="Arial"/>
                                <w:color w:val="000000"/>
                                <w:sz w:val="18"/>
                              </w:rPr>
                              <w:t>Reports of included studies</w:t>
                            </w:r>
                          </w:p>
                          <w:p w14:paraId="72DA273C" w14:textId="77777777" w:rsidR="008060F9" w:rsidRDefault="008060F9">
                            <w:pPr>
                              <w:spacing w:line="240" w:lineRule="auto"/>
                              <w:textDirection w:val="btLr"/>
                            </w:pPr>
                            <w:r>
                              <w:rPr>
                                <w:rFonts w:ascii="Arial" w:eastAsia="Arial" w:hAnsi="Arial" w:cs="Arial"/>
                                <w:color w:val="000000"/>
                                <w:sz w:val="18"/>
                              </w:rPr>
                              <w:t>(n = 40)</w:t>
                            </w:r>
                          </w:p>
                        </w:txbxContent>
                      </wps:txbx>
                      <wps:bodyPr spcFirstLastPara="1" wrap="square" lIns="91425" tIns="45700" rIns="91425" bIns="45700" anchor="ctr" anchorCtr="0">
                        <a:noAutofit/>
                      </wps:bodyPr>
                    </wps:wsp>
                  </a:graphicData>
                </a:graphic>
              </wp:anchor>
            </w:drawing>
          </mc:Choice>
          <mc:Fallback>
            <w:pict>
              <v:rect w14:anchorId="1EB4F018" id="Rectangle 10" o:spid="_x0000_s1038" style="position:absolute;left:0;text-align:left;margin-left:43pt;margin-top:18.9pt;width:156pt;height:63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" filled="f" strokecolor="black [3200]" strokeweight="2pt">
                <v:stroke startarrowwidth="narrow" startarrowlength="short" endarrowwidth="narrow" endarrowlength="short" joinstyle="round"/>
                <v:textbox inset="2.53958mm,1.2694mm,2.53958mm,1.2694mm">
                  <w:txbxContent>
                    <w:p w14:paraId="568D67E7" w14:textId="77777777" w:rsidR="008060F9" w:rsidRDefault="008060F9">
                      <w:pPr>
                        <w:spacing w:line="240" w:lineRule="auto"/>
                        <w:textDirection w:val="btLr"/>
                      </w:pPr>
                      <w:r>
                        <w:rPr>
                          <w:rFonts w:ascii="Arial" w:eastAsia="Arial" w:hAnsi="Arial" w:cs="Arial"/>
                          <w:color w:val="000000"/>
                          <w:sz w:val="18"/>
                        </w:rPr>
                        <w:t>Studies included in review</w:t>
                      </w:r>
                    </w:p>
                    <w:p w14:paraId="09D7F74A" w14:textId="77777777" w:rsidR="008060F9" w:rsidRDefault="008060F9">
                      <w:pPr>
                        <w:spacing w:line="240" w:lineRule="auto"/>
                        <w:textDirection w:val="btLr"/>
                      </w:pPr>
                      <w:r>
                        <w:rPr>
                          <w:rFonts w:ascii="Arial" w:eastAsia="Arial" w:hAnsi="Arial" w:cs="Arial"/>
                          <w:color w:val="000000"/>
                          <w:sz w:val="18"/>
                        </w:rPr>
                        <w:t>(n = 40)</w:t>
                      </w:r>
                    </w:p>
                    <w:p w14:paraId="3D369AB7" w14:textId="77777777" w:rsidR="008060F9" w:rsidRDefault="008060F9">
                      <w:pPr>
                        <w:spacing w:line="240" w:lineRule="auto"/>
                        <w:textDirection w:val="btLr"/>
                      </w:pPr>
                      <w:r>
                        <w:rPr>
                          <w:rFonts w:ascii="Arial" w:eastAsia="Arial" w:hAnsi="Arial" w:cs="Arial"/>
                          <w:color w:val="000000"/>
                          <w:sz w:val="18"/>
                        </w:rPr>
                        <w:t>Reports of included studies</w:t>
                      </w:r>
                    </w:p>
                    <w:p w14:paraId="72DA273C" w14:textId="77777777" w:rsidR="008060F9" w:rsidRDefault="008060F9">
                      <w:pPr>
                        <w:spacing w:line="240" w:lineRule="auto"/>
                        <w:textDirection w:val="btLr"/>
                      </w:pPr>
                      <w:r>
                        <w:rPr>
                          <w:rFonts w:ascii="Arial" w:eastAsia="Arial" w:hAnsi="Arial" w:cs="Arial"/>
                          <w:color w:val="000000"/>
                          <w:sz w:val="18"/>
                        </w:rPr>
                        <w:t>(n = 40)</w:t>
                      </w:r>
                    </w:p>
                  </w:txbxContent>
                </v:textbox>
              </v:rect>
            </w:pict>
          </mc:Fallback>
        </mc:AlternateContent>
      </w:r>
    </w:p>
    <w:p w14:paraId="7F38B466" w14:textId="77777777" w:rsidR="007575B8" w:rsidRPr="0048631F" w:rsidRDefault="007575B8" w:rsidP="00024BB0">
      <w:pPr>
        <w:rPr>
          <w:rFonts w:ascii="Arial" w:hAnsi="Arial" w:cs="Arial"/>
        </w:rPr>
      </w:pPr>
    </w:p>
    <w:p w14:paraId="3D6DB2E1" w14:textId="41625C1F" w:rsidR="007575B8" w:rsidRPr="0048631F" w:rsidRDefault="007575B8" w:rsidP="00024BB0">
      <w:pPr>
        <w:rPr>
          <w:rFonts w:ascii="Arial" w:hAnsi="Arial" w:cs="Arial"/>
        </w:rPr>
      </w:pPr>
    </w:p>
    <w:p w14:paraId="71FB80E0" w14:textId="77777777" w:rsidR="007575B8" w:rsidRPr="0048631F" w:rsidRDefault="007575B8" w:rsidP="00186555">
      <w:pPr>
        <w:rPr>
          <w:rFonts w:ascii="Arial" w:hAnsi="Arial" w:cs="Arial"/>
        </w:rPr>
      </w:pPr>
    </w:p>
    <w:p w14:paraId="588C08A9" w14:textId="77777777" w:rsidR="007575B8" w:rsidRPr="0048631F" w:rsidRDefault="007575B8" w:rsidP="00024BB0">
      <w:pPr>
        <w:rPr>
          <w:rFonts w:ascii="Arial" w:hAnsi="Arial" w:cs="Arial"/>
          <w:b/>
          <w:bCs/>
        </w:rPr>
      </w:pPr>
    </w:p>
    <w:p w14:paraId="0F351BD5" w14:textId="77777777" w:rsidR="007575B8" w:rsidRPr="0048631F" w:rsidRDefault="004D78AD" w:rsidP="00024BB0">
      <w:pPr>
        <w:pStyle w:val="Heading4"/>
        <w:rPr>
          <w:rFonts w:ascii="Arial" w:hAnsi="Arial" w:cs="Arial"/>
        </w:rPr>
      </w:pPr>
      <w:bookmarkStart w:id="60" w:name="_heading=h.gkp5rr9iroka" w:colFirst="0" w:colLast="0"/>
      <w:bookmarkStart w:id="61" w:name="_Toc235889280"/>
      <w:bookmarkEnd w:id="60"/>
      <w:r w:rsidRPr="0048631F">
        <w:rPr>
          <w:rFonts w:ascii="Arial" w:hAnsi="Arial" w:cs="Arial"/>
        </w:rPr>
        <w:t>Figure 3.2: PRISMA Framework</w:t>
      </w:r>
      <w:bookmarkEnd w:id="61"/>
    </w:p>
    <w:p w14:paraId="03796518" w14:textId="77777777" w:rsidR="007575B8" w:rsidRPr="0048631F" w:rsidRDefault="004D78AD" w:rsidP="00024BB0">
      <w:pPr>
        <w:jc w:val="center"/>
        <w:rPr>
          <w:rFonts w:ascii="Arial" w:hAnsi="Arial" w:cs="Arial"/>
        </w:rPr>
      </w:pPr>
      <w:r w:rsidRPr="0048631F">
        <w:rPr>
          <w:rFonts w:ascii="Arial" w:hAnsi="Arial" w:cs="Arial"/>
        </w:rPr>
        <w:t>(Source: Self-Developed)</w:t>
      </w:r>
    </w:p>
    <w:p w14:paraId="6327EB5C" w14:textId="77777777" w:rsidR="007575B8" w:rsidRPr="0048631F" w:rsidRDefault="004D78AD" w:rsidP="00024BB0">
      <w:pPr>
        <w:rPr>
          <w:rFonts w:ascii="Arial" w:hAnsi="Arial" w:cs="Arial"/>
        </w:rPr>
      </w:pPr>
      <w:r w:rsidRPr="0048631F">
        <w:rPr>
          <w:rFonts w:ascii="Arial" w:hAnsi="Arial" w:cs="Arial"/>
        </w:rPr>
        <w:t xml:space="preserve">The systematic process of identification, screening, assessing and selecting relevant studies for this systematic literature review is shown in the PRISMA framework. </w:t>
      </w:r>
      <w:r w:rsidRPr="0048631F">
        <w:rPr>
          <w:rFonts w:ascii="Arial" w:hAnsi="Arial" w:cs="Arial"/>
        </w:rPr>
        <w:lastRenderedPageBreak/>
        <w:t>Initially, 120 records were ascertained by searching the databases. A total of 25 duplicate records and 5 records were excluded for other reasons, leaving behind 90 records for screening. The next 40 records that did not fit the pre-determined inclusion criteria were excluded at the screening phase. Therefore, 50 reports were retrieved, and 5 were not retrieved. This came down to 45 reports to be reviewed for eligibility. Based on the eligibility checks, 5 reports were withdrawn for various reasons including irrelevant topics, inadequate data and already reported. Finally, 40 studies satisfied the inclusion criteria, and are included in the systematic literature review and thematic analysis.</w:t>
      </w:r>
    </w:p>
    <w:p w14:paraId="0D7D179E" w14:textId="77777777" w:rsidR="007575B8" w:rsidRPr="0048631F" w:rsidRDefault="004D78AD" w:rsidP="00024BB0">
      <w:pPr>
        <w:pStyle w:val="Heading3"/>
        <w:rPr>
          <w:rFonts w:ascii="Arial" w:hAnsi="Arial" w:cs="Arial"/>
        </w:rPr>
      </w:pPr>
      <w:bookmarkStart w:id="62" w:name="_Toc235889318"/>
      <w:r w:rsidRPr="0048631F">
        <w:rPr>
          <w:rFonts w:ascii="Arial" w:hAnsi="Arial" w:cs="Arial"/>
        </w:rPr>
        <w:t>3.8.1 Thematic Analysis and Coding</w:t>
      </w:r>
      <w:bookmarkEnd w:id="62"/>
    </w:p>
    <w:p w14:paraId="12FFD128" w14:textId="77777777" w:rsidR="007575B8" w:rsidRPr="0048631F" w:rsidRDefault="004D78AD" w:rsidP="00024BB0">
      <w:pPr>
        <w:rPr>
          <w:rFonts w:ascii="Arial" w:hAnsi="Arial" w:cs="Arial"/>
          <w:b/>
          <w:bCs/>
        </w:rPr>
      </w:pPr>
      <w:bookmarkStart w:id="63" w:name="_heading=h.ftmyidu70od0" w:colFirst="0" w:colLast="0"/>
      <w:bookmarkEnd w:id="63"/>
      <w:r w:rsidRPr="0048631F">
        <w:rPr>
          <w:rFonts w:ascii="Arial" w:hAnsi="Arial" w:cs="Arial"/>
          <w:b/>
          <w:bCs/>
        </w:rPr>
        <w:t>Braun and Clarke Six-Step Framework</w:t>
      </w:r>
    </w:p>
    <w:p w14:paraId="7B07AD51" w14:textId="77777777" w:rsidR="007575B8" w:rsidRPr="0002175F" w:rsidRDefault="004D78AD" w:rsidP="00024BB0">
      <w:pPr>
        <w:rPr>
          <w:rFonts w:ascii="Arial" w:hAnsi="Arial" w:cs="Arial"/>
          <w:b/>
          <w:bCs/>
          <w:iCs/>
        </w:rPr>
      </w:pPr>
      <w:r w:rsidRPr="0002175F">
        <w:rPr>
          <w:rFonts w:ascii="Arial" w:hAnsi="Arial" w:cs="Arial"/>
          <w:b/>
          <w:bCs/>
          <w:iCs/>
        </w:rPr>
        <w:t>Phase 1: Familiarisation</w:t>
      </w:r>
    </w:p>
    <w:p w14:paraId="7090E8B2" w14:textId="77777777" w:rsidR="007575B8" w:rsidRPr="0048631F" w:rsidRDefault="004D78AD" w:rsidP="00024BB0">
      <w:pPr>
        <w:rPr>
          <w:rFonts w:ascii="Arial" w:hAnsi="Arial" w:cs="Arial"/>
        </w:rPr>
      </w:pPr>
      <w:r w:rsidRPr="0048631F">
        <w:rPr>
          <w:rFonts w:ascii="Arial" w:hAnsi="Arial" w:cs="Arial"/>
        </w:rPr>
        <w:t>The researcher thoroughly reviewed selected documents multiple times to understand the content and identify initial patterns and recurring themes.</w:t>
      </w:r>
    </w:p>
    <w:p w14:paraId="023BE0A4" w14:textId="77777777" w:rsidR="007575B8" w:rsidRPr="0002175F" w:rsidRDefault="004D78AD" w:rsidP="00024BB0">
      <w:pPr>
        <w:rPr>
          <w:rFonts w:ascii="Arial" w:hAnsi="Arial" w:cs="Arial"/>
          <w:b/>
          <w:bCs/>
          <w:iCs/>
        </w:rPr>
      </w:pPr>
      <w:r w:rsidRPr="0002175F">
        <w:rPr>
          <w:rFonts w:ascii="Arial" w:hAnsi="Arial" w:cs="Arial"/>
          <w:b/>
          <w:bCs/>
          <w:iCs/>
        </w:rPr>
        <w:t>Phase 2: Initial Coding</w:t>
      </w:r>
    </w:p>
    <w:p w14:paraId="4E259D50" w14:textId="77777777" w:rsidR="007575B8" w:rsidRPr="0048631F" w:rsidRDefault="004D78AD" w:rsidP="00024BB0">
      <w:pPr>
        <w:rPr>
          <w:rFonts w:ascii="Arial" w:hAnsi="Arial" w:cs="Arial"/>
        </w:rPr>
      </w:pPr>
      <w:r w:rsidRPr="0048631F">
        <w:rPr>
          <w:rFonts w:ascii="Arial" w:hAnsi="Arial" w:cs="Arial"/>
        </w:rPr>
        <w:t>Relevant data was systematically coded based on the theories related to ESG disclosure, sustainability efforts, carbon savings and greenwashing.</w:t>
      </w:r>
    </w:p>
    <w:p w14:paraId="1410E693" w14:textId="77777777" w:rsidR="007575B8" w:rsidRPr="0002175F" w:rsidRDefault="004D78AD" w:rsidP="00024BB0">
      <w:pPr>
        <w:rPr>
          <w:rFonts w:ascii="Arial" w:hAnsi="Arial" w:cs="Arial"/>
          <w:b/>
          <w:bCs/>
          <w:iCs/>
        </w:rPr>
      </w:pPr>
      <w:r w:rsidRPr="0002175F">
        <w:rPr>
          <w:rFonts w:ascii="Arial" w:hAnsi="Arial" w:cs="Arial"/>
          <w:b/>
          <w:bCs/>
          <w:iCs/>
        </w:rPr>
        <w:t>Phase 3: Searching for Themes</w:t>
      </w:r>
    </w:p>
    <w:p w14:paraId="676A5E15" w14:textId="77777777" w:rsidR="007575B8" w:rsidRPr="0048631F" w:rsidRDefault="004D78AD" w:rsidP="00024BB0">
      <w:pPr>
        <w:rPr>
          <w:rFonts w:ascii="Arial" w:hAnsi="Arial" w:cs="Arial"/>
        </w:rPr>
      </w:pPr>
      <w:r w:rsidRPr="0048631F">
        <w:rPr>
          <w:rFonts w:ascii="Arial" w:hAnsi="Arial" w:cs="Arial"/>
        </w:rPr>
        <w:t>The codes from the literature were then grouped together into larger thematic categories to see if there were patterns, relationships and key concepts from the literature that would remain constant throughout the literature.</w:t>
      </w:r>
    </w:p>
    <w:p w14:paraId="76A82CCF" w14:textId="77777777" w:rsidR="007575B8" w:rsidRPr="0002175F" w:rsidRDefault="004D78AD" w:rsidP="00024BB0">
      <w:pPr>
        <w:rPr>
          <w:rFonts w:ascii="Arial" w:hAnsi="Arial" w:cs="Arial"/>
          <w:b/>
          <w:bCs/>
          <w:iCs/>
        </w:rPr>
      </w:pPr>
      <w:r w:rsidRPr="0002175F">
        <w:rPr>
          <w:rFonts w:ascii="Arial" w:hAnsi="Arial" w:cs="Arial"/>
          <w:b/>
          <w:bCs/>
          <w:iCs/>
        </w:rPr>
        <w:t>Phase 4: Reviewing Themes</w:t>
      </w:r>
    </w:p>
    <w:p w14:paraId="2CCBF198" w14:textId="77777777" w:rsidR="007575B8" w:rsidRPr="0048631F" w:rsidRDefault="004D78AD" w:rsidP="00024BB0">
      <w:pPr>
        <w:rPr>
          <w:rFonts w:ascii="Arial" w:hAnsi="Arial" w:cs="Arial"/>
        </w:rPr>
      </w:pPr>
      <w:r w:rsidRPr="0048631F">
        <w:rPr>
          <w:rFonts w:ascii="Arial" w:hAnsi="Arial" w:cs="Arial"/>
        </w:rPr>
        <w:t>Themes were examined and developed to maximize consistency and objective.</w:t>
      </w:r>
    </w:p>
    <w:p w14:paraId="27001961" w14:textId="77777777" w:rsidR="007575B8" w:rsidRPr="0002175F" w:rsidRDefault="004D78AD" w:rsidP="00024BB0">
      <w:pPr>
        <w:rPr>
          <w:rFonts w:ascii="Arial" w:hAnsi="Arial" w:cs="Arial"/>
          <w:b/>
          <w:bCs/>
          <w:iCs/>
        </w:rPr>
      </w:pPr>
      <w:r w:rsidRPr="0002175F">
        <w:rPr>
          <w:rFonts w:ascii="Arial" w:hAnsi="Arial" w:cs="Arial"/>
          <w:b/>
          <w:bCs/>
          <w:iCs/>
        </w:rPr>
        <w:t>Phase 5: Defining and Naming Themes</w:t>
      </w:r>
    </w:p>
    <w:p w14:paraId="49DA6AD1" w14:textId="77777777" w:rsidR="007575B8" w:rsidRPr="0048631F" w:rsidRDefault="004D78AD" w:rsidP="00024BB0">
      <w:pPr>
        <w:rPr>
          <w:rFonts w:ascii="Arial" w:hAnsi="Arial" w:cs="Arial"/>
        </w:rPr>
      </w:pPr>
      <w:r w:rsidRPr="0048631F">
        <w:rPr>
          <w:rFonts w:ascii="Arial" w:hAnsi="Arial" w:cs="Arial"/>
        </w:rPr>
        <w:t>Themes were established and named with relation to the main ideas, importance and subject of research.</w:t>
      </w:r>
    </w:p>
    <w:p w14:paraId="5B409FD4" w14:textId="77777777" w:rsidR="007575B8" w:rsidRPr="0002175F" w:rsidRDefault="004D78AD" w:rsidP="00024BB0">
      <w:pPr>
        <w:rPr>
          <w:rFonts w:ascii="Arial" w:hAnsi="Arial" w:cs="Arial"/>
          <w:b/>
          <w:bCs/>
          <w:iCs/>
        </w:rPr>
      </w:pPr>
      <w:r w:rsidRPr="0002175F">
        <w:rPr>
          <w:rFonts w:ascii="Arial" w:hAnsi="Arial" w:cs="Arial"/>
          <w:b/>
          <w:bCs/>
          <w:iCs/>
        </w:rPr>
        <w:t>Phase 6: Producing the Report</w:t>
      </w:r>
    </w:p>
    <w:p w14:paraId="594061EE" w14:textId="77777777" w:rsidR="007575B8" w:rsidRPr="0048631F" w:rsidRDefault="004D78AD" w:rsidP="00024BB0">
      <w:pPr>
        <w:rPr>
          <w:rFonts w:ascii="Arial" w:hAnsi="Arial" w:cs="Arial"/>
        </w:rPr>
      </w:pPr>
      <w:r w:rsidRPr="0048631F">
        <w:rPr>
          <w:rFonts w:ascii="Arial" w:hAnsi="Arial" w:cs="Arial"/>
        </w:rPr>
        <w:t>Qin et al. (2025) pointed out that systematic analytical procedure offers a stronger methodological rigour that leads to more credible qualitative research finding.</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2"/>
        <w:gridCol w:w="3300"/>
        <w:gridCol w:w="2784"/>
      </w:tblGrid>
      <w:tr w:rsidR="0048631F" w:rsidRPr="0048631F" w14:paraId="1CC426DD" w14:textId="77777777">
        <w:tc>
          <w:tcPr>
            <w:tcW w:w="2932" w:type="dxa"/>
          </w:tcPr>
          <w:p w14:paraId="15F9C01B"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Extract</w:t>
            </w:r>
          </w:p>
        </w:tc>
        <w:tc>
          <w:tcPr>
            <w:tcW w:w="3300" w:type="dxa"/>
          </w:tcPr>
          <w:p w14:paraId="294B7AB7"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Initial Code</w:t>
            </w:r>
          </w:p>
        </w:tc>
        <w:tc>
          <w:tcPr>
            <w:tcW w:w="2784" w:type="dxa"/>
          </w:tcPr>
          <w:p w14:paraId="4FAF8D14"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Theme</w:t>
            </w:r>
          </w:p>
        </w:tc>
      </w:tr>
      <w:tr w:rsidR="0048631F" w:rsidRPr="0048631F" w14:paraId="0498FCF5" w14:textId="77777777">
        <w:tc>
          <w:tcPr>
            <w:tcW w:w="2932" w:type="dxa"/>
          </w:tcPr>
          <w:p w14:paraId="2C13A3A9" w14:textId="77777777" w:rsidR="007575B8" w:rsidRPr="0048631F" w:rsidRDefault="004D78AD" w:rsidP="00024BB0">
            <w:pPr>
              <w:spacing w:line="360" w:lineRule="auto"/>
              <w:jc w:val="left"/>
              <w:rPr>
                <w:rFonts w:ascii="Arial" w:hAnsi="Arial" w:cs="Arial"/>
              </w:rPr>
            </w:pPr>
            <w:r w:rsidRPr="0048631F">
              <w:rPr>
                <w:rFonts w:ascii="Arial" w:hAnsi="Arial" w:cs="Arial"/>
              </w:rPr>
              <w:t>Fleet modernisation</w:t>
            </w:r>
          </w:p>
        </w:tc>
        <w:tc>
          <w:tcPr>
            <w:tcW w:w="3300" w:type="dxa"/>
          </w:tcPr>
          <w:p w14:paraId="087A46CA" w14:textId="77777777" w:rsidR="007575B8" w:rsidRPr="0048631F" w:rsidRDefault="004D78AD" w:rsidP="00024BB0">
            <w:pPr>
              <w:spacing w:line="360" w:lineRule="auto"/>
              <w:jc w:val="left"/>
              <w:rPr>
                <w:rFonts w:ascii="Arial" w:hAnsi="Arial" w:cs="Arial"/>
              </w:rPr>
            </w:pPr>
            <w:r w:rsidRPr="0048631F">
              <w:rPr>
                <w:rFonts w:ascii="Arial" w:hAnsi="Arial" w:cs="Arial"/>
              </w:rPr>
              <w:t>Operational efficiency</w:t>
            </w:r>
          </w:p>
        </w:tc>
        <w:tc>
          <w:tcPr>
            <w:tcW w:w="2784" w:type="dxa"/>
          </w:tcPr>
          <w:p w14:paraId="55FA764B" w14:textId="77777777" w:rsidR="007575B8" w:rsidRPr="0048631F" w:rsidRDefault="004D78AD" w:rsidP="00024BB0">
            <w:pPr>
              <w:spacing w:line="360" w:lineRule="auto"/>
              <w:jc w:val="left"/>
              <w:rPr>
                <w:rFonts w:ascii="Arial" w:hAnsi="Arial" w:cs="Arial"/>
              </w:rPr>
            </w:pPr>
            <w:r w:rsidRPr="0048631F">
              <w:rPr>
                <w:rFonts w:ascii="Arial" w:hAnsi="Arial" w:cs="Arial"/>
              </w:rPr>
              <w:t>Carbon Reduction</w:t>
            </w:r>
          </w:p>
        </w:tc>
      </w:tr>
      <w:tr w:rsidR="0048631F" w:rsidRPr="0048631F" w14:paraId="618E5525" w14:textId="77777777">
        <w:tc>
          <w:tcPr>
            <w:tcW w:w="2932" w:type="dxa"/>
          </w:tcPr>
          <w:p w14:paraId="7C2CF115" w14:textId="77777777" w:rsidR="007575B8" w:rsidRPr="0048631F" w:rsidRDefault="004D78AD" w:rsidP="00024BB0">
            <w:pPr>
              <w:spacing w:line="360" w:lineRule="auto"/>
              <w:jc w:val="left"/>
              <w:rPr>
                <w:rFonts w:ascii="Arial" w:hAnsi="Arial" w:cs="Arial"/>
              </w:rPr>
            </w:pPr>
            <w:r w:rsidRPr="0048631F">
              <w:rPr>
                <w:rFonts w:ascii="Arial" w:hAnsi="Arial" w:cs="Arial"/>
              </w:rPr>
              <w:t>ESG ratings</w:t>
            </w:r>
          </w:p>
        </w:tc>
        <w:tc>
          <w:tcPr>
            <w:tcW w:w="3300" w:type="dxa"/>
          </w:tcPr>
          <w:p w14:paraId="6329A7AA" w14:textId="77777777" w:rsidR="007575B8" w:rsidRPr="0048631F" w:rsidRDefault="004D78AD" w:rsidP="00024BB0">
            <w:pPr>
              <w:spacing w:line="360" w:lineRule="auto"/>
              <w:jc w:val="left"/>
              <w:rPr>
                <w:rFonts w:ascii="Arial" w:hAnsi="Arial" w:cs="Arial"/>
              </w:rPr>
            </w:pPr>
            <w:r w:rsidRPr="0048631F">
              <w:rPr>
                <w:rFonts w:ascii="Arial" w:hAnsi="Arial" w:cs="Arial"/>
              </w:rPr>
              <w:t>ESG measurement</w:t>
            </w:r>
          </w:p>
        </w:tc>
        <w:tc>
          <w:tcPr>
            <w:tcW w:w="2784" w:type="dxa"/>
          </w:tcPr>
          <w:p w14:paraId="50121A78" w14:textId="77777777" w:rsidR="007575B8" w:rsidRPr="0048631F" w:rsidRDefault="004D78AD" w:rsidP="00024BB0">
            <w:pPr>
              <w:spacing w:line="360" w:lineRule="auto"/>
              <w:jc w:val="left"/>
              <w:rPr>
                <w:rFonts w:ascii="Arial" w:hAnsi="Arial" w:cs="Arial"/>
              </w:rPr>
            </w:pPr>
            <w:r w:rsidRPr="0048631F">
              <w:rPr>
                <w:rFonts w:ascii="Arial" w:hAnsi="Arial" w:cs="Arial"/>
              </w:rPr>
              <w:t>Disclosure Quality</w:t>
            </w:r>
          </w:p>
        </w:tc>
      </w:tr>
      <w:tr w:rsidR="0048631F" w:rsidRPr="0048631F" w14:paraId="4E943DD8" w14:textId="77777777">
        <w:tc>
          <w:tcPr>
            <w:tcW w:w="2932" w:type="dxa"/>
          </w:tcPr>
          <w:p w14:paraId="2C654755" w14:textId="77777777" w:rsidR="007575B8" w:rsidRPr="0048631F" w:rsidRDefault="004D78AD" w:rsidP="00024BB0">
            <w:pPr>
              <w:spacing w:line="360" w:lineRule="auto"/>
              <w:jc w:val="left"/>
              <w:rPr>
                <w:rFonts w:ascii="Arial" w:hAnsi="Arial" w:cs="Arial"/>
              </w:rPr>
            </w:pPr>
            <w:r w:rsidRPr="0048631F">
              <w:rPr>
                <w:rFonts w:ascii="Arial" w:hAnsi="Arial" w:cs="Arial"/>
              </w:rPr>
              <w:t>Scope 3 reporting</w:t>
            </w:r>
          </w:p>
        </w:tc>
        <w:tc>
          <w:tcPr>
            <w:tcW w:w="3300" w:type="dxa"/>
          </w:tcPr>
          <w:p w14:paraId="446E4805" w14:textId="77777777" w:rsidR="007575B8" w:rsidRPr="0048631F" w:rsidRDefault="004D78AD" w:rsidP="00024BB0">
            <w:pPr>
              <w:spacing w:line="360" w:lineRule="auto"/>
              <w:jc w:val="left"/>
              <w:rPr>
                <w:rFonts w:ascii="Arial" w:hAnsi="Arial" w:cs="Arial"/>
              </w:rPr>
            </w:pPr>
            <w:r w:rsidRPr="0048631F">
              <w:rPr>
                <w:rFonts w:ascii="Arial" w:hAnsi="Arial" w:cs="Arial"/>
              </w:rPr>
              <w:t>Emission transparency</w:t>
            </w:r>
          </w:p>
        </w:tc>
        <w:tc>
          <w:tcPr>
            <w:tcW w:w="2784" w:type="dxa"/>
          </w:tcPr>
          <w:p w14:paraId="55CDADE0" w14:textId="77777777" w:rsidR="007575B8" w:rsidRPr="0048631F" w:rsidRDefault="004D78AD" w:rsidP="00024BB0">
            <w:pPr>
              <w:spacing w:line="360" w:lineRule="auto"/>
              <w:jc w:val="left"/>
              <w:rPr>
                <w:rFonts w:ascii="Arial" w:hAnsi="Arial" w:cs="Arial"/>
              </w:rPr>
            </w:pPr>
            <w:r w:rsidRPr="0048631F">
              <w:rPr>
                <w:rFonts w:ascii="Arial" w:hAnsi="Arial" w:cs="Arial"/>
              </w:rPr>
              <w:t>ESG Disclosure</w:t>
            </w:r>
          </w:p>
        </w:tc>
      </w:tr>
      <w:tr w:rsidR="0048631F" w:rsidRPr="0048631F" w14:paraId="05CA9E3D" w14:textId="77777777">
        <w:tc>
          <w:tcPr>
            <w:tcW w:w="2932" w:type="dxa"/>
          </w:tcPr>
          <w:p w14:paraId="28156EA6"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Carbon offsets</w:t>
            </w:r>
          </w:p>
        </w:tc>
        <w:tc>
          <w:tcPr>
            <w:tcW w:w="3300" w:type="dxa"/>
          </w:tcPr>
          <w:p w14:paraId="59428E5A"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claims</w:t>
            </w:r>
          </w:p>
        </w:tc>
        <w:tc>
          <w:tcPr>
            <w:tcW w:w="2784" w:type="dxa"/>
          </w:tcPr>
          <w:p w14:paraId="695BE770" w14:textId="77777777" w:rsidR="007575B8" w:rsidRPr="0048631F" w:rsidRDefault="004D78AD" w:rsidP="00024BB0">
            <w:pPr>
              <w:spacing w:line="360" w:lineRule="auto"/>
              <w:jc w:val="left"/>
              <w:rPr>
                <w:rFonts w:ascii="Arial" w:hAnsi="Arial" w:cs="Arial"/>
              </w:rPr>
            </w:pPr>
            <w:r w:rsidRPr="0048631F">
              <w:rPr>
                <w:rFonts w:ascii="Arial" w:hAnsi="Arial" w:cs="Arial"/>
              </w:rPr>
              <w:t>Greenwashing</w:t>
            </w:r>
          </w:p>
        </w:tc>
      </w:tr>
    </w:tbl>
    <w:p w14:paraId="492548E0" w14:textId="77777777" w:rsidR="007575B8" w:rsidRPr="0048631F" w:rsidRDefault="004D78AD" w:rsidP="00024BB0">
      <w:pPr>
        <w:pStyle w:val="Heading5"/>
        <w:rPr>
          <w:rFonts w:ascii="Arial" w:hAnsi="Arial" w:cs="Arial"/>
        </w:rPr>
      </w:pPr>
      <w:bookmarkStart w:id="64" w:name="_heading=h.rnacmoagw1dv" w:colFirst="0" w:colLast="0"/>
      <w:bookmarkStart w:id="65" w:name="_Toc235889268"/>
      <w:bookmarkEnd w:id="64"/>
      <w:r w:rsidRPr="0048631F">
        <w:rPr>
          <w:rFonts w:ascii="Arial" w:hAnsi="Arial" w:cs="Arial"/>
        </w:rPr>
        <w:t>Table 3.3: Coding Process</w:t>
      </w:r>
      <w:bookmarkEnd w:id="65"/>
    </w:p>
    <w:p w14:paraId="3669947D" w14:textId="77777777" w:rsidR="007575B8" w:rsidRPr="0048631F" w:rsidRDefault="004D78AD" w:rsidP="00024BB0">
      <w:pPr>
        <w:rPr>
          <w:rFonts w:ascii="Arial" w:hAnsi="Arial" w:cs="Arial"/>
        </w:rPr>
      </w:pPr>
      <w:r w:rsidRPr="0048631F">
        <w:rPr>
          <w:rFonts w:ascii="Arial" w:hAnsi="Arial" w:cs="Arial"/>
        </w:rPr>
        <w:t>A total of 147 codes were created. These were distilled into 22 subthemes, and finally 5 major themes.</w:t>
      </w:r>
    </w:p>
    <w:p w14:paraId="0B725475" w14:textId="77777777" w:rsidR="007575B8" w:rsidRPr="0048631F" w:rsidRDefault="004D78AD" w:rsidP="00024BB0">
      <w:pPr>
        <w:rPr>
          <w:rFonts w:ascii="Arial" w:hAnsi="Arial" w:cs="Arial"/>
          <w:b/>
          <w:bCs/>
        </w:rPr>
      </w:pPr>
      <w:bookmarkStart w:id="66" w:name="_heading=h.p7lbhngf0tjj" w:colFirst="0" w:colLast="0"/>
      <w:bookmarkEnd w:id="66"/>
      <w:r w:rsidRPr="0048631F">
        <w:rPr>
          <w:rFonts w:ascii="Arial" w:hAnsi="Arial" w:cs="Arial"/>
          <w:b/>
          <w:bCs/>
        </w:rPr>
        <w:t>Trustworthiness of the Research</w:t>
      </w:r>
    </w:p>
    <w:p w14:paraId="3C1EC633" w14:textId="640D38F9" w:rsidR="007575B8" w:rsidRPr="0048631F" w:rsidRDefault="004D78AD" w:rsidP="00024BB0">
      <w:pPr>
        <w:rPr>
          <w:rFonts w:ascii="Arial" w:hAnsi="Arial" w:cs="Arial"/>
        </w:rPr>
      </w:pPr>
      <w:r w:rsidRPr="0048631F">
        <w:rPr>
          <w:rFonts w:ascii="Arial" w:hAnsi="Arial" w:cs="Arial"/>
        </w:rPr>
        <w:t xml:space="preserve">Trustworthiness in a qualitative study is an assessment of the quality, credibility and rigour of both the research process and results. Lincoln and Guba (1988) suggested four conditions for establishing trustworthiness: credibility, dependability, </w:t>
      </w:r>
      <w:r w:rsidR="004234DB" w:rsidRPr="0048631F">
        <w:rPr>
          <w:rFonts w:ascii="Arial" w:hAnsi="Arial" w:cs="Arial"/>
        </w:rPr>
        <w:t>conformability</w:t>
      </w:r>
      <w:r w:rsidRPr="0048631F">
        <w:rPr>
          <w:rFonts w:ascii="Arial" w:hAnsi="Arial" w:cs="Arial"/>
        </w:rPr>
        <w:t xml:space="preserve">, and transferability. These criteria are alternatives to reliability and validity concepts traditionally embraced in quantitative studies and are widely applied in qualitative studies. Credibility is how much the findings reflect what has been seen in the evidence. Credibility was achieved in this study that employed peer-reviewed journal articles, trustworthy industry reports and a systematic screening process. Dependability is about the uniformity and clarity of the research methods. The search strategy and selection and thematic analysis procedures were documented in detail to guarantee methodological consistency. </w:t>
      </w:r>
    </w:p>
    <w:p w14:paraId="03A66720" w14:textId="0C20376A" w:rsidR="007575B8" w:rsidRPr="0048631F" w:rsidRDefault="004234DB" w:rsidP="00024BB0">
      <w:pPr>
        <w:rPr>
          <w:rFonts w:ascii="Arial" w:hAnsi="Arial" w:cs="Arial"/>
        </w:rPr>
      </w:pPr>
      <w:r w:rsidRPr="0048631F">
        <w:rPr>
          <w:rFonts w:ascii="Arial" w:hAnsi="Arial" w:cs="Arial"/>
        </w:rPr>
        <w:t>Conformability</w:t>
      </w:r>
      <w:r w:rsidR="004D78AD" w:rsidRPr="0048631F">
        <w:rPr>
          <w:rFonts w:ascii="Arial" w:hAnsi="Arial" w:cs="Arial"/>
        </w:rPr>
        <w:t xml:space="preserve"> is an aspect that is related to evidence rather than researcher bias in the findings. Systematic review protocol and structured analysis process ensured objectivity during the study. Transferability is the degree to which results can be applied to other settings of similar nature. The detailed description of the research process and research findings enables readers to decide if the result can be applied in other aircraft and sustainability contexts. According to Jiao (2026), its validity and reliability is of vital significance to guarantee the methodological rigour and enhance research quality for the methods used in the study. In the same way, </w:t>
      </w:r>
      <w:proofErr w:type="spellStart"/>
      <w:r w:rsidR="004D78AD" w:rsidRPr="0048631F">
        <w:rPr>
          <w:rFonts w:ascii="Arial" w:hAnsi="Arial" w:cs="Arial"/>
        </w:rPr>
        <w:t>Marra</w:t>
      </w:r>
      <w:proofErr w:type="spellEnd"/>
      <w:r w:rsidR="004D78AD" w:rsidRPr="0048631F">
        <w:rPr>
          <w:rFonts w:ascii="Arial" w:hAnsi="Arial" w:cs="Arial"/>
        </w:rPr>
        <w:t xml:space="preserve"> and Nielsen (2025) emphasized the importance of good methodologies in ensuring the credibility and impact of research results. </w:t>
      </w:r>
    </w:p>
    <w:p w14:paraId="21CEECE0" w14:textId="77777777" w:rsidR="007575B8" w:rsidRPr="0048631F" w:rsidRDefault="004D78AD" w:rsidP="00024BB0">
      <w:pPr>
        <w:pStyle w:val="Heading2"/>
        <w:rPr>
          <w:rFonts w:ascii="Arial" w:hAnsi="Arial" w:cs="Arial"/>
        </w:rPr>
      </w:pPr>
      <w:bookmarkStart w:id="67" w:name="_Toc235889319"/>
      <w:r w:rsidRPr="0048631F">
        <w:rPr>
          <w:rFonts w:ascii="Arial" w:hAnsi="Arial" w:cs="Arial"/>
        </w:rPr>
        <w:t>3.9 Ethics Approval</w:t>
      </w:r>
      <w:bookmarkEnd w:id="67"/>
    </w:p>
    <w:p w14:paraId="1A621456" w14:textId="77777777" w:rsidR="007575B8" w:rsidRPr="0048631F" w:rsidRDefault="004D78AD" w:rsidP="00024BB0">
      <w:pPr>
        <w:rPr>
          <w:rFonts w:ascii="Arial" w:hAnsi="Arial" w:cs="Arial"/>
        </w:rPr>
      </w:pPr>
      <w:r w:rsidRPr="0048631F">
        <w:rPr>
          <w:rFonts w:ascii="Arial" w:hAnsi="Arial" w:cs="Arial"/>
        </w:rPr>
        <w:t xml:space="preserve">In this study, ethical guidelines for secondary research were followed. There was no involvement of any participants and no personal or confidential information was gathered. All sources cited and referenced correctly for copyright compliance. Honesty in reporting results, fairness and integrity in research were maintained by not plagiarizing and correctly representing the evidence that has been reviewed. The handling and archiving of the data were done in a proper manner as per approved university practices to ensure transparency and accountability. Crosschild et al. (2026) </w:t>
      </w:r>
      <w:r w:rsidRPr="0048631F">
        <w:rPr>
          <w:rFonts w:ascii="Arial" w:hAnsi="Arial" w:cs="Arial"/>
        </w:rPr>
        <w:lastRenderedPageBreak/>
        <w:t xml:space="preserve">pointed out that ethical responsibility extends beyond participant protection to the responsible handling, interpretation and representation of research data. </w:t>
      </w:r>
    </w:p>
    <w:p w14:paraId="3FB2DB3E" w14:textId="77777777" w:rsidR="007575B8" w:rsidRPr="0048631F" w:rsidRDefault="004D78AD" w:rsidP="00024BB0">
      <w:pPr>
        <w:pStyle w:val="Heading2"/>
        <w:rPr>
          <w:rFonts w:ascii="Arial" w:hAnsi="Arial" w:cs="Arial"/>
        </w:rPr>
      </w:pPr>
      <w:bookmarkStart w:id="68" w:name="_Toc235889320"/>
      <w:r w:rsidRPr="0048631F">
        <w:rPr>
          <w:rFonts w:ascii="Arial" w:hAnsi="Arial" w:cs="Arial"/>
        </w:rPr>
        <w:t>3.10 Chapter Summary</w:t>
      </w:r>
      <w:bookmarkEnd w:id="68"/>
    </w:p>
    <w:p w14:paraId="4B91B59C" w14:textId="47CD340F" w:rsidR="007575B8" w:rsidRPr="0048631F" w:rsidRDefault="004D78AD" w:rsidP="00024BB0">
      <w:pPr>
        <w:rPr>
          <w:rFonts w:ascii="Arial" w:hAnsi="Arial" w:cs="Arial"/>
        </w:rPr>
      </w:pPr>
      <w:r w:rsidRPr="0048631F">
        <w:rPr>
          <w:rFonts w:ascii="Arial" w:hAnsi="Arial" w:cs="Arial"/>
        </w:rPr>
        <w:t xml:space="preserve">This chapter has summarised the methodological framework that was used in this study. An </w:t>
      </w:r>
      <w:r w:rsidR="00D943BF" w:rsidRPr="0048631F">
        <w:rPr>
          <w:rFonts w:ascii="Arial" w:hAnsi="Arial" w:cs="Arial"/>
        </w:rPr>
        <w:t>interpretivism</w:t>
      </w:r>
      <w:r w:rsidRPr="0048631F">
        <w:rPr>
          <w:rFonts w:ascii="Arial" w:hAnsi="Arial" w:cs="Arial"/>
        </w:rPr>
        <w:t xml:space="preserve"> philosophy and inductive approach, systematic literature review strategy, qualitative descriptive design and thematic analysis were chosen for the exploration. The chapter also spoke about the data collection procedures, selection criteria, methodological limitations and problems of validity and reliability and some ethical issues. The results and thematic analysis of the literature reviewed are presented in the next chapter.</w:t>
      </w:r>
    </w:p>
    <w:p w14:paraId="2FF10494" w14:textId="77777777" w:rsidR="007575B8" w:rsidRPr="0048631F" w:rsidRDefault="004D78AD" w:rsidP="00024BB0">
      <w:pPr>
        <w:rPr>
          <w:rFonts w:ascii="Arial" w:hAnsi="Arial" w:cs="Arial"/>
        </w:rPr>
      </w:pPr>
      <w:r w:rsidRPr="0048631F">
        <w:rPr>
          <w:rFonts w:ascii="Arial" w:hAnsi="Arial" w:cs="Arial"/>
        </w:rPr>
        <w:br w:type="page"/>
      </w:r>
    </w:p>
    <w:p w14:paraId="4C49729D" w14:textId="77777777" w:rsidR="007575B8" w:rsidRPr="0048631F" w:rsidRDefault="004D78AD" w:rsidP="00024BB0">
      <w:pPr>
        <w:pStyle w:val="Heading1"/>
        <w:rPr>
          <w:rFonts w:ascii="Arial" w:hAnsi="Arial" w:cs="Arial"/>
        </w:rPr>
      </w:pPr>
      <w:bookmarkStart w:id="69" w:name="_Toc235889321"/>
      <w:r w:rsidRPr="0048631F">
        <w:rPr>
          <w:rFonts w:ascii="Arial" w:hAnsi="Arial" w:cs="Arial"/>
        </w:rPr>
        <w:lastRenderedPageBreak/>
        <w:t>CHAPTER 4: FINDINGS / RESULTS, ANALYSIS AND DISCUSSION</w:t>
      </w:r>
      <w:bookmarkEnd w:id="69"/>
    </w:p>
    <w:p w14:paraId="38BECA80" w14:textId="77777777" w:rsidR="007575B8" w:rsidRPr="0048631F" w:rsidRDefault="004D78AD" w:rsidP="00024BB0">
      <w:pPr>
        <w:pStyle w:val="Heading2"/>
        <w:rPr>
          <w:rFonts w:ascii="Arial" w:hAnsi="Arial" w:cs="Arial"/>
        </w:rPr>
      </w:pPr>
      <w:bookmarkStart w:id="70" w:name="_Toc235889322"/>
      <w:r w:rsidRPr="0048631F">
        <w:rPr>
          <w:rFonts w:ascii="Arial" w:hAnsi="Arial" w:cs="Arial"/>
        </w:rPr>
        <w:t>4.1 Introduction</w:t>
      </w:r>
      <w:bookmarkEnd w:id="70"/>
    </w:p>
    <w:p w14:paraId="0A6B65B2" w14:textId="77777777"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This chapter provides the results, analysis and discussion based on the systematic literature review with the theme ESG disclosure and carbon reduction performance in the airline sector. The chapter presents findings from the studies selected to map out key patterns, trends, and debates on the effectiveness of sustainability reporting, carbon mitigation strategies, environmental performance and disclosure. Thematic analysis has been used to illuminate five main themes that address the research objectives. The results are critically analysed and discussed to check whether the initiatives under ESG guidelines are truly resulting in carbon reduction. These are discussed in the context of IndiGo and the Indian aviation industry.</w:t>
      </w:r>
    </w:p>
    <w:p w14:paraId="5529254B" w14:textId="77777777" w:rsidR="007575B8" w:rsidRPr="0048631F" w:rsidRDefault="004D78AD" w:rsidP="00024BB0">
      <w:pPr>
        <w:pStyle w:val="Heading2"/>
        <w:rPr>
          <w:rFonts w:ascii="Arial" w:hAnsi="Arial" w:cs="Arial"/>
        </w:rPr>
      </w:pPr>
      <w:bookmarkStart w:id="71" w:name="_Toc235889323"/>
      <w:r w:rsidRPr="0048631F">
        <w:rPr>
          <w:rFonts w:ascii="Arial" w:hAnsi="Arial" w:cs="Arial"/>
        </w:rPr>
        <w:t>4.2 Systematic Literature Review Results</w:t>
      </w:r>
      <w:bookmarkEnd w:id="71"/>
    </w:p>
    <w:p w14:paraId="2688A0F7" w14:textId="77777777"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Scholarly evidence on ESG disclosure, sustainability reporting, carbon reduction, greenwashing and environmental performance in the aviation industry was examined in the systematic literature review (SLR). After the titles, abstracts and full texts were screened, 15 studies from the years 2025–2026 were chosen for analysis. The studies were conducted in various geographic settings and using different methods such as quantitative analysis, scoping reviews, comparative case studies and environmental assessment. These evidence pieces allowed us to identify key themes related to ESG reporting, carbon mitigation, sustainability performance, and disclosure effectiveness (Czocherra, 2025).</w:t>
      </w:r>
    </w:p>
    <w:p w14:paraId="6293DABA" w14:textId="77777777" w:rsidR="007575B8" w:rsidRPr="0048631F" w:rsidRDefault="004D78AD" w:rsidP="00024BB0">
      <w:pPr>
        <w:pStyle w:val="Heading3"/>
        <w:rPr>
          <w:rFonts w:ascii="Arial" w:hAnsi="Arial" w:cs="Arial"/>
        </w:rPr>
      </w:pPr>
      <w:bookmarkStart w:id="72" w:name="_Toc235889324"/>
      <w:r w:rsidRPr="0048631F">
        <w:rPr>
          <w:rFonts w:ascii="Arial" w:hAnsi="Arial" w:cs="Arial"/>
        </w:rPr>
        <w:t>4.2.1 Literature Search and Screening Process</w:t>
      </w:r>
      <w:bookmarkEnd w:id="72"/>
    </w:p>
    <w:p w14:paraId="5D3AF7D9" w14:textId="090CE010"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 xml:space="preserve">The analysis of the studies included shows a growing interest in ESG dissemination, sustainable reporting, and environmental performance in the aviation industry. The literature reviewed includes a variety of topics such as the quality of disclosure, corporate governance, carbon accounting, financial performance and sustainability communication. There were significant differences between aviation organisations in their ESG and CSR reporting practices, including the lack of a standard framework for disclosure and reporting consistency (Marete and Zakharov, 2025). Additionally, Mintah et al. (2026) reported governance characteristics to impact and shape the quality of environmental and social disclosure, with higher levels of board gender diversity positively influencing disclosure quality and effectiveness. There are several studies regarding the correlation between ESG performance and financial performance. There is also a correlation between Aviation companies' relatively high </w:t>
      </w:r>
      <w:r w:rsidRPr="0048631F">
        <w:rPr>
          <w:rFonts w:ascii="Arial" w:hAnsi="Arial" w:cs="Arial"/>
        </w:rPr>
        <w:lastRenderedPageBreak/>
        <w:t xml:space="preserve">ESG scores and less financial distress (Magnússon, 2025). There was also a positive impact between Sustainability ratings and organisations' financial performance (Weber </w:t>
      </w:r>
      <w:r w:rsidR="00CB6A49" w:rsidRPr="0048631F">
        <w:rPr>
          <w:rFonts w:ascii="Arial" w:hAnsi="Arial" w:cs="Arial"/>
        </w:rPr>
        <w:t>et al.</w:t>
      </w:r>
      <w:r w:rsidRPr="0048631F">
        <w:rPr>
          <w:rFonts w:ascii="Arial" w:hAnsi="Arial" w:cs="Arial"/>
        </w:rPr>
        <w:t xml:space="preserve"> 2025). Likewise, better ESG performance should add profitability for European airlines (Zengin, 2025). Further, the integration of ESG was seen to positively impact business value outcomes in the airline sector (Pairoux, 2025).</w:t>
      </w:r>
    </w:p>
    <w:p w14:paraId="3A431759" w14:textId="079789D1"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 xml:space="preserve">The study of Toivanen (2025) has identified some important </w:t>
      </w:r>
      <w:r w:rsidR="00920F3E" w:rsidRPr="0048631F">
        <w:rPr>
          <w:rFonts w:ascii="Arial" w:hAnsi="Arial" w:cs="Arial"/>
        </w:rPr>
        <w:t>decarbonisation</w:t>
      </w:r>
      <w:r w:rsidRPr="0048631F">
        <w:rPr>
          <w:rFonts w:ascii="Arial" w:hAnsi="Arial" w:cs="Arial"/>
        </w:rPr>
        <w:t xml:space="preserve"> strategies, such as fleet modernisation, usage of sustainable aviation fuels, and operational efficiency gains. The potential for underestimating aviation emissions, and the lack of Scope 3 emissions reporting, were also found to be concerns (Gössling </w:t>
      </w:r>
      <w:r w:rsidR="00CB6A49" w:rsidRPr="0048631F">
        <w:rPr>
          <w:rFonts w:ascii="Arial" w:hAnsi="Arial" w:cs="Arial"/>
        </w:rPr>
        <w:t>et al.</w:t>
      </w:r>
      <w:r w:rsidRPr="0048631F">
        <w:rPr>
          <w:rFonts w:ascii="Arial" w:hAnsi="Arial" w:cs="Arial"/>
        </w:rPr>
        <w:t xml:space="preserve"> 2025). Nijssen (2025) further highlighted the difficulties of carbon accounting. Issues relating to greenwashing and sustainability communication were evident within the literature. European airlines w</w:t>
      </w:r>
      <w:r w:rsidR="00385B88">
        <w:rPr>
          <w:rFonts w:ascii="Arial" w:hAnsi="Arial" w:cs="Arial"/>
        </w:rPr>
        <w:t xml:space="preserve">ere found to have issues with </w:t>
      </w:r>
      <w:r w:rsidRPr="0048631F">
        <w:rPr>
          <w:rFonts w:ascii="Arial" w:hAnsi="Arial" w:cs="Arial"/>
        </w:rPr>
        <w:t>disconnect between their sustainability communication and their actual performance (Árkai, 2025). Gaps in the voluntary carbon offset messaging were also found (Tsoi and Liu, 2025).</w:t>
      </w:r>
    </w:p>
    <w:p w14:paraId="3AE3912A" w14:textId="77777777" w:rsidR="007575B8" w:rsidRPr="0048631F" w:rsidRDefault="004D78AD" w:rsidP="00024BB0">
      <w:pPr>
        <w:pStyle w:val="Heading3"/>
        <w:rPr>
          <w:rFonts w:ascii="Arial" w:hAnsi="Arial" w:cs="Arial"/>
        </w:rPr>
      </w:pPr>
      <w:bookmarkStart w:id="73" w:name="_Toc235889325"/>
      <w:r w:rsidRPr="0048631F">
        <w:rPr>
          <w:rFonts w:ascii="Arial" w:hAnsi="Arial" w:cs="Arial"/>
        </w:rPr>
        <w:t>4.2.2 Characteristics of Included Studies</w:t>
      </w:r>
      <w:bookmarkEnd w:id="73"/>
    </w:p>
    <w:p w14:paraId="4744DE4F" w14:textId="77777777"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This systematic literature review reveals an increasing trend in the aviation sector in the disclosure of ESG and the importance of sustainability performance and carbon reduction. The studies assessed show that ESG reporting is becoming more prevalent, but there is a high level of disparity between the quality of disclosure and reporting standards of aviation organisations. Research increasingly shows that ESG performance levels have a positive relationship with financial performance, resilience and efficiency. Several studies show that greater ESG scores have a positive effect on profitability and risk of financial distress. In the aviation sector, decarbonisation strategies include fleet modernisation, SAM growth and efficiency. In addition, governance-related factors such as board gender diversity have been proven to improve the environmental and social disclosure quality (Yaylalı and Kahraman, 2025).</w:t>
      </w:r>
    </w:p>
    <w:p w14:paraId="381165AD" w14:textId="77777777" w:rsidR="007575B8" w:rsidRPr="0048631F" w:rsidRDefault="004D78AD" w:rsidP="00024BB0">
      <w:pPr>
        <w:pStyle w:val="Heading2"/>
        <w:rPr>
          <w:rFonts w:ascii="Arial" w:hAnsi="Arial" w:cs="Arial"/>
        </w:rPr>
      </w:pPr>
      <w:bookmarkStart w:id="74" w:name="_Toc235889326"/>
      <w:r w:rsidRPr="0048631F">
        <w:rPr>
          <w:rFonts w:ascii="Arial" w:hAnsi="Arial" w:cs="Arial"/>
        </w:rPr>
        <w:t>4.3 Theme 1: ESG Disclosure Frameworks and Reporting Practices in Aviation</w:t>
      </w:r>
      <w:bookmarkEnd w:id="74"/>
    </w:p>
    <w:p w14:paraId="0E7663AF" w14:textId="77777777" w:rsidR="007575B8" w:rsidRPr="0048631F" w:rsidRDefault="004D78AD" w:rsidP="00024BB0">
      <w:pPr>
        <w:pStyle w:val="Heading3"/>
        <w:rPr>
          <w:rFonts w:ascii="Arial" w:hAnsi="Arial" w:cs="Arial"/>
        </w:rPr>
      </w:pPr>
      <w:bookmarkStart w:id="75" w:name="_Toc235889327"/>
      <w:r w:rsidRPr="0048631F">
        <w:rPr>
          <w:rFonts w:ascii="Arial" w:hAnsi="Arial" w:cs="Arial"/>
        </w:rPr>
        <w:t>4.3.1 Findings</w:t>
      </w:r>
      <w:bookmarkEnd w:id="75"/>
    </w:p>
    <w:tbl>
      <w:tblPr>
        <w:tblStyle w:val="a2"/>
        <w:tblW w:w="10005"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0"/>
        <w:gridCol w:w="1440"/>
        <w:gridCol w:w="1455"/>
        <w:gridCol w:w="1365"/>
        <w:gridCol w:w="1335"/>
        <w:gridCol w:w="1410"/>
        <w:gridCol w:w="1710"/>
      </w:tblGrid>
      <w:tr w:rsidR="0048631F" w:rsidRPr="0048631F" w14:paraId="7DE7CDCB" w14:textId="77777777">
        <w:tc>
          <w:tcPr>
            <w:tcW w:w="1290" w:type="dxa"/>
          </w:tcPr>
          <w:p w14:paraId="6EDAEF2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Author(s) &amp; Year</w:t>
            </w:r>
          </w:p>
        </w:tc>
        <w:tc>
          <w:tcPr>
            <w:tcW w:w="1440" w:type="dxa"/>
          </w:tcPr>
          <w:p w14:paraId="60150541"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Study Aim</w:t>
            </w:r>
          </w:p>
        </w:tc>
        <w:tc>
          <w:tcPr>
            <w:tcW w:w="1455" w:type="dxa"/>
          </w:tcPr>
          <w:p w14:paraId="21776C0D"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Industry/Context</w:t>
            </w:r>
          </w:p>
        </w:tc>
        <w:tc>
          <w:tcPr>
            <w:tcW w:w="1365" w:type="dxa"/>
          </w:tcPr>
          <w:p w14:paraId="7D78F59A"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Methodology</w:t>
            </w:r>
          </w:p>
        </w:tc>
        <w:tc>
          <w:tcPr>
            <w:tcW w:w="1335" w:type="dxa"/>
          </w:tcPr>
          <w:p w14:paraId="24730EB5"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Key Findings</w:t>
            </w:r>
          </w:p>
        </w:tc>
        <w:tc>
          <w:tcPr>
            <w:tcW w:w="1410" w:type="dxa"/>
          </w:tcPr>
          <w:p w14:paraId="6D07EFAC"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Relevance to Current Study</w:t>
            </w:r>
          </w:p>
        </w:tc>
        <w:tc>
          <w:tcPr>
            <w:tcW w:w="1710" w:type="dxa"/>
          </w:tcPr>
          <w:p w14:paraId="648282FB"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Contribution to Theme</w:t>
            </w:r>
          </w:p>
        </w:tc>
      </w:tr>
      <w:tr w:rsidR="0048631F" w:rsidRPr="0048631F" w14:paraId="6402AC13" w14:textId="77777777">
        <w:tc>
          <w:tcPr>
            <w:tcW w:w="1290" w:type="dxa"/>
          </w:tcPr>
          <w:p w14:paraId="40CED331"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Marete and Zakharov (2025)</w:t>
            </w:r>
          </w:p>
        </w:tc>
        <w:tc>
          <w:tcPr>
            <w:tcW w:w="1440" w:type="dxa"/>
          </w:tcPr>
          <w:p w14:paraId="5988CEBF" w14:textId="77777777" w:rsidR="007575B8" w:rsidRPr="0048631F" w:rsidRDefault="004D78AD" w:rsidP="00024BB0">
            <w:pPr>
              <w:spacing w:line="360" w:lineRule="auto"/>
              <w:jc w:val="left"/>
              <w:rPr>
                <w:rFonts w:ascii="Arial" w:hAnsi="Arial" w:cs="Arial"/>
              </w:rPr>
            </w:pPr>
            <w:r w:rsidRPr="0048631F">
              <w:rPr>
                <w:rFonts w:ascii="Arial" w:hAnsi="Arial" w:cs="Arial"/>
              </w:rPr>
              <w:t>Review ESG and CSR reporting practices</w:t>
            </w:r>
          </w:p>
        </w:tc>
        <w:tc>
          <w:tcPr>
            <w:tcW w:w="1455" w:type="dxa"/>
          </w:tcPr>
          <w:p w14:paraId="70706E51" w14:textId="77777777" w:rsidR="007575B8" w:rsidRPr="0048631F" w:rsidRDefault="004D78AD" w:rsidP="00024BB0">
            <w:pPr>
              <w:spacing w:line="360" w:lineRule="auto"/>
              <w:jc w:val="left"/>
              <w:rPr>
                <w:rFonts w:ascii="Arial" w:hAnsi="Arial" w:cs="Arial"/>
              </w:rPr>
            </w:pPr>
            <w:r w:rsidRPr="0048631F">
              <w:rPr>
                <w:rFonts w:ascii="Arial" w:hAnsi="Arial" w:cs="Arial"/>
              </w:rPr>
              <w:t>US Airports</w:t>
            </w:r>
          </w:p>
        </w:tc>
        <w:tc>
          <w:tcPr>
            <w:tcW w:w="1365" w:type="dxa"/>
          </w:tcPr>
          <w:p w14:paraId="24452013" w14:textId="77777777" w:rsidR="007575B8" w:rsidRPr="0048631F" w:rsidRDefault="004D78AD" w:rsidP="00024BB0">
            <w:pPr>
              <w:spacing w:line="360" w:lineRule="auto"/>
              <w:jc w:val="left"/>
              <w:rPr>
                <w:rFonts w:ascii="Arial" w:hAnsi="Arial" w:cs="Arial"/>
              </w:rPr>
            </w:pPr>
            <w:r w:rsidRPr="0048631F">
              <w:rPr>
                <w:rFonts w:ascii="Arial" w:hAnsi="Arial" w:cs="Arial"/>
              </w:rPr>
              <w:t>Scoping review</w:t>
            </w:r>
          </w:p>
        </w:tc>
        <w:tc>
          <w:tcPr>
            <w:tcW w:w="1335" w:type="dxa"/>
          </w:tcPr>
          <w:p w14:paraId="0AEC3C1E" w14:textId="77777777" w:rsidR="007575B8" w:rsidRPr="0048631F" w:rsidRDefault="004D78AD" w:rsidP="00024BB0">
            <w:pPr>
              <w:spacing w:line="360" w:lineRule="auto"/>
              <w:jc w:val="left"/>
              <w:rPr>
                <w:rFonts w:ascii="Arial" w:hAnsi="Arial" w:cs="Arial"/>
              </w:rPr>
            </w:pPr>
            <w:r w:rsidRPr="0048631F">
              <w:rPr>
                <w:rFonts w:ascii="Arial" w:hAnsi="Arial" w:cs="Arial"/>
              </w:rPr>
              <w:t>ESG reporting lacks standardisation</w:t>
            </w:r>
          </w:p>
        </w:tc>
        <w:tc>
          <w:tcPr>
            <w:tcW w:w="1410" w:type="dxa"/>
          </w:tcPr>
          <w:p w14:paraId="23CAFBC1"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reporting challenges in aviation</w:t>
            </w:r>
          </w:p>
        </w:tc>
        <w:tc>
          <w:tcPr>
            <w:tcW w:w="1710" w:type="dxa"/>
          </w:tcPr>
          <w:p w14:paraId="3D28DF13" w14:textId="77777777" w:rsidR="007575B8" w:rsidRPr="0048631F" w:rsidRDefault="004D78AD" w:rsidP="00024BB0">
            <w:pPr>
              <w:spacing w:line="360" w:lineRule="auto"/>
              <w:jc w:val="left"/>
              <w:rPr>
                <w:rFonts w:ascii="Arial" w:hAnsi="Arial" w:cs="Arial"/>
              </w:rPr>
            </w:pPr>
            <w:r w:rsidRPr="0048631F">
              <w:rPr>
                <w:rFonts w:ascii="Arial" w:hAnsi="Arial" w:cs="Arial"/>
              </w:rPr>
              <w:t>Establishes ESG disclosure foundations</w:t>
            </w:r>
          </w:p>
        </w:tc>
      </w:tr>
      <w:tr w:rsidR="0048631F" w:rsidRPr="0048631F" w14:paraId="7C349F70" w14:textId="77777777">
        <w:tc>
          <w:tcPr>
            <w:tcW w:w="1290" w:type="dxa"/>
          </w:tcPr>
          <w:p w14:paraId="55903C61" w14:textId="77777777" w:rsidR="007575B8" w:rsidRPr="0048631F" w:rsidRDefault="004D78AD" w:rsidP="00024BB0">
            <w:pPr>
              <w:spacing w:line="360" w:lineRule="auto"/>
              <w:jc w:val="left"/>
              <w:rPr>
                <w:rFonts w:ascii="Arial" w:hAnsi="Arial" w:cs="Arial"/>
              </w:rPr>
            </w:pPr>
            <w:r w:rsidRPr="0048631F">
              <w:rPr>
                <w:rFonts w:ascii="Arial" w:hAnsi="Arial" w:cs="Arial"/>
              </w:rPr>
              <w:t>Mintah et al. (2026)</w:t>
            </w:r>
          </w:p>
        </w:tc>
        <w:tc>
          <w:tcPr>
            <w:tcW w:w="1440" w:type="dxa"/>
          </w:tcPr>
          <w:p w14:paraId="19692929" w14:textId="77777777" w:rsidR="007575B8" w:rsidRPr="0048631F" w:rsidRDefault="004D78AD" w:rsidP="00024BB0">
            <w:pPr>
              <w:spacing w:line="360" w:lineRule="auto"/>
              <w:jc w:val="left"/>
              <w:rPr>
                <w:rFonts w:ascii="Arial" w:hAnsi="Arial" w:cs="Arial"/>
              </w:rPr>
            </w:pPr>
            <w:r w:rsidRPr="0048631F">
              <w:rPr>
                <w:rFonts w:ascii="Arial" w:hAnsi="Arial" w:cs="Arial"/>
              </w:rPr>
              <w:t>Examine environmental and social disclosure</w:t>
            </w:r>
          </w:p>
        </w:tc>
        <w:tc>
          <w:tcPr>
            <w:tcW w:w="1455" w:type="dxa"/>
          </w:tcPr>
          <w:p w14:paraId="725CCE27" w14:textId="77777777" w:rsidR="007575B8" w:rsidRPr="0048631F" w:rsidRDefault="004D78AD" w:rsidP="00024BB0">
            <w:pPr>
              <w:spacing w:line="360" w:lineRule="auto"/>
              <w:jc w:val="left"/>
              <w:rPr>
                <w:rFonts w:ascii="Arial" w:hAnsi="Arial" w:cs="Arial"/>
              </w:rPr>
            </w:pPr>
            <w:r w:rsidRPr="0048631F">
              <w:rPr>
                <w:rFonts w:ascii="Arial" w:hAnsi="Arial" w:cs="Arial"/>
              </w:rPr>
              <w:t>Global airlines</w:t>
            </w:r>
          </w:p>
        </w:tc>
        <w:tc>
          <w:tcPr>
            <w:tcW w:w="1365" w:type="dxa"/>
          </w:tcPr>
          <w:p w14:paraId="6D5D9A36"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335" w:type="dxa"/>
          </w:tcPr>
          <w:p w14:paraId="3AF2071F" w14:textId="77777777" w:rsidR="007575B8" w:rsidRPr="0048631F" w:rsidRDefault="004D78AD" w:rsidP="00024BB0">
            <w:pPr>
              <w:spacing w:line="360" w:lineRule="auto"/>
              <w:jc w:val="left"/>
              <w:rPr>
                <w:rFonts w:ascii="Arial" w:hAnsi="Arial" w:cs="Arial"/>
              </w:rPr>
            </w:pPr>
            <w:r w:rsidRPr="0048631F">
              <w:rPr>
                <w:rFonts w:ascii="Arial" w:hAnsi="Arial" w:cs="Arial"/>
              </w:rPr>
              <w:t>Board diversity improves disclosure quality</w:t>
            </w:r>
          </w:p>
        </w:tc>
        <w:tc>
          <w:tcPr>
            <w:tcW w:w="1410" w:type="dxa"/>
          </w:tcPr>
          <w:p w14:paraId="720813B0" w14:textId="77777777" w:rsidR="007575B8" w:rsidRPr="0048631F" w:rsidRDefault="004D78AD" w:rsidP="00024BB0">
            <w:pPr>
              <w:spacing w:line="360" w:lineRule="auto"/>
              <w:jc w:val="left"/>
              <w:rPr>
                <w:rFonts w:ascii="Arial" w:hAnsi="Arial" w:cs="Arial"/>
              </w:rPr>
            </w:pPr>
            <w:r w:rsidRPr="0048631F">
              <w:rPr>
                <w:rFonts w:ascii="Arial" w:hAnsi="Arial" w:cs="Arial"/>
              </w:rPr>
              <w:t>Highlights governance influence</w:t>
            </w:r>
          </w:p>
        </w:tc>
        <w:tc>
          <w:tcPr>
            <w:tcW w:w="1710" w:type="dxa"/>
          </w:tcPr>
          <w:p w14:paraId="3AE84890" w14:textId="77777777" w:rsidR="007575B8" w:rsidRPr="0048631F" w:rsidRDefault="004D78AD" w:rsidP="00024BB0">
            <w:pPr>
              <w:spacing w:line="360" w:lineRule="auto"/>
              <w:jc w:val="left"/>
              <w:rPr>
                <w:rFonts w:ascii="Arial" w:hAnsi="Arial" w:cs="Arial"/>
              </w:rPr>
            </w:pPr>
            <w:r w:rsidRPr="0048631F">
              <w:rPr>
                <w:rFonts w:ascii="Arial" w:hAnsi="Arial" w:cs="Arial"/>
              </w:rPr>
              <w:t>Links governance with ESG disclosure</w:t>
            </w:r>
          </w:p>
        </w:tc>
      </w:tr>
      <w:tr w:rsidR="0048631F" w:rsidRPr="0048631F" w14:paraId="1985EA32" w14:textId="77777777">
        <w:tc>
          <w:tcPr>
            <w:tcW w:w="1290" w:type="dxa"/>
          </w:tcPr>
          <w:p w14:paraId="09D597CF" w14:textId="77777777" w:rsidR="007575B8" w:rsidRPr="0048631F" w:rsidRDefault="004D78AD" w:rsidP="00024BB0">
            <w:pPr>
              <w:spacing w:line="360" w:lineRule="auto"/>
              <w:jc w:val="left"/>
              <w:rPr>
                <w:rFonts w:ascii="Arial" w:hAnsi="Arial" w:cs="Arial"/>
              </w:rPr>
            </w:pPr>
            <w:r w:rsidRPr="0048631F">
              <w:rPr>
                <w:rFonts w:ascii="Arial" w:hAnsi="Arial" w:cs="Arial"/>
              </w:rPr>
              <w:t>Arvidsson and Dumay (2022)</w:t>
            </w:r>
          </w:p>
        </w:tc>
        <w:tc>
          <w:tcPr>
            <w:tcW w:w="1440" w:type="dxa"/>
          </w:tcPr>
          <w:p w14:paraId="622D8716" w14:textId="77777777" w:rsidR="007575B8" w:rsidRPr="0048631F" w:rsidRDefault="004D78AD" w:rsidP="00024BB0">
            <w:pPr>
              <w:spacing w:line="360" w:lineRule="auto"/>
              <w:jc w:val="left"/>
              <w:rPr>
                <w:rFonts w:ascii="Arial" w:hAnsi="Arial" w:cs="Arial"/>
              </w:rPr>
            </w:pPr>
            <w:r w:rsidRPr="0048631F">
              <w:rPr>
                <w:rFonts w:ascii="Arial" w:hAnsi="Arial" w:cs="Arial"/>
              </w:rPr>
              <w:t>Assess ESG reporting quality</w:t>
            </w:r>
          </w:p>
        </w:tc>
        <w:tc>
          <w:tcPr>
            <w:tcW w:w="1455" w:type="dxa"/>
          </w:tcPr>
          <w:p w14:paraId="07A43B40" w14:textId="77777777" w:rsidR="007575B8" w:rsidRPr="0048631F" w:rsidRDefault="004D78AD" w:rsidP="00024BB0">
            <w:pPr>
              <w:spacing w:line="360" w:lineRule="auto"/>
              <w:jc w:val="left"/>
              <w:rPr>
                <w:rFonts w:ascii="Arial" w:hAnsi="Arial" w:cs="Arial"/>
              </w:rPr>
            </w:pPr>
            <w:r w:rsidRPr="0048631F">
              <w:rPr>
                <w:rFonts w:ascii="Arial" w:hAnsi="Arial" w:cs="Arial"/>
              </w:rPr>
              <w:t>Cross-industry</w:t>
            </w:r>
          </w:p>
        </w:tc>
        <w:tc>
          <w:tcPr>
            <w:tcW w:w="1365" w:type="dxa"/>
          </w:tcPr>
          <w:p w14:paraId="4281BB13" w14:textId="77777777" w:rsidR="007575B8" w:rsidRPr="0048631F" w:rsidRDefault="004D78AD" w:rsidP="00024BB0">
            <w:pPr>
              <w:spacing w:line="360" w:lineRule="auto"/>
              <w:jc w:val="left"/>
              <w:rPr>
                <w:rFonts w:ascii="Arial" w:hAnsi="Arial" w:cs="Arial"/>
              </w:rPr>
            </w:pPr>
            <w:r w:rsidRPr="0048631F">
              <w:rPr>
                <w:rFonts w:ascii="Arial" w:hAnsi="Arial" w:cs="Arial"/>
              </w:rPr>
              <w:t>Literature review</w:t>
            </w:r>
          </w:p>
        </w:tc>
        <w:tc>
          <w:tcPr>
            <w:tcW w:w="1335" w:type="dxa"/>
          </w:tcPr>
          <w:p w14:paraId="05F2A3EB" w14:textId="77777777" w:rsidR="007575B8" w:rsidRPr="0048631F" w:rsidRDefault="004D78AD" w:rsidP="00024BB0">
            <w:pPr>
              <w:spacing w:line="360" w:lineRule="auto"/>
              <w:jc w:val="left"/>
              <w:rPr>
                <w:rFonts w:ascii="Arial" w:hAnsi="Arial" w:cs="Arial"/>
              </w:rPr>
            </w:pPr>
            <w:r w:rsidRPr="0048631F">
              <w:rPr>
                <w:rFonts w:ascii="Arial" w:hAnsi="Arial" w:cs="Arial"/>
              </w:rPr>
              <w:t>Reporting quality differs significantly</w:t>
            </w:r>
          </w:p>
        </w:tc>
        <w:tc>
          <w:tcPr>
            <w:tcW w:w="1410" w:type="dxa"/>
          </w:tcPr>
          <w:p w14:paraId="488723F2" w14:textId="77777777" w:rsidR="007575B8" w:rsidRPr="0048631F" w:rsidRDefault="004D78AD" w:rsidP="00024BB0">
            <w:pPr>
              <w:spacing w:line="360" w:lineRule="auto"/>
              <w:jc w:val="left"/>
              <w:rPr>
                <w:rFonts w:ascii="Arial" w:hAnsi="Arial" w:cs="Arial"/>
              </w:rPr>
            </w:pPr>
            <w:r w:rsidRPr="0048631F">
              <w:rPr>
                <w:rFonts w:ascii="Arial" w:hAnsi="Arial" w:cs="Arial"/>
              </w:rPr>
              <w:t>Explains disclosure-performance relationship</w:t>
            </w:r>
          </w:p>
        </w:tc>
        <w:tc>
          <w:tcPr>
            <w:tcW w:w="1710" w:type="dxa"/>
          </w:tcPr>
          <w:p w14:paraId="037ACFE3" w14:textId="77777777" w:rsidR="007575B8" w:rsidRPr="0048631F" w:rsidRDefault="004D78AD" w:rsidP="00024BB0">
            <w:pPr>
              <w:spacing w:line="360" w:lineRule="auto"/>
              <w:jc w:val="left"/>
              <w:rPr>
                <w:rFonts w:ascii="Arial" w:hAnsi="Arial" w:cs="Arial"/>
              </w:rPr>
            </w:pPr>
            <w:r w:rsidRPr="0048631F">
              <w:rPr>
                <w:rFonts w:ascii="Arial" w:hAnsi="Arial" w:cs="Arial"/>
              </w:rPr>
              <w:t>Identifies reporting quality dimensions</w:t>
            </w:r>
          </w:p>
        </w:tc>
      </w:tr>
      <w:tr w:rsidR="0048631F" w:rsidRPr="0048631F" w14:paraId="6FE892BF" w14:textId="77777777">
        <w:tc>
          <w:tcPr>
            <w:tcW w:w="1290" w:type="dxa"/>
          </w:tcPr>
          <w:p w14:paraId="41763284" w14:textId="77777777" w:rsidR="007575B8" w:rsidRPr="0048631F" w:rsidRDefault="004D78AD" w:rsidP="00024BB0">
            <w:pPr>
              <w:spacing w:line="360" w:lineRule="auto"/>
              <w:jc w:val="left"/>
              <w:rPr>
                <w:rFonts w:ascii="Arial" w:hAnsi="Arial" w:cs="Arial"/>
              </w:rPr>
            </w:pPr>
            <w:r w:rsidRPr="0048631F">
              <w:rPr>
                <w:rFonts w:ascii="Arial" w:hAnsi="Arial" w:cs="Arial"/>
              </w:rPr>
              <w:t>Del Gesso and Lodhi (2025)</w:t>
            </w:r>
          </w:p>
        </w:tc>
        <w:tc>
          <w:tcPr>
            <w:tcW w:w="1440" w:type="dxa"/>
          </w:tcPr>
          <w:p w14:paraId="6E7CCE30" w14:textId="77777777" w:rsidR="007575B8" w:rsidRPr="0048631F" w:rsidRDefault="004D78AD" w:rsidP="00024BB0">
            <w:pPr>
              <w:spacing w:line="360" w:lineRule="auto"/>
              <w:jc w:val="left"/>
              <w:rPr>
                <w:rFonts w:ascii="Arial" w:hAnsi="Arial" w:cs="Arial"/>
              </w:rPr>
            </w:pPr>
            <w:r w:rsidRPr="0048631F">
              <w:rPr>
                <w:rFonts w:ascii="Arial" w:hAnsi="Arial" w:cs="Arial"/>
              </w:rPr>
              <w:t>Review ESG disclosure theories</w:t>
            </w:r>
          </w:p>
        </w:tc>
        <w:tc>
          <w:tcPr>
            <w:tcW w:w="1455" w:type="dxa"/>
          </w:tcPr>
          <w:p w14:paraId="44FEF848" w14:textId="77777777" w:rsidR="007575B8" w:rsidRPr="0048631F" w:rsidRDefault="004D78AD" w:rsidP="00024BB0">
            <w:pPr>
              <w:spacing w:line="360" w:lineRule="auto"/>
              <w:jc w:val="left"/>
              <w:rPr>
                <w:rFonts w:ascii="Arial" w:hAnsi="Arial" w:cs="Arial"/>
              </w:rPr>
            </w:pPr>
            <w:r w:rsidRPr="0048631F">
              <w:rPr>
                <w:rFonts w:ascii="Arial" w:hAnsi="Arial" w:cs="Arial"/>
              </w:rPr>
              <w:t>Accounting</w:t>
            </w:r>
          </w:p>
        </w:tc>
        <w:tc>
          <w:tcPr>
            <w:tcW w:w="1365" w:type="dxa"/>
          </w:tcPr>
          <w:p w14:paraId="0487AAEA" w14:textId="77777777" w:rsidR="007575B8" w:rsidRPr="0048631F" w:rsidRDefault="004D78AD" w:rsidP="00024BB0">
            <w:pPr>
              <w:spacing w:line="360" w:lineRule="auto"/>
              <w:jc w:val="left"/>
              <w:rPr>
                <w:rFonts w:ascii="Arial" w:hAnsi="Arial" w:cs="Arial"/>
              </w:rPr>
            </w:pPr>
            <w:r w:rsidRPr="0048631F">
              <w:rPr>
                <w:rFonts w:ascii="Arial" w:hAnsi="Arial" w:cs="Arial"/>
              </w:rPr>
              <w:t>Systematic review</w:t>
            </w:r>
          </w:p>
        </w:tc>
        <w:tc>
          <w:tcPr>
            <w:tcW w:w="1335" w:type="dxa"/>
          </w:tcPr>
          <w:p w14:paraId="63B494CB" w14:textId="77777777" w:rsidR="007575B8" w:rsidRPr="0048631F" w:rsidRDefault="004D78AD" w:rsidP="00024BB0">
            <w:pPr>
              <w:spacing w:line="360" w:lineRule="auto"/>
              <w:jc w:val="left"/>
              <w:rPr>
                <w:rFonts w:ascii="Arial" w:hAnsi="Arial" w:cs="Arial"/>
              </w:rPr>
            </w:pPr>
            <w:r w:rsidRPr="0048631F">
              <w:rPr>
                <w:rFonts w:ascii="Arial" w:hAnsi="Arial" w:cs="Arial"/>
              </w:rPr>
              <w:t>Stakeholder and legitimacy theories dominate</w:t>
            </w:r>
          </w:p>
        </w:tc>
        <w:tc>
          <w:tcPr>
            <w:tcW w:w="1410" w:type="dxa"/>
          </w:tcPr>
          <w:p w14:paraId="21BD1C05" w14:textId="77777777" w:rsidR="007575B8" w:rsidRPr="0048631F" w:rsidRDefault="004D78AD" w:rsidP="00024BB0">
            <w:pPr>
              <w:spacing w:line="360" w:lineRule="auto"/>
              <w:jc w:val="left"/>
              <w:rPr>
                <w:rFonts w:ascii="Arial" w:hAnsi="Arial" w:cs="Arial"/>
              </w:rPr>
            </w:pPr>
            <w:r w:rsidRPr="0048631F">
              <w:rPr>
                <w:rFonts w:ascii="Arial" w:hAnsi="Arial" w:cs="Arial"/>
              </w:rPr>
              <w:t>Provides theoretical foundation</w:t>
            </w:r>
          </w:p>
        </w:tc>
        <w:tc>
          <w:tcPr>
            <w:tcW w:w="1710" w:type="dxa"/>
          </w:tcPr>
          <w:p w14:paraId="6EE8B159" w14:textId="77777777" w:rsidR="007575B8" w:rsidRPr="0048631F" w:rsidRDefault="004D78AD" w:rsidP="00024BB0">
            <w:pPr>
              <w:spacing w:line="360" w:lineRule="auto"/>
              <w:jc w:val="left"/>
              <w:rPr>
                <w:rFonts w:ascii="Arial" w:hAnsi="Arial" w:cs="Arial"/>
              </w:rPr>
            </w:pPr>
            <w:r w:rsidRPr="0048631F">
              <w:rPr>
                <w:rFonts w:ascii="Arial" w:hAnsi="Arial" w:cs="Arial"/>
              </w:rPr>
              <w:t>Explains ESG disclosure motivations</w:t>
            </w:r>
          </w:p>
        </w:tc>
      </w:tr>
      <w:tr w:rsidR="0048631F" w:rsidRPr="0048631F" w14:paraId="7FD46FD1" w14:textId="77777777">
        <w:tc>
          <w:tcPr>
            <w:tcW w:w="1290" w:type="dxa"/>
          </w:tcPr>
          <w:p w14:paraId="4852AD7C" w14:textId="77777777" w:rsidR="007575B8" w:rsidRPr="0048631F" w:rsidRDefault="004D78AD" w:rsidP="00024BB0">
            <w:pPr>
              <w:spacing w:line="360" w:lineRule="auto"/>
              <w:jc w:val="left"/>
              <w:rPr>
                <w:rFonts w:ascii="Arial" w:hAnsi="Arial" w:cs="Arial"/>
              </w:rPr>
            </w:pPr>
            <w:r w:rsidRPr="0048631F">
              <w:rPr>
                <w:rFonts w:ascii="Arial" w:hAnsi="Arial" w:cs="Arial"/>
              </w:rPr>
              <w:t>Kadłubek and Wieczorek (2025)</w:t>
            </w:r>
          </w:p>
        </w:tc>
        <w:tc>
          <w:tcPr>
            <w:tcW w:w="1440" w:type="dxa"/>
          </w:tcPr>
          <w:p w14:paraId="26D650E1" w14:textId="77777777" w:rsidR="007575B8" w:rsidRPr="0048631F" w:rsidRDefault="004D78AD" w:rsidP="00024BB0">
            <w:pPr>
              <w:spacing w:line="360" w:lineRule="auto"/>
              <w:jc w:val="left"/>
              <w:rPr>
                <w:rFonts w:ascii="Arial" w:hAnsi="Arial" w:cs="Arial"/>
              </w:rPr>
            </w:pPr>
            <w:r w:rsidRPr="0048631F">
              <w:rPr>
                <w:rFonts w:ascii="Arial" w:hAnsi="Arial" w:cs="Arial"/>
              </w:rPr>
              <w:t>Analyse non-financial reporting</w:t>
            </w:r>
          </w:p>
        </w:tc>
        <w:tc>
          <w:tcPr>
            <w:tcW w:w="1455" w:type="dxa"/>
          </w:tcPr>
          <w:p w14:paraId="06E9919F" w14:textId="77777777" w:rsidR="007575B8" w:rsidRPr="0048631F" w:rsidRDefault="004D78AD" w:rsidP="00024BB0">
            <w:pPr>
              <w:spacing w:line="360" w:lineRule="auto"/>
              <w:jc w:val="left"/>
              <w:rPr>
                <w:rFonts w:ascii="Arial" w:hAnsi="Arial" w:cs="Arial"/>
              </w:rPr>
            </w:pPr>
            <w:r w:rsidRPr="0048631F">
              <w:rPr>
                <w:rFonts w:ascii="Arial" w:hAnsi="Arial" w:cs="Arial"/>
              </w:rPr>
              <w:t>Transport sector</w:t>
            </w:r>
          </w:p>
        </w:tc>
        <w:tc>
          <w:tcPr>
            <w:tcW w:w="1365" w:type="dxa"/>
          </w:tcPr>
          <w:p w14:paraId="498437FC" w14:textId="77777777" w:rsidR="007575B8" w:rsidRPr="0048631F" w:rsidRDefault="004D78AD" w:rsidP="00024BB0">
            <w:pPr>
              <w:spacing w:line="360" w:lineRule="auto"/>
              <w:jc w:val="left"/>
              <w:rPr>
                <w:rFonts w:ascii="Arial" w:hAnsi="Arial" w:cs="Arial"/>
              </w:rPr>
            </w:pPr>
            <w:r w:rsidRPr="0048631F">
              <w:rPr>
                <w:rFonts w:ascii="Arial" w:hAnsi="Arial" w:cs="Arial"/>
              </w:rPr>
              <w:t>Qualitative</w:t>
            </w:r>
          </w:p>
        </w:tc>
        <w:tc>
          <w:tcPr>
            <w:tcW w:w="1335" w:type="dxa"/>
          </w:tcPr>
          <w:p w14:paraId="7064935D" w14:textId="77777777" w:rsidR="007575B8" w:rsidRPr="0048631F" w:rsidRDefault="004D78AD" w:rsidP="00024BB0">
            <w:pPr>
              <w:spacing w:line="360" w:lineRule="auto"/>
              <w:jc w:val="left"/>
              <w:rPr>
                <w:rFonts w:ascii="Arial" w:hAnsi="Arial" w:cs="Arial"/>
              </w:rPr>
            </w:pPr>
            <w:r w:rsidRPr="0048631F">
              <w:rPr>
                <w:rFonts w:ascii="Arial" w:hAnsi="Arial" w:cs="Arial"/>
              </w:rPr>
              <w:t>ESG reporting strengthens accountability</w:t>
            </w:r>
          </w:p>
        </w:tc>
        <w:tc>
          <w:tcPr>
            <w:tcW w:w="1410" w:type="dxa"/>
          </w:tcPr>
          <w:p w14:paraId="5D76484D" w14:textId="77777777" w:rsidR="007575B8" w:rsidRPr="0048631F" w:rsidRDefault="004D78AD" w:rsidP="00024BB0">
            <w:pPr>
              <w:spacing w:line="360" w:lineRule="auto"/>
              <w:jc w:val="left"/>
              <w:rPr>
                <w:rFonts w:ascii="Arial" w:hAnsi="Arial" w:cs="Arial"/>
              </w:rPr>
            </w:pPr>
            <w:r w:rsidRPr="0048631F">
              <w:rPr>
                <w:rFonts w:ascii="Arial" w:hAnsi="Arial" w:cs="Arial"/>
              </w:rPr>
              <w:t>Relevant for transport sustainability</w:t>
            </w:r>
          </w:p>
        </w:tc>
        <w:tc>
          <w:tcPr>
            <w:tcW w:w="1710" w:type="dxa"/>
          </w:tcPr>
          <w:p w14:paraId="1DC09302" w14:textId="77777777" w:rsidR="007575B8" w:rsidRPr="0048631F" w:rsidRDefault="004D78AD" w:rsidP="00024BB0">
            <w:pPr>
              <w:spacing w:line="360" w:lineRule="auto"/>
              <w:jc w:val="left"/>
              <w:rPr>
                <w:rFonts w:ascii="Arial" w:hAnsi="Arial" w:cs="Arial"/>
              </w:rPr>
            </w:pPr>
            <w:r w:rsidRPr="0048631F">
              <w:rPr>
                <w:rFonts w:ascii="Arial" w:hAnsi="Arial" w:cs="Arial"/>
              </w:rPr>
              <w:t>Extends disclosure practices</w:t>
            </w:r>
          </w:p>
        </w:tc>
      </w:tr>
      <w:tr w:rsidR="0048631F" w:rsidRPr="0048631F" w14:paraId="23978709" w14:textId="77777777">
        <w:tc>
          <w:tcPr>
            <w:tcW w:w="1290" w:type="dxa"/>
          </w:tcPr>
          <w:p w14:paraId="13D298B1" w14:textId="77777777" w:rsidR="007575B8" w:rsidRPr="0048631F" w:rsidRDefault="004D78AD" w:rsidP="00024BB0">
            <w:pPr>
              <w:spacing w:line="360" w:lineRule="auto"/>
              <w:jc w:val="left"/>
              <w:rPr>
                <w:rFonts w:ascii="Arial" w:hAnsi="Arial" w:cs="Arial"/>
              </w:rPr>
            </w:pPr>
            <w:r w:rsidRPr="0048631F">
              <w:rPr>
                <w:rFonts w:ascii="Arial" w:hAnsi="Arial" w:cs="Arial"/>
              </w:rPr>
              <w:t>Dunfjäll (2025)</w:t>
            </w:r>
          </w:p>
        </w:tc>
        <w:tc>
          <w:tcPr>
            <w:tcW w:w="1440" w:type="dxa"/>
          </w:tcPr>
          <w:p w14:paraId="11388A35" w14:textId="77777777" w:rsidR="007575B8" w:rsidRPr="0048631F" w:rsidRDefault="004D78AD" w:rsidP="00024BB0">
            <w:pPr>
              <w:spacing w:line="360" w:lineRule="auto"/>
              <w:jc w:val="left"/>
              <w:rPr>
                <w:rFonts w:ascii="Arial" w:hAnsi="Arial" w:cs="Arial"/>
              </w:rPr>
            </w:pPr>
            <w:r w:rsidRPr="0048631F">
              <w:rPr>
                <w:rFonts w:ascii="Arial" w:hAnsi="Arial" w:cs="Arial"/>
              </w:rPr>
              <w:t>Examine CSRD reporting challenges</w:t>
            </w:r>
          </w:p>
        </w:tc>
        <w:tc>
          <w:tcPr>
            <w:tcW w:w="1455" w:type="dxa"/>
          </w:tcPr>
          <w:p w14:paraId="411AC6CE" w14:textId="77777777" w:rsidR="007575B8" w:rsidRPr="0048631F" w:rsidRDefault="004D78AD" w:rsidP="00024BB0">
            <w:pPr>
              <w:spacing w:line="360" w:lineRule="auto"/>
              <w:jc w:val="left"/>
              <w:rPr>
                <w:rFonts w:ascii="Arial" w:hAnsi="Arial" w:cs="Arial"/>
              </w:rPr>
            </w:pPr>
            <w:r w:rsidRPr="0048631F">
              <w:rPr>
                <w:rFonts w:ascii="Arial" w:hAnsi="Arial" w:cs="Arial"/>
              </w:rPr>
              <w:t>Europe</w:t>
            </w:r>
          </w:p>
        </w:tc>
        <w:tc>
          <w:tcPr>
            <w:tcW w:w="1365" w:type="dxa"/>
          </w:tcPr>
          <w:p w14:paraId="3B49A57A" w14:textId="77777777" w:rsidR="007575B8" w:rsidRPr="0048631F" w:rsidRDefault="004D78AD" w:rsidP="00024BB0">
            <w:pPr>
              <w:spacing w:line="360" w:lineRule="auto"/>
              <w:jc w:val="left"/>
              <w:rPr>
                <w:rFonts w:ascii="Arial" w:hAnsi="Arial" w:cs="Arial"/>
              </w:rPr>
            </w:pPr>
            <w:r w:rsidRPr="0048631F">
              <w:rPr>
                <w:rFonts w:ascii="Arial" w:hAnsi="Arial" w:cs="Arial"/>
              </w:rPr>
              <w:t>Policy analysis</w:t>
            </w:r>
          </w:p>
        </w:tc>
        <w:tc>
          <w:tcPr>
            <w:tcW w:w="1335" w:type="dxa"/>
          </w:tcPr>
          <w:p w14:paraId="135E0E97" w14:textId="77777777" w:rsidR="007575B8" w:rsidRPr="0048631F" w:rsidRDefault="004D78AD" w:rsidP="00024BB0">
            <w:pPr>
              <w:spacing w:line="360" w:lineRule="auto"/>
              <w:jc w:val="left"/>
              <w:rPr>
                <w:rFonts w:ascii="Arial" w:hAnsi="Arial" w:cs="Arial"/>
              </w:rPr>
            </w:pPr>
            <w:r w:rsidRPr="0048631F">
              <w:rPr>
                <w:rFonts w:ascii="Arial" w:hAnsi="Arial" w:cs="Arial"/>
              </w:rPr>
              <w:t>Materiality requirements improve transparency</w:t>
            </w:r>
          </w:p>
        </w:tc>
        <w:tc>
          <w:tcPr>
            <w:tcW w:w="1410" w:type="dxa"/>
          </w:tcPr>
          <w:p w14:paraId="1A628575" w14:textId="77777777" w:rsidR="007575B8" w:rsidRPr="0048631F" w:rsidRDefault="004D78AD" w:rsidP="00024BB0">
            <w:pPr>
              <w:spacing w:line="360" w:lineRule="auto"/>
              <w:jc w:val="left"/>
              <w:rPr>
                <w:rFonts w:ascii="Arial" w:hAnsi="Arial" w:cs="Arial"/>
              </w:rPr>
            </w:pPr>
            <w:r w:rsidRPr="0048631F">
              <w:rPr>
                <w:rFonts w:ascii="Arial" w:hAnsi="Arial" w:cs="Arial"/>
              </w:rPr>
              <w:t>Supports regulatory discussion</w:t>
            </w:r>
          </w:p>
        </w:tc>
        <w:tc>
          <w:tcPr>
            <w:tcW w:w="1710" w:type="dxa"/>
          </w:tcPr>
          <w:p w14:paraId="50A6A1BC" w14:textId="77777777" w:rsidR="007575B8" w:rsidRPr="0048631F" w:rsidRDefault="004D78AD" w:rsidP="00024BB0">
            <w:pPr>
              <w:spacing w:line="360" w:lineRule="auto"/>
              <w:jc w:val="left"/>
              <w:rPr>
                <w:rFonts w:ascii="Arial" w:hAnsi="Arial" w:cs="Arial"/>
              </w:rPr>
            </w:pPr>
            <w:r w:rsidRPr="0048631F">
              <w:rPr>
                <w:rFonts w:ascii="Arial" w:hAnsi="Arial" w:cs="Arial"/>
              </w:rPr>
              <w:t>Highlights reporting evolution</w:t>
            </w:r>
          </w:p>
        </w:tc>
      </w:tr>
      <w:tr w:rsidR="0048631F" w:rsidRPr="0048631F" w14:paraId="6E0372EC" w14:textId="77777777">
        <w:tc>
          <w:tcPr>
            <w:tcW w:w="1290" w:type="dxa"/>
          </w:tcPr>
          <w:p w14:paraId="072420AA"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Bini and Fissi (2025)</w:t>
            </w:r>
          </w:p>
        </w:tc>
        <w:tc>
          <w:tcPr>
            <w:tcW w:w="1440" w:type="dxa"/>
          </w:tcPr>
          <w:p w14:paraId="1005DCAC" w14:textId="77777777" w:rsidR="007575B8" w:rsidRPr="0048631F" w:rsidRDefault="004D78AD" w:rsidP="00024BB0">
            <w:pPr>
              <w:spacing w:line="360" w:lineRule="auto"/>
              <w:jc w:val="left"/>
              <w:rPr>
                <w:rFonts w:ascii="Arial" w:hAnsi="Arial" w:cs="Arial"/>
              </w:rPr>
            </w:pPr>
            <w:r w:rsidRPr="0048631F">
              <w:rPr>
                <w:rFonts w:ascii="Arial" w:hAnsi="Arial" w:cs="Arial"/>
              </w:rPr>
              <w:t>Evaluate sustainability narratives</w:t>
            </w:r>
          </w:p>
        </w:tc>
        <w:tc>
          <w:tcPr>
            <w:tcW w:w="1455" w:type="dxa"/>
          </w:tcPr>
          <w:p w14:paraId="4BEF6DD4" w14:textId="77777777" w:rsidR="007575B8" w:rsidRPr="0048631F" w:rsidRDefault="004D78AD" w:rsidP="00024BB0">
            <w:pPr>
              <w:spacing w:line="360" w:lineRule="auto"/>
              <w:jc w:val="left"/>
              <w:rPr>
                <w:rFonts w:ascii="Arial" w:hAnsi="Arial" w:cs="Arial"/>
              </w:rPr>
            </w:pPr>
            <w:r w:rsidRPr="0048631F">
              <w:rPr>
                <w:rFonts w:ascii="Arial" w:hAnsi="Arial" w:cs="Arial"/>
              </w:rPr>
              <w:t>Corporate reporting</w:t>
            </w:r>
          </w:p>
        </w:tc>
        <w:tc>
          <w:tcPr>
            <w:tcW w:w="1365" w:type="dxa"/>
          </w:tcPr>
          <w:p w14:paraId="3B553276" w14:textId="77777777" w:rsidR="007575B8" w:rsidRPr="0048631F" w:rsidRDefault="004D78AD" w:rsidP="00024BB0">
            <w:pPr>
              <w:spacing w:line="360" w:lineRule="auto"/>
              <w:jc w:val="left"/>
              <w:rPr>
                <w:rFonts w:ascii="Arial" w:hAnsi="Arial" w:cs="Arial"/>
              </w:rPr>
            </w:pPr>
            <w:r w:rsidRPr="0048631F">
              <w:rPr>
                <w:rFonts w:ascii="Arial" w:hAnsi="Arial" w:cs="Arial"/>
              </w:rPr>
              <w:t>Text analysis</w:t>
            </w:r>
          </w:p>
        </w:tc>
        <w:tc>
          <w:tcPr>
            <w:tcW w:w="1335" w:type="dxa"/>
          </w:tcPr>
          <w:p w14:paraId="4E7DA78B" w14:textId="77777777" w:rsidR="007575B8" w:rsidRPr="0048631F" w:rsidRDefault="004D78AD" w:rsidP="00024BB0">
            <w:pPr>
              <w:spacing w:line="360" w:lineRule="auto"/>
              <w:jc w:val="left"/>
              <w:rPr>
                <w:rFonts w:ascii="Arial" w:hAnsi="Arial" w:cs="Arial"/>
              </w:rPr>
            </w:pPr>
            <w:r w:rsidRPr="0048631F">
              <w:rPr>
                <w:rFonts w:ascii="Arial" w:hAnsi="Arial" w:cs="Arial"/>
              </w:rPr>
              <w:t>Readability influences stakeholder understanding</w:t>
            </w:r>
          </w:p>
        </w:tc>
        <w:tc>
          <w:tcPr>
            <w:tcW w:w="1410" w:type="dxa"/>
          </w:tcPr>
          <w:p w14:paraId="45914EB2" w14:textId="77777777" w:rsidR="007575B8" w:rsidRPr="0048631F" w:rsidRDefault="004D78AD" w:rsidP="00024BB0">
            <w:pPr>
              <w:spacing w:line="360" w:lineRule="auto"/>
              <w:jc w:val="left"/>
              <w:rPr>
                <w:rFonts w:ascii="Arial" w:hAnsi="Arial" w:cs="Arial"/>
              </w:rPr>
            </w:pPr>
            <w:r w:rsidRPr="0048631F">
              <w:rPr>
                <w:rFonts w:ascii="Arial" w:hAnsi="Arial" w:cs="Arial"/>
              </w:rPr>
              <w:t>Supports disclosure effectiveness</w:t>
            </w:r>
          </w:p>
        </w:tc>
        <w:tc>
          <w:tcPr>
            <w:tcW w:w="1710" w:type="dxa"/>
          </w:tcPr>
          <w:p w14:paraId="7284DC47" w14:textId="77777777" w:rsidR="007575B8" w:rsidRPr="0048631F" w:rsidRDefault="004D78AD" w:rsidP="00024BB0">
            <w:pPr>
              <w:spacing w:line="360" w:lineRule="auto"/>
              <w:jc w:val="left"/>
              <w:rPr>
                <w:rFonts w:ascii="Arial" w:hAnsi="Arial" w:cs="Arial"/>
              </w:rPr>
            </w:pPr>
            <w:r w:rsidRPr="0048631F">
              <w:rPr>
                <w:rFonts w:ascii="Arial" w:hAnsi="Arial" w:cs="Arial"/>
              </w:rPr>
              <w:t>Examines communication quality</w:t>
            </w:r>
          </w:p>
        </w:tc>
      </w:tr>
      <w:tr w:rsidR="0048631F" w:rsidRPr="0048631F" w14:paraId="69C69F50" w14:textId="77777777">
        <w:tc>
          <w:tcPr>
            <w:tcW w:w="1290" w:type="dxa"/>
          </w:tcPr>
          <w:p w14:paraId="155CAD91" w14:textId="77777777" w:rsidR="007575B8" w:rsidRPr="0048631F" w:rsidRDefault="004D78AD" w:rsidP="00024BB0">
            <w:pPr>
              <w:spacing w:line="360" w:lineRule="auto"/>
              <w:jc w:val="left"/>
              <w:rPr>
                <w:rFonts w:ascii="Arial" w:hAnsi="Arial" w:cs="Arial"/>
              </w:rPr>
            </w:pPr>
            <w:r w:rsidRPr="0048631F">
              <w:rPr>
                <w:rFonts w:ascii="Arial" w:hAnsi="Arial" w:cs="Arial"/>
              </w:rPr>
              <w:t>Amran et al. (2026)</w:t>
            </w:r>
          </w:p>
        </w:tc>
        <w:tc>
          <w:tcPr>
            <w:tcW w:w="1440" w:type="dxa"/>
          </w:tcPr>
          <w:p w14:paraId="1F7B4176" w14:textId="77777777" w:rsidR="007575B8" w:rsidRPr="0048631F" w:rsidRDefault="004D78AD" w:rsidP="00024BB0">
            <w:pPr>
              <w:spacing w:line="360" w:lineRule="auto"/>
              <w:jc w:val="left"/>
              <w:rPr>
                <w:rFonts w:ascii="Arial" w:hAnsi="Arial" w:cs="Arial"/>
              </w:rPr>
            </w:pPr>
            <w:r w:rsidRPr="0048631F">
              <w:rPr>
                <w:rFonts w:ascii="Arial" w:hAnsi="Arial" w:cs="Arial"/>
              </w:rPr>
              <w:t>Assess third-party assurance</w:t>
            </w:r>
          </w:p>
        </w:tc>
        <w:tc>
          <w:tcPr>
            <w:tcW w:w="1455" w:type="dxa"/>
          </w:tcPr>
          <w:p w14:paraId="568AFEAB" w14:textId="77777777" w:rsidR="007575B8" w:rsidRPr="0048631F" w:rsidRDefault="004D78AD" w:rsidP="00024BB0">
            <w:pPr>
              <w:spacing w:line="360" w:lineRule="auto"/>
              <w:jc w:val="left"/>
              <w:rPr>
                <w:rFonts w:ascii="Arial" w:hAnsi="Arial" w:cs="Arial"/>
              </w:rPr>
            </w:pPr>
            <w:r w:rsidRPr="0048631F">
              <w:rPr>
                <w:rFonts w:ascii="Arial" w:hAnsi="Arial" w:cs="Arial"/>
              </w:rPr>
              <w:t>Multiple industries</w:t>
            </w:r>
          </w:p>
        </w:tc>
        <w:tc>
          <w:tcPr>
            <w:tcW w:w="1365" w:type="dxa"/>
          </w:tcPr>
          <w:p w14:paraId="2D58C5CE"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335" w:type="dxa"/>
          </w:tcPr>
          <w:p w14:paraId="41A947F4" w14:textId="77777777" w:rsidR="007575B8" w:rsidRPr="0048631F" w:rsidRDefault="004D78AD" w:rsidP="00024BB0">
            <w:pPr>
              <w:spacing w:line="360" w:lineRule="auto"/>
              <w:jc w:val="left"/>
              <w:rPr>
                <w:rFonts w:ascii="Arial" w:hAnsi="Arial" w:cs="Arial"/>
              </w:rPr>
            </w:pPr>
            <w:r w:rsidRPr="0048631F">
              <w:rPr>
                <w:rFonts w:ascii="Arial" w:hAnsi="Arial" w:cs="Arial"/>
              </w:rPr>
              <w:t>Assurance improves credibility and reputation</w:t>
            </w:r>
          </w:p>
        </w:tc>
        <w:tc>
          <w:tcPr>
            <w:tcW w:w="1410" w:type="dxa"/>
          </w:tcPr>
          <w:p w14:paraId="163A267F" w14:textId="77777777" w:rsidR="007575B8" w:rsidRPr="0048631F" w:rsidRDefault="004D78AD" w:rsidP="00024BB0">
            <w:pPr>
              <w:spacing w:line="360" w:lineRule="auto"/>
              <w:jc w:val="left"/>
              <w:rPr>
                <w:rFonts w:ascii="Arial" w:hAnsi="Arial" w:cs="Arial"/>
              </w:rPr>
            </w:pPr>
            <w:r w:rsidRPr="0048631F">
              <w:rPr>
                <w:rFonts w:ascii="Arial" w:hAnsi="Arial" w:cs="Arial"/>
              </w:rPr>
              <w:t>Addresses disclosure reliability</w:t>
            </w:r>
          </w:p>
        </w:tc>
        <w:tc>
          <w:tcPr>
            <w:tcW w:w="1710" w:type="dxa"/>
          </w:tcPr>
          <w:p w14:paraId="4FE39B38" w14:textId="77777777" w:rsidR="007575B8" w:rsidRPr="0048631F" w:rsidRDefault="004D78AD" w:rsidP="00024BB0">
            <w:pPr>
              <w:spacing w:line="360" w:lineRule="auto"/>
              <w:jc w:val="left"/>
              <w:rPr>
                <w:rFonts w:ascii="Arial" w:hAnsi="Arial" w:cs="Arial"/>
              </w:rPr>
            </w:pPr>
            <w:r w:rsidRPr="0048631F">
              <w:rPr>
                <w:rFonts w:ascii="Arial" w:hAnsi="Arial" w:cs="Arial"/>
              </w:rPr>
              <w:t>Supports transparent ESG reporting</w:t>
            </w:r>
          </w:p>
        </w:tc>
      </w:tr>
    </w:tbl>
    <w:p w14:paraId="03DAB674" w14:textId="77777777" w:rsidR="007575B8" w:rsidRPr="0048631F" w:rsidRDefault="004D78AD" w:rsidP="00024BB0">
      <w:pPr>
        <w:pStyle w:val="Heading5"/>
        <w:rPr>
          <w:rFonts w:ascii="Arial" w:hAnsi="Arial" w:cs="Arial"/>
        </w:rPr>
      </w:pPr>
      <w:bookmarkStart w:id="76" w:name="_heading=h.x97kq51mn2sc" w:colFirst="0" w:colLast="0"/>
      <w:bookmarkStart w:id="77" w:name="_Toc235889269"/>
      <w:bookmarkEnd w:id="76"/>
      <w:r w:rsidRPr="0048631F">
        <w:rPr>
          <w:rFonts w:ascii="Arial" w:hAnsi="Arial" w:cs="Arial"/>
        </w:rPr>
        <w:t>Table 4.1: Theme 1 Summary – ESG Disclosure Frameworks and Reporting Practices in Aviation</w:t>
      </w:r>
      <w:bookmarkEnd w:id="77"/>
    </w:p>
    <w:p w14:paraId="78963350" w14:textId="77777777"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Given regulatory requirements, investor expectations and pressures for greater transparency, ESG disclosure is now a key part of aviation industry sustainability governance. According to Marete and Zakharov (2025), the range of sustainability reporting has expanded from environmental indicators to more general environmental, social and governance (ESG) issues. Their analysis revealed that structured ESG frameworks are becoming more common in organisations, but there has still been a lot of variation in the quality of organisations' disclosure and reporting practices. The study further revealed that conditions in the institutions affect the degree and depth of sustainability reporting. Likewise, Mintah et al (2026) found environmental and social disclosures to be influenced by similarities in the board diversity of aircraft carriers. The research shows that better governance is linked to better ESG reporting which is transparent and broad. Arvidsson and Dumay (2022) added that despite the significant growth in ESG reporting, reporting quality and consistency and comparability across organisations are differing. Further, Del Gesso and Lodhi (2025) found that the disclosure of sustainability information is best understood from two perspectives. The first is based on Stakeholder Theory, while the second is based on Legitimacy Theory. These indicate that ESG disclosure is potentially important for maintaining the legitimacy of organisations and their stakeholder relationships.</w:t>
      </w:r>
    </w:p>
    <w:p w14:paraId="353B8697" w14:textId="77777777" w:rsidR="007575B8" w:rsidRPr="0048631F" w:rsidRDefault="004D78AD" w:rsidP="00024BB0">
      <w:pPr>
        <w:pStyle w:val="Heading3"/>
        <w:rPr>
          <w:rFonts w:ascii="Arial" w:hAnsi="Arial" w:cs="Arial"/>
        </w:rPr>
      </w:pPr>
      <w:bookmarkStart w:id="78" w:name="_Toc235889328"/>
      <w:r w:rsidRPr="0048631F">
        <w:rPr>
          <w:rFonts w:ascii="Arial" w:hAnsi="Arial" w:cs="Arial"/>
        </w:rPr>
        <w:lastRenderedPageBreak/>
        <w:t>4.3.2 Analysis</w:t>
      </w:r>
      <w:bookmarkEnd w:id="78"/>
    </w:p>
    <w:p w14:paraId="6F7E2C9D" w14:textId="5A5F417F"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The literature examined shows that ESG disclosure has gained momentum from a voluntary reporting initiative to a governance policy to enhance accountability and overcome the rising demands of stakeholders. Marete and Zakharov (2025) contend that greater regulatory mandates and stakeholder pressure have spurred airlines to become more structured in their sustainability reporting efforts. However, more disclosure doesn't necessarily mean better environmental performance. Instead of reporting quantity, the effectiveness of ESG reporting is about being credible and comparable and verifiable. Kadłubek and Wieczorek (2025) proposed that non-financial reporting enhances organizational accountability because it enables stakeholders to have access to wider performance information. However, there are still some variations between reporting standards and voluntary reporting that impede comparability across airlines. The disclosure requirements it might therefore be possible to meet while not actually showing carbon reductions, which means that regulatory compliance as such is not indicative of environmental effectiveness. Dunfjäll (2025) pointed out that CSRD, one example of a framework, promotes consistency of reporting. Engaging with reporting frameworks, however, does not lead to improvement of operation as environmental commitments are not necessarily backed up by measurable outcomes. Likewise, Bini and Fissi (2025) showed that well-designed sustainability communication is an effective way of enabling understanding by stakeholders but that persuasive messages cannot substitute for data independently verified emissions data. Thus, ESG disclosure is best when transparency in governance and transparency in the reporting of environmental indicators and independent assurance are combined.</w:t>
      </w:r>
    </w:p>
    <w:p w14:paraId="56827AFF" w14:textId="77777777" w:rsidR="007575B8" w:rsidRPr="0048631F" w:rsidRDefault="004D78AD" w:rsidP="00024BB0">
      <w:pPr>
        <w:pStyle w:val="Heading3"/>
        <w:rPr>
          <w:rFonts w:ascii="Arial" w:hAnsi="Arial" w:cs="Arial"/>
        </w:rPr>
      </w:pPr>
      <w:bookmarkStart w:id="79" w:name="_Toc235889329"/>
      <w:r w:rsidRPr="0048631F">
        <w:rPr>
          <w:rFonts w:ascii="Arial" w:hAnsi="Arial" w:cs="Arial"/>
        </w:rPr>
        <w:t>4.3.3 Discussion</w:t>
      </w:r>
      <w:bookmarkEnd w:id="79"/>
    </w:p>
    <w:p w14:paraId="66B55B21" w14:textId="77D076F2"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 xml:space="preserve">Marete and Zakharov (2025) proposed that ESG disclosure has emerged as an effective governance tool, which allows airlines to continue to pursue legitimacy and to meet the expectations of stakeholders. This supports Stakeholder Theory, which proposes that organisations disclose sustainability information to satisfy the information needs of investors, regulators and customers. Confidence relies not on the amount of information reported but on its veracity. Arvidsson and Dumay (2022) proposed disclosure volume is less important than disclosure quality, since disclosure is a central part of the credible reporting process must reflect environmental outcomes. This also strengthens the argument of Legitimacy Theory, wherein the purpose of ESG </w:t>
      </w:r>
      <w:r w:rsidRPr="0048631F">
        <w:rPr>
          <w:rFonts w:ascii="Arial" w:hAnsi="Arial" w:cs="Arial"/>
        </w:rPr>
        <w:lastRenderedPageBreak/>
        <w:t>reporting within organisations is to secure social acceptability. Equally, increased legitimacy can only be achieved if sustainability disclosures are accompanied by measurable carbon reductions. Del Gesso and Lodhi (2025) highlighted that clear ESG reporting aids organizational credibility, and Amran et al. (2026) reported that independent assurance ensures sustainability information conveyed to stakeholders is reliable. IndiGo's findings indicate that all future reporting transactions should emphasise internationally recognized reporting standards, complete disclosure of emissions, and third-party assurance. These enhancements would add to this credibility and put down the risks of symbolic disclosure and harsher evidence of sustainability pledges delivering measurable carbon reduction results.</w:t>
      </w:r>
    </w:p>
    <w:p w14:paraId="567600AA" w14:textId="77777777" w:rsidR="007575B8" w:rsidRPr="0048631F" w:rsidRDefault="004D78AD" w:rsidP="00024BB0">
      <w:pPr>
        <w:pStyle w:val="Heading2"/>
        <w:rPr>
          <w:rFonts w:ascii="Arial" w:hAnsi="Arial" w:cs="Arial"/>
        </w:rPr>
      </w:pPr>
      <w:bookmarkStart w:id="80" w:name="_Toc235889330"/>
      <w:r w:rsidRPr="0048631F">
        <w:rPr>
          <w:rFonts w:ascii="Arial" w:hAnsi="Arial" w:cs="Arial"/>
        </w:rPr>
        <w:t>4.4 Theme 2: Operational Carbon Reduction Strategies Improve Environmental Performance but Require Strong ESG Governance</w:t>
      </w:r>
      <w:bookmarkEnd w:id="80"/>
    </w:p>
    <w:p w14:paraId="08046762" w14:textId="77777777" w:rsidR="007575B8" w:rsidRPr="0048631F" w:rsidRDefault="004D78AD" w:rsidP="00024BB0">
      <w:pPr>
        <w:pStyle w:val="Heading3"/>
        <w:rPr>
          <w:rFonts w:ascii="Arial" w:hAnsi="Arial" w:cs="Arial"/>
        </w:rPr>
      </w:pPr>
      <w:bookmarkStart w:id="81" w:name="_Toc235889331"/>
      <w:r w:rsidRPr="0048631F">
        <w:rPr>
          <w:rFonts w:ascii="Arial" w:hAnsi="Arial" w:cs="Arial"/>
        </w:rPr>
        <w:t>4.4.1 Findings</w:t>
      </w:r>
      <w:bookmarkEnd w:id="81"/>
    </w:p>
    <w:tbl>
      <w:tblPr>
        <w:tblStyle w:val="a3"/>
        <w:tblW w:w="9975" w:type="dxa"/>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1275"/>
        <w:gridCol w:w="1560"/>
        <w:gridCol w:w="1230"/>
        <w:gridCol w:w="1275"/>
        <w:gridCol w:w="1395"/>
        <w:gridCol w:w="1845"/>
      </w:tblGrid>
      <w:tr w:rsidR="0048631F" w:rsidRPr="0048631F" w14:paraId="564A6A46" w14:textId="77777777">
        <w:tc>
          <w:tcPr>
            <w:tcW w:w="1395" w:type="dxa"/>
          </w:tcPr>
          <w:p w14:paraId="2BFEC41D" w14:textId="77777777" w:rsidR="007575B8" w:rsidRPr="0048631F" w:rsidRDefault="004D78AD" w:rsidP="00024BB0">
            <w:pPr>
              <w:spacing w:line="360" w:lineRule="auto"/>
              <w:jc w:val="center"/>
              <w:rPr>
                <w:rFonts w:ascii="Arial" w:hAnsi="Arial" w:cs="Arial"/>
                <w:b/>
                <w:bCs/>
              </w:rPr>
            </w:pPr>
            <w:bookmarkStart w:id="82" w:name="_heading=h.36hued7oy3b" w:colFirst="0" w:colLast="0"/>
            <w:bookmarkEnd w:id="82"/>
            <w:r w:rsidRPr="0048631F">
              <w:rPr>
                <w:rFonts w:ascii="Arial" w:hAnsi="Arial" w:cs="Arial"/>
                <w:b/>
                <w:bCs/>
              </w:rPr>
              <w:t>Author(s) &amp; Year</w:t>
            </w:r>
          </w:p>
        </w:tc>
        <w:tc>
          <w:tcPr>
            <w:tcW w:w="1275" w:type="dxa"/>
          </w:tcPr>
          <w:p w14:paraId="67B6582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Study Aim</w:t>
            </w:r>
          </w:p>
        </w:tc>
        <w:tc>
          <w:tcPr>
            <w:tcW w:w="1560" w:type="dxa"/>
          </w:tcPr>
          <w:p w14:paraId="59601B1E"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Industry/Context</w:t>
            </w:r>
          </w:p>
        </w:tc>
        <w:tc>
          <w:tcPr>
            <w:tcW w:w="1230" w:type="dxa"/>
          </w:tcPr>
          <w:p w14:paraId="56FD3706"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Methodology</w:t>
            </w:r>
          </w:p>
        </w:tc>
        <w:tc>
          <w:tcPr>
            <w:tcW w:w="1275" w:type="dxa"/>
          </w:tcPr>
          <w:p w14:paraId="4B34B4F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Key Findings</w:t>
            </w:r>
          </w:p>
        </w:tc>
        <w:tc>
          <w:tcPr>
            <w:tcW w:w="1395" w:type="dxa"/>
          </w:tcPr>
          <w:p w14:paraId="400EAAF7"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Relevance to Current Study</w:t>
            </w:r>
          </w:p>
        </w:tc>
        <w:tc>
          <w:tcPr>
            <w:tcW w:w="1845" w:type="dxa"/>
          </w:tcPr>
          <w:p w14:paraId="0DC193A9"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Contribution to Theme</w:t>
            </w:r>
          </w:p>
        </w:tc>
      </w:tr>
      <w:tr w:rsidR="0048631F" w:rsidRPr="0048631F" w14:paraId="6A103247" w14:textId="77777777">
        <w:tc>
          <w:tcPr>
            <w:tcW w:w="1395" w:type="dxa"/>
          </w:tcPr>
          <w:p w14:paraId="7FDBDBE3" w14:textId="77777777" w:rsidR="007575B8" w:rsidRPr="0048631F" w:rsidRDefault="004D78AD" w:rsidP="00024BB0">
            <w:pPr>
              <w:spacing w:line="360" w:lineRule="auto"/>
              <w:jc w:val="left"/>
              <w:rPr>
                <w:rFonts w:ascii="Arial" w:hAnsi="Arial" w:cs="Arial"/>
              </w:rPr>
            </w:pPr>
            <w:r w:rsidRPr="0048631F">
              <w:rPr>
                <w:rFonts w:ascii="Arial" w:hAnsi="Arial" w:cs="Arial"/>
              </w:rPr>
              <w:t>Magnússon (2025)</w:t>
            </w:r>
          </w:p>
        </w:tc>
        <w:tc>
          <w:tcPr>
            <w:tcW w:w="1275" w:type="dxa"/>
          </w:tcPr>
          <w:p w14:paraId="308F9937" w14:textId="77777777" w:rsidR="007575B8" w:rsidRPr="0048631F" w:rsidRDefault="004D78AD" w:rsidP="00024BB0">
            <w:pPr>
              <w:spacing w:line="360" w:lineRule="auto"/>
              <w:jc w:val="left"/>
              <w:rPr>
                <w:rFonts w:ascii="Arial" w:hAnsi="Arial" w:cs="Arial"/>
              </w:rPr>
            </w:pPr>
            <w:r w:rsidRPr="0048631F">
              <w:rPr>
                <w:rFonts w:ascii="Arial" w:hAnsi="Arial" w:cs="Arial"/>
              </w:rPr>
              <w:t>Examine ESG and financial distress</w:t>
            </w:r>
          </w:p>
        </w:tc>
        <w:tc>
          <w:tcPr>
            <w:tcW w:w="1560" w:type="dxa"/>
          </w:tcPr>
          <w:p w14:paraId="0FF58F4D" w14:textId="77777777" w:rsidR="007575B8" w:rsidRPr="0048631F" w:rsidRDefault="004D78AD" w:rsidP="00024BB0">
            <w:pPr>
              <w:spacing w:line="360" w:lineRule="auto"/>
              <w:jc w:val="left"/>
              <w:rPr>
                <w:rFonts w:ascii="Arial" w:hAnsi="Arial" w:cs="Arial"/>
              </w:rPr>
            </w:pPr>
            <w:r w:rsidRPr="0048631F">
              <w:rPr>
                <w:rFonts w:ascii="Arial" w:hAnsi="Arial" w:cs="Arial"/>
              </w:rPr>
              <w:t>Aviation</w:t>
            </w:r>
          </w:p>
        </w:tc>
        <w:tc>
          <w:tcPr>
            <w:tcW w:w="1230" w:type="dxa"/>
          </w:tcPr>
          <w:p w14:paraId="5A8738EA"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275" w:type="dxa"/>
          </w:tcPr>
          <w:p w14:paraId="109F4ED7" w14:textId="77777777" w:rsidR="007575B8" w:rsidRPr="0048631F" w:rsidRDefault="004D78AD" w:rsidP="00024BB0">
            <w:pPr>
              <w:spacing w:line="360" w:lineRule="auto"/>
              <w:jc w:val="left"/>
              <w:rPr>
                <w:rFonts w:ascii="Arial" w:hAnsi="Arial" w:cs="Arial"/>
              </w:rPr>
            </w:pPr>
            <w:r w:rsidRPr="0048631F">
              <w:rPr>
                <w:rFonts w:ascii="Arial" w:hAnsi="Arial" w:cs="Arial"/>
              </w:rPr>
              <w:t>Strong ESG reduces financial distress</w:t>
            </w:r>
          </w:p>
        </w:tc>
        <w:tc>
          <w:tcPr>
            <w:tcW w:w="1395" w:type="dxa"/>
          </w:tcPr>
          <w:p w14:paraId="4AA03BD0"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ESG benefits</w:t>
            </w:r>
          </w:p>
        </w:tc>
        <w:tc>
          <w:tcPr>
            <w:tcW w:w="1845" w:type="dxa"/>
          </w:tcPr>
          <w:p w14:paraId="00236CC3" w14:textId="77777777" w:rsidR="007575B8" w:rsidRPr="0048631F" w:rsidRDefault="004D78AD" w:rsidP="00024BB0">
            <w:pPr>
              <w:spacing w:line="360" w:lineRule="auto"/>
              <w:jc w:val="left"/>
              <w:rPr>
                <w:rFonts w:ascii="Arial" w:hAnsi="Arial" w:cs="Arial"/>
              </w:rPr>
            </w:pPr>
            <w:r w:rsidRPr="0048631F">
              <w:rPr>
                <w:rFonts w:ascii="Arial" w:hAnsi="Arial" w:cs="Arial"/>
              </w:rPr>
              <w:t>Links ESG with resilience</w:t>
            </w:r>
          </w:p>
        </w:tc>
      </w:tr>
      <w:tr w:rsidR="0048631F" w:rsidRPr="0048631F" w14:paraId="15D8AF73" w14:textId="77777777">
        <w:tc>
          <w:tcPr>
            <w:tcW w:w="1395" w:type="dxa"/>
          </w:tcPr>
          <w:p w14:paraId="0A65CBE7" w14:textId="77777777" w:rsidR="007575B8" w:rsidRPr="0048631F" w:rsidRDefault="004D78AD" w:rsidP="00024BB0">
            <w:pPr>
              <w:spacing w:line="360" w:lineRule="auto"/>
              <w:jc w:val="left"/>
              <w:rPr>
                <w:rFonts w:ascii="Arial" w:hAnsi="Arial" w:cs="Arial"/>
              </w:rPr>
            </w:pPr>
            <w:r w:rsidRPr="0048631F">
              <w:rPr>
                <w:rFonts w:ascii="Arial" w:hAnsi="Arial" w:cs="Arial"/>
              </w:rPr>
              <w:t>Weber, Jones and Makinde (2025)</w:t>
            </w:r>
          </w:p>
        </w:tc>
        <w:tc>
          <w:tcPr>
            <w:tcW w:w="1275" w:type="dxa"/>
          </w:tcPr>
          <w:p w14:paraId="7E4C1350" w14:textId="77777777" w:rsidR="007575B8" w:rsidRPr="0048631F" w:rsidRDefault="004D78AD" w:rsidP="00024BB0">
            <w:pPr>
              <w:spacing w:line="360" w:lineRule="auto"/>
              <w:jc w:val="left"/>
              <w:rPr>
                <w:rFonts w:ascii="Arial" w:hAnsi="Arial" w:cs="Arial"/>
              </w:rPr>
            </w:pPr>
            <w:r w:rsidRPr="0048631F">
              <w:rPr>
                <w:rFonts w:ascii="Arial" w:hAnsi="Arial" w:cs="Arial"/>
              </w:rPr>
              <w:t>Evaluate sustainability ratings</w:t>
            </w:r>
          </w:p>
        </w:tc>
        <w:tc>
          <w:tcPr>
            <w:tcW w:w="1560" w:type="dxa"/>
          </w:tcPr>
          <w:p w14:paraId="478DDF52" w14:textId="77777777" w:rsidR="007575B8" w:rsidRPr="0048631F" w:rsidRDefault="004D78AD" w:rsidP="00024BB0">
            <w:pPr>
              <w:spacing w:line="360" w:lineRule="auto"/>
              <w:jc w:val="left"/>
              <w:rPr>
                <w:rFonts w:ascii="Arial" w:hAnsi="Arial" w:cs="Arial"/>
              </w:rPr>
            </w:pPr>
            <w:r w:rsidRPr="0048631F">
              <w:rPr>
                <w:rFonts w:ascii="Arial" w:hAnsi="Arial" w:cs="Arial"/>
              </w:rPr>
              <w:t>Aviation</w:t>
            </w:r>
          </w:p>
        </w:tc>
        <w:tc>
          <w:tcPr>
            <w:tcW w:w="1230" w:type="dxa"/>
          </w:tcPr>
          <w:p w14:paraId="28BD1EFD"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275" w:type="dxa"/>
          </w:tcPr>
          <w:p w14:paraId="7A5A8D59" w14:textId="77777777" w:rsidR="007575B8" w:rsidRPr="0048631F" w:rsidRDefault="004D78AD" w:rsidP="00024BB0">
            <w:pPr>
              <w:spacing w:line="360" w:lineRule="auto"/>
              <w:jc w:val="left"/>
              <w:rPr>
                <w:rFonts w:ascii="Arial" w:hAnsi="Arial" w:cs="Arial"/>
              </w:rPr>
            </w:pPr>
            <w:r w:rsidRPr="0048631F">
              <w:rPr>
                <w:rFonts w:ascii="Arial" w:hAnsi="Arial" w:cs="Arial"/>
              </w:rPr>
              <w:t>ESG ratings improve financial performance</w:t>
            </w:r>
          </w:p>
        </w:tc>
        <w:tc>
          <w:tcPr>
            <w:tcW w:w="1395" w:type="dxa"/>
          </w:tcPr>
          <w:p w14:paraId="7EED8D6F" w14:textId="77777777" w:rsidR="007575B8" w:rsidRPr="0048631F" w:rsidRDefault="004D78AD" w:rsidP="00024BB0">
            <w:pPr>
              <w:spacing w:line="360" w:lineRule="auto"/>
              <w:jc w:val="left"/>
              <w:rPr>
                <w:rFonts w:ascii="Arial" w:hAnsi="Arial" w:cs="Arial"/>
              </w:rPr>
            </w:pPr>
            <w:r w:rsidRPr="0048631F">
              <w:rPr>
                <w:rFonts w:ascii="Arial" w:hAnsi="Arial" w:cs="Arial"/>
              </w:rPr>
              <w:t>Supports ESG value creation</w:t>
            </w:r>
          </w:p>
        </w:tc>
        <w:tc>
          <w:tcPr>
            <w:tcW w:w="1845" w:type="dxa"/>
          </w:tcPr>
          <w:p w14:paraId="7A57D022" w14:textId="77777777" w:rsidR="007575B8" w:rsidRPr="0048631F" w:rsidRDefault="004D78AD" w:rsidP="00024BB0">
            <w:pPr>
              <w:spacing w:line="360" w:lineRule="auto"/>
              <w:jc w:val="left"/>
              <w:rPr>
                <w:rFonts w:ascii="Arial" w:hAnsi="Arial" w:cs="Arial"/>
              </w:rPr>
            </w:pPr>
            <w:r w:rsidRPr="0048631F">
              <w:rPr>
                <w:rFonts w:ascii="Arial" w:hAnsi="Arial" w:cs="Arial"/>
              </w:rPr>
              <w:t>Connects disclosure with performance</w:t>
            </w:r>
          </w:p>
        </w:tc>
      </w:tr>
      <w:tr w:rsidR="0048631F" w:rsidRPr="0048631F" w14:paraId="5154D80D" w14:textId="77777777">
        <w:tc>
          <w:tcPr>
            <w:tcW w:w="1395" w:type="dxa"/>
          </w:tcPr>
          <w:p w14:paraId="34CF9570" w14:textId="77777777" w:rsidR="007575B8" w:rsidRPr="0048631F" w:rsidRDefault="004D78AD" w:rsidP="00024BB0">
            <w:pPr>
              <w:spacing w:line="360" w:lineRule="auto"/>
              <w:jc w:val="left"/>
              <w:rPr>
                <w:rFonts w:ascii="Arial" w:hAnsi="Arial" w:cs="Arial"/>
              </w:rPr>
            </w:pPr>
            <w:r w:rsidRPr="0048631F">
              <w:rPr>
                <w:rFonts w:ascii="Arial" w:hAnsi="Arial" w:cs="Arial"/>
              </w:rPr>
              <w:t>Zengin (2025)</w:t>
            </w:r>
          </w:p>
        </w:tc>
        <w:tc>
          <w:tcPr>
            <w:tcW w:w="1275" w:type="dxa"/>
          </w:tcPr>
          <w:p w14:paraId="1AA4A82E" w14:textId="77777777" w:rsidR="007575B8" w:rsidRPr="0048631F" w:rsidRDefault="004D78AD" w:rsidP="00024BB0">
            <w:pPr>
              <w:spacing w:line="360" w:lineRule="auto"/>
              <w:jc w:val="left"/>
              <w:rPr>
                <w:rFonts w:ascii="Arial" w:hAnsi="Arial" w:cs="Arial"/>
              </w:rPr>
            </w:pPr>
            <w:r w:rsidRPr="0048631F">
              <w:rPr>
                <w:rFonts w:ascii="Arial" w:hAnsi="Arial" w:cs="Arial"/>
              </w:rPr>
              <w:t>Assess ESG profitability</w:t>
            </w:r>
          </w:p>
        </w:tc>
        <w:tc>
          <w:tcPr>
            <w:tcW w:w="1560" w:type="dxa"/>
          </w:tcPr>
          <w:p w14:paraId="39D4B2EB" w14:textId="77777777" w:rsidR="007575B8" w:rsidRPr="0048631F" w:rsidRDefault="004D78AD" w:rsidP="00024BB0">
            <w:pPr>
              <w:spacing w:line="360" w:lineRule="auto"/>
              <w:jc w:val="left"/>
              <w:rPr>
                <w:rFonts w:ascii="Arial" w:hAnsi="Arial" w:cs="Arial"/>
              </w:rPr>
            </w:pPr>
            <w:r w:rsidRPr="0048631F">
              <w:rPr>
                <w:rFonts w:ascii="Arial" w:hAnsi="Arial" w:cs="Arial"/>
              </w:rPr>
              <w:t>EU aviation</w:t>
            </w:r>
          </w:p>
        </w:tc>
        <w:tc>
          <w:tcPr>
            <w:tcW w:w="1230" w:type="dxa"/>
          </w:tcPr>
          <w:p w14:paraId="2FE0C2C7" w14:textId="77777777" w:rsidR="007575B8" w:rsidRPr="0048631F" w:rsidRDefault="004D78AD" w:rsidP="00024BB0">
            <w:pPr>
              <w:spacing w:line="360" w:lineRule="auto"/>
              <w:jc w:val="left"/>
              <w:rPr>
                <w:rFonts w:ascii="Arial" w:hAnsi="Arial" w:cs="Arial"/>
              </w:rPr>
            </w:pPr>
            <w:r w:rsidRPr="0048631F">
              <w:rPr>
                <w:rFonts w:ascii="Arial" w:hAnsi="Arial" w:cs="Arial"/>
              </w:rPr>
              <w:t>Panel analysis</w:t>
            </w:r>
          </w:p>
        </w:tc>
        <w:tc>
          <w:tcPr>
            <w:tcW w:w="1275" w:type="dxa"/>
          </w:tcPr>
          <w:p w14:paraId="5C9D2B3A" w14:textId="77777777" w:rsidR="007575B8" w:rsidRPr="0048631F" w:rsidRDefault="004D78AD" w:rsidP="00024BB0">
            <w:pPr>
              <w:spacing w:line="360" w:lineRule="auto"/>
              <w:jc w:val="left"/>
              <w:rPr>
                <w:rFonts w:ascii="Arial" w:hAnsi="Arial" w:cs="Arial"/>
              </w:rPr>
            </w:pPr>
            <w:r w:rsidRPr="0048631F">
              <w:rPr>
                <w:rFonts w:ascii="Arial" w:hAnsi="Arial" w:cs="Arial"/>
              </w:rPr>
              <w:t>ESG improves profitability</w:t>
            </w:r>
          </w:p>
        </w:tc>
        <w:tc>
          <w:tcPr>
            <w:tcW w:w="1395" w:type="dxa"/>
          </w:tcPr>
          <w:p w14:paraId="14902F3B" w14:textId="77777777" w:rsidR="007575B8" w:rsidRPr="0048631F" w:rsidRDefault="004D78AD" w:rsidP="00024BB0">
            <w:pPr>
              <w:spacing w:line="360" w:lineRule="auto"/>
              <w:jc w:val="left"/>
              <w:rPr>
                <w:rFonts w:ascii="Arial" w:hAnsi="Arial" w:cs="Arial"/>
              </w:rPr>
            </w:pPr>
            <w:r w:rsidRPr="0048631F">
              <w:rPr>
                <w:rFonts w:ascii="Arial" w:hAnsi="Arial" w:cs="Arial"/>
              </w:rPr>
              <w:t>Relevant to airline competitiveness</w:t>
            </w:r>
          </w:p>
        </w:tc>
        <w:tc>
          <w:tcPr>
            <w:tcW w:w="1845" w:type="dxa"/>
          </w:tcPr>
          <w:p w14:paraId="7A70B822" w14:textId="77777777" w:rsidR="007575B8" w:rsidRPr="0048631F" w:rsidRDefault="004D78AD" w:rsidP="00024BB0">
            <w:pPr>
              <w:spacing w:line="360" w:lineRule="auto"/>
              <w:jc w:val="left"/>
              <w:rPr>
                <w:rFonts w:ascii="Arial" w:hAnsi="Arial" w:cs="Arial"/>
              </w:rPr>
            </w:pPr>
            <w:r w:rsidRPr="0048631F">
              <w:rPr>
                <w:rFonts w:ascii="Arial" w:hAnsi="Arial" w:cs="Arial"/>
              </w:rPr>
              <w:t>Supports business case for ESG</w:t>
            </w:r>
          </w:p>
        </w:tc>
      </w:tr>
      <w:tr w:rsidR="0048631F" w:rsidRPr="0048631F" w14:paraId="742255D6" w14:textId="77777777">
        <w:tc>
          <w:tcPr>
            <w:tcW w:w="1395" w:type="dxa"/>
          </w:tcPr>
          <w:p w14:paraId="3EF1538C"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Alici (2025)</w:t>
            </w:r>
          </w:p>
        </w:tc>
        <w:tc>
          <w:tcPr>
            <w:tcW w:w="1275" w:type="dxa"/>
          </w:tcPr>
          <w:p w14:paraId="4B1F001E" w14:textId="77777777" w:rsidR="007575B8" w:rsidRPr="0048631F" w:rsidRDefault="004D78AD" w:rsidP="00024BB0">
            <w:pPr>
              <w:spacing w:line="360" w:lineRule="auto"/>
              <w:jc w:val="left"/>
              <w:rPr>
                <w:rFonts w:ascii="Arial" w:hAnsi="Arial" w:cs="Arial"/>
              </w:rPr>
            </w:pPr>
            <w:r w:rsidRPr="0048631F">
              <w:rPr>
                <w:rFonts w:ascii="Arial" w:hAnsi="Arial" w:cs="Arial"/>
              </w:rPr>
              <w:t>Evaluate airline sustainability</w:t>
            </w:r>
          </w:p>
        </w:tc>
        <w:tc>
          <w:tcPr>
            <w:tcW w:w="1560" w:type="dxa"/>
          </w:tcPr>
          <w:p w14:paraId="7F546C11" w14:textId="77777777" w:rsidR="007575B8" w:rsidRPr="0048631F" w:rsidRDefault="004D78AD" w:rsidP="00024BB0">
            <w:pPr>
              <w:spacing w:line="360" w:lineRule="auto"/>
              <w:jc w:val="left"/>
              <w:rPr>
                <w:rFonts w:ascii="Arial" w:hAnsi="Arial" w:cs="Arial"/>
              </w:rPr>
            </w:pPr>
            <w:r w:rsidRPr="0048631F">
              <w:rPr>
                <w:rFonts w:ascii="Arial" w:hAnsi="Arial" w:cs="Arial"/>
              </w:rPr>
              <w:t>Airlines</w:t>
            </w:r>
          </w:p>
        </w:tc>
        <w:tc>
          <w:tcPr>
            <w:tcW w:w="1230" w:type="dxa"/>
          </w:tcPr>
          <w:p w14:paraId="64C2BAF7" w14:textId="77777777" w:rsidR="007575B8" w:rsidRPr="0048631F" w:rsidRDefault="004D78AD" w:rsidP="00024BB0">
            <w:pPr>
              <w:spacing w:line="360" w:lineRule="auto"/>
              <w:jc w:val="left"/>
              <w:rPr>
                <w:rFonts w:ascii="Arial" w:hAnsi="Arial" w:cs="Arial"/>
              </w:rPr>
            </w:pPr>
            <w:r w:rsidRPr="0048631F">
              <w:rPr>
                <w:rFonts w:ascii="Arial" w:hAnsi="Arial" w:cs="Arial"/>
              </w:rPr>
              <w:t>Financial analysis</w:t>
            </w:r>
          </w:p>
        </w:tc>
        <w:tc>
          <w:tcPr>
            <w:tcW w:w="1275" w:type="dxa"/>
          </w:tcPr>
          <w:p w14:paraId="1D8B7A10"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enhances resilience</w:t>
            </w:r>
          </w:p>
        </w:tc>
        <w:tc>
          <w:tcPr>
            <w:tcW w:w="1395" w:type="dxa"/>
          </w:tcPr>
          <w:p w14:paraId="0AD6739C" w14:textId="77777777" w:rsidR="007575B8" w:rsidRPr="0048631F" w:rsidRDefault="004D78AD" w:rsidP="00024BB0">
            <w:pPr>
              <w:spacing w:line="360" w:lineRule="auto"/>
              <w:jc w:val="left"/>
              <w:rPr>
                <w:rFonts w:ascii="Arial" w:hAnsi="Arial" w:cs="Arial"/>
              </w:rPr>
            </w:pPr>
            <w:r w:rsidRPr="0048631F">
              <w:rPr>
                <w:rFonts w:ascii="Arial" w:hAnsi="Arial" w:cs="Arial"/>
              </w:rPr>
              <w:t>Supports long-term sustainability</w:t>
            </w:r>
          </w:p>
        </w:tc>
        <w:tc>
          <w:tcPr>
            <w:tcW w:w="1845" w:type="dxa"/>
          </w:tcPr>
          <w:p w14:paraId="601DD933" w14:textId="77777777" w:rsidR="007575B8" w:rsidRPr="0048631F" w:rsidRDefault="004D78AD" w:rsidP="00024BB0">
            <w:pPr>
              <w:spacing w:line="360" w:lineRule="auto"/>
              <w:jc w:val="left"/>
              <w:rPr>
                <w:rFonts w:ascii="Arial" w:hAnsi="Arial" w:cs="Arial"/>
              </w:rPr>
            </w:pPr>
            <w:r w:rsidRPr="0048631F">
              <w:rPr>
                <w:rFonts w:ascii="Arial" w:hAnsi="Arial" w:cs="Arial"/>
              </w:rPr>
              <w:t>Links finance and sustainability</w:t>
            </w:r>
          </w:p>
        </w:tc>
      </w:tr>
      <w:tr w:rsidR="0048631F" w:rsidRPr="0048631F" w14:paraId="5C4A7BFD" w14:textId="77777777">
        <w:tc>
          <w:tcPr>
            <w:tcW w:w="1395" w:type="dxa"/>
          </w:tcPr>
          <w:p w14:paraId="6443EA8D" w14:textId="77777777" w:rsidR="007575B8" w:rsidRPr="0048631F" w:rsidRDefault="004D78AD" w:rsidP="00024BB0">
            <w:pPr>
              <w:spacing w:line="360" w:lineRule="auto"/>
              <w:jc w:val="left"/>
              <w:rPr>
                <w:rFonts w:ascii="Arial" w:hAnsi="Arial" w:cs="Arial"/>
              </w:rPr>
            </w:pPr>
            <w:r w:rsidRPr="0048631F">
              <w:rPr>
                <w:rFonts w:ascii="Arial" w:hAnsi="Arial" w:cs="Arial"/>
              </w:rPr>
              <w:t>Doğan (2025)</w:t>
            </w:r>
          </w:p>
        </w:tc>
        <w:tc>
          <w:tcPr>
            <w:tcW w:w="1275" w:type="dxa"/>
          </w:tcPr>
          <w:p w14:paraId="1C8A0E26" w14:textId="77777777" w:rsidR="007575B8" w:rsidRPr="0048631F" w:rsidRDefault="004D78AD" w:rsidP="00024BB0">
            <w:pPr>
              <w:spacing w:line="360" w:lineRule="auto"/>
              <w:jc w:val="left"/>
              <w:rPr>
                <w:rFonts w:ascii="Arial" w:hAnsi="Arial" w:cs="Arial"/>
              </w:rPr>
            </w:pPr>
            <w:r w:rsidRPr="0048631F">
              <w:rPr>
                <w:rFonts w:ascii="Arial" w:hAnsi="Arial" w:cs="Arial"/>
              </w:rPr>
              <w:t>Analyse ESG efficiency</w:t>
            </w:r>
          </w:p>
        </w:tc>
        <w:tc>
          <w:tcPr>
            <w:tcW w:w="1560" w:type="dxa"/>
          </w:tcPr>
          <w:p w14:paraId="774D82FF" w14:textId="77777777" w:rsidR="007575B8" w:rsidRPr="0048631F" w:rsidRDefault="004D78AD" w:rsidP="00024BB0">
            <w:pPr>
              <w:spacing w:line="360" w:lineRule="auto"/>
              <w:jc w:val="left"/>
              <w:rPr>
                <w:rFonts w:ascii="Arial" w:hAnsi="Arial" w:cs="Arial"/>
              </w:rPr>
            </w:pPr>
            <w:r w:rsidRPr="0048631F">
              <w:rPr>
                <w:rFonts w:ascii="Arial" w:hAnsi="Arial" w:cs="Arial"/>
              </w:rPr>
              <w:t>Aircraft manufacturing</w:t>
            </w:r>
          </w:p>
        </w:tc>
        <w:tc>
          <w:tcPr>
            <w:tcW w:w="1230" w:type="dxa"/>
          </w:tcPr>
          <w:p w14:paraId="73A75D81"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275" w:type="dxa"/>
          </w:tcPr>
          <w:p w14:paraId="76BB1B37" w14:textId="77777777" w:rsidR="007575B8" w:rsidRPr="0048631F" w:rsidRDefault="004D78AD" w:rsidP="00024BB0">
            <w:pPr>
              <w:spacing w:line="360" w:lineRule="auto"/>
              <w:jc w:val="left"/>
              <w:rPr>
                <w:rFonts w:ascii="Arial" w:hAnsi="Arial" w:cs="Arial"/>
              </w:rPr>
            </w:pPr>
            <w:r w:rsidRPr="0048631F">
              <w:rPr>
                <w:rFonts w:ascii="Arial" w:hAnsi="Arial" w:cs="Arial"/>
              </w:rPr>
              <w:t>Higher ESG improves efficiency</w:t>
            </w:r>
          </w:p>
        </w:tc>
        <w:tc>
          <w:tcPr>
            <w:tcW w:w="1395" w:type="dxa"/>
          </w:tcPr>
          <w:p w14:paraId="031008D7"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operational benefits</w:t>
            </w:r>
          </w:p>
        </w:tc>
        <w:tc>
          <w:tcPr>
            <w:tcW w:w="1845" w:type="dxa"/>
          </w:tcPr>
          <w:p w14:paraId="192FDD53" w14:textId="77777777" w:rsidR="007575B8" w:rsidRPr="0048631F" w:rsidRDefault="004D78AD" w:rsidP="00024BB0">
            <w:pPr>
              <w:spacing w:line="360" w:lineRule="auto"/>
              <w:jc w:val="left"/>
              <w:rPr>
                <w:rFonts w:ascii="Arial" w:hAnsi="Arial" w:cs="Arial"/>
              </w:rPr>
            </w:pPr>
            <w:r w:rsidRPr="0048631F">
              <w:rPr>
                <w:rFonts w:ascii="Arial" w:hAnsi="Arial" w:cs="Arial"/>
              </w:rPr>
              <w:t>Connects ESG and efficiency</w:t>
            </w:r>
          </w:p>
        </w:tc>
      </w:tr>
      <w:tr w:rsidR="0048631F" w:rsidRPr="0048631F" w14:paraId="0DAA51A1" w14:textId="77777777">
        <w:tc>
          <w:tcPr>
            <w:tcW w:w="1395" w:type="dxa"/>
          </w:tcPr>
          <w:p w14:paraId="30838AA7" w14:textId="77777777" w:rsidR="007575B8" w:rsidRPr="0048631F" w:rsidRDefault="004D78AD" w:rsidP="00024BB0">
            <w:pPr>
              <w:spacing w:line="360" w:lineRule="auto"/>
              <w:jc w:val="left"/>
              <w:rPr>
                <w:rFonts w:ascii="Arial" w:hAnsi="Arial" w:cs="Arial"/>
              </w:rPr>
            </w:pPr>
            <w:r w:rsidRPr="0048631F">
              <w:rPr>
                <w:rFonts w:ascii="Arial" w:hAnsi="Arial" w:cs="Arial"/>
              </w:rPr>
              <w:t>Goyal (2026)</w:t>
            </w:r>
          </w:p>
        </w:tc>
        <w:tc>
          <w:tcPr>
            <w:tcW w:w="1275" w:type="dxa"/>
          </w:tcPr>
          <w:p w14:paraId="416AF82B" w14:textId="77777777" w:rsidR="007575B8" w:rsidRPr="0048631F" w:rsidRDefault="004D78AD" w:rsidP="00024BB0">
            <w:pPr>
              <w:spacing w:line="360" w:lineRule="auto"/>
              <w:jc w:val="left"/>
              <w:rPr>
                <w:rFonts w:ascii="Arial" w:hAnsi="Arial" w:cs="Arial"/>
              </w:rPr>
            </w:pPr>
            <w:r w:rsidRPr="0048631F">
              <w:rPr>
                <w:rFonts w:ascii="Arial" w:hAnsi="Arial" w:cs="Arial"/>
              </w:rPr>
              <w:t>Examine disclosure and financial performance</w:t>
            </w:r>
          </w:p>
        </w:tc>
        <w:tc>
          <w:tcPr>
            <w:tcW w:w="1560" w:type="dxa"/>
          </w:tcPr>
          <w:p w14:paraId="3FBF58BF" w14:textId="77777777" w:rsidR="007575B8" w:rsidRPr="0048631F" w:rsidRDefault="004D78AD" w:rsidP="00024BB0">
            <w:pPr>
              <w:spacing w:line="360" w:lineRule="auto"/>
              <w:jc w:val="left"/>
              <w:rPr>
                <w:rFonts w:ascii="Arial" w:hAnsi="Arial" w:cs="Arial"/>
              </w:rPr>
            </w:pPr>
            <w:r w:rsidRPr="0048631F">
              <w:rPr>
                <w:rFonts w:ascii="Arial" w:hAnsi="Arial" w:cs="Arial"/>
              </w:rPr>
              <w:t>Low-cost airlines</w:t>
            </w:r>
          </w:p>
        </w:tc>
        <w:tc>
          <w:tcPr>
            <w:tcW w:w="1230" w:type="dxa"/>
          </w:tcPr>
          <w:p w14:paraId="2ABC6A09" w14:textId="77777777" w:rsidR="007575B8" w:rsidRPr="0048631F" w:rsidRDefault="004D78AD" w:rsidP="00024BB0">
            <w:pPr>
              <w:spacing w:line="360" w:lineRule="auto"/>
              <w:jc w:val="left"/>
              <w:rPr>
                <w:rFonts w:ascii="Arial" w:hAnsi="Arial" w:cs="Arial"/>
              </w:rPr>
            </w:pPr>
            <w:r w:rsidRPr="0048631F">
              <w:rPr>
                <w:rFonts w:ascii="Arial" w:hAnsi="Arial" w:cs="Arial"/>
              </w:rPr>
              <w:t>Panel analysis</w:t>
            </w:r>
          </w:p>
        </w:tc>
        <w:tc>
          <w:tcPr>
            <w:tcW w:w="1275" w:type="dxa"/>
          </w:tcPr>
          <w:p w14:paraId="193C9C29"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disclosure improves performance</w:t>
            </w:r>
          </w:p>
        </w:tc>
        <w:tc>
          <w:tcPr>
            <w:tcW w:w="1395" w:type="dxa"/>
          </w:tcPr>
          <w:p w14:paraId="453F8FE9" w14:textId="77777777" w:rsidR="007575B8" w:rsidRPr="0048631F" w:rsidRDefault="004D78AD" w:rsidP="00024BB0">
            <w:pPr>
              <w:spacing w:line="360" w:lineRule="auto"/>
              <w:jc w:val="left"/>
              <w:rPr>
                <w:rFonts w:ascii="Arial" w:hAnsi="Arial" w:cs="Arial"/>
              </w:rPr>
            </w:pPr>
            <w:r w:rsidRPr="0048631F">
              <w:rPr>
                <w:rFonts w:ascii="Arial" w:hAnsi="Arial" w:cs="Arial"/>
              </w:rPr>
              <w:t>Highly relevant to IndiGo</w:t>
            </w:r>
          </w:p>
        </w:tc>
        <w:tc>
          <w:tcPr>
            <w:tcW w:w="1845" w:type="dxa"/>
          </w:tcPr>
          <w:p w14:paraId="3280AE45" w14:textId="77777777" w:rsidR="007575B8" w:rsidRPr="0048631F" w:rsidRDefault="004D78AD" w:rsidP="00024BB0">
            <w:pPr>
              <w:spacing w:line="360" w:lineRule="auto"/>
              <w:jc w:val="left"/>
              <w:rPr>
                <w:rFonts w:ascii="Arial" w:hAnsi="Arial" w:cs="Arial"/>
              </w:rPr>
            </w:pPr>
            <w:r w:rsidRPr="0048631F">
              <w:rPr>
                <w:rFonts w:ascii="Arial" w:hAnsi="Arial" w:cs="Arial"/>
              </w:rPr>
              <w:t>Links disclosure with profitability</w:t>
            </w:r>
          </w:p>
        </w:tc>
      </w:tr>
      <w:tr w:rsidR="0048631F" w:rsidRPr="0048631F" w14:paraId="24A24DC0" w14:textId="77777777">
        <w:tc>
          <w:tcPr>
            <w:tcW w:w="1395" w:type="dxa"/>
          </w:tcPr>
          <w:p w14:paraId="5A0A48AE" w14:textId="77777777" w:rsidR="007575B8" w:rsidRPr="0048631F" w:rsidRDefault="004D78AD" w:rsidP="00024BB0">
            <w:pPr>
              <w:spacing w:line="360" w:lineRule="auto"/>
              <w:jc w:val="left"/>
              <w:rPr>
                <w:rFonts w:ascii="Arial" w:hAnsi="Arial" w:cs="Arial"/>
              </w:rPr>
            </w:pPr>
            <w:r w:rsidRPr="0048631F">
              <w:rPr>
                <w:rFonts w:ascii="Arial" w:hAnsi="Arial" w:cs="Arial"/>
              </w:rPr>
              <w:t>Kaffash et al. (2026)</w:t>
            </w:r>
          </w:p>
        </w:tc>
        <w:tc>
          <w:tcPr>
            <w:tcW w:w="1275" w:type="dxa"/>
          </w:tcPr>
          <w:p w14:paraId="57932815" w14:textId="77777777" w:rsidR="007575B8" w:rsidRPr="0048631F" w:rsidRDefault="004D78AD" w:rsidP="00024BB0">
            <w:pPr>
              <w:spacing w:line="360" w:lineRule="auto"/>
              <w:jc w:val="left"/>
              <w:rPr>
                <w:rFonts w:ascii="Arial" w:hAnsi="Arial" w:cs="Arial"/>
              </w:rPr>
            </w:pPr>
            <w:r w:rsidRPr="0048631F">
              <w:rPr>
                <w:rFonts w:ascii="Arial" w:hAnsi="Arial" w:cs="Arial"/>
              </w:rPr>
              <w:t>Evaluate environmental sustainability</w:t>
            </w:r>
          </w:p>
        </w:tc>
        <w:tc>
          <w:tcPr>
            <w:tcW w:w="1560" w:type="dxa"/>
          </w:tcPr>
          <w:p w14:paraId="4375848C" w14:textId="77777777" w:rsidR="007575B8" w:rsidRPr="0048631F" w:rsidRDefault="004D78AD" w:rsidP="00024BB0">
            <w:pPr>
              <w:spacing w:line="360" w:lineRule="auto"/>
              <w:jc w:val="left"/>
              <w:rPr>
                <w:rFonts w:ascii="Arial" w:hAnsi="Arial" w:cs="Arial"/>
              </w:rPr>
            </w:pPr>
            <w:r w:rsidRPr="0048631F">
              <w:rPr>
                <w:rFonts w:ascii="Arial" w:hAnsi="Arial" w:cs="Arial"/>
              </w:rPr>
              <w:t>US airlines</w:t>
            </w:r>
          </w:p>
        </w:tc>
        <w:tc>
          <w:tcPr>
            <w:tcW w:w="1230" w:type="dxa"/>
          </w:tcPr>
          <w:p w14:paraId="0E6ABD50"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275" w:type="dxa"/>
          </w:tcPr>
          <w:p w14:paraId="2FED605C" w14:textId="77777777" w:rsidR="007575B8" w:rsidRPr="0048631F" w:rsidRDefault="004D78AD" w:rsidP="00024BB0">
            <w:pPr>
              <w:spacing w:line="360" w:lineRule="auto"/>
              <w:jc w:val="left"/>
              <w:rPr>
                <w:rFonts w:ascii="Arial" w:hAnsi="Arial" w:cs="Arial"/>
              </w:rPr>
            </w:pPr>
            <w:r w:rsidRPr="0048631F">
              <w:rPr>
                <w:rFonts w:ascii="Arial" w:hAnsi="Arial" w:cs="Arial"/>
              </w:rPr>
              <w:t>Better environmental performance improves efficiency</w:t>
            </w:r>
          </w:p>
        </w:tc>
        <w:tc>
          <w:tcPr>
            <w:tcW w:w="1395" w:type="dxa"/>
          </w:tcPr>
          <w:p w14:paraId="40966909" w14:textId="77777777" w:rsidR="007575B8" w:rsidRPr="0048631F" w:rsidRDefault="004D78AD" w:rsidP="00024BB0">
            <w:pPr>
              <w:spacing w:line="360" w:lineRule="auto"/>
              <w:jc w:val="left"/>
              <w:rPr>
                <w:rFonts w:ascii="Arial" w:hAnsi="Arial" w:cs="Arial"/>
              </w:rPr>
            </w:pPr>
            <w:r w:rsidRPr="0048631F">
              <w:rPr>
                <w:rFonts w:ascii="Arial" w:hAnsi="Arial" w:cs="Arial"/>
              </w:rPr>
              <w:t>Supports operational improvements</w:t>
            </w:r>
          </w:p>
        </w:tc>
        <w:tc>
          <w:tcPr>
            <w:tcW w:w="1845" w:type="dxa"/>
          </w:tcPr>
          <w:p w14:paraId="65486046" w14:textId="77777777" w:rsidR="007575B8" w:rsidRPr="0048631F" w:rsidRDefault="004D78AD" w:rsidP="00024BB0">
            <w:pPr>
              <w:spacing w:line="360" w:lineRule="auto"/>
              <w:jc w:val="left"/>
              <w:rPr>
                <w:rFonts w:ascii="Arial" w:hAnsi="Arial" w:cs="Arial"/>
              </w:rPr>
            </w:pPr>
            <w:r w:rsidRPr="0048631F">
              <w:rPr>
                <w:rFonts w:ascii="Arial" w:hAnsi="Arial" w:cs="Arial"/>
              </w:rPr>
              <w:t>Links sustainability and efficiency</w:t>
            </w:r>
          </w:p>
        </w:tc>
      </w:tr>
      <w:tr w:rsidR="0048631F" w:rsidRPr="0048631F" w14:paraId="33EFA59D" w14:textId="77777777">
        <w:tc>
          <w:tcPr>
            <w:tcW w:w="1395" w:type="dxa"/>
          </w:tcPr>
          <w:p w14:paraId="018D7CF2" w14:textId="77777777" w:rsidR="007575B8" w:rsidRPr="0048631F" w:rsidRDefault="004D78AD" w:rsidP="00024BB0">
            <w:pPr>
              <w:spacing w:line="360" w:lineRule="auto"/>
              <w:jc w:val="left"/>
              <w:rPr>
                <w:rFonts w:ascii="Arial" w:hAnsi="Arial" w:cs="Arial"/>
              </w:rPr>
            </w:pPr>
            <w:r w:rsidRPr="0048631F">
              <w:rPr>
                <w:rFonts w:ascii="Arial" w:hAnsi="Arial" w:cs="Arial"/>
              </w:rPr>
              <w:t>Czocherra (2025)</w:t>
            </w:r>
          </w:p>
        </w:tc>
        <w:tc>
          <w:tcPr>
            <w:tcW w:w="1275" w:type="dxa"/>
          </w:tcPr>
          <w:p w14:paraId="2BFEFA40" w14:textId="77777777" w:rsidR="007575B8" w:rsidRPr="0048631F" w:rsidRDefault="004D78AD" w:rsidP="00024BB0">
            <w:pPr>
              <w:spacing w:line="360" w:lineRule="auto"/>
              <w:jc w:val="left"/>
              <w:rPr>
                <w:rFonts w:ascii="Arial" w:hAnsi="Arial" w:cs="Arial"/>
              </w:rPr>
            </w:pPr>
            <w:r w:rsidRPr="0048631F">
              <w:rPr>
                <w:rFonts w:ascii="Arial" w:hAnsi="Arial" w:cs="Arial"/>
              </w:rPr>
              <w:t>Examine ESG during crises</w:t>
            </w:r>
          </w:p>
        </w:tc>
        <w:tc>
          <w:tcPr>
            <w:tcW w:w="1560" w:type="dxa"/>
          </w:tcPr>
          <w:p w14:paraId="6FD334C7" w14:textId="77777777" w:rsidR="007575B8" w:rsidRPr="0048631F" w:rsidRDefault="004D78AD" w:rsidP="00024BB0">
            <w:pPr>
              <w:spacing w:line="360" w:lineRule="auto"/>
              <w:jc w:val="left"/>
              <w:rPr>
                <w:rFonts w:ascii="Arial" w:hAnsi="Arial" w:cs="Arial"/>
              </w:rPr>
            </w:pPr>
            <w:r w:rsidRPr="0048631F">
              <w:rPr>
                <w:rFonts w:ascii="Arial" w:hAnsi="Arial" w:cs="Arial"/>
              </w:rPr>
              <w:t>Airlines</w:t>
            </w:r>
          </w:p>
        </w:tc>
        <w:tc>
          <w:tcPr>
            <w:tcW w:w="1230" w:type="dxa"/>
          </w:tcPr>
          <w:p w14:paraId="149C9F3C" w14:textId="77777777" w:rsidR="007575B8" w:rsidRPr="0048631F" w:rsidRDefault="004D78AD" w:rsidP="00024BB0">
            <w:pPr>
              <w:spacing w:line="360" w:lineRule="auto"/>
              <w:jc w:val="left"/>
              <w:rPr>
                <w:rFonts w:ascii="Arial" w:hAnsi="Arial" w:cs="Arial"/>
              </w:rPr>
            </w:pPr>
            <w:r w:rsidRPr="0048631F">
              <w:rPr>
                <w:rFonts w:ascii="Arial" w:hAnsi="Arial" w:cs="Arial"/>
              </w:rPr>
              <w:t>Difference-in-difference</w:t>
            </w:r>
          </w:p>
        </w:tc>
        <w:tc>
          <w:tcPr>
            <w:tcW w:w="1275" w:type="dxa"/>
          </w:tcPr>
          <w:p w14:paraId="57957013" w14:textId="77777777" w:rsidR="007575B8" w:rsidRPr="0048631F" w:rsidRDefault="004D78AD" w:rsidP="00024BB0">
            <w:pPr>
              <w:spacing w:line="360" w:lineRule="auto"/>
              <w:jc w:val="left"/>
              <w:rPr>
                <w:rFonts w:ascii="Arial" w:hAnsi="Arial" w:cs="Arial"/>
              </w:rPr>
            </w:pPr>
            <w:r w:rsidRPr="0048631F">
              <w:rPr>
                <w:rFonts w:ascii="Arial" w:hAnsi="Arial" w:cs="Arial"/>
              </w:rPr>
              <w:t>High ESG improves crisis resilience</w:t>
            </w:r>
          </w:p>
        </w:tc>
        <w:tc>
          <w:tcPr>
            <w:tcW w:w="1395" w:type="dxa"/>
          </w:tcPr>
          <w:p w14:paraId="1AF97A59" w14:textId="77777777" w:rsidR="007575B8" w:rsidRPr="0048631F" w:rsidRDefault="004D78AD" w:rsidP="00024BB0">
            <w:pPr>
              <w:spacing w:line="360" w:lineRule="auto"/>
              <w:jc w:val="left"/>
              <w:rPr>
                <w:rFonts w:ascii="Arial" w:hAnsi="Arial" w:cs="Arial"/>
              </w:rPr>
            </w:pPr>
            <w:r w:rsidRPr="0048631F">
              <w:rPr>
                <w:rFonts w:ascii="Arial" w:hAnsi="Arial" w:cs="Arial"/>
              </w:rPr>
              <w:t>Supports strategic value of ESG</w:t>
            </w:r>
          </w:p>
        </w:tc>
        <w:tc>
          <w:tcPr>
            <w:tcW w:w="1845" w:type="dxa"/>
          </w:tcPr>
          <w:p w14:paraId="6FD75BF4"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resilience benefits</w:t>
            </w:r>
          </w:p>
        </w:tc>
      </w:tr>
    </w:tbl>
    <w:p w14:paraId="0BB14930" w14:textId="77777777" w:rsidR="007575B8" w:rsidRPr="0048631F" w:rsidRDefault="004D78AD" w:rsidP="00024BB0">
      <w:pPr>
        <w:pStyle w:val="Heading5"/>
        <w:rPr>
          <w:rFonts w:ascii="Arial" w:hAnsi="Arial" w:cs="Arial"/>
        </w:rPr>
      </w:pPr>
      <w:bookmarkStart w:id="83" w:name="_Toc235889270"/>
      <w:r w:rsidRPr="0048631F">
        <w:rPr>
          <w:rFonts w:ascii="Arial" w:hAnsi="Arial" w:cs="Arial"/>
        </w:rPr>
        <w:t>Table 4.2: Theme 2 Summary – Carbon Reduction Strategies in Airlines and IndiGo</w:t>
      </w:r>
      <w:bookmarkEnd w:id="83"/>
    </w:p>
    <w:p w14:paraId="2B515F0D" w14:textId="77777777" w:rsidR="007575B8" w:rsidRPr="0048631F" w:rsidRDefault="004D78AD" w:rsidP="00024BB0">
      <w:pPr>
        <w:pBdr>
          <w:top w:val="nil"/>
          <w:left w:val="nil"/>
          <w:bottom w:val="nil"/>
          <w:right w:val="nil"/>
          <w:between w:val="nil"/>
        </w:pBdr>
        <w:rPr>
          <w:rFonts w:ascii="Arial" w:hAnsi="Arial" w:cs="Arial"/>
        </w:rPr>
      </w:pPr>
      <w:r w:rsidRPr="0048631F">
        <w:rPr>
          <w:rFonts w:ascii="Arial" w:hAnsi="Arial" w:cs="Arial"/>
        </w:rPr>
        <w:t xml:space="preserve">It has been shown that high ESG scores are correlated with increased organizational resilience, financial stability and operational efficiency in the aviation sector. In their work, Magnússon (2025) conducted a study that showed that a better score in the ESG areas would help burnishing the risk management and long-term resilience of an </w:t>
      </w:r>
      <w:r w:rsidRPr="0048631F">
        <w:rPr>
          <w:rFonts w:ascii="Arial" w:hAnsi="Arial" w:cs="Arial"/>
        </w:rPr>
        <w:lastRenderedPageBreak/>
        <w:t>airline and hence reduce overall vulnerability to financial distress. This indicates that a commitment to ESG goes beyond just being good for the environment and can be beneficial to placing the organisation at greater stability when facing uncertainty. Weber, Jones and Makinde (2025) noted that Sustainability ratings positively impact on financial performance because they build investor confidence and corporate reputation. ESG ratings also have been shown to lead to better financial results, as investors are now looking at both finances and ESG performance. Additionally, Zengin (2025) found that sustainability practices positively impact profitability among European airlines, suggesting that ESG performance can lead to competitive advantages and enable long-term business growth. Moreover, Alici (2025) pointed out that sustainability efforts can benefit organisations by fostering sustainable resource management and enhancing their economic performance. Similarly, Doğan (2025) showed that ESG-performing organisations improve operational efficiency by managing their resources more effectively and sustainably.</w:t>
      </w:r>
    </w:p>
    <w:p w14:paraId="6BB83A6E" w14:textId="77777777" w:rsidR="007575B8" w:rsidRPr="0048631F" w:rsidRDefault="004D78AD" w:rsidP="00024BB0">
      <w:pPr>
        <w:pStyle w:val="Heading3"/>
        <w:rPr>
          <w:rFonts w:ascii="Arial" w:hAnsi="Arial" w:cs="Arial"/>
        </w:rPr>
      </w:pPr>
      <w:bookmarkStart w:id="84" w:name="_Toc235889332"/>
      <w:r w:rsidRPr="0048631F">
        <w:rPr>
          <w:rFonts w:ascii="Arial" w:hAnsi="Arial" w:cs="Arial"/>
        </w:rPr>
        <w:t>4.4.2 Analysis</w:t>
      </w:r>
      <w:bookmarkEnd w:id="84"/>
    </w:p>
    <w:p w14:paraId="15A67D75" w14:textId="77777777" w:rsidR="007575B8" w:rsidRPr="0048631F" w:rsidRDefault="004D78AD" w:rsidP="00024BB0">
      <w:pPr>
        <w:pBdr>
          <w:top w:val="nil"/>
          <w:left w:val="nil"/>
          <w:bottom w:val="nil"/>
          <w:right w:val="nil"/>
          <w:between w:val="nil"/>
        </w:pBdr>
        <w:jc w:val="center"/>
        <w:rPr>
          <w:rFonts w:ascii="Arial" w:hAnsi="Arial" w:cs="Arial"/>
        </w:rPr>
      </w:pPr>
      <w:r w:rsidRPr="0048631F">
        <w:rPr>
          <w:rFonts w:ascii="Arial" w:hAnsi="Arial" w:cs="Arial"/>
          <w:noProof/>
        </w:rPr>
        <w:drawing>
          <wp:inline distT="0" distB="0" distL="0" distR="0" wp14:anchorId="64726521" wp14:editId="139E8440">
            <wp:extent cx="5391150" cy="2962275"/>
            <wp:effectExtent l="0" t="0" r="0" b="0"/>
            <wp:docPr id="3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391150" cy="2962275"/>
                    </a:xfrm>
                    <a:prstGeom prst="rect">
                      <a:avLst/>
                    </a:prstGeom>
                    <a:ln/>
                  </pic:spPr>
                </pic:pic>
              </a:graphicData>
            </a:graphic>
          </wp:inline>
        </w:drawing>
      </w:r>
    </w:p>
    <w:p w14:paraId="2F27AFC5" w14:textId="77777777" w:rsidR="007575B8" w:rsidRPr="0048631F" w:rsidRDefault="004D78AD" w:rsidP="00024BB0">
      <w:pPr>
        <w:pStyle w:val="Heading4"/>
        <w:rPr>
          <w:rFonts w:ascii="Arial" w:hAnsi="Arial" w:cs="Arial"/>
        </w:rPr>
      </w:pPr>
      <w:bookmarkStart w:id="85" w:name="_heading=h.4ffabq5jurzp" w:colFirst="0" w:colLast="0"/>
      <w:bookmarkStart w:id="86" w:name="_Toc235889281"/>
      <w:bookmarkEnd w:id="85"/>
      <w:r w:rsidRPr="0048631F">
        <w:rPr>
          <w:rFonts w:ascii="Arial" w:hAnsi="Arial" w:cs="Arial"/>
        </w:rPr>
        <w:t>Figure 4.1: Projected Aviation Carbon Emission Reduction</w:t>
      </w:r>
      <w:bookmarkEnd w:id="86"/>
    </w:p>
    <w:p w14:paraId="208EF03C" w14:textId="77777777" w:rsidR="007575B8" w:rsidRPr="0048631F" w:rsidRDefault="004D78AD" w:rsidP="00024BB0">
      <w:pPr>
        <w:pBdr>
          <w:top w:val="nil"/>
          <w:left w:val="nil"/>
          <w:bottom w:val="nil"/>
          <w:right w:val="nil"/>
          <w:between w:val="nil"/>
        </w:pBdr>
        <w:jc w:val="center"/>
        <w:rPr>
          <w:rFonts w:ascii="Arial" w:hAnsi="Arial" w:cs="Arial"/>
        </w:rPr>
      </w:pPr>
      <w:r w:rsidRPr="0048631F">
        <w:rPr>
          <w:rFonts w:ascii="Arial" w:hAnsi="Arial" w:cs="Arial"/>
        </w:rPr>
        <w:t>(Source: ICCT, 2026)</w:t>
      </w:r>
    </w:p>
    <w:p w14:paraId="26A2F535" w14:textId="6FC647CE"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 xml:space="preserve">Figure 4.1 shows that single interventions are not enough to reach net-zero aviation emissions, but multiple interventions will be needed. The pathways highlight the need for sustainable aviation fuel (SAF), operational efficiency, technological innovation and policy interventions to all play their part. This signifies ‘operational decarbonisation' is a long term process that requires interdependent governance and ongoing </w:t>
      </w:r>
      <w:r w:rsidRPr="0048631F">
        <w:rPr>
          <w:rFonts w:ascii="Arial" w:hAnsi="Arial" w:cs="Arial"/>
        </w:rPr>
        <w:lastRenderedPageBreak/>
        <w:t>investments. In the view of Gössling et al. (2025), modernising fleets and developing and using fuel-efficient technologies is key to lowering aviation emissions. However, these strategies involve foraying a lot of capital and longer implementation durations, which have only short-term environmental impact. In the same way, Toivanen (2025) argued that technological change is not sufficient to decarbonise the sector, as infrastructure barriers and lack of alternative fuels are still playing a major role. Bardon and Massol (2025) found SAF to be one of the best ways in which to lower the amount of carbon emissions. However, its widespread use is curtailed by high production costs and limited availability. Deloitte (2025) also noted that route optimisation and fuel management are among the operational enhancements that can help reduce emissions but are not sustainable on their own to reach a long-term decarbonisation on their own. Klimczyk et al. (2025) found that having robust ESG governance, targets and ongoing ESG monitoring increases the effectiveness of operational initiatives.</w:t>
      </w:r>
    </w:p>
    <w:p w14:paraId="54A5A9B3" w14:textId="77777777" w:rsidR="007575B8" w:rsidRPr="0048631F" w:rsidRDefault="004D78AD" w:rsidP="00024BB0">
      <w:pPr>
        <w:pStyle w:val="Heading3"/>
        <w:rPr>
          <w:rFonts w:ascii="Arial" w:hAnsi="Arial" w:cs="Arial"/>
        </w:rPr>
      </w:pPr>
      <w:bookmarkStart w:id="87" w:name="_Toc235889333"/>
      <w:r w:rsidRPr="0048631F">
        <w:rPr>
          <w:rFonts w:ascii="Arial" w:hAnsi="Arial" w:cs="Arial"/>
        </w:rPr>
        <w:t>4.4.3 Discussion</w:t>
      </w:r>
      <w:bookmarkEnd w:id="87"/>
    </w:p>
    <w:p w14:paraId="726C21C0" w14:textId="0642BAEE"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 xml:space="preserve">Gössling et al. (2025) emphasized that effective </w:t>
      </w:r>
      <w:r w:rsidR="00595442" w:rsidRPr="0048631F">
        <w:rPr>
          <w:rFonts w:ascii="Arial" w:hAnsi="Arial" w:cs="Arial"/>
        </w:rPr>
        <w:t>decarbonisation</w:t>
      </w:r>
      <w:r w:rsidRPr="0048631F">
        <w:rPr>
          <w:rFonts w:ascii="Arial" w:hAnsi="Arial" w:cs="Arial"/>
        </w:rPr>
        <w:t xml:space="preserve"> of aviation relies on combining operational optimizations with long-term </w:t>
      </w:r>
      <w:r w:rsidR="00595442" w:rsidRPr="0048631F">
        <w:rPr>
          <w:rFonts w:ascii="Arial" w:hAnsi="Arial" w:cs="Arial"/>
        </w:rPr>
        <w:t>decarbonisation</w:t>
      </w:r>
      <w:r w:rsidRPr="0048631F">
        <w:rPr>
          <w:rFonts w:ascii="Arial" w:hAnsi="Arial" w:cs="Arial"/>
        </w:rPr>
        <w:t xml:space="preserve"> efforts. This follows the Stakeholder Theory paradigm, which is requiring airlines to make ‘sustainable steps' that can be measured rather than long, general statements of sustainability. Therefore, operational carbon reduction measures should provide measurable emission reductions, building stakeholder trust. Bardon and Massol (2025) believed that SAF will determine the success of achieving net-zero aviation, but technological constraints and cost remain as bottlenecks before a broad-scale rollout. For Deloitte (2025), operational efficiency measures offer operational benefits immediately, without providing any means to meet long-term carbon reduction goals on their own. The findings show that it is important that no one approach will work alone and that airlines will need to implement more than one decarbonisation strategy. Klimczyk et al. (2025) highlighted that governance is a crucial aspect of implementing operational carbon reduction strategies, which better facilitates monitoring, accountability and making decisions concerning the environment. This is in line with Legitimacy Theory, where publicised targets for sustainability of an organisation are reinforced with tangible results obtained in its actual operations. For IndiGo, this means that operational efficiency optimisation, fleet modernisation, and progressive SAF usage, combined with strong ESG governance, are significant pathways to improve their decarbonisation trajectory. These efforts would complement measurable </w:t>
      </w:r>
      <w:r w:rsidRPr="0048631F">
        <w:rPr>
          <w:rFonts w:ascii="Arial" w:hAnsi="Arial" w:cs="Arial"/>
        </w:rPr>
        <w:lastRenderedPageBreak/>
        <w:t>environmental reporting and transparent monitoring, enhancing the credibility of sustainability actions and evidence that operational actions aid long-term carbon reductions and not give the impression of 'green' window-dressing.</w:t>
      </w:r>
    </w:p>
    <w:p w14:paraId="3957A7E7" w14:textId="77777777" w:rsidR="007575B8" w:rsidRPr="0048631F" w:rsidRDefault="004D78AD" w:rsidP="00024BB0">
      <w:pPr>
        <w:pStyle w:val="Heading2"/>
        <w:rPr>
          <w:rFonts w:ascii="Arial" w:hAnsi="Arial" w:cs="Arial"/>
        </w:rPr>
      </w:pPr>
      <w:bookmarkStart w:id="88" w:name="_Toc235889334"/>
      <w:r w:rsidRPr="0048631F">
        <w:rPr>
          <w:rFonts w:ascii="Arial" w:hAnsi="Arial" w:cs="Arial"/>
        </w:rPr>
        <w:t>4.5 Theme 3: ESG Disclosure Enhances Transparency but Does Not Always Deliver Measurable Carbon Reduction</w:t>
      </w:r>
      <w:bookmarkEnd w:id="88"/>
    </w:p>
    <w:p w14:paraId="72D12B25" w14:textId="77777777" w:rsidR="007575B8" w:rsidRPr="0048631F" w:rsidRDefault="004D78AD" w:rsidP="00024BB0">
      <w:pPr>
        <w:pStyle w:val="Heading3"/>
        <w:rPr>
          <w:rFonts w:ascii="Arial" w:hAnsi="Arial" w:cs="Arial"/>
        </w:rPr>
      </w:pPr>
      <w:bookmarkStart w:id="89" w:name="_Toc235889335"/>
      <w:r w:rsidRPr="0048631F">
        <w:rPr>
          <w:rFonts w:ascii="Arial" w:hAnsi="Arial" w:cs="Arial"/>
        </w:rPr>
        <w:t>4.5.1 Findings</w:t>
      </w:r>
      <w:bookmarkEnd w:id="89"/>
    </w:p>
    <w:tbl>
      <w:tblPr>
        <w:tblStyle w:val="a4"/>
        <w:tblW w:w="9975" w:type="dxa"/>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5"/>
        <w:gridCol w:w="1275"/>
        <w:gridCol w:w="1560"/>
        <w:gridCol w:w="1155"/>
        <w:gridCol w:w="1485"/>
        <w:gridCol w:w="1530"/>
        <w:gridCol w:w="1635"/>
      </w:tblGrid>
      <w:tr w:rsidR="0048631F" w:rsidRPr="0048631F" w14:paraId="4B255A19" w14:textId="77777777">
        <w:tc>
          <w:tcPr>
            <w:tcW w:w="1335" w:type="dxa"/>
          </w:tcPr>
          <w:p w14:paraId="5D712FAA" w14:textId="77777777" w:rsidR="007575B8" w:rsidRPr="0048631F" w:rsidRDefault="004D78AD" w:rsidP="00024BB0">
            <w:pPr>
              <w:spacing w:line="360" w:lineRule="auto"/>
              <w:jc w:val="center"/>
              <w:rPr>
                <w:rFonts w:ascii="Arial" w:hAnsi="Arial" w:cs="Arial"/>
                <w:b/>
                <w:bCs/>
              </w:rPr>
            </w:pPr>
            <w:bookmarkStart w:id="90" w:name="_heading=h.nxpe4mp0akjb" w:colFirst="0" w:colLast="0"/>
            <w:bookmarkEnd w:id="90"/>
            <w:r w:rsidRPr="0048631F">
              <w:rPr>
                <w:rFonts w:ascii="Arial" w:hAnsi="Arial" w:cs="Arial"/>
                <w:b/>
                <w:bCs/>
              </w:rPr>
              <w:t>Author(s) &amp; Year</w:t>
            </w:r>
          </w:p>
        </w:tc>
        <w:tc>
          <w:tcPr>
            <w:tcW w:w="1275" w:type="dxa"/>
          </w:tcPr>
          <w:p w14:paraId="5A3E6519"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Study Aim</w:t>
            </w:r>
          </w:p>
        </w:tc>
        <w:tc>
          <w:tcPr>
            <w:tcW w:w="1560" w:type="dxa"/>
          </w:tcPr>
          <w:p w14:paraId="26B94FD8"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Industry/Context</w:t>
            </w:r>
          </w:p>
        </w:tc>
        <w:tc>
          <w:tcPr>
            <w:tcW w:w="1155" w:type="dxa"/>
          </w:tcPr>
          <w:p w14:paraId="2E38CA31"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Methodology</w:t>
            </w:r>
          </w:p>
        </w:tc>
        <w:tc>
          <w:tcPr>
            <w:tcW w:w="1485" w:type="dxa"/>
          </w:tcPr>
          <w:p w14:paraId="53B18088"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Key Findings</w:t>
            </w:r>
          </w:p>
        </w:tc>
        <w:tc>
          <w:tcPr>
            <w:tcW w:w="1530" w:type="dxa"/>
          </w:tcPr>
          <w:p w14:paraId="5B9CCD3A"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Relevance to Current Study</w:t>
            </w:r>
          </w:p>
        </w:tc>
        <w:tc>
          <w:tcPr>
            <w:tcW w:w="1635" w:type="dxa"/>
          </w:tcPr>
          <w:p w14:paraId="297A1286"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Contribution to Theme</w:t>
            </w:r>
          </w:p>
        </w:tc>
      </w:tr>
      <w:tr w:rsidR="0048631F" w:rsidRPr="0048631F" w14:paraId="749A990E" w14:textId="77777777">
        <w:tc>
          <w:tcPr>
            <w:tcW w:w="1335" w:type="dxa"/>
          </w:tcPr>
          <w:p w14:paraId="72FE4C7E" w14:textId="77777777" w:rsidR="007575B8" w:rsidRPr="0048631F" w:rsidRDefault="004D78AD" w:rsidP="00024BB0">
            <w:pPr>
              <w:spacing w:line="360" w:lineRule="auto"/>
              <w:jc w:val="left"/>
              <w:rPr>
                <w:rFonts w:ascii="Arial" w:hAnsi="Arial" w:cs="Arial"/>
              </w:rPr>
            </w:pPr>
            <w:r w:rsidRPr="0048631F">
              <w:rPr>
                <w:rFonts w:ascii="Arial" w:hAnsi="Arial" w:cs="Arial"/>
              </w:rPr>
              <w:t>Magnússon (2025)</w:t>
            </w:r>
          </w:p>
        </w:tc>
        <w:tc>
          <w:tcPr>
            <w:tcW w:w="1275" w:type="dxa"/>
          </w:tcPr>
          <w:p w14:paraId="20C96EB1" w14:textId="77777777" w:rsidR="007575B8" w:rsidRPr="0048631F" w:rsidRDefault="004D78AD" w:rsidP="00024BB0">
            <w:pPr>
              <w:spacing w:line="360" w:lineRule="auto"/>
              <w:jc w:val="left"/>
              <w:rPr>
                <w:rFonts w:ascii="Arial" w:hAnsi="Arial" w:cs="Arial"/>
              </w:rPr>
            </w:pPr>
            <w:r w:rsidRPr="0048631F">
              <w:rPr>
                <w:rFonts w:ascii="Arial" w:hAnsi="Arial" w:cs="Arial"/>
              </w:rPr>
              <w:t>Examine ESG and financial distress</w:t>
            </w:r>
          </w:p>
        </w:tc>
        <w:tc>
          <w:tcPr>
            <w:tcW w:w="1560" w:type="dxa"/>
          </w:tcPr>
          <w:p w14:paraId="6AA84BF3" w14:textId="77777777" w:rsidR="007575B8" w:rsidRPr="0048631F" w:rsidRDefault="004D78AD" w:rsidP="00024BB0">
            <w:pPr>
              <w:spacing w:line="360" w:lineRule="auto"/>
              <w:jc w:val="left"/>
              <w:rPr>
                <w:rFonts w:ascii="Arial" w:hAnsi="Arial" w:cs="Arial"/>
              </w:rPr>
            </w:pPr>
            <w:r w:rsidRPr="0048631F">
              <w:rPr>
                <w:rFonts w:ascii="Arial" w:hAnsi="Arial" w:cs="Arial"/>
              </w:rPr>
              <w:t>Aviation</w:t>
            </w:r>
          </w:p>
        </w:tc>
        <w:tc>
          <w:tcPr>
            <w:tcW w:w="1155" w:type="dxa"/>
          </w:tcPr>
          <w:p w14:paraId="55768656"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485" w:type="dxa"/>
          </w:tcPr>
          <w:p w14:paraId="3F0C8202" w14:textId="77777777" w:rsidR="007575B8" w:rsidRPr="0048631F" w:rsidRDefault="004D78AD" w:rsidP="00024BB0">
            <w:pPr>
              <w:spacing w:line="360" w:lineRule="auto"/>
              <w:jc w:val="left"/>
              <w:rPr>
                <w:rFonts w:ascii="Arial" w:hAnsi="Arial" w:cs="Arial"/>
              </w:rPr>
            </w:pPr>
            <w:r w:rsidRPr="0048631F">
              <w:rPr>
                <w:rFonts w:ascii="Arial" w:hAnsi="Arial" w:cs="Arial"/>
              </w:rPr>
              <w:t>Strong ESG reduces financial distress</w:t>
            </w:r>
          </w:p>
        </w:tc>
        <w:tc>
          <w:tcPr>
            <w:tcW w:w="1530" w:type="dxa"/>
          </w:tcPr>
          <w:p w14:paraId="5DE46EBA"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ESG benefits</w:t>
            </w:r>
          </w:p>
        </w:tc>
        <w:tc>
          <w:tcPr>
            <w:tcW w:w="1635" w:type="dxa"/>
          </w:tcPr>
          <w:p w14:paraId="1F78B3E8" w14:textId="77777777" w:rsidR="007575B8" w:rsidRPr="0048631F" w:rsidRDefault="004D78AD" w:rsidP="00024BB0">
            <w:pPr>
              <w:spacing w:line="360" w:lineRule="auto"/>
              <w:jc w:val="left"/>
              <w:rPr>
                <w:rFonts w:ascii="Arial" w:hAnsi="Arial" w:cs="Arial"/>
              </w:rPr>
            </w:pPr>
            <w:r w:rsidRPr="0048631F">
              <w:rPr>
                <w:rFonts w:ascii="Arial" w:hAnsi="Arial" w:cs="Arial"/>
              </w:rPr>
              <w:t>Links ESG with resilience</w:t>
            </w:r>
          </w:p>
        </w:tc>
      </w:tr>
      <w:tr w:rsidR="0048631F" w:rsidRPr="0048631F" w14:paraId="04922DE1" w14:textId="77777777">
        <w:tc>
          <w:tcPr>
            <w:tcW w:w="1335" w:type="dxa"/>
          </w:tcPr>
          <w:p w14:paraId="69EE9CC1" w14:textId="77777777" w:rsidR="007575B8" w:rsidRPr="0048631F" w:rsidRDefault="004D78AD" w:rsidP="00024BB0">
            <w:pPr>
              <w:spacing w:line="360" w:lineRule="auto"/>
              <w:jc w:val="left"/>
              <w:rPr>
                <w:rFonts w:ascii="Arial" w:hAnsi="Arial" w:cs="Arial"/>
              </w:rPr>
            </w:pPr>
            <w:r w:rsidRPr="0048631F">
              <w:rPr>
                <w:rFonts w:ascii="Arial" w:hAnsi="Arial" w:cs="Arial"/>
              </w:rPr>
              <w:t>Weber, Jones and Makinde (2025)</w:t>
            </w:r>
          </w:p>
        </w:tc>
        <w:tc>
          <w:tcPr>
            <w:tcW w:w="1275" w:type="dxa"/>
          </w:tcPr>
          <w:p w14:paraId="02007CE5" w14:textId="77777777" w:rsidR="007575B8" w:rsidRPr="0048631F" w:rsidRDefault="004D78AD" w:rsidP="00024BB0">
            <w:pPr>
              <w:spacing w:line="360" w:lineRule="auto"/>
              <w:jc w:val="left"/>
              <w:rPr>
                <w:rFonts w:ascii="Arial" w:hAnsi="Arial" w:cs="Arial"/>
              </w:rPr>
            </w:pPr>
            <w:r w:rsidRPr="0048631F">
              <w:rPr>
                <w:rFonts w:ascii="Arial" w:hAnsi="Arial" w:cs="Arial"/>
              </w:rPr>
              <w:t>Evaluate sustainability ratings</w:t>
            </w:r>
          </w:p>
        </w:tc>
        <w:tc>
          <w:tcPr>
            <w:tcW w:w="1560" w:type="dxa"/>
          </w:tcPr>
          <w:p w14:paraId="67C41C6E" w14:textId="77777777" w:rsidR="007575B8" w:rsidRPr="0048631F" w:rsidRDefault="004D78AD" w:rsidP="00024BB0">
            <w:pPr>
              <w:spacing w:line="360" w:lineRule="auto"/>
              <w:jc w:val="left"/>
              <w:rPr>
                <w:rFonts w:ascii="Arial" w:hAnsi="Arial" w:cs="Arial"/>
              </w:rPr>
            </w:pPr>
            <w:r w:rsidRPr="0048631F">
              <w:rPr>
                <w:rFonts w:ascii="Arial" w:hAnsi="Arial" w:cs="Arial"/>
              </w:rPr>
              <w:t>Aviation</w:t>
            </w:r>
          </w:p>
        </w:tc>
        <w:tc>
          <w:tcPr>
            <w:tcW w:w="1155" w:type="dxa"/>
          </w:tcPr>
          <w:p w14:paraId="69838D7D"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485" w:type="dxa"/>
          </w:tcPr>
          <w:p w14:paraId="76D7E9F8" w14:textId="77777777" w:rsidR="007575B8" w:rsidRPr="0048631F" w:rsidRDefault="004D78AD" w:rsidP="00024BB0">
            <w:pPr>
              <w:spacing w:line="360" w:lineRule="auto"/>
              <w:jc w:val="left"/>
              <w:rPr>
                <w:rFonts w:ascii="Arial" w:hAnsi="Arial" w:cs="Arial"/>
              </w:rPr>
            </w:pPr>
            <w:r w:rsidRPr="0048631F">
              <w:rPr>
                <w:rFonts w:ascii="Arial" w:hAnsi="Arial" w:cs="Arial"/>
              </w:rPr>
              <w:t>ESG ratings improve financial performance</w:t>
            </w:r>
          </w:p>
        </w:tc>
        <w:tc>
          <w:tcPr>
            <w:tcW w:w="1530" w:type="dxa"/>
          </w:tcPr>
          <w:p w14:paraId="5437CF12" w14:textId="77777777" w:rsidR="007575B8" w:rsidRPr="0048631F" w:rsidRDefault="004D78AD" w:rsidP="00024BB0">
            <w:pPr>
              <w:spacing w:line="360" w:lineRule="auto"/>
              <w:jc w:val="left"/>
              <w:rPr>
                <w:rFonts w:ascii="Arial" w:hAnsi="Arial" w:cs="Arial"/>
              </w:rPr>
            </w:pPr>
            <w:r w:rsidRPr="0048631F">
              <w:rPr>
                <w:rFonts w:ascii="Arial" w:hAnsi="Arial" w:cs="Arial"/>
              </w:rPr>
              <w:t>Supports ESG value creation</w:t>
            </w:r>
          </w:p>
        </w:tc>
        <w:tc>
          <w:tcPr>
            <w:tcW w:w="1635" w:type="dxa"/>
          </w:tcPr>
          <w:p w14:paraId="7C0FC8AA" w14:textId="77777777" w:rsidR="007575B8" w:rsidRPr="0048631F" w:rsidRDefault="004D78AD" w:rsidP="00024BB0">
            <w:pPr>
              <w:spacing w:line="360" w:lineRule="auto"/>
              <w:jc w:val="left"/>
              <w:rPr>
                <w:rFonts w:ascii="Arial" w:hAnsi="Arial" w:cs="Arial"/>
              </w:rPr>
            </w:pPr>
            <w:r w:rsidRPr="0048631F">
              <w:rPr>
                <w:rFonts w:ascii="Arial" w:hAnsi="Arial" w:cs="Arial"/>
              </w:rPr>
              <w:t>Connects disclosure with performance</w:t>
            </w:r>
          </w:p>
        </w:tc>
      </w:tr>
      <w:tr w:rsidR="0048631F" w:rsidRPr="0048631F" w14:paraId="025F2106" w14:textId="77777777">
        <w:tc>
          <w:tcPr>
            <w:tcW w:w="1335" w:type="dxa"/>
          </w:tcPr>
          <w:p w14:paraId="76F6B79F" w14:textId="77777777" w:rsidR="007575B8" w:rsidRPr="0048631F" w:rsidRDefault="004D78AD" w:rsidP="00024BB0">
            <w:pPr>
              <w:spacing w:line="360" w:lineRule="auto"/>
              <w:jc w:val="left"/>
              <w:rPr>
                <w:rFonts w:ascii="Arial" w:hAnsi="Arial" w:cs="Arial"/>
              </w:rPr>
            </w:pPr>
            <w:r w:rsidRPr="0048631F">
              <w:rPr>
                <w:rFonts w:ascii="Arial" w:hAnsi="Arial" w:cs="Arial"/>
              </w:rPr>
              <w:t>Zengin (2025)</w:t>
            </w:r>
          </w:p>
        </w:tc>
        <w:tc>
          <w:tcPr>
            <w:tcW w:w="1275" w:type="dxa"/>
          </w:tcPr>
          <w:p w14:paraId="71EF5960" w14:textId="77777777" w:rsidR="007575B8" w:rsidRPr="0048631F" w:rsidRDefault="004D78AD" w:rsidP="00024BB0">
            <w:pPr>
              <w:spacing w:line="360" w:lineRule="auto"/>
              <w:jc w:val="left"/>
              <w:rPr>
                <w:rFonts w:ascii="Arial" w:hAnsi="Arial" w:cs="Arial"/>
              </w:rPr>
            </w:pPr>
            <w:r w:rsidRPr="0048631F">
              <w:rPr>
                <w:rFonts w:ascii="Arial" w:hAnsi="Arial" w:cs="Arial"/>
              </w:rPr>
              <w:t>Assess ESG profitability</w:t>
            </w:r>
          </w:p>
        </w:tc>
        <w:tc>
          <w:tcPr>
            <w:tcW w:w="1560" w:type="dxa"/>
          </w:tcPr>
          <w:p w14:paraId="0644B994" w14:textId="77777777" w:rsidR="007575B8" w:rsidRPr="0048631F" w:rsidRDefault="004D78AD" w:rsidP="00024BB0">
            <w:pPr>
              <w:spacing w:line="360" w:lineRule="auto"/>
              <w:jc w:val="left"/>
              <w:rPr>
                <w:rFonts w:ascii="Arial" w:hAnsi="Arial" w:cs="Arial"/>
              </w:rPr>
            </w:pPr>
            <w:r w:rsidRPr="0048631F">
              <w:rPr>
                <w:rFonts w:ascii="Arial" w:hAnsi="Arial" w:cs="Arial"/>
              </w:rPr>
              <w:t>EU aviation</w:t>
            </w:r>
          </w:p>
        </w:tc>
        <w:tc>
          <w:tcPr>
            <w:tcW w:w="1155" w:type="dxa"/>
          </w:tcPr>
          <w:p w14:paraId="1590266E" w14:textId="77777777" w:rsidR="007575B8" w:rsidRPr="0048631F" w:rsidRDefault="004D78AD" w:rsidP="00024BB0">
            <w:pPr>
              <w:spacing w:line="360" w:lineRule="auto"/>
              <w:jc w:val="left"/>
              <w:rPr>
                <w:rFonts w:ascii="Arial" w:hAnsi="Arial" w:cs="Arial"/>
              </w:rPr>
            </w:pPr>
            <w:r w:rsidRPr="0048631F">
              <w:rPr>
                <w:rFonts w:ascii="Arial" w:hAnsi="Arial" w:cs="Arial"/>
              </w:rPr>
              <w:t>Panel analysis</w:t>
            </w:r>
          </w:p>
        </w:tc>
        <w:tc>
          <w:tcPr>
            <w:tcW w:w="1485" w:type="dxa"/>
          </w:tcPr>
          <w:p w14:paraId="561EFE43" w14:textId="77777777" w:rsidR="007575B8" w:rsidRPr="0048631F" w:rsidRDefault="004D78AD" w:rsidP="00024BB0">
            <w:pPr>
              <w:spacing w:line="360" w:lineRule="auto"/>
              <w:jc w:val="left"/>
              <w:rPr>
                <w:rFonts w:ascii="Arial" w:hAnsi="Arial" w:cs="Arial"/>
              </w:rPr>
            </w:pPr>
            <w:r w:rsidRPr="0048631F">
              <w:rPr>
                <w:rFonts w:ascii="Arial" w:hAnsi="Arial" w:cs="Arial"/>
              </w:rPr>
              <w:t>ESG improves profitability</w:t>
            </w:r>
          </w:p>
        </w:tc>
        <w:tc>
          <w:tcPr>
            <w:tcW w:w="1530" w:type="dxa"/>
          </w:tcPr>
          <w:p w14:paraId="7E0D21EF" w14:textId="77777777" w:rsidR="007575B8" w:rsidRPr="0048631F" w:rsidRDefault="004D78AD" w:rsidP="00024BB0">
            <w:pPr>
              <w:spacing w:line="360" w:lineRule="auto"/>
              <w:jc w:val="left"/>
              <w:rPr>
                <w:rFonts w:ascii="Arial" w:hAnsi="Arial" w:cs="Arial"/>
              </w:rPr>
            </w:pPr>
            <w:r w:rsidRPr="0048631F">
              <w:rPr>
                <w:rFonts w:ascii="Arial" w:hAnsi="Arial" w:cs="Arial"/>
              </w:rPr>
              <w:t>Relevant to airline competitiveness</w:t>
            </w:r>
          </w:p>
        </w:tc>
        <w:tc>
          <w:tcPr>
            <w:tcW w:w="1635" w:type="dxa"/>
          </w:tcPr>
          <w:p w14:paraId="58DBC69C" w14:textId="77777777" w:rsidR="007575B8" w:rsidRPr="0048631F" w:rsidRDefault="004D78AD" w:rsidP="00024BB0">
            <w:pPr>
              <w:spacing w:line="360" w:lineRule="auto"/>
              <w:jc w:val="left"/>
              <w:rPr>
                <w:rFonts w:ascii="Arial" w:hAnsi="Arial" w:cs="Arial"/>
              </w:rPr>
            </w:pPr>
            <w:r w:rsidRPr="0048631F">
              <w:rPr>
                <w:rFonts w:ascii="Arial" w:hAnsi="Arial" w:cs="Arial"/>
              </w:rPr>
              <w:t>Supports business case for ESG</w:t>
            </w:r>
          </w:p>
        </w:tc>
      </w:tr>
      <w:tr w:rsidR="0048631F" w:rsidRPr="0048631F" w14:paraId="7D8DDFB5" w14:textId="77777777">
        <w:tc>
          <w:tcPr>
            <w:tcW w:w="1335" w:type="dxa"/>
          </w:tcPr>
          <w:p w14:paraId="16828832" w14:textId="77777777" w:rsidR="007575B8" w:rsidRPr="0048631F" w:rsidRDefault="004D78AD" w:rsidP="00024BB0">
            <w:pPr>
              <w:spacing w:line="360" w:lineRule="auto"/>
              <w:jc w:val="left"/>
              <w:rPr>
                <w:rFonts w:ascii="Arial" w:hAnsi="Arial" w:cs="Arial"/>
              </w:rPr>
            </w:pPr>
            <w:r w:rsidRPr="0048631F">
              <w:rPr>
                <w:rFonts w:ascii="Arial" w:hAnsi="Arial" w:cs="Arial"/>
              </w:rPr>
              <w:t>Alici (2025)</w:t>
            </w:r>
          </w:p>
        </w:tc>
        <w:tc>
          <w:tcPr>
            <w:tcW w:w="1275" w:type="dxa"/>
          </w:tcPr>
          <w:p w14:paraId="28AFB5AB" w14:textId="77777777" w:rsidR="007575B8" w:rsidRPr="0048631F" w:rsidRDefault="004D78AD" w:rsidP="00024BB0">
            <w:pPr>
              <w:spacing w:line="360" w:lineRule="auto"/>
              <w:jc w:val="left"/>
              <w:rPr>
                <w:rFonts w:ascii="Arial" w:hAnsi="Arial" w:cs="Arial"/>
              </w:rPr>
            </w:pPr>
            <w:r w:rsidRPr="0048631F">
              <w:rPr>
                <w:rFonts w:ascii="Arial" w:hAnsi="Arial" w:cs="Arial"/>
              </w:rPr>
              <w:t>Evaluate airline sustainability</w:t>
            </w:r>
          </w:p>
        </w:tc>
        <w:tc>
          <w:tcPr>
            <w:tcW w:w="1560" w:type="dxa"/>
          </w:tcPr>
          <w:p w14:paraId="77D920E2" w14:textId="77777777" w:rsidR="007575B8" w:rsidRPr="0048631F" w:rsidRDefault="004D78AD" w:rsidP="00024BB0">
            <w:pPr>
              <w:spacing w:line="360" w:lineRule="auto"/>
              <w:jc w:val="left"/>
              <w:rPr>
                <w:rFonts w:ascii="Arial" w:hAnsi="Arial" w:cs="Arial"/>
              </w:rPr>
            </w:pPr>
            <w:r w:rsidRPr="0048631F">
              <w:rPr>
                <w:rFonts w:ascii="Arial" w:hAnsi="Arial" w:cs="Arial"/>
              </w:rPr>
              <w:t>Airlines</w:t>
            </w:r>
          </w:p>
        </w:tc>
        <w:tc>
          <w:tcPr>
            <w:tcW w:w="1155" w:type="dxa"/>
          </w:tcPr>
          <w:p w14:paraId="5FCF6E0B" w14:textId="77777777" w:rsidR="007575B8" w:rsidRPr="0048631F" w:rsidRDefault="004D78AD" w:rsidP="00024BB0">
            <w:pPr>
              <w:spacing w:line="360" w:lineRule="auto"/>
              <w:jc w:val="left"/>
              <w:rPr>
                <w:rFonts w:ascii="Arial" w:hAnsi="Arial" w:cs="Arial"/>
              </w:rPr>
            </w:pPr>
            <w:r w:rsidRPr="0048631F">
              <w:rPr>
                <w:rFonts w:ascii="Arial" w:hAnsi="Arial" w:cs="Arial"/>
              </w:rPr>
              <w:t>Financial analysis</w:t>
            </w:r>
          </w:p>
        </w:tc>
        <w:tc>
          <w:tcPr>
            <w:tcW w:w="1485" w:type="dxa"/>
          </w:tcPr>
          <w:p w14:paraId="33BD8439"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enhances resilience</w:t>
            </w:r>
          </w:p>
        </w:tc>
        <w:tc>
          <w:tcPr>
            <w:tcW w:w="1530" w:type="dxa"/>
          </w:tcPr>
          <w:p w14:paraId="08864B96" w14:textId="77777777" w:rsidR="007575B8" w:rsidRPr="0048631F" w:rsidRDefault="004D78AD" w:rsidP="00024BB0">
            <w:pPr>
              <w:spacing w:line="360" w:lineRule="auto"/>
              <w:jc w:val="left"/>
              <w:rPr>
                <w:rFonts w:ascii="Arial" w:hAnsi="Arial" w:cs="Arial"/>
              </w:rPr>
            </w:pPr>
            <w:r w:rsidRPr="0048631F">
              <w:rPr>
                <w:rFonts w:ascii="Arial" w:hAnsi="Arial" w:cs="Arial"/>
              </w:rPr>
              <w:t>Supports long-term sustainability</w:t>
            </w:r>
          </w:p>
        </w:tc>
        <w:tc>
          <w:tcPr>
            <w:tcW w:w="1635" w:type="dxa"/>
          </w:tcPr>
          <w:p w14:paraId="230E7AE8" w14:textId="77777777" w:rsidR="007575B8" w:rsidRPr="0048631F" w:rsidRDefault="004D78AD" w:rsidP="00024BB0">
            <w:pPr>
              <w:spacing w:line="360" w:lineRule="auto"/>
              <w:jc w:val="left"/>
              <w:rPr>
                <w:rFonts w:ascii="Arial" w:hAnsi="Arial" w:cs="Arial"/>
              </w:rPr>
            </w:pPr>
            <w:r w:rsidRPr="0048631F">
              <w:rPr>
                <w:rFonts w:ascii="Arial" w:hAnsi="Arial" w:cs="Arial"/>
              </w:rPr>
              <w:t>Links finance and sustainability</w:t>
            </w:r>
          </w:p>
        </w:tc>
      </w:tr>
      <w:tr w:rsidR="0048631F" w:rsidRPr="0048631F" w14:paraId="064EFA4D" w14:textId="77777777">
        <w:tc>
          <w:tcPr>
            <w:tcW w:w="1335" w:type="dxa"/>
          </w:tcPr>
          <w:p w14:paraId="46CC2341" w14:textId="77777777" w:rsidR="007575B8" w:rsidRPr="0048631F" w:rsidRDefault="004D78AD" w:rsidP="00024BB0">
            <w:pPr>
              <w:spacing w:line="360" w:lineRule="auto"/>
              <w:jc w:val="left"/>
              <w:rPr>
                <w:rFonts w:ascii="Arial" w:hAnsi="Arial" w:cs="Arial"/>
              </w:rPr>
            </w:pPr>
            <w:r w:rsidRPr="0048631F">
              <w:rPr>
                <w:rFonts w:ascii="Arial" w:hAnsi="Arial" w:cs="Arial"/>
              </w:rPr>
              <w:t>Doğan (2025)</w:t>
            </w:r>
          </w:p>
        </w:tc>
        <w:tc>
          <w:tcPr>
            <w:tcW w:w="1275" w:type="dxa"/>
          </w:tcPr>
          <w:p w14:paraId="2071623C" w14:textId="77777777" w:rsidR="007575B8" w:rsidRPr="0048631F" w:rsidRDefault="004D78AD" w:rsidP="00024BB0">
            <w:pPr>
              <w:spacing w:line="360" w:lineRule="auto"/>
              <w:jc w:val="left"/>
              <w:rPr>
                <w:rFonts w:ascii="Arial" w:hAnsi="Arial" w:cs="Arial"/>
              </w:rPr>
            </w:pPr>
            <w:r w:rsidRPr="0048631F">
              <w:rPr>
                <w:rFonts w:ascii="Arial" w:hAnsi="Arial" w:cs="Arial"/>
              </w:rPr>
              <w:t>Analyse ESG efficiency</w:t>
            </w:r>
          </w:p>
        </w:tc>
        <w:tc>
          <w:tcPr>
            <w:tcW w:w="1560" w:type="dxa"/>
          </w:tcPr>
          <w:p w14:paraId="38D267AC" w14:textId="77777777" w:rsidR="007575B8" w:rsidRPr="0048631F" w:rsidRDefault="004D78AD" w:rsidP="00024BB0">
            <w:pPr>
              <w:spacing w:line="360" w:lineRule="auto"/>
              <w:jc w:val="left"/>
              <w:rPr>
                <w:rFonts w:ascii="Arial" w:hAnsi="Arial" w:cs="Arial"/>
              </w:rPr>
            </w:pPr>
            <w:r w:rsidRPr="0048631F">
              <w:rPr>
                <w:rFonts w:ascii="Arial" w:hAnsi="Arial" w:cs="Arial"/>
              </w:rPr>
              <w:t>Aircraft manufacturing</w:t>
            </w:r>
          </w:p>
        </w:tc>
        <w:tc>
          <w:tcPr>
            <w:tcW w:w="1155" w:type="dxa"/>
          </w:tcPr>
          <w:p w14:paraId="7ADFFD15"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485" w:type="dxa"/>
          </w:tcPr>
          <w:p w14:paraId="7DFD1965" w14:textId="77777777" w:rsidR="007575B8" w:rsidRPr="0048631F" w:rsidRDefault="004D78AD" w:rsidP="00024BB0">
            <w:pPr>
              <w:spacing w:line="360" w:lineRule="auto"/>
              <w:jc w:val="left"/>
              <w:rPr>
                <w:rFonts w:ascii="Arial" w:hAnsi="Arial" w:cs="Arial"/>
              </w:rPr>
            </w:pPr>
            <w:r w:rsidRPr="0048631F">
              <w:rPr>
                <w:rFonts w:ascii="Arial" w:hAnsi="Arial" w:cs="Arial"/>
              </w:rPr>
              <w:t>Higher ESG improves efficiency</w:t>
            </w:r>
          </w:p>
        </w:tc>
        <w:tc>
          <w:tcPr>
            <w:tcW w:w="1530" w:type="dxa"/>
          </w:tcPr>
          <w:p w14:paraId="71C420D0"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operational benefits</w:t>
            </w:r>
          </w:p>
        </w:tc>
        <w:tc>
          <w:tcPr>
            <w:tcW w:w="1635" w:type="dxa"/>
          </w:tcPr>
          <w:p w14:paraId="0C2BC5C6" w14:textId="77777777" w:rsidR="007575B8" w:rsidRPr="0048631F" w:rsidRDefault="004D78AD" w:rsidP="00024BB0">
            <w:pPr>
              <w:spacing w:line="360" w:lineRule="auto"/>
              <w:jc w:val="left"/>
              <w:rPr>
                <w:rFonts w:ascii="Arial" w:hAnsi="Arial" w:cs="Arial"/>
              </w:rPr>
            </w:pPr>
            <w:r w:rsidRPr="0048631F">
              <w:rPr>
                <w:rFonts w:ascii="Arial" w:hAnsi="Arial" w:cs="Arial"/>
              </w:rPr>
              <w:t>Connects ESG and efficiency</w:t>
            </w:r>
          </w:p>
        </w:tc>
      </w:tr>
      <w:tr w:rsidR="0048631F" w:rsidRPr="0048631F" w14:paraId="192306EE" w14:textId="77777777">
        <w:tc>
          <w:tcPr>
            <w:tcW w:w="1335" w:type="dxa"/>
          </w:tcPr>
          <w:p w14:paraId="1EE50662"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Goyal (2026)</w:t>
            </w:r>
          </w:p>
        </w:tc>
        <w:tc>
          <w:tcPr>
            <w:tcW w:w="1275" w:type="dxa"/>
          </w:tcPr>
          <w:p w14:paraId="5332B019" w14:textId="77777777" w:rsidR="007575B8" w:rsidRPr="0048631F" w:rsidRDefault="004D78AD" w:rsidP="00024BB0">
            <w:pPr>
              <w:spacing w:line="360" w:lineRule="auto"/>
              <w:jc w:val="left"/>
              <w:rPr>
                <w:rFonts w:ascii="Arial" w:hAnsi="Arial" w:cs="Arial"/>
              </w:rPr>
            </w:pPr>
            <w:r w:rsidRPr="0048631F">
              <w:rPr>
                <w:rFonts w:ascii="Arial" w:hAnsi="Arial" w:cs="Arial"/>
              </w:rPr>
              <w:t>Examine disclosure and financial performance</w:t>
            </w:r>
          </w:p>
        </w:tc>
        <w:tc>
          <w:tcPr>
            <w:tcW w:w="1560" w:type="dxa"/>
          </w:tcPr>
          <w:p w14:paraId="5A9A8865" w14:textId="77777777" w:rsidR="007575B8" w:rsidRPr="0048631F" w:rsidRDefault="004D78AD" w:rsidP="00024BB0">
            <w:pPr>
              <w:spacing w:line="360" w:lineRule="auto"/>
              <w:jc w:val="left"/>
              <w:rPr>
                <w:rFonts w:ascii="Arial" w:hAnsi="Arial" w:cs="Arial"/>
              </w:rPr>
            </w:pPr>
            <w:r w:rsidRPr="0048631F">
              <w:rPr>
                <w:rFonts w:ascii="Arial" w:hAnsi="Arial" w:cs="Arial"/>
              </w:rPr>
              <w:t>Low-cost airlines</w:t>
            </w:r>
          </w:p>
        </w:tc>
        <w:tc>
          <w:tcPr>
            <w:tcW w:w="1155" w:type="dxa"/>
          </w:tcPr>
          <w:p w14:paraId="756F784F" w14:textId="77777777" w:rsidR="007575B8" w:rsidRPr="0048631F" w:rsidRDefault="004D78AD" w:rsidP="00024BB0">
            <w:pPr>
              <w:spacing w:line="360" w:lineRule="auto"/>
              <w:jc w:val="left"/>
              <w:rPr>
                <w:rFonts w:ascii="Arial" w:hAnsi="Arial" w:cs="Arial"/>
              </w:rPr>
            </w:pPr>
            <w:r w:rsidRPr="0048631F">
              <w:rPr>
                <w:rFonts w:ascii="Arial" w:hAnsi="Arial" w:cs="Arial"/>
              </w:rPr>
              <w:t>Panel analysis</w:t>
            </w:r>
          </w:p>
        </w:tc>
        <w:tc>
          <w:tcPr>
            <w:tcW w:w="1485" w:type="dxa"/>
          </w:tcPr>
          <w:p w14:paraId="506764EF"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disclosure improves performance</w:t>
            </w:r>
          </w:p>
        </w:tc>
        <w:tc>
          <w:tcPr>
            <w:tcW w:w="1530" w:type="dxa"/>
          </w:tcPr>
          <w:p w14:paraId="299816F1" w14:textId="77777777" w:rsidR="007575B8" w:rsidRPr="0048631F" w:rsidRDefault="004D78AD" w:rsidP="00024BB0">
            <w:pPr>
              <w:spacing w:line="360" w:lineRule="auto"/>
              <w:jc w:val="left"/>
              <w:rPr>
                <w:rFonts w:ascii="Arial" w:hAnsi="Arial" w:cs="Arial"/>
              </w:rPr>
            </w:pPr>
            <w:r w:rsidRPr="0048631F">
              <w:rPr>
                <w:rFonts w:ascii="Arial" w:hAnsi="Arial" w:cs="Arial"/>
              </w:rPr>
              <w:t>Highly relevant to IndiGo</w:t>
            </w:r>
          </w:p>
        </w:tc>
        <w:tc>
          <w:tcPr>
            <w:tcW w:w="1635" w:type="dxa"/>
          </w:tcPr>
          <w:p w14:paraId="4AB4E787" w14:textId="77777777" w:rsidR="007575B8" w:rsidRPr="0048631F" w:rsidRDefault="004D78AD" w:rsidP="00024BB0">
            <w:pPr>
              <w:spacing w:line="360" w:lineRule="auto"/>
              <w:jc w:val="left"/>
              <w:rPr>
                <w:rFonts w:ascii="Arial" w:hAnsi="Arial" w:cs="Arial"/>
              </w:rPr>
            </w:pPr>
            <w:r w:rsidRPr="0048631F">
              <w:rPr>
                <w:rFonts w:ascii="Arial" w:hAnsi="Arial" w:cs="Arial"/>
              </w:rPr>
              <w:t>Links disclosure with profitability</w:t>
            </w:r>
          </w:p>
        </w:tc>
      </w:tr>
      <w:tr w:rsidR="0048631F" w:rsidRPr="0048631F" w14:paraId="53090575" w14:textId="77777777">
        <w:tc>
          <w:tcPr>
            <w:tcW w:w="1335" w:type="dxa"/>
          </w:tcPr>
          <w:p w14:paraId="6FCD869D" w14:textId="77777777" w:rsidR="007575B8" w:rsidRPr="0048631F" w:rsidRDefault="004D78AD" w:rsidP="00024BB0">
            <w:pPr>
              <w:spacing w:line="360" w:lineRule="auto"/>
              <w:jc w:val="left"/>
              <w:rPr>
                <w:rFonts w:ascii="Arial" w:hAnsi="Arial" w:cs="Arial"/>
              </w:rPr>
            </w:pPr>
            <w:r w:rsidRPr="0048631F">
              <w:rPr>
                <w:rFonts w:ascii="Arial" w:hAnsi="Arial" w:cs="Arial"/>
              </w:rPr>
              <w:t>Kaffash et al. (2026)</w:t>
            </w:r>
          </w:p>
        </w:tc>
        <w:tc>
          <w:tcPr>
            <w:tcW w:w="1275" w:type="dxa"/>
          </w:tcPr>
          <w:p w14:paraId="3AB2310B" w14:textId="77777777" w:rsidR="007575B8" w:rsidRPr="0048631F" w:rsidRDefault="004D78AD" w:rsidP="00024BB0">
            <w:pPr>
              <w:spacing w:line="360" w:lineRule="auto"/>
              <w:jc w:val="left"/>
              <w:rPr>
                <w:rFonts w:ascii="Arial" w:hAnsi="Arial" w:cs="Arial"/>
              </w:rPr>
            </w:pPr>
            <w:r w:rsidRPr="0048631F">
              <w:rPr>
                <w:rFonts w:ascii="Arial" w:hAnsi="Arial" w:cs="Arial"/>
              </w:rPr>
              <w:t>Evaluate environmental sustainability</w:t>
            </w:r>
          </w:p>
        </w:tc>
        <w:tc>
          <w:tcPr>
            <w:tcW w:w="1560" w:type="dxa"/>
          </w:tcPr>
          <w:p w14:paraId="61103E26" w14:textId="77777777" w:rsidR="007575B8" w:rsidRPr="0048631F" w:rsidRDefault="004D78AD" w:rsidP="00024BB0">
            <w:pPr>
              <w:spacing w:line="360" w:lineRule="auto"/>
              <w:jc w:val="left"/>
              <w:rPr>
                <w:rFonts w:ascii="Arial" w:hAnsi="Arial" w:cs="Arial"/>
              </w:rPr>
            </w:pPr>
            <w:r w:rsidRPr="0048631F">
              <w:rPr>
                <w:rFonts w:ascii="Arial" w:hAnsi="Arial" w:cs="Arial"/>
              </w:rPr>
              <w:t>US airlines</w:t>
            </w:r>
          </w:p>
        </w:tc>
        <w:tc>
          <w:tcPr>
            <w:tcW w:w="1155" w:type="dxa"/>
          </w:tcPr>
          <w:p w14:paraId="472D18C3"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485" w:type="dxa"/>
          </w:tcPr>
          <w:p w14:paraId="281BCC54" w14:textId="77777777" w:rsidR="007575B8" w:rsidRPr="0048631F" w:rsidRDefault="004D78AD" w:rsidP="00024BB0">
            <w:pPr>
              <w:spacing w:line="360" w:lineRule="auto"/>
              <w:jc w:val="left"/>
              <w:rPr>
                <w:rFonts w:ascii="Arial" w:hAnsi="Arial" w:cs="Arial"/>
              </w:rPr>
            </w:pPr>
            <w:r w:rsidRPr="0048631F">
              <w:rPr>
                <w:rFonts w:ascii="Arial" w:hAnsi="Arial" w:cs="Arial"/>
              </w:rPr>
              <w:t>Better environmental performance improves efficiency</w:t>
            </w:r>
          </w:p>
        </w:tc>
        <w:tc>
          <w:tcPr>
            <w:tcW w:w="1530" w:type="dxa"/>
          </w:tcPr>
          <w:p w14:paraId="4D7A840A" w14:textId="77777777" w:rsidR="007575B8" w:rsidRPr="0048631F" w:rsidRDefault="004D78AD" w:rsidP="00024BB0">
            <w:pPr>
              <w:spacing w:line="360" w:lineRule="auto"/>
              <w:jc w:val="left"/>
              <w:rPr>
                <w:rFonts w:ascii="Arial" w:hAnsi="Arial" w:cs="Arial"/>
              </w:rPr>
            </w:pPr>
            <w:r w:rsidRPr="0048631F">
              <w:rPr>
                <w:rFonts w:ascii="Arial" w:hAnsi="Arial" w:cs="Arial"/>
              </w:rPr>
              <w:t>Supports operational improvements</w:t>
            </w:r>
          </w:p>
        </w:tc>
        <w:tc>
          <w:tcPr>
            <w:tcW w:w="1635" w:type="dxa"/>
          </w:tcPr>
          <w:p w14:paraId="70283F15" w14:textId="77777777" w:rsidR="007575B8" w:rsidRPr="0048631F" w:rsidRDefault="004D78AD" w:rsidP="00024BB0">
            <w:pPr>
              <w:spacing w:line="360" w:lineRule="auto"/>
              <w:jc w:val="left"/>
              <w:rPr>
                <w:rFonts w:ascii="Arial" w:hAnsi="Arial" w:cs="Arial"/>
              </w:rPr>
            </w:pPr>
            <w:r w:rsidRPr="0048631F">
              <w:rPr>
                <w:rFonts w:ascii="Arial" w:hAnsi="Arial" w:cs="Arial"/>
              </w:rPr>
              <w:t>Links sustainability and efficiency</w:t>
            </w:r>
          </w:p>
        </w:tc>
      </w:tr>
      <w:tr w:rsidR="0048631F" w:rsidRPr="0048631F" w14:paraId="7104FF53" w14:textId="77777777">
        <w:tc>
          <w:tcPr>
            <w:tcW w:w="1335" w:type="dxa"/>
          </w:tcPr>
          <w:p w14:paraId="1C234B06" w14:textId="77777777" w:rsidR="007575B8" w:rsidRPr="0048631F" w:rsidRDefault="004D78AD" w:rsidP="00024BB0">
            <w:pPr>
              <w:spacing w:line="360" w:lineRule="auto"/>
              <w:jc w:val="left"/>
              <w:rPr>
                <w:rFonts w:ascii="Arial" w:hAnsi="Arial" w:cs="Arial"/>
              </w:rPr>
            </w:pPr>
            <w:r w:rsidRPr="0048631F">
              <w:rPr>
                <w:rFonts w:ascii="Arial" w:hAnsi="Arial" w:cs="Arial"/>
              </w:rPr>
              <w:t>Czocherra (2025)</w:t>
            </w:r>
          </w:p>
        </w:tc>
        <w:tc>
          <w:tcPr>
            <w:tcW w:w="1275" w:type="dxa"/>
          </w:tcPr>
          <w:p w14:paraId="1101DFC7" w14:textId="77777777" w:rsidR="007575B8" w:rsidRPr="0048631F" w:rsidRDefault="004D78AD" w:rsidP="00024BB0">
            <w:pPr>
              <w:spacing w:line="360" w:lineRule="auto"/>
              <w:jc w:val="left"/>
              <w:rPr>
                <w:rFonts w:ascii="Arial" w:hAnsi="Arial" w:cs="Arial"/>
              </w:rPr>
            </w:pPr>
            <w:r w:rsidRPr="0048631F">
              <w:rPr>
                <w:rFonts w:ascii="Arial" w:hAnsi="Arial" w:cs="Arial"/>
              </w:rPr>
              <w:t>Examine ESG during crises</w:t>
            </w:r>
          </w:p>
        </w:tc>
        <w:tc>
          <w:tcPr>
            <w:tcW w:w="1560" w:type="dxa"/>
          </w:tcPr>
          <w:p w14:paraId="0FF28A6C" w14:textId="77777777" w:rsidR="007575B8" w:rsidRPr="0048631F" w:rsidRDefault="004D78AD" w:rsidP="00024BB0">
            <w:pPr>
              <w:spacing w:line="360" w:lineRule="auto"/>
              <w:jc w:val="left"/>
              <w:rPr>
                <w:rFonts w:ascii="Arial" w:hAnsi="Arial" w:cs="Arial"/>
              </w:rPr>
            </w:pPr>
            <w:r w:rsidRPr="0048631F">
              <w:rPr>
                <w:rFonts w:ascii="Arial" w:hAnsi="Arial" w:cs="Arial"/>
              </w:rPr>
              <w:t>Airlines</w:t>
            </w:r>
          </w:p>
        </w:tc>
        <w:tc>
          <w:tcPr>
            <w:tcW w:w="1155" w:type="dxa"/>
          </w:tcPr>
          <w:p w14:paraId="66B4FC64" w14:textId="77777777" w:rsidR="007575B8" w:rsidRPr="0048631F" w:rsidRDefault="004D78AD" w:rsidP="00024BB0">
            <w:pPr>
              <w:spacing w:line="360" w:lineRule="auto"/>
              <w:jc w:val="left"/>
              <w:rPr>
                <w:rFonts w:ascii="Arial" w:hAnsi="Arial" w:cs="Arial"/>
              </w:rPr>
            </w:pPr>
            <w:r w:rsidRPr="0048631F">
              <w:rPr>
                <w:rFonts w:ascii="Arial" w:hAnsi="Arial" w:cs="Arial"/>
              </w:rPr>
              <w:t>Difference-in-difference</w:t>
            </w:r>
          </w:p>
        </w:tc>
        <w:tc>
          <w:tcPr>
            <w:tcW w:w="1485" w:type="dxa"/>
          </w:tcPr>
          <w:p w14:paraId="48437A25" w14:textId="77777777" w:rsidR="007575B8" w:rsidRPr="0048631F" w:rsidRDefault="004D78AD" w:rsidP="00024BB0">
            <w:pPr>
              <w:spacing w:line="360" w:lineRule="auto"/>
              <w:jc w:val="left"/>
              <w:rPr>
                <w:rFonts w:ascii="Arial" w:hAnsi="Arial" w:cs="Arial"/>
              </w:rPr>
            </w:pPr>
            <w:r w:rsidRPr="0048631F">
              <w:rPr>
                <w:rFonts w:ascii="Arial" w:hAnsi="Arial" w:cs="Arial"/>
              </w:rPr>
              <w:t>High ESG improves crisis resilience</w:t>
            </w:r>
          </w:p>
        </w:tc>
        <w:tc>
          <w:tcPr>
            <w:tcW w:w="1530" w:type="dxa"/>
          </w:tcPr>
          <w:p w14:paraId="5FB1B3E8" w14:textId="77777777" w:rsidR="007575B8" w:rsidRPr="0048631F" w:rsidRDefault="004D78AD" w:rsidP="00024BB0">
            <w:pPr>
              <w:spacing w:line="360" w:lineRule="auto"/>
              <w:jc w:val="left"/>
              <w:rPr>
                <w:rFonts w:ascii="Arial" w:hAnsi="Arial" w:cs="Arial"/>
              </w:rPr>
            </w:pPr>
            <w:r w:rsidRPr="0048631F">
              <w:rPr>
                <w:rFonts w:ascii="Arial" w:hAnsi="Arial" w:cs="Arial"/>
              </w:rPr>
              <w:t>Supports strategic value of ESG</w:t>
            </w:r>
          </w:p>
        </w:tc>
        <w:tc>
          <w:tcPr>
            <w:tcW w:w="1635" w:type="dxa"/>
          </w:tcPr>
          <w:p w14:paraId="3F4FBCA6" w14:textId="77777777" w:rsidR="007575B8" w:rsidRPr="0048631F" w:rsidRDefault="004D78AD" w:rsidP="00024BB0">
            <w:pPr>
              <w:spacing w:line="360" w:lineRule="auto"/>
              <w:jc w:val="left"/>
              <w:rPr>
                <w:rFonts w:ascii="Arial" w:hAnsi="Arial" w:cs="Arial"/>
              </w:rPr>
            </w:pPr>
            <w:r w:rsidRPr="0048631F">
              <w:rPr>
                <w:rFonts w:ascii="Arial" w:hAnsi="Arial" w:cs="Arial"/>
              </w:rPr>
              <w:t>Demonstrates resilience benefits</w:t>
            </w:r>
          </w:p>
        </w:tc>
      </w:tr>
    </w:tbl>
    <w:p w14:paraId="67C3F6E1" w14:textId="1F3225BF" w:rsidR="007575B8" w:rsidRPr="0048631F" w:rsidRDefault="004D78AD" w:rsidP="00024BB0">
      <w:pPr>
        <w:pStyle w:val="Heading5"/>
        <w:rPr>
          <w:rFonts w:ascii="Arial" w:hAnsi="Arial" w:cs="Arial"/>
        </w:rPr>
      </w:pPr>
      <w:bookmarkStart w:id="91" w:name="_Toc235889271"/>
      <w:r w:rsidRPr="0048631F">
        <w:rPr>
          <w:rFonts w:ascii="Arial" w:hAnsi="Arial" w:cs="Arial"/>
        </w:rPr>
        <w:t xml:space="preserve">Table 4.3: Theme 3 Summary – Relationship </w:t>
      </w:r>
      <w:r w:rsidR="00595442" w:rsidRPr="0048631F">
        <w:rPr>
          <w:rFonts w:ascii="Arial" w:hAnsi="Arial" w:cs="Arial"/>
        </w:rPr>
        <w:t>between</w:t>
      </w:r>
      <w:r w:rsidRPr="0048631F">
        <w:rPr>
          <w:rFonts w:ascii="Arial" w:hAnsi="Arial" w:cs="Arial"/>
        </w:rPr>
        <w:t xml:space="preserve"> ESG Disclosure and Carbon Reduction Performance</w:t>
      </w:r>
      <w:bookmarkEnd w:id="91"/>
    </w:p>
    <w:p w14:paraId="18749FBF" w14:textId="61FBAF57"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 xml:space="preserve">The research literature reviewed shows that companies with improved ESG ratings tend to see benefits for their organisational resilience, operational efficiency and long-term sustainability. The results in Magnússon (2025) support the finding that sustainability measures, through the implementation of ESG, increase organisational stability and reduce financial distress. Weber et al. (2025) also noted that ESG performance goes beyond compliance, as improved scores lead to enhanced stakeholder confidence and corporate reputation, which benefits organizational performance. In the European aviation industry, better ESG results positively influence competitiveness of organisations by providing support for sustainability in the long-term (Zengin, 2025). In the same way, Alici (2025) even found that sustainable business practices enhance organisational resilience by enabling efficient utilization of resources and future-proof planning. However, Doğan (2025) showed that the use of ESG in organisation's operational process positively affected the efficiency of the working process by stimulating the use of the resources and the decision making process. Similarly, Goyal (2026) concluded that sustainability disclosure positively </w:t>
      </w:r>
      <w:r w:rsidRPr="0048631F">
        <w:rPr>
          <w:rFonts w:ascii="Arial" w:hAnsi="Arial" w:cs="Arial"/>
        </w:rPr>
        <w:lastRenderedPageBreak/>
        <w:t>impacts an organization's performance as it boosts the transparency and confidence among stakeholders in low-cost airlines. Similarly, Kaffash et al. (2026) suggested that reducing environmental sustainability can lead to increased technical and operational inefficiency among US airlines. Czocherra (2025) also revealed that enterprises that perform well on ESG are better equipped to deal with organisational turmoil during times of economic stress. Overall, the analysed studies show that organizations can strengthen their long-term performance and sustainable operation by effectively implementing ESG.</w:t>
      </w:r>
    </w:p>
    <w:p w14:paraId="4D211137" w14:textId="77777777" w:rsidR="007575B8" w:rsidRPr="0048631F" w:rsidRDefault="004D78AD" w:rsidP="00024BB0">
      <w:pPr>
        <w:pStyle w:val="Heading3"/>
        <w:rPr>
          <w:rFonts w:ascii="Arial" w:hAnsi="Arial" w:cs="Arial"/>
        </w:rPr>
      </w:pPr>
      <w:bookmarkStart w:id="92" w:name="_Toc235889336"/>
      <w:r w:rsidRPr="0048631F">
        <w:rPr>
          <w:rFonts w:ascii="Arial" w:hAnsi="Arial" w:cs="Arial"/>
        </w:rPr>
        <w:t>4.5.2 Analysis</w:t>
      </w:r>
      <w:bookmarkEnd w:id="92"/>
    </w:p>
    <w:p w14:paraId="089E58FB" w14:textId="42B48D7D"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While the reviewed studies proved a link between higher ESG scores and better organisational performance, they also raised doubts about whether the increases could be equated with tangible environmental gains. While ESG lowers organisational risk by bolstering resilience and sustainability, financial distress does not guarantee major outcomes in terms of carbon reduction (Magnússon, 2025). This means that there is an organisational performance and an environmental performance to be assessed separately. Weber, Jones and Makinde (2025) proposed that better scores on the ESG metric lead to better organisational performance due to increased stakeholder trust and corporate reputation. ESG ratings, however, are often designed to tie together environmental, social and governance characteristics, casting doubt on whether better ratings translate to environmental gains or to more general governance gains. Therefore, improvements in ESG performance do not necessarily lead to tangible reductions in aviation emissions. Goyal (2026) demonstrated that the sustainability disclosure leads towards increasing organizational performance via greater transparency. However, a higher level of disclosure does not automatically mean that environmental results are better as the quality of disclosure varies across organisations. On the same lines, Kaffash et al. (2026) showed that environmental sustainability provides an operational efficiency, Doğan (2025) claimed that ESG integration generates an organizational efficiency. The results indicated that, although operational improvements were found to positively contribute towards sustainability goals, they must be sustained and clearly presented with environmental measures and metrics to show the benefits. Thus, the added value of the implementation of ESG rests on the organisations but the value to carbon reduction requires clear measurement and incorporation into what is currently being done.</w:t>
      </w:r>
    </w:p>
    <w:p w14:paraId="3DC83B2C" w14:textId="77777777" w:rsidR="007575B8" w:rsidRPr="0048631F" w:rsidRDefault="004D78AD" w:rsidP="00024BB0">
      <w:pPr>
        <w:pStyle w:val="Heading3"/>
        <w:rPr>
          <w:rFonts w:ascii="Arial" w:hAnsi="Arial" w:cs="Arial"/>
        </w:rPr>
      </w:pPr>
      <w:bookmarkStart w:id="93" w:name="_Toc235889337"/>
      <w:r w:rsidRPr="0048631F">
        <w:rPr>
          <w:rFonts w:ascii="Arial" w:hAnsi="Arial" w:cs="Arial"/>
        </w:rPr>
        <w:lastRenderedPageBreak/>
        <w:t>4.5.3 Discussion</w:t>
      </w:r>
      <w:bookmarkEnd w:id="93"/>
    </w:p>
    <w:p w14:paraId="4592E458" w14:textId="4D8D91F7" w:rsidR="007575B8" w:rsidRPr="0048631F" w:rsidRDefault="00DF11E0" w:rsidP="00024BB0">
      <w:pPr>
        <w:pBdr>
          <w:top w:val="nil"/>
          <w:left w:val="nil"/>
          <w:bottom w:val="nil"/>
          <w:right w:val="nil"/>
          <w:between w:val="nil"/>
        </w:pBdr>
        <w:rPr>
          <w:rFonts w:ascii="Arial" w:hAnsi="Arial" w:cs="Arial"/>
        </w:rPr>
      </w:pPr>
      <w:r w:rsidRPr="0048631F">
        <w:rPr>
          <w:rFonts w:ascii="Arial" w:hAnsi="Arial" w:cs="Arial"/>
        </w:rPr>
        <w:t xml:space="preserve">In contrast, ESG implementation not only improves performance in the short term in the organisation, but also bolster resilience in the long term by creating better risk management (Magnússon 2025). This infuses Stakeholder Theory that expects organizations to provide visible value to stakeholders via responsible governance and care of the environment, with evidence-based data. The credibility of the implementation of ESG values and practices, and not just the value of sustainability commitments, affects the confidence of stakeholders. According to Weber, Jones and Makinde (2025), a higher score for ESG helps build organisations' reputation and stakeholder confidence. Improved ESG ratings should, however, not be seen as a direct proof of a successful environmental performance as ESG ratings involve a multitude of sustainability dimensions. It connects to Legitimacy Theory, that is, organisations solidify legitimacy through responsible governance, but that can erode if the ESG claims made or reported is not backed by environmental outcomes. Kaffash et al. (2026) argued that adopting the principles of environmental sustainability has positive impacts on operational efficiency when these principles are part of the organizational processes. Likewise, Czocherra (2025) found that ESG performance has a positive impact on the resilience of an organisation in times of uncertainty, suggesting that sustainability should be incorporated into corporate strategy rather than a compliance measure. </w:t>
      </w:r>
      <w:r w:rsidR="00C67386" w:rsidRPr="0048631F">
        <w:rPr>
          <w:rFonts w:ascii="Arial" w:hAnsi="Arial" w:cs="Arial"/>
        </w:rPr>
        <w:t>These results indicate that the adoption of ESG for IndiGo should not be limited to organizational performance enhancement but must be complemented by transparent and consistent reporting, and operational practices that generate measurable environmental progress.</w:t>
      </w:r>
      <w:r w:rsidRPr="0048631F">
        <w:rPr>
          <w:rFonts w:ascii="Arial" w:hAnsi="Arial" w:cs="Arial"/>
        </w:rPr>
        <w:t xml:space="preserve"> Incorporating ESG goals into planning and decision-making would bring greater credibility to organizations, build confidence from stakeholders, and offer increased certainty that sustainability goals support long-term environmental and organisational outcomes.</w:t>
      </w:r>
    </w:p>
    <w:p w14:paraId="2F4EEA3F" w14:textId="77777777" w:rsidR="007575B8" w:rsidRPr="0048631F" w:rsidRDefault="004D78AD" w:rsidP="00024BB0">
      <w:pPr>
        <w:pStyle w:val="Heading2"/>
        <w:rPr>
          <w:rFonts w:ascii="Arial" w:hAnsi="Arial" w:cs="Arial"/>
        </w:rPr>
      </w:pPr>
      <w:bookmarkStart w:id="94" w:name="_Toc235889338"/>
      <w:r w:rsidRPr="0048631F">
        <w:rPr>
          <w:rFonts w:ascii="Arial" w:hAnsi="Arial" w:cs="Arial"/>
        </w:rPr>
        <w:t>4.6 Theme 4: Greenwashing Risks and Disclosure-Performance Gap</w:t>
      </w:r>
      <w:bookmarkEnd w:id="94"/>
    </w:p>
    <w:p w14:paraId="017D4A68" w14:textId="77777777" w:rsidR="007575B8" w:rsidRPr="0048631F" w:rsidRDefault="004D78AD" w:rsidP="00024BB0">
      <w:pPr>
        <w:pStyle w:val="Heading3"/>
        <w:rPr>
          <w:rFonts w:ascii="Arial" w:hAnsi="Arial" w:cs="Arial"/>
        </w:rPr>
      </w:pPr>
      <w:bookmarkStart w:id="95" w:name="_Toc235889339"/>
      <w:r w:rsidRPr="0048631F">
        <w:rPr>
          <w:rFonts w:ascii="Arial" w:hAnsi="Arial" w:cs="Arial"/>
        </w:rPr>
        <w:t>4.6.1 Findings</w:t>
      </w:r>
      <w:bookmarkEnd w:id="95"/>
    </w:p>
    <w:tbl>
      <w:tblPr>
        <w:tblStyle w:val="a5"/>
        <w:tblW w:w="10065"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5"/>
        <w:gridCol w:w="1275"/>
        <w:gridCol w:w="1560"/>
        <w:gridCol w:w="1245"/>
        <w:gridCol w:w="1515"/>
        <w:gridCol w:w="1335"/>
        <w:gridCol w:w="1710"/>
      </w:tblGrid>
      <w:tr w:rsidR="0048631F" w:rsidRPr="0048631F" w14:paraId="1B1D1E5B" w14:textId="77777777">
        <w:tc>
          <w:tcPr>
            <w:tcW w:w="1425" w:type="dxa"/>
          </w:tcPr>
          <w:p w14:paraId="3E9C3140" w14:textId="77777777" w:rsidR="007575B8" w:rsidRPr="0048631F" w:rsidRDefault="004D78AD" w:rsidP="00024BB0">
            <w:pPr>
              <w:spacing w:line="360" w:lineRule="auto"/>
              <w:jc w:val="center"/>
              <w:rPr>
                <w:rFonts w:ascii="Arial" w:hAnsi="Arial" w:cs="Arial"/>
                <w:b/>
                <w:bCs/>
              </w:rPr>
            </w:pPr>
            <w:bookmarkStart w:id="96" w:name="_heading=h.etzl2qt8sibn" w:colFirst="0" w:colLast="0"/>
            <w:bookmarkEnd w:id="96"/>
            <w:r w:rsidRPr="0048631F">
              <w:rPr>
                <w:rFonts w:ascii="Arial" w:hAnsi="Arial" w:cs="Arial"/>
                <w:b/>
                <w:bCs/>
              </w:rPr>
              <w:t>Author(s) &amp; Year</w:t>
            </w:r>
          </w:p>
        </w:tc>
        <w:tc>
          <w:tcPr>
            <w:tcW w:w="1275" w:type="dxa"/>
          </w:tcPr>
          <w:p w14:paraId="091A4A4F"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Study Aim</w:t>
            </w:r>
          </w:p>
        </w:tc>
        <w:tc>
          <w:tcPr>
            <w:tcW w:w="1560" w:type="dxa"/>
          </w:tcPr>
          <w:p w14:paraId="50A16069"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Industry/Context</w:t>
            </w:r>
          </w:p>
        </w:tc>
        <w:tc>
          <w:tcPr>
            <w:tcW w:w="1245" w:type="dxa"/>
          </w:tcPr>
          <w:p w14:paraId="59FC805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Methodology</w:t>
            </w:r>
          </w:p>
        </w:tc>
        <w:tc>
          <w:tcPr>
            <w:tcW w:w="1515" w:type="dxa"/>
          </w:tcPr>
          <w:p w14:paraId="46D3C45F"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Key Findings</w:t>
            </w:r>
          </w:p>
        </w:tc>
        <w:tc>
          <w:tcPr>
            <w:tcW w:w="1335" w:type="dxa"/>
          </w:tcPr>
          <w:p w14:paraId="452150A5"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Relevance to Current Study</w:t>
            </w:r>
          </w:p>
        </w:tc>
        <w:tc>
          <w:tcPr>
            <w:tcW w:w="1710" w:type="dxa"/>
          </w:tcPr>
          <w:p w14:paraId="2A1FA581"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Contribution to Theme</w:t>
            </w:r>
          </w:p>
        </w:tc>
      </w:tr>
      <w:tr w:rsidR="0048631F" w:rsidRPr="0048631F" w14:paraId="2C73BC79" w14:textId="77777777">
        <w:tc>
          <w:tcPr>
            <w:tcW w:w="1425" w:type="dxa"/>
          </w:tcPr>
          <w:p w14:paraId="47225064"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Árkai (2025)</w:t>
            </w:r>
          </w:p>
        </w:tc>
        <w:tc>
          <w:tcPr>
            <w:tcW w:w="1275" w:type="dxa"/>
          </w:tcPr>
          <w:p w14:paraId="0A72E32C" w14:textId="77777777" w:rsidR="007575B8" w:rsidRPr="0048631F" w:rsidRDefault="004D78AD" w:rsidP="00024BB0">
            <w:pPr>
              <w:spacing w:line="360" w:lineRule="auto"/>
              <w:jc w:val="left"/>
              <w:rPr>
                <w:rFonts w:ascii="Arial" w:hAnsi="Arial" w:cs="Arial"/>
              </w:rPr>
            </w:pPr>
            <w:r w:rsidRPr="0048631F">
              <w:rPr>
                <w:rFonts w:ascii="Arial" w:hAnsi="Arial" w:cs="Arial"/>
              </w:rPr>
              <w:t>Analyse SDG-washing</w:t>
            </w:r>
          </w:p>
        </w:tc>
        <w:tc>
          <w:tcPr>
            <w:tcW w:w="1560" w:type="dxa"/>
          </w:tcPr>
          <w:p w14:paraId="7481D677" w14:textId="77777777" w:rsidR="007575B8" w:rsidRPr="0048631F" w:rsidRDefault="004D78AD" w:rsidP="00024BB0">
            <w:pPr>
              <w:spacing w:line="360" w:lineRule="auto"/>
              <w:jc w:val="left"/>
              <w:rPr>
                <w:rFonts w:ascii="Arial" w:hAnsi="Arial" w:cs="Arial"/>
              </w:rPr>
            </w:pPr>
            <w:r w:rsidRPr="0048631F">
              <w:rPr>
                <w:rFonts w:ascii="Arial" w:hAnsi="Arial" w:cs="Arial"/>
              </w:rPr>
              <w:t>European airlines</w:t>
            </w:r>
          </w:p>
        </w:tc>
        <w:tc>
          <w:tcPr>
            <w:tcW w:w="1245" w:type="dxa"/>
          </w:tcPr>
          <w:p w14:paraId="340D7803" w14:textId="77777777" w:rsidR="007575B8" w:rsidRPr="0048631F" w:rsidRDefault="004D78AD" w:rsidP="00024BB0">
            <w:pPr>
              <w:spacing w:line="360" w:lineRule="auto"/>
              <w:jc w:val="left"/>
              <w:rPr>
                <w:rFonts w:ascii="Arial" w:hAnsi="Arial" w:cs="Arial"/>
              </w:rPr>
            </w:pPr>
            <w:r w:rsidRPr="0048631F">
              <w:rPr>
                <w:rFonts w:ascii="Arial" w:hAnsi="Arial" w:cs="Arial"/>
              </w:rPr>
              <w:t>Comparative analysis</w:t>
            </w:r>
          </w:p>
        </w:tc>
        <w:tc>
          <w:tcPr>
            <w:tcW w:w="1515" w:type="dxa"/>
          </w:tcPr>
          <w:p w14:paraId="03C1CA69"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claims may exaggerate performance</w:t>
            </w:r>
          </w:p>
        </w:tc>
        <w:tc>
          <w:tcPr>
            <w:tcW w:w="1335" w:type="dxa"/>
          </w:tcPr>
          <w:p w14:paraId="3C7EBDEA" w14:textId="77777777" w:rsidR="007575B8" w:rsidRPr="0048631F" w:rsidRDefault="004D78AD" w:rsidP="00024BB0">
            <w:pPr>
              <w:spacing w:line="360" w:lineRule="auto"/>
              <w:jc w:val="left"/>
              <w:rPr>
                <w:rFonts w:ascii="Arial" w:hAnsi="Arial" w:cs="Arial"/>
              </w:rPr>
            </w:pPr>
            <w:r w:rsidRPr="0048631F">
              <w:rPr>
                <w:rFonts w:ascii="Arial" w:hAnsi="Arial" w:cs="Arial"/>
              </w:rPr>
              <w:t>Supports greenwashing discussion</w:t>
            </w:r>
          </w:p>
        </w:tc>
        <w:tc>
          <w:tcPr>
            <w:tcW w:w="1710" w:type="dxa"/>
          </w:tcPr>
          <w:p w14:paraId="65489472" w14:textId="77777777" w:rsidR="007575B8" w:rsidRPr="0048631F" w:rsidRDefault="004D78AD" w:rsidP="00024BB0">
            <w:pPr>
              <w:spacing w:line="360" w:lineRule="auto"/>
              <w:jc w:val="left"/>
              <w:rPr>
                <w:rFonts w:ascii="Arial" w:hAnsi="Arial" w:cs="Arial"/>
              </w:rPr>
            </w:pPr>
            <w:r w:rsidRPr="0048631F">
              <w:rPr>
                <w:rFonts w:ascii="Arial" w:hAnsi="Arial" w:cs="Arial"/>
              </w:rPr>
              <w:t>Examines disclosure credibility</w:t>
            </w:r>
          </w:p>
        </w:tc>
      </w:tr>
      <w:tr w:rsidR="0048631F" w:rsidRPr="0048631F" w14:paraId="6DE161D7" w14:textId="77777777">
        <w:tc>
          <w:tcPr>
            <w:tcW w:w="1425" w:type="dxa"/>
          </w:tcPr>
          <w:p w14:paraId="6F122660" w14:textId="77777777" w:rsidR="007575B8" w:rsidRPr="0048631F" w:rsidRDefault="004D78AD" w:rsidP="00024BB0">
            <w:pPr>
              <w:spacing w:line="360" w:lineRule="auto"/>
              <w:jc w:val="left"/>
              <w:rPr>
                <w:rFonts w:ascii="Arial" w:hAnsi="Arial" w:cs="Arial"/>
              </w:rPr>
            </w:pPr>
            <w:r w:rsidRPr="0048631F">
              <w:rPr>
                <w:rFonts w:ascii="Arial" w:hAnsi="Arial" w:cs="Arial"/>
              </w:rPr>
              <w:t>Amran et al. (2026)</w:t>
            </w:r>
          </w:p>
        </w:tc>
        <w:tc>
          <w:tcPr>
            <w:tcW w:w="1275" w:type="dxa"/>
          </w:tcPr>
          <w:p w14:paraId="26572876" w14:textId="77777777" w:rsidR="007575B8" w:rsidRPr="0048631F" w:rsidRDefault="004D78AD" w:rsidP="00024BB0">
            <w:pPr>
              <w:spacing w:line="360" w:lineRule="auto"/>
              <w:jc w:val="left"/>
              <w:rPr>
                <w:rFonts w:ascii="Arial" w:hAnsi="Arial" w:cs="Arial"/>
              </w:rPr>
            </w:pPr>
            <w:r w:rsidRPr="0048631F">
              <w:rPr>
                <w:rFonts w:ascii="Arial" w:hAnsi="Arial" w:cs="Arial"/>
              </w:rPr>
              <w:t>Examine third-party assurance</w:t>
            </w:r>
          </w:p>
        </w:tc>
        <w:tc>
          <w:tcPr>
            <w:tcW w:w="1560" w:type="dxa"/>
          </w:tcPr>
          <w:p w14:paraId="78B80CCF" w14:textId="77777777" w:rsidR="007575B8" w:rsidRPr="0048631F" w:rsidRDefault="004D78AD" w:rsidP="00024BB0">
            <w:pPr>
              <w:spacing w:line="360" w:lineRule="auto"/>
              <w:jc w:val="left"/>
              <w:rPr>
                <w:rFonts w:ascii="Arial" w:hAnsi="Arial" w:cs="Arial"/>
              </w:rPr>
            </w:pPr>
            <w:r w:rsidRPr="0048631F">
              <w:rPr>
                <w:rFonts w:ascii="Arial" w:hAnsi="Arial" w:cs="Arial"/>
              </w:rPr>
              <w:t>Cross-industry</w:t>
            </w:r>
          </w:p>
        </w:tc>
        <w:tc>
          <w:tcPr>
            <w:tcW w:w="1245" w:type="dxa"/>
          </w:tcPr>
          <w:p w14:paraId="47D04827"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515" w:type="dxa"/>
          </w:tcPr>
          <w:p w14:paraId="1C6CC9D3" w14:textId="77777777" w:rsidR="007575B8" w:rsidRPr="0048631F" w:rsidRDefault="004D78AD" w:rsidP="00024BB0">
            <w:pPr>
              <w:spacing w:line="360" w:lineRule="auto"/>
              <w:jc w:val="left"/>
              <w:rPr>
                <w:rFonts w:ascii="Arial" w:hAnsi="Arial" w:cs="Arial"/>
              </w:rPr>
            </w:pPr>
            <w:r w:rsidRPr="0048631F">
              <w:rPr>
                <w:rFonts w:ascii="Arial" w:hAnsi="Arial" w:cs="Arial"/>
              </w:rPr>
              <w:t>Assurance improves reporting credibility</w:t>
            </w:r>
          </w:p>
        </w:tc>
        <w:tc>
          <w:tcPr>
            <w:tcW w:w="1335" w:type="dxa"/>
          </w:tcPr>
          <w:p w14:paraId="14876C56" w14:textId="77777777" w:rsidR="007575B8" w:rsidRPr="0048631F" w:rsidRDefault="004D78AD" w:rsidP="00024BB0">
            <w:pPr>
              <w:spacing w:line="360" w:lineRule="auto"/>
              <w:jc w:val="left"/>
              <w:rPr>
                <w:rFonts w:ascii="Arial" w:hAnsi="Arial" w:cs="Arial"/>
              </w:rPr>
            </w:pPr>
            <w:r w:rsidRPr="0048631F">
              <w:rPr>
                <w:rFonts w:ascii="Arial" w:hAnsi="Arial" w:cs="Arial"/>
              </w:rPr>
              <w:t>Reduces greenwashing risk</w:t>
            </w:r>
          </w:p>
        </w:tc>
        <w:tc>
          <w:tcPr>
            <w:tcW w:w="1710" w:type="dxa"/>
          </w:tcPr>
          <w:p w14:paraId="2A53DA10" w14:textId="77777777" w:rsidR="007575B8" w:rsidRPr="0048631F" w:rsidRDefault="004D78AD" w:rsidP="00024BB0">
            <w:pPr>
              <w:spacing w:line="360" w:lineRule="auto"/>
              <w:jc w:val="left"/>
              <w:rPr>
                <w:rFonts w:ascii="Arial" w:hAnsi="Arial" w:cs="Arial"/>
              </w:rPr>
            </w:pPr>
            <w:r w:rsidRPr="0048631F">
              <w:rPr>
                <w:rFonts w:ascii="Arial" w:hAnsi="Arial" w:cs="Arial"/>
              </w:rPr>
              <w:t>Supports verification mechanisms</w:t>
            </w:r>
          </w:p>
        </w:tc>
      </w:tr>
      <w:tr w:rsidR="0048631F" w:rsidRPr="0048631F" w14:paraId="2BB0C22C" w14:textId="77777777">
        <w:tc>
          <w:tcPr>
            <w:tcW w:w="1425" w:type="dxa"/>
          </w:tcPr>
          <w:p w14:paraId="7A7360A0" w14:textId="77777777" w:rsidR="007575B8" w:rsidRPr="0048631F" w:rsidRDefault="004D78AD" w:rsidP="00024BB0">
            <w:pPr>
              <w:spacing w:line="360" w:lineRule="auto"/>
              <w:jc w:val="left"/>
              <w:rPr>
                <w:rFonts w:ascii="Arial" w:hAnsi="Arial" w:cs="Arial"/>
              </w:rPr>
            </w:pPr>
            <w:r w:rsidRPr="0048631F">
              <w:rPr>
                <w:rFonts w:ascii="Arial" w:hAnsi="Arial" w:cs="Arial"/>
              </w:rPr>
              <w:t>Aragón-Correa et al. (2025)</w:t>
            </w:r>
          </w:p>
        </w:tc>
        <w:tc>
          <w:tcPr>
            <w:tcW w:w="1275" w:type="dxa"/>
          </w:tcPr>
          <w:p w14:paraId="374ECD24" w14:textId="77777777" w:rsidR="007575B8" w:rsidRPr="0048631F" w:rsidRDefault="004D78AD" w:rsidP="00024BB0">
            <w:pPr>
              <w:spacing w:line="360" w:lineRule="auto"/>
              <w:jc w:val="left"/>
              <w:rPr>
                <w:rFonts w:ascii="Arial" w:hAnsi="Arial" w:cs="Arial"/>
              </w:rPr>
            </w:pPr>
            <w:r w:rsidRPr="0048631F">
              <w:rPr>
                <w:rFonts w:ascii="Arial" w:hAnsi="Arial" w:cs="Arial"/>
              </w:rPr>
              <w:t>Improve environmental performance</w:t>
            </w:r>
          </w:p>
        </w:tc>
        <w:tc>
          <w:tcPr>
            <w:tcW w:w="1560" w:type="dxa"/>
          </w:tcPr>
          <w:p w14:paraId="6520B106" w14:textId="77777777" w:rsidR="007575B8" w:rsidRPr="0048631F" w:rsidRDefault="004D78AD" w:rsidP="00024BB0">
            <w:pPr>
              <w:spacing w:line="360" w:lineRule="auto"/>
              <w:jc w:val="left"/>
              <w:rPr>
                <w:rFonts w:ascii="Arial" w:hAnsi="Arial" w:cs="Arial"/>
              </w:rPr>
            </w:pPr>
            <w:r w:rsidRPr="0048631F">
              <w:rPr>
                <w:rFonts w:ascii="Arial" w:hAnsi="Arial" w:cs="Arial"/>
              </w:rPr>
              <w:t>Multiple industries</w:t>
            </w:r>
          </w:p>
        </w:tc>
        <w:tc>
          <w:tcPr>
            <w:tcW w:w="1245" w:type="dxa"/>
          </w:tcPr>
          <w:p w14:paraId="32340FF1"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515" w:type="dxa"/>
          </w:tcPr>
          <w:p w14:paraId="12546573" w14:textId="77777777" w:rsidR="007575B8" w:rsidRPr="0048631F" w:rsidRDefault="004D78AD" w:rsidP="00024BB0">
            <w:pPr>
              <w:spacing w:line="360" w:lineRule="auto"/>
              <w:jc w:val="left"/>
              <w:rPr>
                <w:rFonts w:ascii="Arial" w:hAnsi="Arial" w:cs="Arial"/>
              </w:rPr>
            </w:pPr>
            <w:r w:rsidRPr="0048631F">
              <w:rPr>
                <w:rFonts w:ascii="Arial" w:hAnsi="Arial" w:cs="Arial"/>
              </w:rPr>
              <w:t>Internal governance strengthens sustainability</w:t>
            </w:r>
          </w:p>
        </w:tc>
        <w:tc>
          <w:tcPr>
            <w:tcW w:w="1335" w:type="dxa"/>
          </w:tcPr>
          <w:p w14:paraId="4AC49889" w14:textId="77777777" w:rsidR="007575B8" w:rsidRPr="0048631F" w:rsidRDefault="004D78AD" w:rsidP="00024BB0">
            <w:pPr>
              <w:spacing w:line="360" w:lineRule="auto"/>
              <w:jc w:val="left"/>
              <w:rPr>
                <w:rFonts w:ascii="Arial" w:hAnsi="Arial" w:cs="Arial"/>
              </w:rPr>
            </w:pPr>
            <w:r w:rsidRPr="0048631F">
              <w:rPr>
                <w:rFonts w:ascii="Arial" w:hAnsi="Arial" w:cs="Arial"/>
              </w:rPr>
              <w:t>Supports governance improvements</w:t>
            </w:r>
          </w:p>
        </w:tc>
        <w:tc>
          <w:tcPr>
            <w:tcW w:w="1710" w:type="dxa"/>
          </w:tcPr>
          <w:p w14:paraId="731C9C9A" w14:textId="77777777" w:rsidR="007575B8" w:rsidRPr="0048631F" w:rsidRDefault="004D78AD" w:rsidP="00024BB0">
            <w:pPr>
              <w:spacing w:line="360" w:lineRule="auto"/>
              <w:jc w:val="left"/>
              <w:rPr>
                <w:rFonts w:ascii="Arial" w:hAnsi="Arial" w:cs="Arial"/>
              </w:rPr>
            </w:pPr>
            <w:r w:rsidRPr="0048631F">
              <w:rPr>
                <w:rFonts w:ascii="Arial" w:hAnsi="Arial" w:cs="Arial"/>
              </w:rPr>
              <w:t>Links governance and ESG</w:t>
            </w:r>
          </w:p>
        </w:tc>
      </w:tr>
      <w:tr w:rsidR="0048631F" w:rsidRPr="0048631F" w14:paraId="197542B7" w14:textId="77777777">
        <w:tc>
          <w:tcPr>
            <w:tcW w:w="1425" w:type="dxa"/>
          </w:tcPr>
          <w:p w14:paraId="3715E023" w14:textId="77777777" w:rsidR="007575B8" w:rsidRPr="0048631F" w:rsidRDefault="004D78AD" w:rsidP="00024BB0">
            <w:pPr>
              <w:spacing w:line="360" w:lineRule="auto"/>
              <w:jc w:val="left"/>
              <w:rPr>
                <w:rFonts w:ascii="Arial" w:hAnsi="Arial" w:cs="Arial"/>
              </w:rPr>
            </w:pPr>
            <w:r w:rsidRPr="0048631F">
              <w:rPr>
                <w:rFonts w:ascii="Arial" w:hAnsi="Arial" w:cs="Arial"/>
              </w:rPr>
              <w:t>Cregan, Kelly and Clinch (2025)</w:t>
            </w:r>
          </w:p>
        </w:tc>
        <w:tc>
          <w:tcPr>
            <w:tcW w:w="1275" w:type="dxa"/>
          </w:tcPr>
          <w:p w14:paraId="5D44637F" w14:textId="77777777" w:rsidR="007575B8" w:rsidRPr="0048631F" w:rsidRDefault="004D78AD" w:rsidP="00024BB0">
            <w:pPr>
              <w:spacing w:line="360" w:lineRule="auto"/>
              <w:jc w:val="left"/>
              <w:rPr>
                <w:rFonts w:ascii="Arial" w:hAnsi="Arial" w:cs="Arial"/>
              </w:rPr>
            </w:pPr>
            <w:r w:rsidRPr="0048631F">
              <w:rPr>
                <w:rFonts w:ascii="Arial" w:hAnsi="Arial" w:cs="Arial"/>
              </w:rPr>
              <w:t>Assess ESG ratings in compensation</w:t>
            </w:r>
          </w:p>
        </w:tc>
        <w:tc>
          <w:tcPr>
            <w:tcW w:w="1560" w:type="dxa"/>
          </w:tcPr>
          <w:p w14:paraId="23A9F59A" w14:textId="77777777" w:rsidR="007575B8" w:rsidRPr="0048631F" w:rsidRDefault="004D78AD" w:rsidP="00024BB0">
            <w:pPr>
              <w:spacing w:line="360" w:lineRule="auto"/>
              <w:jc w:val="left"/>
              <w:rPr>
                <w:rFonts w:ascii="Arial" w:hAnsi="Arial" w:cs="Arial"/>
              </w:rPr>
            </w:pPr>
            <w:r w:rsidRPr="0048631F">
              <w:rPr>
                <w:rFonts w:ascii="Arial" w:hAnsi="Arial" w:cs="Arial"/>
              </w:rPr>
              <w:t>Corporate sector</w:t>
            </w:r>
          </w:p>
        </w:tc>
        <w:tc>
          <w:tcPr>
            <w:tcW w:w="1245" w:type="dxa"/>
          </w:tcPr>
          <w:p w14:paraId="4A3FCF17" w14:textId="77777777" w:rsidR="007575B8" w:rsidRPr="0048631F" w:rsidRDefault="004D78AD" w:rsidP="00024BB0">
            <w:pPr>
              <w:spacing w:line="360" w:lineRule="auto"/>
              <w:jc w:val="left"/>
              <w:rPr>
                <w:rFonts w:ascii="Arial" w:hAnsi="Arial" w:cs="Arial"/>
              </w:rPr>
            </w:pPr>
            <w:r w:rsidRPr="0048631F">
              <w:rPr>
                <w:rFonts w:ascii="Arial" w:hAnsi="Arial" w:cs="Arial"/>
              </w:rPr>
              <w:t>Review</w:t>
            </w:r>
          </w:p>
        </w:tc>
        <w:tc>
          <w:tcPr>
            <w:tcW w:w="1515" w:type="dxa"/>
          </w:tcPr>
          <w:p w14:paraId="0CF87D66" w14:textId="77777777" w:rsidR="007575B8" w:rsidRPr="0048631F" w:rsidRDefault="004D78AD" w:rsidP="00024BB0">
            <w:pPr>
              <w:spacing w:line="360" w:lineRule="auto"/>
              <w:jc w:val="left"/>
              <w:rPr>
                <w:rFonts w:ascii="Arial" w:hAnsi="Arial" w:cs="Arial"/>
              </w:rPr>
            </w:pPr>
            <w:r w:rsidRPr="0048631F">
              <w:rPr>
                <w:rFonts w:ascii="Arial" w:hAnsi="Arial" w:cs="Arial"/>
              </w:rPr>
              <w:t>ESG incentives require careful implementation</w:t>
            </w:r>
          </w:p>
        </w:tc>
        <w:tc>
          <w:tcPr>
            <w:tcW w:w="1335" w:type="dxa"/>
          </w:tcPr>
          <w:p w14:paraId="33EF75F1" w14:textId="77777777" w:rsidR="007575B8" w:rsidRPr="0048631F" w:rsidRDefault="004D78AD" w:rsidP="00024BB0">
            <w:pPr>
              <w:spacing w:line="360" w:lineRule="auto"/>
              <w:jc w:val="left"/>
              <w:rPr>
                <w:rFonts w:ascii="Arial" w:hAnsi="Arial" w:cs="Arial"/>
              </w:rPr>
            </w:pPr>
            <w:r w:rsidRPr="0048631F">
              <w:rPr>
                <w:rFonts w:ascii="Arial" w:hAnsi="Arial" w:cs="Arial"/>
              </w:rPr>
              <w:t>Supports governance discussion</w:t>
            </w:r>
          </w:p>
        </w:tc>
        <w:tc>
          <w:tcPr>
            <w:tcW w:w="1710" w:type="dxa"/>
          </w:tcPr>
          <w:p w14:paraId="048C67C2" w14:textId="77777777" w:rsidR="007575B8" w:rsidRPr="0048631F" w:rsidRDefault="004D78AD" w:rsidP="00024BB0">
            <w:pPr>
              <w:spacing w:line="360" w:lineRule="auto"/>
              <w:jc w:val="left"/>
              <w:rPr>
                <w:rFonts w:ascii="Arial" w:hAnsi="Arial" w:cs="Arial"/>
              </w:rPr>
            </w:pPr>
            <w:r w:rsidRPr="0048631F">
              <w:rPr>
                <w:rFonts w:ascii="Arial" w:hAnsi="Arial" w:cs="Arial"/>
              </w:rPr>
              <w:t>Explains incentive structures</w:t>
            </w:r>
          </w:p>
        </w:tc>
      </w:tr>
      <w:tr w:rsidR="0048631F" w:rsidRPr="0048631F" w14:paraId="70E12BF6" w14:textId="77777777">
        <w:tc>
          <w:tcPr>
            <w:tcW w:w="1425" w:type="dxa"/>
          </w:tcPr>
          <w:p w14:paraId="428D13AA" w14:textId="77777777" w:rsidR="007575B8" w:rsidRPr="0048631F" w:rsidRDefault="004D78AD" w:rsidP="00024BB0">
            <w:pPr>
              <w:spacing w:line="360" w:lineRule="auto"/>
              <w:jc w:val="left"/>
              <w:rPr>
                <w:rFonts w:ascii="Arial" w:hAnsi="Arial" w:cs="Arial"/>
              </w:rPr>
            </w:pPr>
            <w:r w:rsidRPr="0048631F">
              <w:rPr>
                <w:rFonts w:ascii="Arial" w:hAnsi="Arial" w:cs="Arial"/>
              </w:rPr>
              <w:t>Del Gesso and Lodhi (2025)</w:t>
            </w:r>
          </w:p>
        </w:tc>
        <w:tc>
          <w:tcPr>
            <w:tcW w:w="1275" w:type="dxa"/>
          </w:tcPr>
          <w:p w14:paraId="3938288A" w14:textId="77777777" w:rsidR="007575B8" w:rsidRPr="0048631F" w:rsidRDefault="004D78AD" w:rsidP="00024BB0">
            <w:pPr>
              <w:spacing w:line="360" w:lineRule="auto"/>
              <w:jc w:val="left"/>
              <w:rPr>
                <w:rFonts w:ascii="Arial" w:hAnsi="Arial" w:cs="Arial"/>
              </w:rPr>
            </w:pPr>
            <w:r w:rsidRPr="0048631F">
              <w:rPr>
                <w:rFonts w:ascii="Arial" w:hAnsi="Arial" w:cs="Arial"/>
              </w:rPr>
              <w:t>Review ESG disclosure theories</w:t>
            </w:r>
          </w:p>
        </w:tc>
        <w:tc>
          <w:tcPr>
            <w:tcW w:w="1560" w:type="dxa"/>
          </w:tcPr>
          <w:p w14:paraId="3A78106C" w14:textId="77777777" w:rsidR="007575B8" w:rsidRPr="0048631F" w:rsidRDefault="004D78AD" w:rsidP="00024BB0">
            <w:pPr>
              <w:spacing w:line="360" w:lineRule="auto"/>
              <w:jc w:val="left"/>
              <w:rPr>
                <w:rFonts w:ascii="Arial" w:hAnsi="Arial" w:cs="Arial"/>
              </w:rPr>
            </w:pPr>
            <w:r w:rsidRPr="0048631F">
              <w:rPr>
                <w:rFonts w:ascii="Arial" w:hAnsi="Arial" w:cs="Arial"/>
              </w:rPr>
              <w:t>Accounting</w:t>
            </w:r>
          </w:p>
        </w:tc>
        <w:tc>
          <w:tcPr>
            <w:tcW w:w="1245" w:type="dxa"/>
          </w:tcPr>
          <w:p w14:paraId="2B1AD45B" w14:textId="77777777" w:rsidR="007575B8" w:rsidRPr="0048631F" w:rsidRDefault="004D78AD" w:rsidP="00024BB0">
            <w:pPr>
              <w:spacing w:line="360" w:lineRule="auto"/>
              <w:jc w:val="left"/>
              <w:rPr>
                <w:rFonts w:ascii="Arial" w:hAnsi="Arial" w:cs="Arial"/>
              </w:rPr>
            </w:pPr>
            <w:r w:rsidRPr="0048631F">
              <w:rPr>
                <w:rFonts w:ascii="Arial" w:hAnsi="Arial" w:cs="Arial"/>
              </w:rPr>
              <w:t>Systematic review</w:t>
            </w:r>
          </w:p>
        </w:tc>
        <w:tc>
          <w:tcPr>
            <w:tcW w:w="1515" w:type="dxa"/>
          </w:tcPr>
          <w:p w14:paraId="3F5167B9" w14:textId="77777777" w:rsidR="007575B8" w:rsidRPr="0048631F" w:rsidRDefault="004D78AD" w:rsidP="00024BB0">
            <w:pPr>
              <w:spacing w:line="360" w:lineRule="auto"/>
              <w:jc w:val="left"/>
              <w:rPr>
                <w:rFonts w:ascii="Arial" w:hAnsi="Arial" w:cs="Arial"/>
              </w:rPr>
            </w:pPr>
            <w:r w:rsidRPr="0048631F">
              <w:rPr>
                <w:rFonts w:ascii="Arial" w:hAnsi="Arial" w:cs="Arial"/>
              </w:rPr>
              <w:t>Legitimacy influences ESG reporting</w:t>
            </w:r>
          </w:p>
        </w:tc>
        <w:tc>
          <w:tcPr>
            <w:tcW w:w="1335" w:type="dxa"/>
          </w:tcPr>
          <w:p w14:paraId="3104F4AE" w14:textId="77777777" w:rsidR="007575B8" w:rsidRPr="0048631F" w:rsidRDefault="004D78AD" w:rsidP="00024BB0">
            <w:pPr>
              <w:spacing w:line="360" w:lineRule="auto"/>
              <w:jc w:val="left"/>
              <w:rPr>
                <w:rFonts w:ascii="Arial" w:hAnsi="Arial" w:cs="Arial"/>
              </w:rPr>
            </w:pPr>
            <w:r w:rsidRPr="0048631F">
              <w:rPr>
                <w:rFonts w:ascii="Arial" w:hAnsi="Arial" w:cs="Arial"/>
              </w:rPr>
              <w:t>Supports theoretical analysis</w:t>
            </w:r>
          </w:p>
        </w:tc>
        <w:tc>
          <w:tcPr>
            <w:tcW w:w="1710" w:type="dxa"/>
          </w:tcPr>
          <w:p w14:paraId="262B9433" w14:textId="77777777" w:rsidR="007575B8" w:rsidRPr="0048631F" w:rsidRDefault="004D78AD" w:rsidP="00024BB0">
            <w:pPr>
              <w:spacing w:line="360" w:lineRule="auto"/>
              <w:jc w:val="left"/>
              <w:rPr>
                <w:rFonts w:ascii="Arial" w:hAnsi="Arial" w:cs="Arial"/>
              </w:rPr>
            </w:pPr>
            <w:r w:rsidRPr="0048631F">
              <w:rPr>
                <w:rFonts w:ascii="Arial" w:hAnsi="Arial" w:cs="Arial"/>
              </w:rPr>
              <w:t>Explains disclosure motivations</w:t>
            </w:r>
          </w:p>
        </w:tc>
      </w:tr>
      <w:tr w:rsidR="0048631F" w:rsidRPr="0048631F" w14:paraId="76F72C24" w14:textId="77777777">
        <w:tc>
          <w:tcPr>
            <w:tcW w:w="1425" w:type="dxa"/>
          </w:tcPr>
          <w:p w14:paraId="0960687E" w14:textId="77777777" w:rsidR="007575B8" w:rsidRPr="0048631F" w:rsidRDefault="004D78AD" w:rsidP="00024BB0">
            <w:pPr>
              <w:spacing w:line="360" w:lineRule="auto"/>
              <w:jc w:val="left"/>
              <w:rPr>
                <w:rFonts w:ascii="Arial" w:hAnsi="Arial" w:cs="Arial"/>
              </w:rPr>
            </w:pPr>
            <w:r w:rsidRPr="0048631F">
              <w:rPr>
                <w:rFonts w:ascii="Arial" w:hAnsi="Arial" w:cs="Arial"/>
              </w:rPr>
              <w:t>Mintah et al. (2026)</w:t>
            </w:r>
          </w:p>
        </w:tc>
        <w:tc>
          <w:tcPr>
            <w:tcW w:w="1275" w:type="dxa"/>
          </w:tcPr>
          <w:p w14:paraId="52956172" w14:textId="77777777" w:rsidR="007575B8" w:rsidRPr="0048631F" w:rsidRDefault="004D78AD" w:rsidP="00024BB0">
            <w:pPr>
              <w:spacing w:line="360" w:lineRule="auto"/>
              <w:jc w:val="left"/>
              <w:rPr>
                <w:rFonts w:ascii="Arial" w:hAnsi="Arial" w:cs="Arial"/>
              </w:rPr>
            </w:pPr>
            <w:r w:rsidRPr="0048631F">
              <w:rPr>
                <w:rFonts w:ascii="Arial" w:hAnsi="Arial" w:cs="Arial"/>
              </w:rPr>
              <w:t>Examine board diversity</w:t>
            </w:r>
          </w:p>
        </w:tc>
        <w:tc>
          <w:tcPr>
            <w:tcW w:w="1560" w:type="dxa"/>
          </w:tcPr>
          <w:p w14:paraId="47C82AAE" w14:textId="77777777" w:rsidR="007575B8" w:rsidRPr="0048631F" w:rsidRDefault="004D78AD" w:rsidP="00024BB0">
            <w:pPr>
              <w:spacing w:line="360" w:lineRule="auto"/>
              <w:jc w:val="left"/>
              <w:rPr>
                <w:rFonts w:ascii="Arial" w:hAnsi="Arial" w:cs="Arial"/>
              </w:rPr>
            </w:pPr>
            <w:r w:rsidRPr="0048631F">
              <w:rPr>
                <w:rFonts w:ascii="Arial" w:hAnsi="Arial" w:cs="Arial"/>
              </w:rPr>
              <w:t>Airlines</w:t>
            </w:r>
          </w:p>
        </w:tc>
        <w:tc>
          <w:tcPr>
            <w:tcW w:w="1245" w:type="dxa"/>
          </w:tcPr>
          <w:p w14:paraId="651A2E00" w14:textId="77777777" w:rsidR="007575B8" w:rsidRPr="0048631F" w:rsidRDefault="004D78AD" w:rsidP="00024BB0">
            <w:pPr>
              <w:spacing w:line="360" w:lineRule="auto"/>
              <w:jc w:val="left"/>
              <w:rPr>
                <w:rFonts w:ascii="Arial" w:hAnsi="Arial" w:cs="Arial"/>
              </w:rPr>
            </w:pPr>
            <w:r w:rsidRPr="0048631F">
              <w:rPr>
                <w:rFonts w:ascii="Arial" w:hAnsi="Arial" w:cs="Arial"/>
              </w:rPr>
              <w:t>Quantitative</w:t>
            </w:r>
          </w:p>
        </w:tc>
        <w:tc>
          <w:tcPr>
            <w:tcW w:w="1515" w:type="dxa"/>
          </w:tcPr>
          <w:p w14:paraId="38639935" w14:textId="77777777" w:rsidR="007575B8" w:rsidRPr="0048631F" w:rsidRDefault="004D78AD" w:rsidP="00024BB0">
            <w:pPr>
              <w:spacing w:line="360" w:lineRule="auto"/>
              <w:jc w:val="left"/>
              <w:rPr>
                <w:rFonts w:ascii="Arial" w:hAnsi="Arial" w:cs="Arial"/>
              </w:rPr>
            </w:pPr>
            <w:r w:rsidRPr="0048631F">
              <w:rPr>
                <w:rFonts w:ascii="Arial" w:hAnsi="Arial" w:cs="Arial"/>
              </w:rPr>
              <w:t>Diverse boards improve ESG disclosure</w:t>
            </w:r>
          </w:p>
        </w:tc>
        <w:tc>
          <w:tcPr>
            <w:tcW w:w="1335" w:type="dxa"/>
          </w:tcPr>
          <w:p w14:paraId="5FF94C9C" w14:textId="77777777" w:rsidR="007575B8" w:rsidRPr="0048631F" w:rsidRDefault="004D78AD" w:rsidP="00024BB0">
            <w:pPr>
              <w:spacing w:line="360" w:lineRule="auto"/>
              <w:jc w:val="left"/>
              <w:rPr>
                <w:rFonts w:ascii="Arial" w:hAnsi="Arial" w:cs="Arial"/>
              </w:rPr>
            </w:pPr>
            <w:r w:rsidRPr="0048631F">
              <w:rPr>
                <w:rFonts w:ascii="Arial" w:hAnsi="Arial" w:cs="Arial"/>
              </w:rPr>
              <w:t>Supports governance quality</w:t>
            </w:r>
          </w:p>
        </w:tc>
        <w:tc>
          <w:tcPr>
            <w:tcW w:w="1710" w:type="dxa"/>
          </w:tcPr>
          <w:p w14:paraId="79FCEC03" w14:textId="77777777" w:rsidR="007575B8" w:rsidRPr="0048631F" w:rsidRDefault="004D78AD" w:rsidP="00024BB0">
            <w:pPr>
              <w:spacing w:line="360" w:lineRule="auto"/>
              <w:jc w:val="left"/>
              <w:rPr>
                <w:rFonts w:ascii="Arial" w:hAnsi="Arial" w:cs="Arial"/>
              </w:rPr>
            </w:pPr>
            <w:r w:rsidRPr="0048631F">
              <w:rPr>
                <w:rFonts w:ascii="Arial" w:hAnsi="Arial" w:cs="Arial"/>
              </w:rPr>
              <w:t>Links diversity and reporting</w:t>
            </w:r>
          </w:p>
        </w:tc>
      </w:tr>
      <w:tr w:rsidR="0048631F" w:rsidRPr="0048631F" w14:paraId="1C60842A" w14:textId="77777777">
        <w:tc>
          <w:tcPr>
            <w:tcW w:w="1425" w:type="dxa"/>
          </w:tcPr>
          <w:p w14:paraId="0365676E"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Arvidsson and Dumay (2022)</w:t>
            </w:r>
          </w:p>
        </w:tc>
        <w:tc>
          <w:tcPr>
            <w:tcW w:w="1275" w:type="dxa"/>
          </w:tcPr>
          <w:p w14:paraId="643D8E4C" w14:textId="77777777" w:rsidR="007575B8" w:rsidRPr="0048631F" w:rsidRDefault="004D78AD" w:rsidP="00024BB0">
            <w:pPr>
              <w:spacing w:line="360" w:lineRule="auto"/>
              <w:jc w:val="left"/>
              <w:rPr>
                <w:rFonts w:ascii="Arial" w:hAnsi="Arial" w:cs="Arial"/>
              </w:rPr>
            </w:pPr>
            <w:r w:rsidRPr="0048631F">
              <w:rPr>
                <w:rFonts w:ascii="Arial" w:hAnsi="Arial" w:cs="Arial"/>
              </w:rPr>
              <w:t>Review ESG reporting quality</w:t>
            </w:r>
          </w:p>
        </w:tc>
        <w:tc>
          <w:tcPr>
            <w:tcW w:w="1560" w:type="dxa"/>
          </w:tcPr>
          <w:p w14:paraId="2888E150" w14:textId="77777777" w:rsidR="007575B8" w:rsidRPr="0048631F" w:rsidRDefault="004D78AD" w:rsidP="00024BB0">
            <w:pPr>
              <w:spacing w:line="360" w:lineRule="auto"/>
              <w:jc w:val="left"/>
              <w:rPr>
                <w:rFonts w:ascii="Arial" w:hAnsi="Arial" w:cs="Arial"/>
              </w:rPr>
            </w:pPr>
            <w:r w:rsidRPr="0048631F">
              <w:rPr>
                <w:rFonts w:ascii="Arial" w:hAnsi="Arial" w:cs="Arial"/>
              </w:rPr>
              <w:t>Cross-industry</w:t>
            </w:r>
          </w:p>
        </w:tc>
        <w:tc>
          <w:tcPr>
            <w:tcW w:w="1245" w:type="dxa"/>
          </w:tcPr>
          <w:p w14:paraId="26387C87" w14:textId="77777777" w:rsidR="007575B8" w:rsidRPr="0048631F" w:rsidRDefault="004D78AD" w:rsidP="00024BB0">
            <w:pPr>
              <w:spacing w:line="360" w:lineRule="auto"/>
              <w:jc w:val="left"/>
              <w:rPr>
                <w:rFonts w:ascii="Arial" w:hAnsi="Arial" w:cs="Arial"/>
              </w:rPr>
            </w:pPr>
            <w:r w:rsidRPr="0048631F">
              <w:rPr>
                <w:rFonts w:ascii="Arial" w:hAnsi="Arial" w:cs="Arial"/>
              </w:rPr>
              <w:t>Literature review</w:t>
            </w:r>
          </w:p>
        </w:tc>
        <w:tc>
          <w:tcPr>
            <w:tcW w:w="1515" w:type="dxa"/>
          </w:tcPr>
          <w:p w14:paraId="600DFEF0" w14:textId="77777777" w:rsidR="007575B8" w:rsidRPr="0048631F" w:rsidRDefault="004D78AD" w:rsidP="00024BB0">
            <w:pPr>
              <w:spacing w:line="360" w:lineRule="auto"/>
              <w:jc w:val="left"/>
              <w:rPr>
                <w:rFonts w:ascii="Arial" w:hAnsi="Arial" w:cs="Arial"/>
              </w:rPr>
            </w:pPr>
            <w:r w:rsidRPr="0048631F">
              <w:rPr>
                <w:rFonts w:ascii="Arial" w:hAnsi="Arial" w:cs="Arial"/>
              </w:rPr>
              <w:t>Reporting quality influences stakeholder trust</w:t>
            </w:r>
          </w:p>
        </w:tc>
        <w:tc>
          <w:tcPr>
            <w:tcW w:w="1335" w:type="dxa"/>
          </w:tcPr>
          <w:p w14:paraId="13FA2A5C" w14:textId="77777777" w:rsidR="007575B8" w:rsidRPr="0048631F" w:rsidRDefault="004D78AD" w:rsidP="00024BB0">
            <w:pPr>
              <w:spacing w:line="360" w:lineRule="auto"/>
              <w:jc w:val="left"/>
              <w:rPr>
                <w:rFonts w:ascii="Arial" w:hAnsi="Arial" w:cs="Arial"/>
              </w:rPr>
            </w:pPr>
            <w:r w:rsidRPr="0048631F">
              <w:rPr>
                <w:rFonts w:ascii="Arial" w:hAnsi="Arial" w:cs="Arial"/>
              </w:rPr>
              <w:t>Supports disclosure credibility</w:t>
            </w:r>
          </w:p>
        </w:tc>
        <w:tc>
          <w:tcPr>
            <w:tcW w:w="1710" w:type="dxa"/>
          </w:tcPr>
          <w:p w14:paraId="7F37D7D8" w14:textId="77777777" w:rsidR="007575B8" w:rsidRPr="0048631F" w:rsidRDefault="004D78AD" w:rsidP="00024BB0">
            <w:pPr>
              <w:spacing w:line="360" w:lineRule="auto"/>
              <w:jc w:val="left"/>
              <w:rPr>
                <w:rFonts w:ascii="Arial" w:hAnsi="Arial" w:cs="Arial"/>
              </w:rPr>
            </w:pPr>
            <w:r w:rsidRPr="0048631F">
              <w:rPr>
                <w:rFonts w:ascii="Arial" w:hAnsi="Arial" w:cs="Arial"/>
              </w:rPr>
              <w:t>Explains reporting effectiveness</w:t>
            </w:r>
          </w:p>
        </w:tc>
      </w:tr>
      <w:tr w:rsidR="0048631F" w:rsidRPr="0048631F" w14:paraId="5A530BFA" w14:textId="77777777">
        <w:tc>
          <w:tcPr>
            <w:tcW w:w="1425" w:type="dxa"/>
          </w:tcPr>
          <w:p w14:paraId="3DBAFB20" w14:textId="77777777" w:rsidR="007575B8" w:rsidRPr="0048631F" w:rsidRDefault="004D78AD" w:rsidP="00024BB0">
            <w:pPr>
              <w:spacing w:line="360" w:lineRule="auto"/>
              <w:jc w:val="left"/>
              <w:rPr>
                <w:rFonts w:ascii="Arial" w:hAnsi="Arial" w:cs="Arial"/>
              </w:rPr>
            </w:pPr>
            <w:r w:rsidRPr="0048631F">
              <w:rPr>
                <w:rFonts w:ascii="Arial" w:hAnsi="Arial" w:cs="Arial"/>
              </w:rPr>
              <w:t>Bini and Fissi (2025)</w:t>
            </w:r>
          </w:p>
        </w:tc>
        <w:tc>
          <w:tcPr>
            <w:tcW w:w="1275" w:type="dxa"/>
          </w:tcPr>
          <w:p w14:paraId="4940D97C" w14:textId="77777777" w:rsidR="007575B8" w:rsidRPr="0048631F" w:rsidRDefault="004D78AD" w:rsidP="00024BB0">
            <w:pPr>
              <w:spacing w:line="360" w:lineRule="auto"/>
              <w:jc w:val="left"/>
              <w:rPr>
                <w:rFonts w:ascii="Arial" w:hAnsi="Arial" w:cs="Arial"/>
              </w:rPr>
            </w:pPr>
            <w:r w:rsidRPr="0048631F">
              <w:rPr>
                <w:rFonts w:ascii="Arial" w:hAnsi="Arial" w:cs="Arial"/>
              </w:rPr>
              <w:t>Analyse sustainability narratives</w:t>
            </w:r>
          </w:p>
        </w:tc>
        <w:tc>
          <w:tcPr>
            <w:tcW w:w="1560" w:type="dxa"/>
          </w:tcPr>
          <w:p w14:paraId="57E4423D" w14:textId="77777777" w:rsidR="007575B8" w:rsidRPr="0048631F" w:rsidRDefault="004D78AD" w:rsidP="00024BB0">
            <w:pPr>
              <w:spacing w:line="360" w:lineRule="auto"/>
              <w:jc w:val="left"/>
              <w:rPr>
                <w:rFonts w:ascii="Arial" w:hAnsi="Arial" w:cs="Arial"/>
              </w:rPr>
            </w:pPr>
            <w:r w:rsidRPr="0048631F">
              <w:rPr>
                <w:rFonts w:ascii="Arial" w:hAnsi="Arial" w:cs="Arial"/>
              </w:rPr>
              <w:t>Corporate reporting</w:t>
            </w:r>
          </w:p>
        </w:tc>
        <w:tc>
          <w:tcPr>
            <w:tcW w:w="1245" w:type="dxa"/>
          </w:tcPr>
          <w:p w14:paraId="6ACDEFFB" w14:textId="77777777" w:rsidR="007575B8" w:rsidRPr="0048631F" w:rsidRDefault="004D78AD" w:rsidP="00024BB0">
            <w:pPr>
              <w:spacing w:line="360" w:lineRule="auto"/>
              <w:jc w:val="left"/>
              <w:rPr>
                <w:rFonts w:ascii="Arial" w:hAnsi="Arial" w:cs="Arial"/>
              </w:rPr>
            </w:pPr>
            <w:r w:rsidRPr="0048631F">
              <w:rPr>
                <w:rFonts w:ascii="Arial" w:hAnsi="Arial" w:cs="Arial"/>
              </w:rPr>
              <w:t>Text analysis</w:t>
            </w:r>
          </w:p>
        </w:tc>
        <w:tc>
          <w:tcPr>
            <w:tcW w:w="1515" w:type="dxa"/>
          </w:tcPr>
          <w:p w14:paraId="797C5782" w14:textId="77777777" w:rsidR="007575B8" w:rsidRPr="0048631F" w:rsidRDefault="004D78AD" w:rsidP="00024BB0">
            <w:pPr>
              <w:spacing w:line="360" w:lineRule="auto"/>
              <w:jc w:val="left"/>
              <w:rPr>
                <w:rFonts w:ascii="Arial" w:hAnsi="Arial" w:cs="Arial"/>
              </w:rPr>
            </w:pPr>
            <w:r w:rsidRPr="0048631F">
              <w:rPr>
                <w:rFonts w:ascii="Arial" w:hAnsi="Arial" w:cs="Arial"/>
              </w:rPr>
              <w:t>Narrative quality affects transparency</w:t>
            </w:r>
          </w:p>
        </w:tc>
        <w:tc>
          <w:tcPr>
            <w:tcW w:w="1335" w:type="dxa"/>
          </w:tcPr>
          <w:p w14:paraId="323602A6" w14:textId="77777777" w:rsidR="007575B8" w:rsidRPr="0048631F" w:rsidRDefault="004D78AD" w:rsidP="00024BB0">
            <w:pPr>
              <w:spacing w:line="360" w:lineRule="auto"/>
              <w:jc w:val="left"/>
              <w:rPr>
                <w:rFonts w:ascii="Arial" w:hAnsi="Arial" w:cs="Arial"/>
              </w:rPr>
            </w:pPr>
            <w:r w:rsidRPr="0048631F">
              <w:rPr>
                <w:rFonts w:ascii="Arial" w:hAnsi="Arial" w:cs="Arial"/>
              </w:rPr>
              <w:t>Supports communication quality</w:t>
            </w:r>
          </w:p>
        </w:tc>
        <w:tc>
          <w:tcPr>
            <w:tcW w:w="1710" w:type="dxa"/>
          </w:tcPr>
          <w:p w14:paraId="5D106DD9" w14:textId="77777777" w:rsidR="007575B8" w:rsidRPr="0048631F" w:rsidRDefault="004D78AD" w:rsidP="00024BB0">
            <w:pPr>
              <w:spacing w:line="360" w:lineRule="auto"/>
              <w:jc w:val="left"/>
              <w:rPr>
                <w:rFonts w:ascii="Arial" w:hAnsi="Arial" w:cs="Arial"/>
              </w:rPr>
            </w:pPr>
            <w:r w:rsidRPr="0048631F">
              <w:rPr>
                <w:rFonts w:ascii="Arial" w:hAnsi="Arial" w:cs="Arial"/>
              </w:rPr>
              <w:t>Enhances disclosure credibility</w:t>
            </w:r>
          </w:p>
        </w:tc>
      </w:tr>
    </w:tbl>
    <w:p w14:paraId="3EFF501C" w14:textId="77777777" w:rsidR="007575B8" w:rsidRPr="0048631F" w:rsidRDefault="004D78AD" w:rsidP="00024BB0">
      <w:pPr>
        <w:pStyle w:val="Heading5"/>
        <w:rPr>
          <w:rFonts w:ascii="Arial" w:hAnsi="Arial" w:cs="Arial"/>
        </w:rPr>
      </w:pPr>
      <w:bookmarkStart w:id="97" w:name="_Toc235889272"/>
      <w:r w:rsidRPr="0048631F">
        <w:rPr>
          <w:rFonts w:ascii="Arial" w:hAnsi="Arial" w:cs="Arial"/>
        </w:rPr>
        <w:t>Table 4.4: Theme 4 Summary – Greenwashing Risks and Disclosure–Performance Gap</w:t>
      </w:r>
      <w:bookmarkEnd w:id="97"/>
    </w:p>
    <w:p w14:paraId="63B1174A" w14:textId="77777777" w:rsidR="007575B8" w:rsidRPr="0048631F" w:rsidRDefault="004D78AD" w:rsidP="00024BB0">
      <w:pPr>
        <w:rPr>
          <w:rFonts w:ascii="Arial" w:hAnsi="Arial" w:cs="Arial"/>
        </w:rPr>
      </w:pPr>
      <w:r w:rsidRPr="0048631F">
        <w:rPr>
          <w:rFonts w:ascii="Arial" w:hAnsi="Arial" w:cs="Arial"/>
        </w:rPr>
        <w:t>Árkai (2025) identified that organisations can foster the credibility of their ESG reporting by making their sustainability disclosures transparent, good and well-governed, rather than by attempting to appear comprehensive in what they are reporting. This trend is called "SDG washing" and undermines trust from stakeholders because often sustainability statements cannot be backed by tangible evidence. The results show that there is a need for organisations to go beyond sustainability narratives and show concrete environmental results for it to be credible ESG reporting. Likewise, Amran et al. (2026) found that independent third-party assurance increases the trustworthiness of ESG disclosures, as it offers external verification of sustainability information reported. Assurance mechanisms minimize the risk of false disclosures and boost the confidence of stakeholders in and around organisation sustainability performance. Del Gesso and Lodhi (2025) also said that organisations tend to make disclosure to satisfy expectations from stakeholders and for legitimising the organisation. Reporting may have more to do with diligence than environmental improvement, in the sense that such disclosures provide transparency, but not necessarily actual environmental improvement. This is also supported by the study of Mintah et al. (2026), which shows that government diversification also enhances the quality of ESG disclosures as it enhances governance and accountability. Similarly, Arvidsson and Dumay (2022) found that the quality of reporting is more significant than the amount of it, as credible reporting builds stakeholder trust and helps to better assess sustainability.</w:t>
      </w:r>
    </w:p>
    <w:p w14:paraId="1BD758E9" w14:textId="77777777" w:rsidR="007575B8" w:rsidRPr="0048631F" w:rsidRDefault="004D78AD" w:rsidP="00024BB0">
      <w:pPr>
        <w:pStyle w:val="Heading3"/>
        <w:rPr>
          <w:rFonts w:ascii="Arial" w:hAnsi="Arial" w:cs="Arial"/>
        </w:rPr>
      </w:pPr>
      <w:bookmarkStart w:id="98" w:name="_Toc235889340"/>
      <w:r w:rsidRPr="0048631F">
        <w:rPr>
          <w:rFonts w:ascii="Arial" w:hAnsi="Arial" w:cs="Arial"/>
        </w:rPr>
        <w:lastRenderedPageBreak/>
        <w:t>4.6.2 Analysis</w:t>
      </w:r>
      <w:bookmarkEnd w:id="98"/>
    </w:p>
    <w:p w14:paraId="113662E3" w14:textId="1719F022" w:rsidR="007575B8" w:rsidRPr="0048631F" w:rsidRDefault="00DF11E0" w:rsidP="00024BB0">
      <w:pPr>
        <w:rPr>
          <w:rFonts w:ascii="Arial" w:hAnsi="Arial" w:cs="Arial"/>
          <w:b/>
          <w:bCs/>
        </w:rPr>
      </w:pPr>
      <w:bookmarkStart w:id="99" w:name="_heading=h.ibty9j13kp23" w:colFirst="0" w:colLast="0"/>
      <w:bookmarkEnd w:id="99"/>
      <w:r w:rsidRPr="0048631F">
        <w:rPr>
          <w:rFonts w:ascii="Arial" w:hAnsi="Arial" w:cs="Arial"/>
        </w:rPr>
        <w:t xml:space="preserve">The literature examined also shows that the disclosure–performance gap mainly originates when enhancing the performance of the environment is less important than communicating sustainability. Del Gesso and Lodhi (2025) said that the trend is that organisations provide more and more ESG data to meet the expectations of their stakeholders and enhance their credibility. However, the widespread sustainability reporting does not necessarily show real progress toward the environment as the commitments included within this reporting are not always backed by carbon reductions. This indicates a possible incongruence between disclosure and the actual level of sustainability. Aragón-Correa et al. (2025) showed that good governance supports environmental performance in incorporating sustainability into the internal decision making of organisations and enhancing managerial accountability. However, governance bodies can enhance the credibility of reporting if there are clear reporting indicators that sustainability goals are being followed and tied to environmental results. In the absence of good governance, it is likely that sustainability disclosure becomes symbolic rather than indirectly proof of progress. Additionally, Cregan, Kelly and Clinch (2025) noted that incentives tied to ESG can drive sustainability only in environments where there is proper governance and a transparent mechanism of evaluation. Without careful oversight, managers could overlook the need to drive positive environmental outcomes in </w:t>
      </w:r>
      <w:r w:rsidR="009A5D4F" w:rsidRPr="0048631F">
        <w:rPr>
          <w:rFonts w:ascii="Arial" w:hAnsi="Arial" w:cs="Arial"/>
        </w:rPr>
        <w:t>favour</w:t>
      </w:r>
      <w:r w:rsidRPr="0048631F">
        <w:rPr>
          <w:rFonts w:ascii="Arial" w:hAnsi="Arial" w:cs="Arial"/>
        </w:rPr>
        <w:t xml:space="preserve"> of positive ESG numbers. In the same way, Bini and Fissi (2025) discovered that enabling sustainability communication enhances stakeholder awareness and trust while compelling sustainability reporting is not a substitute for credible environmental proof. Hence, for minimizing the disclosure–performance gap, transparent governance and monitoring and credible verification are essential, not just voluminous sustainability disclosure reporting.</w:t>
      </w:r>
    </w:p>
    <w:p w14:paraId="6E7C61E6" w14:textId="77777777" w:rsidR="007575B8" w:rsidRPr="0048631F" w:rsidRDefault="004D78AD" w:rsidP="00024BB0">
      <w:pPr>
        <w:pStyle w:val="Heading3"/>
        <w:rPr>
          <w:rFonts w:ascii="Arial" w:hAnsi="Arial" w:cs="Arial"/>
        </w:rPr>
      </w:pPr>
      <w:bookmarkStart w:id="100" w:name="_Toc235889341"/>
      <w:r w:rsidRPr="0048631F">
        <w:rPr>
          <w:rFonts w:ascii="Arial" w:hAnsi="Arial" w:cs="Arial"/>
        </w:rPr>
        <w:t>4.6.3 Discussion</w:t>
      </w:r>
      <w:bookmarkEnd w:id="100"/>
    </w:p>
    <w:p w14:paraId="34C4A0AD" w14:textId="74A39629" w:rsidR="007575B8" w:rsidRPr="0048631F" w:rsidRDefault="00DF11E0" w:rsidP="00024BB0">
      <w:pPr>
        <w:rPr>
          <w:rFonts w:ascii="Arial" w:hAnsi="Arial" w:cs="Arial"/>
        </w:rPr>
      </w:pPr>
      <w:r w:rsidRPr="0048631F">
        <w:rPr>
          <w:rFonts w:ascii="Arial" w:hAnsi="Arial" w:cs="Arial"/>
        </w:rPr>
        <w:t xml:space="preserve">Árkai (2025) showed that there is a considerable disconnect between the disclosures made in organisational sustainability reporting and environmental performance, suggesting that the problem of greenwashing persists in this reporting. This discovery aligns with the Legitimacy Theory, which posits that the disclosures by organisations may help ensure their social acceptance even if their environmental benefits are only minimal. Therefore any disclosure should not be considered as evidence of good environmental practice. Mintah et al. (2026), in their views, greater governance leads to better disclosure quality because it leads to better accountability within the </w:t>
      </w:r>
      <w:r w:rsidRPr="0048631F">
        <w:rPr>
          <w:rFonts w:ascii="Arial" w:hAnsi="Arial" w:cs="Arial"/>
        </w:rPr>
        <w:lastRenderedPageBreak/>
        <w:t>organisation and better board oversight. It is aligned to the core tenets of the Stakeholder Theory, in which greater demands are placed on sustainability reports for evidence and verification of environmental performance, not just aspirations. Organisations that do not back up their disclosure with measurable outcomes risk losing confidence from their stakeholders and organisational credibility. Arvidsson and Dumay (2022) noted that quantity alone is not a good metric for sustainability reporting, since realistic reporting of measurable environmental improvement is key. Likewise, Amran et al. (2026) proved that an independent third-party assurance can enhance the credibility of ESG reporting by building trust in reported sustainability data. The results suggest that to minimize the risk of greenwashing and mitigate the gap between disclosure and performance, governance and transparency are important. These findings indicate that sustainability reporting can be supported with good environmental data disclosure discipline and independently verified data for IndiGo. More board oversight, increased external assurance and increased measurable environmental outcomes through disclosure would help lower the risk of symbolic disclosure and increase stakeholder trust. These enhancements would help IndiGo prove that its sustainability efforts are real and not a means to keep their legitimacy.</w:t>
      </w:r>
    </w:p>
    <w:p w14:paraId="7654EAE1" w14:textId="77777777" w:rsidR="007575B8" w:rsidRPr="0048631F" w:rsidRDefault="004D78AD" w:rsidP="00024BB0">
      <w:pPr>
        <w:pStyle w:val="Heading2"/>
        <w:rPr>
          <w:rFonts w:ascii="Arial" w:hAnsi="Arial" w:cs="Arial"/>
        </w:rPr>
      </w:pPr>
      <w:bookmarkStart w:id="101" w:name="_Toc235889342"/>
      <w:r w:rsidRPr="0048631F">
        <w:rPr>
          <w:rFonts w:ascii="Arial" w:hAnsi="Arial" w:cs="Arial"/>
        </w:rPr>
        <w:t>4.7 Theme 5: Challenges in Measuring ESG and Carbon Performance</w:t>
      </w:r>
      <w:bookmarkEnd w:id="101"/>
    </w:p>
    <w:p w14:paraId="32C3B85E" w14:textId="77777777" w:rsidR="007575B8" w:rsidRPr="0048631F" w:rsidRDefault="004D78AD" w:rsidP="00024BB0">
      <w:pPr>
        <w:pStyle w:val="Heading3"/>
        <w:rPr>
          <w:rFonts w:ascii="Arial" w:hAnsi="Arial" w:cs="Arial"/>
        </w:rPr>
      </w:pPr>
      <w:bookmarkStart w:id="102" w:name="_Toc235889343"/>
      <w:r w:rsidRPr="0048631F">
        <w:rPr>
          <w:rFonts w:ascii="Arial" w:hAnsi="Arial" w:cs="Arial"/>
        </w:rPr>
        <w:t>4.7.1 Findings</w:t>
      </w:r>
      <w:bookmarkEnd w:id="102"/>
    </w:p>
    <w:tbl>
      <w:tblPr>
        <w:tblStyle w:val="a6"/>
        <w:tblW w:w="10005" w:type="dxa"/>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55"/>
        <w:gridCol w:w="1245"/>
        <w:gridCol w:w="1500"/>
        <w:gridCol w:w="1320"/>
        <w:gridCol w:w="1650"/>
        <w:gridCol w:w="1290"/>
        <w:gridCol w:w="1545"/>
      </w:tblGrid>
      <w:tr w:rsidR="0048631F" w:rsidRPr="0048631F" w14:paraId="6A4F8D15" w14:textId="77777777">
        <w:tc>
          <w:tcPr>
            <w:tcW w:w="1455" w:type="dxa"/>
          </w:tcPr>
          <w:p w14:paraId="1984C717"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Author(s) &amp; Year</w:t>
            </w:r>
          </w:p>
        </w:tc>
        <w:tc>
          <w:tcPr>
            <w:tcW w:w="1245" w:type="dxa"/>
          </w:tcPr>
          <w:p w14:paraId="15D68823"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Study Aim</w:t>
            </w:r>
          </w:p>
        </w:tc>
        <w:tc>
          <w:tcPr>
            <w:tcW w:w="1500" w:type="dxa"/>
          </w:tcPr>
          <w:p w14:paraId="623164D4"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Industry/Context</w:t>
            </w:r>
          </w:p>
        </w:tc>
        <w:tc>
          <w:tcPr>
            <w:tcW w:w="1320" w:type="dxa"/>
          </w:tcPr>
          <w:p w14:paraId="1BF6091C"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Methodology</w:t>
            </w:r>
          </w:p>
        </w:tc>
        <w:tc>
          <w:tcPr>
            <w:tcW w:w="1650" w:type="dxa"/>
          </w:tcPr>
          <w:p w14:paraId="48C846D2"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Key Findings</w:t>
            </w:r>
          </w:p>
        </w:tc>
        <w:tc>
          <w:tcPr>
            <w:tcW w:w="1290" w:type="dxa"/>
          </w:tcPr>
          <w:p w14:paraId="4651C35A"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Relevance to Current Study</w:t>
            </w:r>
          </w:p>
        </w:tc>
        <w:tc>
          <w:tcPr>
            <w:tcW w:w="1545" w:type="dxa"/>
          </w:tcPr>
          <w:p w14:paraId="49C01E19" w14:textId="77777777" w:rsidR="007575B8" w:rsidRPr="0048631F" w:rsidRDefault="004D78AD" w:rsidP="00024BB0">
            <w:pPr>
              <w:spacing w:line="360" w:lineRule="auto"/>
              <w:jc w:val="center"/>
              <w:rPr>
                <w:rFonts w:ascii="Arial" w:hAnsi="Arial" w:cs="Arial"/>
                <w:b/>
                <w:bCs/>
              </w:rPr>
            </w:pPr>
            <w:r w:rsidRPr="0048631F">
              <w:rPr>
                <w:rFonts w:ascii="Arial" w:hAnsi="Arial" w:cs="Arial"/>
                <w:b/>
                <w:bCs/>
              </w:rPr>
              <w:t>Contribution to Theme</w:t>
            </w:r>
          </w:p>
        </w:tc>
      </w:tr>
      <w:tr w:rsidR="0048631F" w:rsidRPr="0048631F" w14:paraId="0DC25EA4" w14:textId="77777777">
        <w:tc>
          <w:tcPr>
            <w:tcW w:w="1455" w:type="dxa"/>
          </w:tcPr>
          <w:p w14:paraId="08E43CF8" w14:textId="77777777" w:rsidR="007575B8" w:rsidRPr="0048631F" w:rsidRDefault="004D78AD" w:rsidP="00024BB0">
            <w:pPr>
              <w:spacing w:line="360" w:lineRule="auto"/>
              <w:jc w:val="left"/>
              <w:rPr>
                <w:rFonts w:ascii="Arial" w:hAnsi="Arial" w:cs="Arial"/>
              </w:rPr>
            </w:pPr>
            <w:r w:rsidRPr="0048631F">
              <w:rPr>
                <w:rFonts w:ascii="Arial" w:hAnsi="Arial" w:cs="Arial"/>
              </w:rPr>
              <w:t>Bayramova and Edwards (2026)</w:t>
            </w:r>
          </w:p>
        </w:tc>
        <w:tc>
          <w:tcPr>
            <w:tcW w:w="1245" w:type="dxa"/>
          </w:tcPr>
          <w:p w14:paraId="37039D82" w14:textId="77777777" w:rsidR="007575B8" w:rsidRPr="0048631F" w:rsidRDefault="004D78AD" w:rsidP="00024BB0">
            <w:pPr>
              <w:spacing w:line="360" w:lineRule="auto"/>
              <w:jc w:val="left"/>
              <w:rPr>
                <w:rFonts w:ascii="Arial" w:hAnsi="Arial" w:cs="Arial"/>
              </w:rPr>
            </w:pPr>
            <w:r w:rsidRPr="0048631F">
              <w:rPr>
                <w:rFonts w:ascii="Arial" w:hAnsi="Arial" w:cs="Arial"/>
              </w:rPr>
              <w:t>Examine methodology selection</w:t>
            </w:r>
          </w:p>
        </w:tc>
        <w:tc>
          <w:tcPr>
            <w:tcW w:w="1500" w:type="dxa"/>
          </w:tcPr>
          <w:p w14:paraId="20BE4C89" w14:textId="77777777" w:rsidR="007575B8" w:rsidRPr="0048631F" w:rsidRDefault="004D78AD" w:rsidP="00024BB0">
            <w:pPr>
              <w:spacing w:line="360" w:lineRule="auto"/>
              <w:jc w:val="left"/>
              <w:rPr>
                <w:rFonts w:ascii="Arial" w:hAnsi="Arial" w:cs="Arial"/>
              </w:rPr>
            </w:pPr>
            <w:r w:rsidRPr="0048631F">
              <w:rPr>
                <w:rFonts w:ascii="Arial" w:hAnsi="Arial" w:cs="Arial"/>
              </w:rPr>
              <w:t>Research methods</w:t>
            </w:r>
          </w:p>
        </w:tc>
        <w:tc>
          <w:tcPr>
            <w:tcW w:w="1320" w:type="dxa"/>
          </w:tcPr>
          <w:p w14:paraId="3F8AE21C" w14:textId="77777777" w:rsidR="007575B8" w:rsidRPr="0048631F" w:rsidRDefault="004D78AD" w:rsidP="00024BB0">
            <w:pPr>
              <w:spacing w:line="360" w:lineRule="auto"/>
              <w:jc w:val="left"/>
              <w:rPr>
                <w:rFonts w:ascii="Arial" w:hAnsi="Arial" w:cs="Arial"/>
              </w:rPr>
            </w:pPr>
            <w:r w:rsidRPr="0048631F">
              <w:rPr>
                <w:rFonts w:ascii="Arial" w:hAnsi="Arial" w:cs="Arial"/>
              </w:rPr>
              <w:t>Review</w:t>
            </w:r>
          </w:p>
        </w:tc>
        <w:tc>
          <w:tcPr>
            <w:tcW w:w="1650" w:type="dxa"/>
          </w:tcPr>
          <w:p w14:paraId="4E112ACE" w14:textId="77777777" w:rsidR="007575B8" w:rsidRPr="0048631F" w:rsidRDefault="004D78AD" w:rsidP="00024BB0">
            <w:pPr>
              <w:spacing w:line="360" w:lineRule="auto"/>
              <w:jc w:val="left"/>
              <w:rPr>
                <w:rFonts w:ascii="Arial" w:hAnsi="Arial" w:cs="Arial"/>
              </w:rPr>
            </w:pPr>
            <w:r w:rsidRPr="0048631F">
              <w:rPr>
                <w:rFonts w:ascii="Arial" w:hAnsi="Arial" w:cs="Arial"/>
              </w:rPr>
              <w:t>Methodology should align with objectives</w:t>
            </w:r>
          </w:p>
        </w:tc>
        <w:tc>
          <w:tcPr>
            <w:tcW w:w="1290" w:type="dxa"/>
          </w:tcPr>
          <w:p w14:paraId="03A40A7D" w14:textId="77777777" w:rsidR="007575B8" w:rsidRPr="0048631F" w:rsidRDefault="004D78AD" w:rsidP="00024BB0">
            <w:pPr>
              <w:spacing w:line="360" w:lineRule="auto"/>
              <w:jc w:val="left"/>
              <w:rPr>
                <w:rFonts w:ascii="Arial" w:hAnsi="Arial" w:cs="Arial"/>
              </w:rPr>
            </w:pPr>
            <w:r w:rsidRPr="0048631F">
              <w:rPr>
                <w:rFonts w:ascii="Arial" w:hAnsi="Arial" w:cs="Arial"/>
              </w:rPr>
              <w:t>Supports research design</w:t>
            </w:r>
          </w:p>
        </w:tc>
        <w:tc>
          <w:tcPr>
            <w:tcW w:w="1545" w:type="dxa"/>
          </w:tcPr>
          <w:p w14:paraId="4733153B" w14:textId="77777777" w:rsidR="007575B8" w:rsidRPr="0048631F" w:rsidRDefault="004D78AD" w:rsidP="00024BB0">
            <w:pPr>
              <w:spacing w:line="360" w:lineRule="auto"/>
              <w:jc w:val="left"/>
              <w:rPr>
                <w:rFonts w:ascii="Arial" w:hAnsi="Arial" w:cs="Arial"/>
              </w:rPr>
            </w:pPr>
            <w:r w:rsidRPr="0048631F">
              <w:rPr>
                <w:rFonts w:ascii="Arial" w:hAnsi="Arial" w:cs="Arial"/>
              </w:rPr>
              <w:t>Guides methodological justification</w:t>
            </w:r>
          </w:p>
        </w:tc>
      </w:tr>
      <w:tr w:rsidR="0048631F" w:rsidRPr="0048631F" w14:paraId="6A4F0C45" w14:textId="77777777">
        <w:tc>
          <w:tcPr>
            <w:tcW w:w="1455" w:type="dxa"/>
          </w:tcPr>
          <w:p w14:paraId="74B563C3" w14:textId="77777777" w:rsidR="007575B8" w:rsidRPr="0048631F" w:rsidRDefault="004D78AD" w:rsidP="00024BB0">
            <w:pPr>
              <w:spacing w:line="360" w:lineRule="auto"/>
              <w:jc w:val="left"/>
              <w:rPr>
                <w:rFonts w:ascii="Arial" w:hAnsi="Arial" w:cs="Arial"/>
              </w:rPr>
            </w:pPr>
            <w:r w:rsidRPr="0048631F">
              <w:rPr>
                <w:rFonts w:ascii="Arial" w:hAnsi="Arial" w:cs="Arial"/>
              </w:rPr>
              <w:t>Denscombe (2025)</w:t>
            </w:r>
          </w:p>
        </w:tc>
        <w:tc>
          <w:tcPr>
            <w:tcW w:w="1245" w:type="dxa"/>
          </w:tcPr>
          <w:p w14:paraId="6DC113CB" w14:textId="77777777" w:rsidR="007575B8" w:rsidRPr="0048631F" w:rsidRDefault="004D78AD" w:rsidP="00024BB0">
            <w:pPr>
              <w:spacing w:line="360" w:lineRule="auto"/>
              <w:jc w:val="left"/>
              <w:rPr>
                <w:rFonts w:ascii="Arial" w:hAnsi="Arial" w:cs="Arial"/>
              </w:rPr>
            </w:pPr>
            <w:r w:rsidRPr="0048631F">
              <w:rPr>
                <w:rFonts w:ascii="Arial" w:hAnsi="Arial" w:cs="Arial"/>
              </w:rPr>
              <w:t>Assess decolonial methodology</w:t>
            </w:r>
          </w:p>
        </w:tc>
        <w:tc>
          <w:tcPr>
            <w:tcW w:w="1500" w:type="dxa"/>
          </w:tcPr>
          <w:p w14:paraId="23213893" w14:textId="77777777" w:rsidR="007575B8" w:rsidRPr="0048631F" w:rsidRDefault="004D78AD" w:rsidP="00024BB0">
            <w:pPr>
              <w:spacing w:line="360" w:lineRule="auto"/>
              <w:jc w:val="left"/>
              <w:rPr>
                <w:rFonts w:ascii="Arial" w:hAnsi="Arial" w:cs="Arial"/>
              </w:rPr>
            </w:pPr>
            <w:r w:rsidRPr="0048631F">
              <w:rPr>
                <w:rFonts w:ascii="Arial" w:hAnsi="Arial" w:cs="Arial"/>
              </w:rPr>
              <w:t>Social research</w:t>
            </w:r>
          </w:p>
        </w:tc>
        <w:tc>
          <w:tcPr>
            <w:tcW w:w="1320" w:type="dxa"/>
          </w:tcPr>
          <w:p w14:paraId="4C84338C" w14:textId="77777777" w:rsidR="007575B8" w:rsidRPr="0048631F" w:rsidRDefault="004D78AD" w:rsidP="00024BB0">
            <w:pPr>
              <w:spacing w:line="360" w:lineRule="auto"/>
              <w:jc w:val="left"/>
              <w:rPr>
                <w:rFonts w:ascii="Arial" w:hAnsi="Arial" w:cs="Arial"/>
              </w:rPr>
            </w:pPr>
            <w:r w:rsidRPr="0048631F">
              <w:rPr>
                <w:rFonts w:ascii="Arial" w:hAnsi="Arial" w:cs="Arial"/>
              </w:rPr>
              <w:t>Conceptual review</w:t>
            </w:r>
          </w:p>
        </w:tc>
        <w:tc>
          <w:tcPr>
            <w:tcW w:w="1650" w:type="dxa"/>
          </w:tcPr>
          <w:p w14:paraId="06BA5B07" w14:textId="77777777" w:rsidR="007575B8" w:rsidRPr="0048631F" w:rsidRDefault="004D78AD" w:rsidP="00024BB0">
            <w:pPr>
              <w:spacing w:line="360" w:lineRule="auto"/>
              <w:jc w:val="left"/>
              <w:rPr>
                <w:rFonts w:ascii="Arial" w:hAnsi="Arial" w:cs="Arial"/>
              </w:rPr>
            </w:pPr>
            <w:r w:rsidRPr="0048631F">
              <w:rPr>
                <w:rFonts w:ascii="Arial" w:hAnsi="Arial" w:cs="Arial"/>
              </w:rPr>
              <w:t>Methodological flexibility improves research quality</w:t>
            </w:r>
          </w:p>
        </w:tc>
        <w:tc>
          <w:tcPr>
            <w:tcW w:w="1290" w:type="dxa"/>
          </w:tcPr>
          <w:p w14:paraId="3642D4DD" w14:textId="77777777" w:rsidR="007575B8" w:rsidRPr="0048631F" w:rsidRDefault="004D78AD" w:rsidP="00024BB0">
            <w:pPr>
              <w:spacing w:line="360" w:lineRule="auto"/>
              <w:jc w:val="left"/>
              <w:rPr>
                <w:rFonts w:ascii="Arial" w:hAnsi="Arial" w:cs="Arial"/>
              </w:rPr>
            </w:pPr>
            <w:r w:rsidRPr="0048631F">
              <w:rPr>
                <w:rFonts w:ascii="Arial" w:hAnsi="Arial" w:cs="Arial"/>
              </w:rPr>
              <w:t>Supports qualitative research</w:t>
            </w:r>
          </w:p>
        </w:tc>
        <w:tc>
          <w:tcPr>
            <w:tcW w:w="1545" w:type="dxa"/>
          </w:tcPr>
          <w:p w14:paraId="3CECFA67" w14:textId="77777777" w:rsidR="007575B8" w:rsidRPr="0048631F" w:rsidRDefault="004D78AD" w:rsidP="00024BB0">
            <w:pPr>
              <w:spacing w:line="360" w:lineRule="auto"/>
              <w:jc w:val="left"/>
              <w:rPr>
                <w:rFonts w:ascii="Arial" w:hAnsi="Arial" w:cs="Arial"/>
              </w:rPr>
            </w:pPr>
            <w:r w:rsidRPr="0048631F">
              <w:rPr>
                <w:rFonts w:ascii="Arial" w:hAnsi="Arial" w:cs="Arial"/>
              </w:rPr>
              <w:t>Strengthens methodological rigour</w:t>
            </w:r>
          </w:p>
        </w:tc>
      </w:tr>
      <w:tr w:rsidR="0048631F" w:rsidRPr="0048631F" w14:paraId="408F5459" w14:textId="77777777">
        <w:tc>
          <w:tcPr>
            <w:tcW w:w="1455" w:type="dxa"/>
          </w:tcPr>
          <w:p w14:paraId="75969E83" w14:textId="77777777" w:rsidR="007575B8" w:rsidRPr="0048631F" w:rsidRDefault="004D78AD" w:rsidP="00024BB0">
            <w:pPr>
              <w:spacing w:line="360" w:lineRule="auto"/>
              <w:jc w:val="left"/>
              <w:rPr>
                <w:rFonts w:ascii="Arial" w:hAnsi="Arial" w:cs="Arial"/>
              </w:rPr>
            </w:pPr>
            <w:r w:rsidRPr="0048631F">
              <w:rPr>
                <w:rFonts w:ascii="Arial" w:hAnsi="Arial" w:cs="Arial"/>
              </w:rPr>
              <w:lastRenderedPageBreak/>
              <w:t>Carter, Tagalik and Ljubicic (2025)</w:t>
            </w:r>
          </w:p>
        </w:tc>
        <w:tc>
          <w:tcPr>
            <w:tcW w:w="1245" w:type="dxa"/>
          </w:tcPr>
          <w:p w14:paraId="2E4BF390" w14:textId="77777777" w:rsidR="007575B8" w:rsidRPr="0048631F" w:rsidRDefault="004D78AD" w:rsidP="00024BB0">
            <w:pPr>
              <w:spacing w:line="360" w:lineRule="auto"/>
              <w:jc w:val="left"/>
              <w:rPr>
                <w:rFonts w:ascii="Arial" w:hAnsi="Arial" w:cs="Arial"/>
              </w:rPr>
            </w:pPr>
            <w:r w:rsidRPr="0048631F">
              <w:rPr>
                <w:rFonts w:ascii="Arial" w:hAnsi="Arial" w:cs="Arial"/>
              </w:rPr>
              <w:t>Apply collaborative methodology</w:t>
            </w:r>
          </w:p>
        </w:tc>
        <w:tc>
          <w:tcPr>
            <w:tcW w:w="1500" w:type="dxa"/>
          </w:tcPr>
          <w:p w14:paraId="32CBAB69" w14:textId="77777777" w:rsidR="007575B8" w:rsidRPr="0048631F" w:rsidRDefault="004D78AD" w:rsidP="00024BB0">
            <w:pPr>
              <w:spacing w:line="360" w:lineRule="auto"/>
              <w:jc w:val="left"/>
              <w:rPr>
                <w:rFonts w:ascii="Arial" w:hAnsi="Arial" w:cs="Arial"/>
              </w:rPr>
            </w:pPr>
            <w:r w:rsidRPr="0048631F">
              <w:rPr>
                <w:rFonts w:ascii="Arial" w:hAnsi="Arial" w:cs="Arial"/>
              </w:rPr>
              <w:t>Arctic research</w:t>
            </w:r>
          </w:p>
        </w:tc>
        <w:tc>
          <w:tcPr>
            <w:tcW w:w="1320" w:type="dxa"/>
          </w:tcPr>
          <w:p w14:paraId="4A7BBBA7" w14:textId="77777777" w:rsidR="007575B8" w:rsidRPr="0048631F" w:rsidRDefault="004D78AD" w:rsidP="00024BB0">
            <w:pPr>
              <w:spacing w:line="360" w:lineRule="auto"/>
              <w:jc w:val="left"/>
              <w:rPr>
                <w:rFonts w:ascii="Arial" w:hAnsi="Arial" w:cs="Arial"/>
              </w:rPr>
            </w:pPr>
            <w:r w:rsidRPr="0048631F">
              <w:rPr>
                <w:rFonts w:ascii="Arial" w:hAnsi="Arial" w:cs="Arial"/>
              </w:rPr>
              <w:t>Qualitative</w:t>
            </w:r>
          </w:p>
        </w:tc>
        <w:tc>
          <w:tcPr>
            <w:tcW w:w="1650" w:type="dxa"/>
          </w:tcPr>
          <w:p w14:paraId="07DACDB6" w14:textId="77777777" w:rsidR="007575B8" w:rsidRPr="0048631F" w:rsidRDefault="004D78AD" w:rsidP="00024BB0">
            <w:pPr>
              <w:spacing w:line="360" w:lineRule="auto"/>
              <w:jc w:val="left"/>
              <w:rPr>
                <w:rFonts w:ascii="Arial" w:hAnsi="Arial" w:cs="Arial"/>
              </w:rPr>
            </w:pPr>
            <w:r w:rsidRPr="0048631F">
              <w:rPr>
                <w:rFonts w:ascii="Arial" w:hAnsi="Arial" w:cs="Arial"/>
              </w:rPr>
              <w:t>Collaboration enhances research validity</w:t>
            </w:r>
          </w:p>
        </w:tc>
        <w:tc>
          <w:tcPr>
            <w:tcW w:w="1290" w:type="dxa"/>
          </w:tcPr>
          <w:p w14:paraId="70128300" w14:textId="77777777" w:rsidR="007575B8" w:rsidRPr="0048631F" w:rsidRDefault="004D78AD" w:rsidP="00024BB0">
            <w:pPr>
              <w:spacing w:line="360" w:lineRule="auto"/>
              <w:jc w:val="left"/>
              <w:rPr>
                <w:rFonts w:ascii="Arial" w:hAnsi="Arial" w:cs="Arial"/>
              </w:rPr>
            </w:pPr>
            <w:r w:rsidRPr="0048631F">
              <w:rPr>
                <w:rFonts w:ascii="Arial" w:hAnsi="Arial" w:cs="Arial"/>
              </w:rPr>
              <w:t>Supports systematic review rigour</w:t>
            </w:r>
          </w:p>
        </w:tc>
        <w:tc>
          <w:tcPr>
            <w:tcW w:w="1545" w:type="dxa"/>
          </w:tcPr>
          <w:p w14:paraId="11388692" w14:textId="77777777" w:rsidR="007575B8" w:rsidRPr="0048631F" w:rsidRDefault="004D78AD" w:rsidP="00024BB0">
            <w:pPr>
              <w:spacing w:line="360" w:lineRule="auto"/>
              <w:jc w:val="left"/>
              <w:rPr>
                <w:rFonts w:ascii="Arial" w:hAnsi="Arial" w:cs="Arial"/>
              </w:rPr>
            </w:pPr>
            <w:r w:rsidRPr="0048631F">
              <w:rPr>
                <w:rFonts w:ascii="Arial" w:hAnsi="Arial" w:cs="Arial"/>
              </w:rPr>
              <w:t>Improves methodological quality</w:t>
            </w:r>
          </w:p>
        </w:tc>
      </w:tr>
      <w:tr w:rsidR="0048631F" w:rsidRPr="0048631F" w14:paraId="2A849D53" w14:textId="77777777">
        <w:tc>
          <w:tcPr>
            <w:tcW w:w="1455" w:type="dxa"/>
          </w:tcPr>
          <w:p w14:paraId="55A3B4D8" w14:textId="77777777" w:rsidR="007575B8" w:rsidRPr="0048631F" w:rsidRDefault="004D78AD" w:rsidP="00024BB0">
            <w:pPr>
              <w:spacing w:line="360" w:lineRule="auto"/>
              <w:jc w:val="left"/>
              <w:rPr>
                <w:rFonts w:ascii="Arial" w:hAnsi="Arial" w:cs="Arial"/>
              </w:rPr>
            </w:pPr>
            <w:r w:rsidRPr="0048631F">
              <w:rPr>
                <w:rFonts w:ascii="Arial" w:hAnsi="Arial" w:cs="Arial"/>
              </w:rPr>
              <w:t>Castro et al. (2025)</w:t>
            </w:r>
          </w:p>
        </w:tc>
        <w:tc>
          <w:tcPr>
            <w:tcW w:w="1245" w:type="dxa"/>
          </w:tcPr>
          <w:p w14:paraId="045DAC7F" w14:textId="77777777" w:rsidR="007575B8" w:rsidRPr="0048631F" w:rsidRDefault="004D78AD" w:rsidP="00024BB0">
            <w:pPr>
              <w:spacing w:line="360" w:lineRule="auto"/>
              <w:jc w:val="left"/>
              <w:rPr>
                <w:rFonts w:ascii="Arial" w:hAnsi="Arial" w:cs="Arial"/>
              </w:rPr>
            </w:pPr>
            <w:r w:rsidRPr="0048631F">
              <w:rPr>
                <w:rFonts w:ascii="Arial" w:hAnsi="Arial" w:cs="Arial"/>
              </w:rPr>
              <w:t>Combine research methodologies</w:t>
            </w:r>
          </w:p>
        </w:tc>
        <w:tc>
          <w:tcPr>
            <w:tcW w:w="1500" w:type="dxa"/>
          </w:tcPr>
          <w:p w14:paraId="18AF3870" w14:textId="77777777" w:rsidR="007575B8" w:rsidRPr="0048631F" w:rsidRDefault="004D78AD" w:rsidP="00024BB0">
            <w:pPr>
              <w:spacing w:line="360" w:lineRule="auto"/>
              <w:jc w:val="left"/>
              <w:rPr>
                <w:rFonts w:ascii="Arial" w:hAnsi="Arial" w:cs="Arial"/>
              </w:rPr>
            </w:pPr>
            <w:r w:rsidRPr="0048631F">
              <w:rPr>
                <w:rFonts w:ascii="Arial" w:hAnsi="Arial" w:cs="Arial"/>
              </w:rPr>
              <w:t>Operations management</w:t>
            </w:r>
          </w:p>
        </w:tc>
        <w:tc>
          <w:tcPr>
            <w:tcW w:w="1320" w:type="dxa"/>
          </w:tcPr>
          <w:p w14:paraId="1514F24A" w14:textId="77777777" w:rsidR="007575B8" w:rsidRPr="0048631F" w:rsidRDefault="004D78AD" w:rsidP="00024BB0">
            <w:pPr>
              <w:spacing w:line="360" w:lineRule="auto"/>
              <w:jc w:val="left"/>
              <w:rPr>
                <w:rFonts w:ascii="Arial" w:hAnsi="Arial" w:cs="Arial"/>
              </w:rPr>
            </w:pPr>
            <w:r w:rsidRPr="0048631F">
              <w:rPr>
                <w:rFonts w:ascii="Arial" w:hAnsi="Arial" w:cs="Arial"/>
              </w:rPr>
              <w:t>Qualitative</w:t>
            </w:r>
          </w:p>
        </w:tc>
        <w:tc>
          <w:tcPr>
            <w:tcW w:w="1650" w:type="dxa"/>
          </w:tcPr>
          <w:p w14:paraId="5F9FACF0" w14:textId="77777777" w:rsidR="007575B8" w:rsidRPr="0048631F" w:rsidRDefault="004D78AD" w:rsidP="00024BB0">
            <w:pPr>
              <w:spacing w:line="360" w:lineRule="auto"/>
              <w:jc w:val="left"/>
              <w:rPr>
                <w:rFonts w:ascii="Arial" w:hAnsi="Arial" w:cs="Arial"/>
              </w:rPr>
            </w:pPr>
            <w:r w:rsidRPr="0048631F">
              <w:rPr>
                <w:rFonts w:ascii="Arial" w:hAnsi="Arial" w:cs="Arial"/>
              </w:rPr>
              <w:t>Mixed methodological approaches improve findings</w:t>
            </w:r>
          </w:p>
        </w:tc>
        <w:tc>
          <w:tcPr>
            <w:tcW w:w="1290" w:type="dxa"/>
          </w:tcPr>
          <w:p w14:paraId="0BBA6BE7" w14:textId="77777777" w:rsidR="007575B8" w:rsidRPr="0048631F" w:rsidRDefault="004D78AD" w:rsidP="00024BB0">
            <w:pPr>
              <w:spacing w:line="360" w:lineRule="auto"/>
              <w:jc w:val="left"/>
              <w:rPr>
                <w:rFonts w:ascii="Arial" w:hAnsi="Arial" w:cs="Arial"/>
              </w:rPr>
            </w:pPr>
            <w:r w:rsidRPr="0048631F">
              <w:rPr>
                <w:rFonts w:ascii="Arial" w:hAnsi="Arial" w:cs="Arial"/>
              </w:rPr>
              <w:t>Supports methodological decisions</w:t>
            </w:r>
          </w:p>
        </w:tc>
        <w:tc>
          <w:tcPr>
            <w:tcW w:w="1545" w:type="dxa"/>
          </w:tcPr>
          <w:p w14:paraId="09CA21F0" w14:textId="77777777" w:rsidR="007575B8" w:rsidRPr="0048631F" w:rsidRDefault="004D78AD" w:rsidP="00024BB0">
            <w:pPr>
              <w:spacing w:line="360" w:lineRule="auto"/>
              <w:jc w:val="left"/>
              <w:rPr>
                <w:rFonts w:ascii="Arial" w:hAnsi="Arial" w:cs="Arial"/>
              </w:rPr>
            </w:pPr>
            <w:r w:rsidRPr="0048631F">
              <w:rPr>
                <w:rFonts w:ascii="Arial" w:hAnsi="Arial" w:cs="Arial"/>
              </w:rPr>
              <w:t>Broadens research design</w:t>
            </w:r>
          </w:p>
        </w:tc>
      </w:tr>
      <w:tr w:rsidR="0048631F" w:rsidRPr="0048631F" w14:paraId="56F5C63D" w14:textId="77777777">
        <w:tc>
          <w:tcPr>
            <w:tcW w:w="1455" w:type="dxa"/>
          </w:tcPr>
          <w:p w14:paraId="3C944847" w14:textId="77777777" w:rsidR="007575B8" w:rsidRPr="0048631F" w:rsidRDefault="004D78AD" w:rsidP="00024BB0">
            <w:pPr>
              <w:spacing w:line="360" w:lineRule="auto"/>
              <w:jc w:val="left"/>
              <w:rPr>
                <w:rFonts w:ascii="Arial" w:hAnsi="Arial" w:cs="Arial"/>
              </w:rPr>
            </w:pPr>
            <w:r w:rsidRPr="0048631F">
              <w:rPr>
                <w:rFonts w:ascii="Arial" w:hAnsi="Arial" w:cs="Arial"/>
              </w:rPr>
              <w:t>Graham et al. (2025)</w:t>
            </w:r>
          </w:p>
        </w:tc>
        <w:tc>
          <w:tcPr>
            <w:tcW w:w="1245" w:type="dxa"/>
          </w:tcPr>
          <w:p w14:paraId="1FA59E71" w14:textId="77777777" w:rsidR="007575B8" w:rsidRPr="0048631F" w:rsidRDefault="004D78AD" w:rsidP="00024BB0">
            <w:pPr>
              <w:spacing w:line="360" w:lineRule="auto"/>
              <w:jc w:val="left"/>
              <w:rPr>
                <w:rFonts w:ascii="Arial" w:hAnsi="Arial" w:cs="Arial"/>
              </w:rPr>
            </w:pPr>
            <w:r w:rsidRPr="0048631F">
              <w:rPr>
                <w:rFonts w:ascii="Arial" w:hAnsi="Arial" w:cs="Arial"/>
              </w:rPr>
              <w:t>Examine action research</w:t>
            </w:r>
          </w:p>
        </w:tc>
        <w:tc>
          <w:tcPr>
            <w:tcW w:w="1500" w:type="dxa"/>
          </w:tcPr>
          <w:p w14:paraId="2FBC15F1" w14:textId="77777777" w:rsidR="007575B8" w:rsidRPr="0048631F" w:rsidRDefault="004D78AD" w:rsidP="00024BB0">
            <w:pPr>
              <w:spacing w:line="360" w:lineRule="auto"/>
              <w:jc w:val="left"/>
              <w:rPr>
                <w:rFonts w:ascii="Arial" w:hAnsi="Arial" w:cs="Arial"/>
              </w:rPr>
            </w:pPr>
            <w:r w:rsidRPr="0048631F">
              <w:rPr>
                <w:rFonts w:ascii="Arial" w:hAnsi="Arial" w:cs="Arial"/>
              </w:rPr>
              <w:t>Labour studies</w:t>
            </w:r>
          </w:p>
        </w:tc>
        <w:tc>
          <w:tcPr>
            <w:tcW w:w="1320" w:type="dxa"/>
          </w:tcPr>
          <w:p w14:paraId="5DA27D90" w14:textId="77777777" w:rsidR="007575B8" w:rsidRPr="0048631F" w:rsidRDefault="004D78AD" w:rsidP="00024BB0">
            <w:pPr>
              <w:spacing w:line="360" w:lineRule="auto"/>
              <w:jc w:val="left"/>
              <w:rPr>
                <w:rFonts w:ascii="Arial" w:hAnsi="Arial" w:cs="Arial"/>
              </w:rPr>
            </w:pPr>
            <w:r w:rsidRPr="0048631F">
              <w:rPr>
                <w:rFonts w:ascii="Arial" w:hAnsi="Arial" w:cs="Arial"/>
              </w:rPr>
              <w:t>Action research</w:t>
            </w:r>
          </w:p>
        </w:tc>
        <w:tc>
          <w:tcPr>
            <w:tcW w:w="1650" w:type="dxa"/>
          </w:tcPr>
          <w:p w14:paraId="3DB7F44D" w14:textId="77777777" w:rsidR="007575B8" w:rsidRPr="0048631F" w:rsidRDefault="004D78AD" w:rsidP="00024BB0">
            <w:pPr>
              <w:spacing w:line="360" w:lineRule="auto"/>
              <w:jc w:val="left"/>
              <w:rPr>
                <w:rFonts w:ascii="Arial" w:hAnsi="Arial" w:cs="Arial"/>
              </w:rPr>
            </w:pPr>
            <w:r w:rsidRPr="0048631F">
              <w:rPr>
                <w:rFonts w:ascii="Arial" w:hAnsi="Arial" w:cs="Arial"/>
              </w:rPr>
              <w:t>Collaborative approaches improve evidence quality</w:t>
            </w:r>
          </w:p>
        </w:tc>
        <w:tc>
          <w:tcPr>
            <w:tcW w:w="1290" w:type="dxa"/>
          </w:tcPr>
          <w:p w14:paraId="5523F288" w14:textId="77777777" w:rsidR="007575B8" w:rsidRPr="0048631F" w:rsidRDefault="004D78AD" w:rsidP="00024BB0">
            <w:pPr>
              <w:spacing w:line="360" w:lineRule="auto"/>
              <w:jc w:val="left"/>
              <w:rPr>
                <w:rFonts w:ascii="Arial" w:hAnsi="Arial" w:cs="Arial"/>
              </w:rPr>
            </w:pPr>
            <w:r w:rsidRPr="0048631F">
              <w:rPr>
                <w:rFonts w:ascii="Arial" w:hAnsi="Arial" w:cs="Arial"/>
              </w:rPr>
              <w:t>Supports methodological discussion</w:t>
            </w:r>
          </w:p>
        </w:tc>
        <w:tc>
          <w:tcPr>
            <w:tcW w:w="1545" w:type="dxa"/>
          </w:tcPr>
          <w:p w14:paraId="5F1C2CF6" w14:textId="77777777" w:rsidR="007575B8" w:rsidRPr="0048631F" w:rsidRDefault="004D78AD" w:rsidP="00024BB0">
            <w:pPr>
              <w:spacing w:line="360" w:lineRule="auto"/>
              <w:jc w:val="left"/>
              <w:rPr>
                <w:rFonts w:ascii="Arial" w:hAnsi="Arial" w:cs="Arial"/>
              </w:rPr>
            </w:pPr>
            <w:r w:rsidRPr="0048631F">
              <w:rPr>
                <w:rFonts w:ascii="Arial" w:hAnsi="Arial" w:cs="Arial"/>
              </w:rPr>
              <w:t>Explains research application</w:t>
            </w:r>
          </w:p>
        </w:tc>
      </w:tr>
      <w:tr w:rsidR="0048631F" w:rsidRPr="0048631F" w14:paraId="55AA819B" w14:textId="77777777">
        <w:tc>
          <w:tcPr>
            <w:tcW w:w="1455" w:type="dxa"/>
          </w:tcPr>
          <w:p w14:paraId="2DC2E914" w14:textId="77777777" w:rsidR="007575B8" w:rsidRPr="0048631F" w:rsidRDefault="004D78AD" w:rsidP="00024BB0">
            <w:pPr>
              <w:spacing w:line="360" w:lineRule="auto"/>
              <w:jc w:val="left"/>
              <w:rPr>
                <w:rFonts w:ascii="Arial" w:hAnsi="Arial" w:cs="Arial"/>
              </w:rPr>
            </w:pPr>
            <w:r w:rsidRPr="0048631F">
              <w:rPr>
                <w:rFonts w:ascii="Arial" w:hAnsi="Arial" w:cs="Arial"/>
              </w:rPr>
              <w:t>Jiao (2026)</w:t>
            </w:r>
          </w:p>
        </w:tc>
        <w:tc>
          <w:tcPr>
            <w:tcW w:w="1245" w:type="dxa"/>
          </w:tcPr>
          <w:p w14:paraId="297472B8" w14:textId="77777777" w:rsidR="007575B8" w:rsidRPr="0048631F" w:rsidRDefault="004D78AD" w:rsidP="00024BB0">
            <w:pPr>
              <w:spacing w:line="360" w:lineRule="auto"/>
              <w:jc w:val="left"/>
              <w:rPr>
                <w:rFonts w:ascii="Arial" w:hAnsi="Arial" w:cs="Arial"/>
              </w:rPr>
            </w:pPr>
            <w:r w:rsidRPr="0048631F">
              <w:rPr>
                <w:rFonts w:ascii="Arial" w:hAnsi="Arial" w:cs="Arial"/>
              </w:rPr>
              <w:t>Examine validation methods</w:t>
            </w:r>
          </w:p>
        </w:tc>
        <w:tc>
          <w:tcPr>
            <w:tcW w:w="1500" w:type="dxa"/>
          </w:tcPr>
          <w:p w14:paraId="7361B723" w14:textId="77777777" w:rsidR="007575B8" w:rsidRPr="0048631F" w:rsidRDefault="004D78AD" w:rsidP="00024BB0">
            <w:pPr>
              <w:spacing w:line="360" w:lineRule="auto"/>
              <w:jc w:val="left"/>
              <w:rPr>
                <w:rFonts w:ascii="Arial" w:hAnsi="Arial" w:cs="Arial"/>
              </w:rPr>
            </w:pPr>
            <w:r w:rsidRPr="0048631F">
              <w:rPr>
                <w:rFonts w:ascii="Arial" w:hAnsi="Arial" w:cs="Arial"/>
              </w:rPr>
              <w:t>Engineering research</w:t>
            </w:r>
          </w:p>
        </w:tc>
        <w:tc>
          <w:tcPr>
            <w:tcW w:w="1320" w:type="dxa"/>
          </w:tcPr>
          <w:p w14:paraId="06BB9FB2" w14:textId="77777777" w:rsidR="007575B8" w:rsidRPr="0048631F" w:rsidRDefault="004D78AD" w:rsidP="00024BB0">
            <w:pPr>
              <w:spacing w:line="360" w:lineRule="auto"/>
              <w:jc w:val="left"/>
              <w:rPr>
                <w:rFonts w:ascii="Arial" w:hAnsi="Arial" w:cs="Arial"/>
              </w:rPr>
            </w:pPr>
            <w:r w:rsidRPr="0048631F">
              <w:rPr>
                <w:rFonts w:ascii="Arial" w:hAnsi="Arial" w:cs="Arial"/>
              </w:rPr>
              <w:t>Methodological review</w:t>
            </w:r>
          </w:p>
        </w:tc>
        <w:tc>
          <w:tcPr>
            <w:tcW w:w="1650" w:type="dxa"/>
          </w:tcPr>
          <w:p w14:paraId="66EA2B61" w14:textId="77777777" w:rsidR="007575B8" w:rsidRPr="0048631F" w:rsidRDefault="004D78AD" w:rsidP="00024BB0">
            <w:pPr>
              <w:spacing w:line="360" w:lineRule="auto"/>
              <w:jc w:val="left"/>
              <w:rPr>
                <w:rFonts w:ascii="Arial" w:hAnsi="Arial" w:cs="Arial"/>
              </w:rPr>
            </w:pPr>
            <w:r w:rsidRPr="0048631F">
              <w:rPr>
                <w:rFonts w:ascii="Arial" w:hAnsi="Arial" w:cs="Arial"/>
              </w:rPr>
              <w:t>Validation strengthens research reliability</w:t>
            </w:r>
          </w:p>
        </w:tc>
        <w:tc>
          <w:tcPr>
            <w:tcW w:w="1290" w:type="dxa"/>
          </w:tcPr>
          <w:p w14:paraId="408F1F86" w14:textId="77777777" w:rsidR="007575B8" w:rsidRPr="0048631F" w:rsidRDefault="004D78AD" w:rsidP="00024BB0">
            <w:pPr>
              <w:spacing w:line="360" w:lineRule="auto"/>
              <w:jc w:val="left"/>
              <w:rPr>
                <w:rFonts w:ascii="Arial" w:hAnsi="Arial" w:cs="Arial"/>
              </w:rPr>
            </w:pPr>
            <w:r w:rsidRPr="0048631F">
              <w:rPr>
                <w:rFonts w:ascii="Arial" w:hAnsi="Arial" w:cs="Arial"/>
              </w:rPr>
              <w:t>Supports study credibility</w:t>
            </w:r>
          </w:p>
        </w:tc>
        <w:tc>
          <w:tcPr>
            <w:tcW w:w="1545" w:type="dxa"/>
          </w:tcPr>
          <w:p w14:paraId="4DB9381D" w14:textId="77777777" w:rsidR="007575B8" w:rsidRPr="0048631F" w:rsidRDefault="004D78AD" w:rsidP="00024BB0">
            <w:pPr>
              <w:spacing w:line="360" w:lineRule="auto"/>
              <w:jc w:val="left"/>
              <w:rPr>
                <w:rFonts w:ascii="Arial" w:hAnsi="Arial" w:cs="Arial"/>
              </w:rPr>
            </w:pPr>
            <w:r w:rsidRPr="0048631F">
              <w:rPr>
                <w:rFonts w:ascii="Arial" w:hAnsi="Arial" w:cs="Arial"/>
              </w:rPr>
              <w:t>Improves methodological robustness</w:t>
            </w:r>
          </w:p>
        </w:tc>
      </w:tr>
      <w:tr w:rsidR="0048631F" w:rsidRPr="0048631F" w14:paraId="4BF7C474" w14:textId="77777777">
        <w:tc>
          <w:tcPr>
            <w:tcW w:w="1455" w:type="dxa"/>
          </w:tcPr>
          <w:p w14:paraId="093B05AE" w14:textId="77777777" w:rsidR="007575B8" w:rsidRPr="0048631F" w:rsidRDefault="004D78AD" w:rsidP="00024BB0">
            <w:pPr>
              <w:spacing w:line="360" w:lineRule="auto"/>
              <w:jc w:val="left"/>
              <w:rPr>
                <w:rFonts w:ascii="Arial" w:hAnsi="Arial" w:cs="Arial"/>
              </w:rPr>
            </w:pPr>
            <w:r w:rsidRPr="0048631F">
              <w:rPr>
                <w:rFonts w:ascii="Arial" w:hAnsi="Arial" w:cs="Arial"/>
              </w:rPr>
              <w:t>Back (2024)</w:t>
            </w:r>
          </w:p>
        </w:tc>
        <w:tc>
          <w:tcPr>
            <w:tcW w:w="1245" w:type="dxa"/>
          </w:tcPr>
          <w:p w14:paraId="3855AD0B" w14:textId="77777777" w:rsidR="007575B8" w:rsidRPr="0048631F" w:rsidRDefault="004D78AD" w:rsidP="00024BB0">
            <w:pPr>
              <w:spacing w:line="360" w:lineRule="auto"/>
              <w:jc w:val="left"/>
              <w:rPr>
                <w:rFonts w:ascii="Arial" w:hAnsi="Arial" w:cs="Arial"/>
              </w:rPr>
            </w:pPr>
            <w:r w:rsidRPr="0048631F">
              <w:rPr>
                <w:rFonts w:ascii="Arial" w:hAnsi="Arial" w:cs="Arial"/>
              </w:rPr>
              <w:t>Identify ESG research priorities</w:t>
            </w:r>
          </w:p>
        </w:tc>
        <w:tc>
          <w:tcPr>
            <w:tcW w:w="1500" w:type="dxa"/>
          </w:tcPr>
          <w:p w14:paraId="49DC47C0" w14:textId="77777777" w:rsidR="007575B8" w:rsidRPr="0048631F" w:rsidRDefault="004D78AD" w:rsidP="00024BB0">
            <w:pPr>
              <w:spacing w:line="360" w:lineRule="auto"/>
              <w:jc w:val="left"/>
              <w:rPr>
                <w:rFonts w:ascii="Arial" w:hAnsi="Arial" w:cs="Arial"/>
              </w:rPr>
            </w:pPr>
            <w:r w:rsidRPr="0048631F">
              <w:rPr>
                <w:rFonts w:ascii="Arial" w:hAnsi="Arial" w:cs="Arial"/>
              </w:rPr>
              <w:t>Tourism</w:t>
            </w:r>
          </w:p>
        </w:tc>
        <w:tc>
          <w:tcPr>
            <w:tcW w:w="1320" w:type="dxa"/>
          </w:tcPr>
          <w:p w14:paraId="22B978E7" w14:textId="77777777" w:rsidR="007575B8" w:rsidRPr="0048631F" w:rsidRDefault="004D78AD" w:rsidP="00024BB0">
            <w:pPr>
              <w:spacing w:line="360" w:lineRule="auto"/>
              <w:jc w:val="left"/>
              <w:rPr>
                <w:rFonts w:ascii="Arial" w:hAnsi="Arial" w:cs="Arial"/>
              </w:rPr>
            </w:pPr>
            <w:r w:rsidRPr="0048631F">
              <w:rPr>
                <w:rFonts w:ascii="Arial" w:hAnsi="Arial" w:cs="Arial"/>
              </w:rPr>
              <w:t>Conceptual review</w:t>
            </w:r>
          </w:p>
        </w:tc>
        <w:tc>
          <w:tcPr>
            <w:tcW w:w="1650" w:type="dxa"/>
          </w:tcPr>
          <w:p w14:paraId="405FFBD4" w14:textId="77777777" w:rsidR="007575B8" w:rsidRPr="0048631F" w:rsidRDefault="004D78AD" w:rsidP="00024BB0">
            <w:pPr>
              <w:spacing w:line="360" w:lineRule="auto"/>
              <w:jc w:val="left"/>
              <w:rPr>
                <w:rFonts w:ascii="Arial" w:hAnsi="Arial" w:cs="Arial"/>
              </w:rPr>
            </w:pPr>
            <w:r w:rsidRPr="0048631F">
              <w:rPr>
                <w:rFonts w:ascii="Arial" w:hAnsi="Arial" w:cs="Arial"/>
              </w:rPr>
              <w:t>ESG measurement requires further research</w:t>
            </w:r>
          </w:p>
        </w:tc>
        <w:tc>
          <w:tcPr>
            <w:tcW w:w="1290" w:type="dxa"/>
          </w:tcPr>
          <w:p w14:paraId="3D4CB98D" w14:textId="77777777" w:rsidR="007575B8" w:rsidRPr="0048631F" w:rsidRDefault="004D78AD" w:rsidP="00024BB0">
            <w:pPr>
              <w:spacing w:line="360" w:lineRule="auto"/>
              <w:jc w:val="left"/>
              <w:rPr>
                <w:rFonts w:ascii="Arial" w:hAnsi="Arial" w:cs="Arial"/>
              </w:rPr>
            </w:pPr>
            <w:r w:rsidRPr="0048631F">
              <w:rPr>
                <w:rFonts w:ascii="Arial" w:hAnsi="Arial" w:cs="Arial"/>
              </w:rPr>
              <w:t>Supports research gap</w:t>
            </w:r>
          </w:p>
        </w:tc>
        <w:tc>
          <w:tcPr>
            <w:tcW w:w="1545" w:type="dxa"/>
          </w:tcPr>
          <w:p w14:paraId="43771F47" w14:textId="77777777" w:rsidR="007575B8" w:rsidRPr="0048631F" w:rsidRDefault="004D78AD" w:rsidP="00024BB0">
            <w:pPr>
              <w:spacing w:line="360" w:lineRule="auto"/>
              <w:jc w:val="left"/>
              <w:rPr>
                <w:rFonts w:ascii="Arial" w:hAnsi="Arial" w:cs="Arial"/>
              </w:rPr>
            </w:pPr>
            <w:r w:rsidRPr="0048631F">
              <w:rPr>
                <w:rFonts w:ascii="Arial" w:hAnsi="Arial" w:cs="Arial"/>
              </w:rPr>
              <w:t>Highlights future research directions</w:t>
            </w:r>
          </w:p>
        </w:tc>
      </w:tr>
      <w:tr w:rsidR="0048631F" w:rsidRPr="0048631F" w14:paraId="303761FF" w14:textId="77777777">
        <w:tc>
          <w:tcPr>
            <w:tcW w:w="1455" w:type="dxa"/>
          </w:tcPr>
          <w:p w14:paraId="7B3871ED" w14:textId="77777777" w:rsidR="007575B8" w:rsidRPr="0048631F" w:rsidRDefault="004D78AD" w:rsidP="00024BB0">
            <w:pPr>
              <w:spacing w:line="360" w:lineRule="auto"/>
              <w:jc w:val="left"/>
              <w:rPr>
                <w:rFonts w:ascii="Arial" w:hAnsi="Arial" w:cs="Arial"/>
              </w:rPr>
            </w:pPr>
            <w:r w:rsidRPr="0048631F">
              <w:rPr>
                <w:rFonts w:ascii="Arial" w:hAnsi="Arial" w:cs="Arial"/>
              </w:rPr>
              <w:t>DSilva (2025)</w:t>
            </w:r>
          </w:p>
        </w:tc>
        <w:tc>
          <w:tcPr>
            <w:tcW w:w="1245" w:type="dxa"/>
          </w:tcPr>
          <w:p w14:paraId="3F777E7E" w14:textId="77777777" w:rsidR="007575B8" w:rsidRPr="0048631F" w:rsidRDefault="004D78AD" w:rsidP="00024BB0">
            <w:pPr>
              <w:spacing w:line="360" w:lineRule="auto"/>
              <w:jc w:val="left"/>
              <w:rPr>
                <w:rFonts w:ascii="Arial" w:hAnsi="Arial" w:cs="Arial"/>
              </w:rPr>
            </w:pPr>
            <w:r w:rsidRPr="0048631F">
              <w:rPr>
                <w:rFonts w:ascii="Arial" w:hAnsi="Arial" w:cs="Arial"/>
              </w:rPr>
              <w:t>Analyse airline sustainability reports</w:t>
            </w:r>
          </w:p>
        </w:tc>
        <w:tc>
          <w:tcPr>
            <w:tcW w:w="1500" w:type="dxa"/>
          </w:tcPr>
          <w:p w14:paraId="663C891A" w14:textId="77777777" w:rsidR="007575B8" w:rsidRPr="0048631F" w:rsidRDefault="004D78AD" w:rsidP="00024BB0">
            <w:pPr>
              <w:spacing w:line="360" w:lineRule="auto"/>
              <w:jc w:val="left"/>
              <w:rPr>
                <w:rFonts w:ascii="Arial" w:hAnsi="Arial" w:cs="Arial"/>
              </w:rPr>
            </w:pPr>
            <w:r w:rsidRPr="0048631F">
              <w:rPr>
                <w:rFonts w:ascii="Arial" w:hAnsi="Arial" w:cs="Arial"/>
              </w:rPr>
              <w:t>Global airlines</w:t>
            </w:r>
          </w:p>
        </w:tc>
        <w:tc>
          <w:tcPr>
            <w:tcW w:w="1320" w:type="dxa"/>
          </w:tcPr>
          <w:p w14:paraId="3B64A8C6" w14:textId="77777777" w:rsidR="007575B8" w:rsidRPr="0048631F" w:rsidRDefault="004D78AD" w:rsidP="00024BB0">
            <w:pPr>
              <w:spacing w:line="360" w:lineRule="auto"/>
              <w:jc w:val="left"/>
              <w:rPr>
                <w:rFonts w:ascii="Arial" w:hAnsi="Arial" w:cs="Arial"/>
              </w:rPr>
            </w:pPr>
            <w:r w:rsidRPr="0048631F">
              <w:rPr>
                <w:rFonts w:ascii="Arial" w:hAnsi="Arial" w:cs="Arial"/>
              </w:rPr>
              <w:t>Content analysis</w:t>
            </w:r>
          </w:p>
        </w:tc>
        <w:tc>
          <w:tcPr>
            <w:tcW w:w="1650" w:type="dxa"/>
          </w:tcPr>
          <w:p w14:paraId="1FAB9736" w14:textId="77777777" w:rsidR="007575B8" w:rsidRPr="0048631F" w:rsidRDefault="004D78AD" w:rsidP="00024BB0">
            <w:pPr>
              <w:spacing w:line="360" w:lineRule="auto"/>
              <w:jc w:val="left"/>
              <w:rPr>
                <w:rFonts w:ascii="Arial" w:hAnsi="Arial" w:cs="Arial"/>
              </w:rPr>
            </w:pPr>
            <w:r w:rsidRPr="0048631F">
              <w:rPr>
                <w:rFonts w:ascii="Arial" w:hAnsi="Arial" w:cs="Arial"/>
              </w:rPr>
              <w:t>Sustainability reporting varies considerably</w:t>
            </w:r>
          </w:p>
        </w:tc>
        <w:tc>
          <w:tcPr>
            <w:tcW w:w="1290" w:type="dxa"/>
          </w:tcPr>
          <w:p w14:paraId="14D4BFF2" w14:textId="77777777" w:rsidR="007575B8" w:rsidRPr="0048631F" w:rsidRDefault="004D78AD" w:rsidP="00024BB0">
            <w:pPr>
              <w:spacing w:line="360" w:lineRule="auto"/>
              <w:jc w:val="left"/>
              <w:rPr>
                <w:rFonts w:ascii="Arial" w:hAnsi="Arial" w:cs="Arial"/>
              </w:rPr>
            </w:pPr>
            <w:r w:rsidRPr="0048631F">
              <w:rPr>
                <w:rFonts w:ascii="Arial" w:hAnsi="Arial" w:cs="Arial"/>
              </w:rPr>
              <w:t>Supports systematic review findings</w:t>
            </w:r>
          </w:p>
        </w:tc>
        <w:tc>
          <w:tcPr>
            <w:tcW w:w="1545" w:type="dxa"/>
          </w:tcPr>
          <w:p w14:paraId="40D46BC6" w14:textId="77777777" w:rsidR="007575B8" w:rsidRPr="0048631F" w:rsidRDefault="004D78AD" w:rsidP="00024BB0">
            <w:pPr>
              <w:spacing w:line="360" w:lineRule="auto"/>
              <w:jc w:val="left"/>
              <w:rPr>
                <w:rFonts w:ascii="Arial" w:hAnsi="Arial" w:cs="Arial"/>
              </w:rPr>
            </w:pPr>
            <w:r w:rsidRPr="0048631F">
              <w:rPr>
                <w:rFonts w:ascii="Arial" w:hAnsi="Arial" w:cs="Arial"/>
              </w:rPr>
              <w:t>Evaluates reporting consistency</w:t>
            </w:r>
          </w:p>
        </w:tc>
      </w:tr>
    </w:tbl>
    <w:p w14:paraId="57B75006" w14:textId="77777777" w:rsidR="007575B8" w:rsidRPr="0048631F" w:rsidRDefault="004D78AD" w:rsidP="00024BB0">
      <w:pPr>
        <w:pStyle w:val="Heading5"/>
        <w:rPr>
          <w:rFonts w:ascii="Arial" w:hAnsi="Arial" w:cs="Arial"/>
        </w:rPr>
      </w:pPr>
      <w:bookmarkStart w:id="103" w:name="_heading=h.v5zwbu2p6kou" w:colFirst="0" w:colLast="0"/>
      <w:bookmarkStart w:id="104" w:name="_Toc235889273"/>
      <w:bookmarkEnd w:id="103"/>
      <w:r w:rsidRPr="0048631F">
        <w:rPr>
          <w:rFonts w:ascii="Arial" w:hAnsi="Arial" w:cs="Arial"/>
        </w:rPr>
        <w:t>Table 4.5: Theme 5 Summary – Challenges in Measuring ESG and Carbon Performance</w:t>
      </w:r>
      <w:bookmarkEnd w:id="104"/>
    </w:p>
    <w:p w14:paraId="2E85CE99" w14:textId="77777777" w:rsidR="007575B8" w:rsidRPr="0048631F" w:rsidRDefault="004D78AD" w:rsidP="00024BB0">
      <w:pPr>
        <w:rPr>
          <w:rFonts w:ascii="Arial" w:hAnsi="Arial" w:cs="Arial"/>
        </w:rPr>
      </w:pPr>
      <w:r w:rsidRPr="0048631F">
        <w:rPr>
          <w:rFonts w:ascii="Arial" w:hAnsi="Arial" w:cs="Arial"/>
        </w:rPr>
        <w:lastRenderedPageBreak/>
        <w:t xml:space="preserve">The above-mentioned analysed articles shows that due to the differences between the reporting frames, sustainability indicators and methods, measuring the performance of ESG and carbon reductions is still not a simple task. For instance, Back (2024) noted that the measurement of ESG is a clear focus for research, as organisations still employ a wide range of sustainability metrics, with comparison of environmental performance being challenging across industries. The study emphasized that due to the lack of consistency, the ESG assessments are less reliable and inhibits the capacity of stakeholders to gauge real sustainability performance. </w:t>
      </w:r>
    </w:p>
    <w:p w14:paraId="5E5383F2" w14:textId="77777777" w:rsidR="007575B8" w:rsidRPr="0048631F" w:rsidRDefault="004D78AD" w:rsidP="00024BB0">
      <w:pPr>
        <w:rPr>
          <w:rFonts w:ascii="Arial" w:hAnsi="Arial" w:cs="Arial"/>
        </w:rPr>
      </w:pPr>
      <w:r w:rsidRPr="0048631F">
        <w:rPr>
          <w:rFonts w:ascii="Arial" w:hAnsi="Arial" w:cs="Arial"/>
        </w:rPr>
        <w:t>In a similar report, DSilva (2025) reported that global airlines continue to produce sustainability reports to report on their progress in achieving their net-zero goals, but there is a lot of variation in the quality of the reports, and how these reports disclose and measure their carbon performance. Both the variability and the diversity of approach make it challenging for investors, regulation and other stakeholders to objectively compare the sustainability performance of airlines. The study's finding indicates that one of the key issues in aviation to address is lack of standardisation in reporting. From the methodological point of view, Bayramova and Edwards (2026) proclaimed the careful matching between research methodology and objectives for having reliable results. Similarly, Denscombe (2025) highlighted the fact that methodological flexibility contributes to good research by permitting the researcher to choose a method and approach that is relevant to the complexity of any sustainability problem being researched. Overall, these studies have shown that good methodological decisions are crucial to ensure reliable ESG research and enhance quality of sustainability assessment.</w:t>
      </w:r>
    </w:p>
    <w:p w14:paraId="44F9B5E1" w14:textId="77777777" w:rsidR="007575B8" w:rsidRPr="0048631F" w:rsidRDefault="004D78AD" w:rsidP="00024BB0">
      <w:pPr>
        <w:pStyle w:val="Heading3"/>
        <w:rPr>
          <w:rFonts w:ascii="Arial" w:hAnsi="Arial" w:cs="Arial"/>
        </w:rPr>
      </w:pPr>
      <w:bookmarkStart w:id="105" w:name="_Toc235889344"/>
      <w:r w:rsidRPr="0048631F">
        <w:rPr>
          <w:rFonts w:ascii="Arial" w:hAnsi="Arial" w:cs="Arial"/>
        </w:rPr>
        <w:t>4.7.2 Analysis</w:t>
      </w:r>
      <w:bookmarkEnd w:id="105"/>
    </w:p>
    <w:p w14:paraId="3AC33FD9" w14:textId="74F162C6" w:rsidR="007575B8" w:rsidRPr="0048631F" w:rsidRDefault="00DF11E0" w:rsidP="00024BB0">
      <w:pPr>
        <w:rPr>
          <w:rFonts w:ascii="Arial" w:hAnsi="Arial" w:cs="Arial"/>
        </w:rPr>
      </w:pPr>
      <w:r w:rsidRPr="0048631F">
        <w:rPr>
          <w:rFonts w:ascii="Arial" w:hAnsi="Arial" w:cs="Arial"/>
        </w:rPr>
        <w:t xml:space="preserve">Based on the literature reviewed, it is found that current and future ESG and carbon measurement is a challenge as organisations have different measurement methods, validation processes and sustainability metrics. Back (2024) stated that the lack of a standardised ESG measurement framework presents a lack of consistency and comparability in the assessment of sustainability across organisations. This can lead stakeholders to question whether environmental performance reported is a true indicator of the actual environmental situation or simply the result of reporting requirements. According to DSilva (2025), airlines use different practices of sustainability reporting, and this makes it harder to obtain the environmental information from the disclosures. These differences make it difficult to compare data </w:t>
      </w:r>
      <w:r w:rsidRPr="0048631F">
        <w:rPr>
          <w:rFonts w:ascii="Arial" w:hAnsi="Arial" w:cs="Arial"/>
        </w:rPr>
        <w:lastRenderedPageBreak/>
        <w:t xml:space="preserve">from one organisation to another, and make the measurement of carbon reduction performance using ESG data challenging. As a result, environmental assessments and reporting are less trustworthy and environmental results become more uncertain. Castro et al. (2025) showed that using several research methods would give a more complete assessment of sustainability performance than using one set methodological. Likewise, Carter et al. (2025) demonstrated that collaborative research enhances the quality of the evidence by creating a space for multiple perspectives and by using an Assessment-led Research process. Moreover, Jiao (2026) highlighted that the systematic validation procedures further increase the transparency, reliability, and </w:t>
      </w:r>
      <w:r w:rsidR="00FD61D6" w:rsidRPr="0048631F">
        <w:rPr>
          <w:rFonts w:ascii="Arial" w:hAnsi="Arial" w:cs="Arial"/>
        </w:rPr>
        <w:t>reliability</w:t>
      </w:r>
      <w:r w:rsidRPr="0048631F">
        <w:rPr>
          <w:rFonts w:ascii="Arial" w:hAnsi="Arial" w:cs="Arial"/>
        </w:rPr>
        <w:t xml:space="preserve"> of sustainability research. In conclusion, the findings show that consistency of reporting, methodological approaches, validation processes and reporting standards are key to ensuring the reliability of ESG assessment and to contributing to the measurement of meaningful carbon performance.</w:t>
      </w:r>
    </w:p>
    <w:p w14:paraId="6F7529C4" w14:textId="77777777" w:rsidR="007575B8" w:rsidRPr="0048631F" w:rsidRDefault="004D78AD" w:rsidP="00024BB0">
      <w:pPr>
        <w:pStyle w:val="Heading3"/>
        <w:rPr>
          <w:rFonts w:ascii="Arial" w:hAnsi="Arial" w:cs="Arial"/>
        </w:rPr>
      </w:pPr>
      <w:bookmarkStart w:id="106" w:name="_Toc235889345"/>
      <w:r w:rsidRPr="0048631F">
        <w:rPr>
          <w:rFonts w:ascii="Arial" w:hAnsi="Arial" w:cs="Arial"/>
        </w:rPr>
        <w:t>4.7.3 Discussion</w:t>
      </w:r>
      <w:bookmarkEnd w:id="106"/>
    </w:p>
    <w:p w14:paraId="7CD03E68" w14:textId="60CA4DCF" w:rsidR="007575B8" w:rsidRPr="0048631F" w:rsidRDefault="00DF11E0" w:rsidP="00024BB0">
      <w:pPr>
        <w:rPr>
          <w:rFonts w:ascii="Arial" w:hAnsi="Arial" w:cs="Arial"/>
        </w:rPr>
      </w:pPr>
      <w:r w:rsidRPr="0048631F">
        <w:rPr>
          <w:rFonts w:ascii="Arial" w:hAnsi="Arial" w:cs="Arial"/>
        </w:rPr>
        <w:t xml:space="preserve">Back (2024) showed that the non-standardisation of ESG measurement frameworks remains a challenge to comparability of sustainability reporting across organisations. This reflects and strengthens Stakeholder Theory, where investors, regulators and customers need to be informed of the organisation's sustainability performance at a consistent and dependable level. If there are no universally established set of rules a stakeholder may be unable to distinguish between accounting and real-world progress. DSilva (2025) posited that airlines sustainability disclosures are not credible because of the lack of consistency across the reporting for environmental dimension and that it is challenging to compare with different organisations. This also emphasises Legitimacy Theory in that the level of environmental performance may be different in an organisation, but they still look environmentally responsible in different ways. This carries significant methodological risk, therefore, that ESG disclosures won't reflect what has been done in the name of carbon reduction. Bayramova and Edwards (2026) highlighted that research methods need to reflect research goals to ensure the validity of sustainability evidence. Similarly, Denscombe (2025) </w:t>
      </w:r>
      <w:proofErr w:type="spellStart"/>
      <w:r w:rsidRPr="0048631F">
        <w:rPr>
          <w:rFonts w:ascii="Arial" w:hAnsi="Arial" w:cs="Arial"/>
        </w:rPr>
        <w:t>beld</w:t>
      </w:r>
      <w:proofErr w:type="spellEnd"/>
      <w:r w:rsidRPr="0048631F">
        <w:rPr>
          <w:rFonts w:ascii="Arial" w:hAnsi="Arial" w:cs="Arial"/>
        </w:rPr>
        <w:t xml:space="preserve"> that methodological flexibility does not need to be at the expense of rigour and transparency. Carter et al. (2025) also proved that collaborative methods enhance research quality and </w:t>
      </w:r>
      <w:proofErr w:type="spellStart"/>
      <w:r w:rsidRPr="0048631F">
        <w:rPr>
          <w:rFonts w:ascii="Arial" w:hAnsi="Arial" w:cs="Arial"/>
        </w:rPr>
        <w:t>Anja</w:t>
      </w:r>
      <w:proofErr w:type="spellEnd"/>
      <w:r w:rsidRPr="0048631F">
        <w:rPr>
          <w:rFonts w:ascii="Arial" w:hAnsi="Arial" w:cs="Arial"/>
        </w:rPr>
        <w:t xml:space="preserve"> Jiao (2026) proved systematic validation for reliable sustainability assessments. The results show that a more robust measurement of ESG will need consistent reporting </w:t>
      </w:r>
      <w:r w:rsidRPr="0048631F">
        <w:rPr>
          <w:rFonts w:ascii="Arial" w:hAnsi="Arial" w:cs="Arial"/>
        </w:rPr>
        <w:lastRenderedPageBreak/>
        <w:t xml:space="preserve">thresholds, clear standards of validation and consistent environmental performance measures for IndiGo. Improvement in </w:t>
      </w:r>
      <w:r w:rsidR="009A5D4F" w:rsidRPr="0048631F">
        <w:rPr>
          <w:rFonts w:ascii="Arial" w:hAnsi="Arial" w:cs="Arial"/>
        </w:rPr>
        <w:t>report ability</w:t>
      </w:r>
      <w:r w:rsidRPr="0048631F">
        <w:rPr>
          <w:rFonts w:ascii="Arial" w:hAnsi="Arial" w:cs="Arial"/>
        </w:rPr>
        <w:t xml:space="preserve"> and consistency of methodologies would lead to increased credibility of sustainability reporting, better understanding and measurement of carbon reduction initiatives, and better confidence amongst stakeholders in the organisation's environmental reporting.</w:t>
      </w:r>
    </w:p>
    <w:p w14:paraId="5BF725DF" w14:textId="77777777" w:rsidR="007575B8" w:rsidRPr="0048631F" w:rsidRDefault="004D78AD" w:rsidP="00024BB0">
      <w:pPr>
        <w:pStyle w:val="Heading2"/>
        <w:rPr>
          <w:rFonts w:ascii="Arial" w:hAnsi="Arial" w:cs="Arial"/>
        </w:rPr>
      </w:pPr>
      <w:bookmarkStart w:id="107" w:name="_Toc235889346"/>
      <w:r w:rsidRPr="0048631F">
        <w:rPr>
          <w:rFonts w:ascii="Arial" w:hAnsi="Arial" w:cs="Arial"/>
        </w:rPr>
        <w:t>4.8 Development of strategic framework for Indian Airlines and application to IndiGo</w:t>
      </w:r>
      <w:bookmarkEnd w:id="107"/>
    </w:p>
    <w:p w14:paraId="3374D339" w14:textId="4F148C43" w:rsidR="007575B8" w:rsidRPr="0048631F" w:rsidRDefault="004D78AD" w:rsidP="00024BB0">
      <w:pPr>
        <w:rPr>
          <w:rFonts w:ascii="Arial" w:hAnsi="Arial" w:cs="Arial"/>
        </w:rPr>
      </w:pPr>
      <w:r w:rsidRPr="0048631F">
        <w:rPr>
          <w:rFonts w:ascii="Arial" w:hAnsi="Arial" w:cs="Arial"/>
        </w:rPr>
        <w:t xml:space="preserve">This systematic literature review is used to propose a strategic framework that will strengthen the connection between carbon reduction and ESG disclosure in the aviation industry of India. The framework is a mix of the transparency of ESG, decarbonisation of operations, Sustainable Aviation Fuel (SAF), stakeholder engagement and continuous reporting/performance monitoring. ESG reporting is not only about compliance now, but also integral part of the company's </w:t>
      </w:r>
      <w:r w:rsidR="00F10A14" w:rsidRPr="0048631F">
        <w:rPr>
          <w:rFonts w:ascii="Arial" w:hAnsi="Arial" w:cs="Arial"/>
        </w:rPr>
        <w:t>long-term</w:t>
      </w:r>
      <w:r w:rsidRPr="0048631F">
        <w:rPr>
          <w:rFonts w:ascii="Arial" w:hAnsi="Arial" w:cs="Arial"/>
        </w:rPr>
        <w:t xml:space="preserve"> strategy. A component of this plan is establishing quantifiable carbon emission reduction objectives, which are then linked to ESG reporting. Klimczyk et al. (2025) emphasized the importance of certification for pathways towards SAF, reporting on lifecycle carbon emissions and applicable certification systems to support aviation decarbonisation. The provision of such </w:t>
      </w:r>
      <w:r w:rsidR="009A5D4F" w:rsidRPr="0048631F">
        <w:rPr>
          <w:rFonts w:ascii="Arial" w:hAnsi="Arial" w:cs="Arial"/>
        </w:rPr>
        <w:t>measurable</w:t>
      </w:r>
      <w:r w:rsidRPr="0048631F">
        <w:rPr>
          <w:rFonts w:ascii="Arial" w:hAnsi="Arial" w:cs="Arial"/>
        </w:rPr>
        <w:t xml:space="preserve"> in the ESG disclosures would lead to better transparency and provide stakeholders with a more effective tool for evaluating environmental performance. Airlines' environmental objectives need to be integrated into the core of the operational, financial and organisational decision-making process to achieve sustainable organisational performance (Heyes </w:t>
      </w:r>
      <w:r w:rsidR="00CB6A49" w:rsidRPr="0048631F">
        <w:rPr>
          <w:rFonts w:ascii="Arial" w:hAnsi="Arial" w:cs="Arial"/>
        </w:rPr>
        <w:t>et al.</w:t>
      </w:r>
      <w:r w:rsidRPr="0048631F">
        <w:rPr>
          <w:rFonts w:ascii="Arial" w:hAnsi="Arial" w:cs="Arial"/>
        </w:rPr>
        <w:t xml:space="preserve"> 2023; Bardon and Massol, 2025). Furthermore, Raman et al. (2024) recommend aligning aviation sustainability actions with Sustainable Development Goals (SDGs) for innovation, improved environmental governance and sustainable carbon footprints reduction.</w:t>
      </w:r>
    </w:p>
    <w:p w14:paraId="23D80B2C" w14:textId="77777777" w:rsidR="007575B8" w:rsidRPr="0048631F" w:rsidRDefault="004D78AD" w:rsidP="00024BB0">
      <w:pPr>
        <w:jc w:val="center"/>
        <w:rPr>
          <w:rFonts w:ascii="Arial" w:hAnsi="Arial" w:cs="Arial"/>
        </w:rPr>
      </w:pPr>
      <w:r w:rsidRPr="0048631F">
        <w:rPr>
          <w:rFonts w:ascii="Arial" w:hAnsi="Arial" w:cs="Arial"/>
          <w:noProof/>
        </w:rPr>
        <w:lastRenderedPageBreak/>
        <w:drawing>
          <wp:inline distT="114300" distB="114300" distL="114300" distR="114300" wp14:anchorId="434435E2" wp14:editId="2AD40681">
            <wp:extent cx="5936139" cy="3048000"/>
            <wp:effectExtent l="0" t="0" r="0" b="0"/>
            <wp:docPr id="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36139" cy="3048000"/>
                    </a:xfrm>
                    <a:prstGeom prst="rect">
                      <a:avLst/>
                    </a:prstGeom>
                    <a:ln/>
                  </pic:spPr>
                </pic:pic>
              </a:graphicData>
            </a:graphic>
          </wp:inline>
        </w:drawing>
      </w:r>
    </w:p>
    <w:p w14:paraId="32316C2E" w14:textId="77777777" w:rsidR="007575B8" w:rsidRPr="0048631F" w:rsidRDefault="004D78AD" w:rsidP="00024BB0">
      <w:pPr>
        <w:jc w:val="center"/>
        <w:rPr>
          <w:rFonts w:ascii="Arial" w:hAnsi="Arial" w:cs="Arial"/>
        </w:rPr>
      </w:pPr>
      <w:r w:rsidRPr="0048631F">
        <w:rPr>
          <w:rFonts w:ascii="Arial" w:hAnsi="Arial" w:cs="Arial"/>
          <w:noProof/>
        </w:rPr>
        <w:drawing>
          <wp:inline distT="114300" distB="114300" distL="114300" distR="114300" wp14:anchorId="230A4FD1" wp14:editId="5DA4CD4E">
            <wp:extent cx="6013168" cy="3457575"/>
            <wp:effectExtent l="0" t="0" r="0" b="0"/>
            <wp:docPr id="3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6013168" cy="3457575"/>
                    </a:xfrm>
                    <a:prstGeom prst="rect">
                      <a:avLst/>
                    </a:prstGeom>
                    <a:ln/>
                  </pic:spPr>
                </pic:pic>
              </a:graphicData>
            </a:graphic>
          </wp:inline>
        </w:drawing>
      </w:r>
    </w:p>
    <w:p w14:paraId="2D0FE858" w14:textId="77777777" w:rsidR="007575B8" w:rsidRPr="0048631F" w:rsidRDefault="004D78AD" w:rsidP="00024BB0">
      <w:pPr>
        <w:pStyle w:val="Heading4"/>
        <w:rPr>
          <w:rFonts w:ascii="Arial" w:hAnsi="Arial" w:cs="Arial"/>
        </w:rPr>
      </w:pPr>
      <w:bookmarkStart w:id="108" w:name="_heading=h.77gc2iczszzp" w:colFirst="0" w:colLast="0"/>
      <w:bookmarkStart w:id="109" w:name="_Toc235889282"/>
      <w:bookmarkEnd w:id="108"/>
      <w:r w:rsidRPr="0048631F">
        <w:rPr>
          <w:rFonts w:ascii="Arial" w:hAnsi="Arial" w:cs="Arial"/>
        </w:rPr>
        <w:t>Figure 4.2: Production of SAFs in eco-friendly ways</w:t>
      </w:r>
      <w:bookmarkEnd w:id="109"/>
    </w:p>
    <w:p w14:paraId="56514452" w14:textId="77777777" w:rsidR="007575B8" w:rsidRPr="0048631F" w:rsidRDefault="004D78AD" w:rsidP="00024BB0">
      <w:pPr>
        <w:jc w:val="center"/>
        <w:rPr>
          <w:rFonts w:ascii="Arial" w:hAnsi="Arial" w:cs="Arial"/>
        </w:rPr>
      </w:pPr>
      <w:r w:rsidRPr="0048631F">
        <w:rPr>
          <w:rFonts w:ascii="Arial" w:hAnsi="Arial" w:cs="Arial"/>
        </w:rPr>
        <w:t>(Source: Effectual Services, 2024)</w:t>
      </w:r>
    </w:p>
    <w:p w14:paraId="06B6DB27" w14:textId="4AB5BEED" w:rsidR="007575B8" w:rsidRPr="0048631F" w:rsidRDefault="00DF11E0" w:rsidP="00024BB0">
      <w:pPr>
        <w:rPr>
          <w:rFonts w:ascii="Arial" w:hAnsi="Arial" w:cs="Arial"/>
        </w:rPr>
      </w:pPr>
      <w:r w:rsidRPr="0048631F">
        <w:rPr>
          <w:rFonts w:ascii="Arial" w:hAnsi="Arial" w:cs="Arial"/>
        </w:rPr>
        <w:t xml:space="preserve">As shown in Figure 4.2, Sustainable Aviation Fuel (SAF) can be manufactured using a variety of sustainable and renewable raw materials, and by several different methods. This indicates that SAF production contributes to aviation decarbonisation through lifecycle carbon emissions reductions, resource efficiency and the use of sustainable, low carbon fuel alternatives. </w:t>
      </w:r>
      <w:r w:rsidR="004D78AD" w:rsidRPr="0048631F">
        <w:rPr>
          <w:rFonts w:ascii="Arial" w:hAnsi="Arial" w:cs="Arial"/>
        </w:rPr>
        <w:t xml:space="preserve">Manufacturing of SAFs can be done in ways that have remarkable influence on the climate, thereby safeguarding forests and other </w:t>
      </w:r>
      <w:r w:rsidR="004D78AD" w:rsidRPr="0048631F">
        <w:rPr>
          <w:rFonts w:ascii="Arial" w:hAnsi="Arial" w:cs="Arial"/>
        </w:rPr>
        <w:lastRenderedPageBreak/>
        <w:t>ecosystems. It has been possible to minimise several environmental and social dangers with manufacturing of this inventive alternative fuels from waste products (Effectual Services, 2024). In context to IndiGo, the suggested framework will apply to the following programs that are already ongoing, such as fleet flexibility, and low carbon operations while better linkage of ESG disclosure to environmental outcomes will boost the credibility of IndiGo's reporting and reduce the likelihood of greenwashing. Hooda and Yadav (2023) emphasize the role of stakeholders in sustainable aviation and the potential of green finance. Additional investments through green finance mechanisms could maximise IndiGo's capacity to effectively leverage SAF, monitor them and reduce their reporting burden in relation to ESG. Moreover, Wandelt, Zhang and Sun (2025) acknowledged that SAF is one of the future decarbonisation pathways with some obstacles in terms of production scale and implementation cost. Hence, the ramp up of SAF at IndiGo should be continued with enforcement of carbon reduction measures that are independently verified, along with transparency in disclosure accounting for the reduction in carbon emissions and by disclosure reporting. Then the credibility of ESG practices would be improved, sustainability standards would be better adhered to, greenwashing potential would be minimized, and the path would be clear for the continuation of IndiGo's journey of becoming a more sustainable airline.</w:t>
      </w:r>
    </w:p>
    <w:p w14:paraId="30022715" w14:textId="77777777" w:rsidR="007575B8" w:rsidRPr="0048631F" w:rsidRDefault="004D78AD" w:rsidP="00024BB0">
      <w:pPr>
        <w:pStyle w:val="Heading2"/>
        <w:rPr>
          <w:rFonts w:ascii="Arial" w:hAnsi="Arial" w:cs="Arial"/>
        </w:rPr>
      </w:pPr>
      <w:bookmarkStart w:id="110" w:name="_Toc235889347"/>
      <w:r w:rsidRPr="0048631F">
        <w:rPr>
          <w:rFonts w:ascii="Arial" w:hAnsi="Arial" w:cs="Arial"/>
        </w:rPr>
        <w:t>4.9 Chapter Summary</w:t>
      </w:r>
      <w:bookmarkEnd w:id="110"/>
    </w:p>
    <w:p w14:paraId="5DA22825" w14:textId="77777777" w:rsidR="007575B8" w:rsidRPr="0048631F" w:rsidRDefault="004D78AD" w:rsidP="00024BB0">
      <w:pPr>
        <w:rPr>
          <w:rFonts w:ascii="Arial" w:hAnsi="Arial" w:cs="Arial"/>
        </w:rPr>
      </w:pPr>
      <w:r w:rsidRPr="0048631F">
        <w:rPr>
          <w:rFonts w:ascii="Arial" w:hAnsi="Arial" w:cs="Arial"/>
        </w:rPr>
        <w:t>This chapter explained the results of the SLR through in-depth critical analysis of ESG disclosure, carbon reduction, sustainability compliance, greenwashing, and difficulties involving how to measure the performance of ESG in aviation. It pointed out the presence of a disclosure–performance gap and the need for evidence-based and transparent sustainability reporting. A strategic framework was then created and implemented for IndiGo, establishing how improved governance and measurable carbon reduction plans can drive better sustainability performance, stakeholder trust and environmental accountability going forward.</w:t>
      </w:r>
      <w:r w:rsidRPr="0048631F">
        <w:rPr>
          <w:rFonts w:ascii="Arial" w:hAnsi="Arial" w:cs="Arial"/>
        </w:rPr>
        <w:br w:type="page"/>
      </w:r>
    </w:p>
    <w:p w14:paraId="30EAF347" w14:textId="77777777" w:rsidR="007575B8" w:rsidRPr="0048631F" w:rsidRDefault="004D78AD" w:rsidP="00024BB0">
      <w:pPr>
        <w:pStyle w:val="Heading1"/>
        <w:rPr>
          <w:rFonts w:ascii="Arial" w:hAnsi="Arial" w:cs="Arial"/>
        </w:rPr>
      </w:pPr>
      <w:bookmarkStart w:id="111" w:name="_Toc235889348"/>
      <w:r w:rsidRPr="0048631F">
        <w:rPr>
          <w:rFonts w:ascii="Arial" w:hAnsi="Arial" w:cs="Arial"/>
        </w:rPr>
        <w:lastRenderedPageBreak/>
        <w:t>CHAPTER 5: CONCLUSIONS AND RECOMMENDATIONS</w:t>
      </w:r>
      <w:bookmarkEnd w:id="111"/>
    </w:p>
    <w:p w14:paraId="4083AA7B" w14:textId="77777777" w:rsidR="007575B8" w:rsidRPr="0048631F" w:rsidRDefault="004D78AD" w:rsidP="00024BB0">
      <w:pPr>
        <w:pStyle w:val="Heading2"/>
        <w:rPr>
          <w:rFonts w:ascii="Arial" w:hAnsi="Arial" w:cs="Arial"/>
        </w:rPr>
      </w:pPr>
      <w:bookmarkStart w:id="112" w:name="_Toc235889349"/>
      <w:r w:rsidRPr="0048631F">
        <w:rPr>
          <w:rFonts w:ascii="Arial" w:hAnsi="Arial" w:cs="Arial"/>
        </w:rPr>
        <w:t>5.1 Introduction</w:t>
      </w:r>
      <w:bookmarkEnd w:id="112"/>
    </w:p>
    <w:p w14:paraId="163019A9" w14:textId="77777777" w:rsidR="007575B8" w:rsidRPr="0048631F" w:rsidRDefault="004D78AD" w:rsidP="00024BB0">
      <w:pPr>
        <w:rPr>
          <w:rFonts w:ascii="Arial" w:hAnsi="Arial" w:cs="Arial"/>
        </w:rPr>
      </w:pPr>
      <w:r w:rsidRPr="0048631F">
        <w:rPr>
          <w:rFonts w:ascii="Arial" w:hAnsi="Arial" w:cs="Arial"/>
        </w:rPr>
        <w:t>This chapter offers the findings of the systematic literature review of ESG disclosure and carbon reduction with IndiGo as a case study for the aviation industry in India. It summarises the main results of the previous chapters and assesses them in the context of research objectives and research questions. The chapter also summarises the study's findings regarding the impact of the communication of environmental information on environmental sustainability, and how well disclosures match actual carbon reduction programmes and initiatives. The findings from the conclusions are the basis for practice and theoretical suggestions in the next sections.</w:t>
      </w:r>
    </w:p>
    <w:p w14:paraId="4E552E3A" w14:textId="77777777" w:rsidR="007575B8" w:rsidRPr="0048631F" w:rsidRDefault="004D78AD" w:rsidP="00024BB0">
      <w:pPr>
        <w:pStyle w:val="Heading2"/>
        <w:rPr>
          <w:rFonts w:ascii="Arial" w:hAnsi="Arial" w:cs="Arial"/>
        </w:rPr>
      </w:pPr>
      <w:bookmarkStart w:id="113" w:name="_Toc235889350"/>
      <w:r w:rsidRPr="0048631F">
        <w:rPr>
          <w:rFonts w:ascii="Arial" w:hAnsi="Arial" w:cs="Arial"/>
        </w:rPr>
        <w:t>5.2 Summary of key findings</w:t>
      </w:r>
      <w:bookmarkEnd w:id="113"/>
    </w:p>
    <w:p w14:paraId="5BFF692D" w14:textId="4C4AAF23" w:rsidR="007575B8" w:rsidRPr="0048631F" w:rsidRDefault="00C67386" w:rsidP="00024BB0">
      <w:pPr>
        <w:rPr>
          <w:rFonts w:ascii="Arial" w:hAnsi="Arial" w:cs="Arial"/>
        </w:rPr>
      </w:pPr>
      <w:r w:rsidRPr="0048631F">
        <w:rPr>
          <w:rFonts w:ascii="Arial" w:hAnsi="Arial" w:cs="Arial"/>
        </w:rPr>
        <w:t>The systematic literature review has validated the ESD disclosure process as an important tool to improve the sustainable governance in the aviation industry. Overall, the results indicate that regulatory progress and a growing group of airlines' and investors' expectations have served as a spur to the advent of more formalized approaches to reporting sustainability. The review also shows, however, that better disclosure does not necessarily lead to carbon reductions that are measurable. As more and more airlines engage in sustainability commitments, there is mixed evidence on airline environmental performance regarding variations in reported quality, in verification and measurement procedures. It also points to a disclosure-performance gap that will persist and in which substantial disclosure of ESG criteria can contribute to the legitimacy of an organisation without providing any evidence of environmental impacts. Greenwashing remains a huge issue, particularly because sustainability claims are unaccompanied by third-party backed environmental outcomes. Furthermore, there are differences in reporting frameworks and in the methodologies for measuring ESG between companies, and this can be seen as a lack of comparability and credibility for aviation sustainability information. From the results, IndiGo's sustainability journey has a higher need for the focus to extend beyond compliance with stringent reporting norms to add action points on carbon reduction within the ESG governance framework. High disclosure quality, independent assurance of disclosures, greater transparency in emissions reporting and higher rates of SAF use would help to engender stakeholder confidence and evidence in the sustainability claims, which would be integral to credible environmental performance, today and beyond, and not just simple emissions disclosures.</w:t>
      </w:r>
    </w:p>
    <w:p w14:paraId="7072C0A1" w14:textId="77777777" w:rsidR="007575B8" w:rsidRPr="0048631F" w:rsidRDefault="004D78AD" w:rsidP="00024BB0">
      <w:pPr>
        <w:pStyle w:val="Heading2"/>
        <w:rPr>
          <w:rFonts w:ascii="Arial" w:hAnsi="Arial" w:cs="Arial"/>
        </w:rPr>
      </w:pPr>
      <w:bookmarkStart w:id="114" w:name="_Toc235889351"/>
      <w:r w:rsidRPr="0048631F">
        <w:rPr>
          <w:rFonts w:ascii="Arial" w:hAnsi="Arial" w:cs="Arial"/>
        </w:rPr>
        <w:lastRenderedPageBreak/>
        <w:t>5.3 Conclusions Based on the Research Questions</w:t>
      </w:r>
      <w:bookmarkEnd w:id="114"/>
    </w:p>
    <w:p w14:paraId="7D54E628" w14:textId="77777777" w:rsidR="007575B8" w:rsidRPr="0048631F" w:rsidRDefault="004D78AD" w:rsidP="00024BB0">
      <w:pPr>
        <w:pStyle w:val="Heading3"/>
        <w:rPr>
          <w:rFonts w:ascii="Arial" w:hAnsi="Arial" w:cs="Arial"/>
        </w:rPr>
      </w:pPr>
      <w:bookmarkStart w:id="115" w:name="_Toc235889352"/>
      <w:r w:rsidRPr="0048631F">
        <w:rPr>
          <w:rFonts w:ascii="Arial" w:hAnsi="Arial" w:cs="Arial"/>
        </w:rPr>
        <w:t>5.3.1 Conclusion to Research Question 1</w:t>
      </w:r>
      <w:bookmarkEnd w:id="115"/>
    </w:p>
    <w:p w14:paraId="3D0E8E88" w14:textId="34C46E81" w:rsidR="007575B8" w:rsidRPr="0048631F" w:rsidRDefault="00DF11E0" w:rsidP="00024BB0">
      <w:pPr>
        <w:rPr>
          <w:rFonts w:ascii="Arial" w:hAnsi="Arial" w:cs="Arial"/>
        </w:rPr>
      </w:pPr>
      <w:r w:rsidRPr="0048631F">
        <w:rPr>
          <w:rFonts w:ascii="Arial" w:hAnsi="Arial" w:cs="Arial"/>
        </w:rPr>
        <w:t>The review also finds that ESG disclosure frameworks have enhanced disclosure clarity and uniformity in aviation sustainability reporting, offering of structured guidance on environmental disclosures. Compliance of frameworks like GRI, ISSB and Business Responsibility and Sustainability Reporting (BRSR) of the SEBI has increased the corporate accountability and interaction with stakeholders. Comparability across airline companies, however, is being hampered by differences in reporting, measurement and verification. More standardization with more measurable environmental outcomes would strengthen the credibility and effectiveness of the ESG frameworks and would improve disclosure quality.</w:t>
      </w:r>
    </w:p>
    <w:p w14:paraId="727ED6F0" w14:textId="77777777" w:rsidR="007575B8" w:rsidRPr="0048631F" w:rsidRDefault="004D78AD" w:rsidP="00024BB0">
      <w:pPr>
        <w:pStyle w:val="Heading3"/>
        <w:rPr>
          <w:rFonts w:ascii="Arial" w:hAnsi="Arial" w:cs="Arial"/>
        </w:rPr>
      </w:pPr>
      <w:bookmarkStart w:id="116" w:name="_Toc235889353"/>
      <w:r w:rsidRPr="0048631F">
        <w:rPr>
          <w:rFonts w:ascii="Arial" w:hAnsi="Arial" w:cs="Arial"/>
        </w:rPr>
        <w:t>5.3.2 Conclusion to Research Question 2</w:t>
      </w:r>
      <w:bookmarkEnd w:id="116"/>
    </w:p>
    <w:p w14:paraId="0708A5BC" w14:textId="242EAB9F" w:rsidR="007575B8" w:rsidRPr="0048631F" w:rsidRDefault="00DF11E0" w:rsidP="00024BB0">
      <w:pPr>
        <w:rPr>
          <w:rFonts w:ascii="Arial" w:hAnsi="Arial" w:cs="Arial"/>
        </w:rPr>
      </w:pPr>
      <w:r w:rsidRPr="0048631F">
        <w:rPr>
          <w:rFonts w:ascii="Arial" w:hAnsi="Arial" w:cs="Arial"/>
        </w:rPr>
        <w:t>The results suggest that IndiGo has initiated actions that have a positive impact on sustainability efforts in terms of fleet modernization, operational optimization and reporting. The airline's efforts to minimize its environmental footprint include the above. The current disclosures, however, offer more evidence of sustainability commitments, but not supporting of actual carbon reduction results, concludes the review. Increased independent verification of emissions reporting and an enhancement in the level of disclosure of measured environmental performance would enhance the overall credibility of IndiGo's ESG reporting and give stakeholders a better sense of progress made in environmental parameters.</w:t>
      </w:r>
    </w:p>
    <w:p w14:paraId="71CACA2D" w14:textId="77777777" w:rsidR="007575B8" w:rsidRPr="0048631F" w:rsidRDefault="004D78AD" w:rsidP="00024BB0">
      <w:pPr>
        <w:pStyle w:val="Heading3"/>
        <w:rPr>
          <w:rFonts w:ascii="Arial" w:hAnsi="Arial" w:cs="Arial"/>
        </w:rPr>
      </w:pPr>
      <w:bookmarkStart w:id="117" w:name="_Toc235889354"/>
      <w:r w:rsidRPr="0048631F">
        <w:rPr>
          <w:rFonts w:ascii="Arial" w:hAnsi="Arial" w:cs="Arial"/>
        </w:rPr>
        <w:t>5.3.3 Conclusion to Research Question 3</w:t>
      </w:r>
      <w:bookmarkEnd w:id="117"/>
    </w:p>
    <w:p w14:paraId="0BBB18FC" w14:textId="7132DA50" w:rsidR="007575B8" w:rsidRPr="0048631F" w:rsidRDefault="00DF11E0" w:rsidP="00024BB0">
      <w:pPr>
        <w:rPr>
          <w:rFonts w:ascii="Arial" w:hAnsi="Arial" w:cs="Arial"/>
        </w:rPr>
      </w:pPr>
      <w:r w:rsidRPr="0048631F">
        <w:rPr>
          <w:rFonts w:ascii="Arial" w:hAnsi="Arial" w:cs="Arial"/>
        </w:rPr>
        <w:t>The review finds a need for tougher linkages between ESG reporting and measurable carbon reduction performance in order to bring about a reduction in the disclosure-performance gap. In order to increase the credibility of such environmental disclosures and reduce the risk of greenwashing, transparency in emissions reporting, independent third party assurance and standardisation of environmental metrics are essential. Widespread use of Sustainable Aviation Fuel, better carbon-reduction reporting, and better company-wide ESG governance would benefit Indian airlines, including IndiGo. It is therefore evident that the proposed strategic framework is a practical option to boost sustainability reporting and work towards the long-term decarbonisation of the Indian aviation industry through credible ESG disclosure and measurable environmental performance separately and in combination.</w:t>
      </w:r>
    </w:p>
    <w:p w14:paraId="23BA401C" w14:textId="77777777" w:rsidR="007575B8" w:rsidRPr="0048631F" w:rsidRDefault="004D78AD" w:rsidP="00024BB0">
      <w:pPr>
        <w:pStyle w:val="Heading2"/>
        <w:rPr>
          <w:rFonts w:ascii="Arial" w:hAnsi="Arial" w:cs="Arial"/>
        </w:rPr>
      </w:pPr>
      <w:bookmarkStart w:id="118" w:name="_Toc235889355"/>
      <w:r w:rsidRPr="0048631F">
        <w:rPr>
          <w:rFonts w:ascii="Arial" w:hAnsi="Arial" w:cs="Arial"/>
        </w:rPr>
        <w:lastRenderedPageBreak/>
        <w:t>5.4 Recommendations</w:t>
      </w:r>
      <w:bookmarkEnd w:id="118"/>
    </w:p>
    <w:p w14:paraId="3B3A2D5E" w14:textId="77777777" w:rsidR="007575B8" w:rsidRPr="0048631F" w:rsidRDefault="004D78AD" w:rsidP="00024BB0">
      <w:pPr>
        <w:pStyle w:val="Heading3"/>
        <w:rPr>
          <w:rFonts w:ascii="Arial" w:hAnsi="Arial" w:cs="Arial"/>
        </w:rPr>
      </w:pPr>
      <w:bookmarkStart w:id="119" w:name="_Toc235889356"/>
      <w:r w:rsidRPr="0048631F">
        <w:rPr>
          <w:rFonts w:ascii="Arial" w:hAnsi="Arial" w:cs="Arial"/>
        </w:rPr>
        <w:t>5.4.1 Practical Recommendations</w:t>
      </w:r>
      <w:bookmarkEnd w:id="119"/>
    </w:p>
    <w:p w14:paraId="41EB35A8" w14:textId="7A55A674" w:rsidR="007575B8" w:rsidRPr="0048631F" w:rsidRDefault="00DF11E0" w:rsidP="00024BB0">
      <w:pPr>
        <w:rPr>
          <w:rFonts w:ascii="Arial" w:hAnsi="Arial" w:cs="Arial"/>
        </w:rPr>
      </w:pPr>
      <w:r w:rsidRPr="0048631F">
        <w:rPr>
          <w:rFonts w:ascii="Arial" w:hAnsi="Arial" w:cs="Arial"/>
        </w:rPr>
        <w:t xml:space="preserve">The results indicate that a deeper embedding of ESG disclosure that supports tangible carbon reduction impacts is needed for IndiGO. The airline must first ensure that the airline's sustainability reporting is fully compliant with ISSB and SEBI's Business Responsibility and Sustainability Reporting (BRSR) to achieve uniformity and comparability in reporting. Second, IndiGo shall take extra care to ensure that the annual reporting of its Scope 1, Scope 2 and Scope 3 emissions are done consistently, with independent third-party assurance, to further enhance the credibility of reported environmental performance. Thirdly, the airline should set up verifiable sustainability metrics such as using Sustainable Aviation Fuel (SAF), fuel efficiency improvements in the fleet and annual carbon reduction targets to illustrate operational progress not simply sustainability statements. Lastly, by strengthening the oversight of the board on ESG performance and ensuring that environmental metrics are verified, Stakeholder confidence and lessen the likelihood of greenwashing will be built and sustainability reporting would be more an indicator of real progress towards </w:t>
      </w:r>
      <w:r w:rsidR="004404AC" w:rsidRPr="0048631F">
        <w:rPr>
          <w:rFonts w:ascii="Arial" w:hAnsi="Arial" w:cs="Arial"/>
        </w:rPr>
        <w:t>long-term</w:t>
      </w:r>
      <w:r w:rsidRPr="0048631F">
        <w:rPr>
          <w:rFonts w:ascii="Arial" w:hAnsi="Arial" w:cs="Arial"/>
        </w:rPr>
        <w:t xml:space="preserve"> decarbonisation for the Indian aviation sector.</w:t>
      </w:r>
    </w:p>
    <w:p w14:paraId="777644F2" w14:textId="77777777" w:rsidR="007575B8" w:rsidRPr="0048631F" w:rsidRDefault="004D78AD" w:rsidP="00024BB0">
      <w:pPr>
        <w:pStyle w:val="Heading3"/>
        <w:rPr>
          <w:rFonts w:ascii="Arial" w:hAnsi="Arial" w:cs="Arial"/>
        </w:rPr>
      </w:pPr>
      <w:bookmarkStart w:id="120" w:name="_Toc235889357"/>
      <w:r w:rsidRPr="0048631F">
        <w:rPr>
          <w:rFonts w:ascii="Arial" w:hAnsi="Arial" w:cs="Arial"/>
        </w:rPr>
        <w:t>5.4.2 Theoretical Recommendations</w:t>
      </w:r>
      <w:bookmarkEnd w:id="120"/>
    </w:p>
    <w:p w14:paraId="0F3FECBB" w14:textId="77777777" w:rsidR="007575B8" w:rsidRPr="0048631F" w:rsidRDefault="004D78AD" w:rsidP="00024BB0">
      <w:pPr>
        <w:rPr>
          <w:rFonts w:ascii="Arial" w:hAnsi="Arial" w:cs="Arial"/>
        </w:rPr>
      </w:pPr>
      <w:r w:rsidRPr="0048631F">
        <w:rPr>
          <w:rFonts w:ascii="Arial" w:hAnsi="Arial" w:cs="Arial"/>
        </w:rPr>
        <w:t>As inspired from the findings of Abdelmoneim</w:t>
      </w:r>
      <w:r w:rsidRPr="0048631F">
        <w:rPr>
          <w:rFonts w:ascii="Arial" w:hAnsi="Arial" w:cs="Arial"/>
          <w:highlight w:val="white"/>
        </w:rPr>
        <w:t xml:space="preserve"> and El-Deeb</w:t>
      </w:r>
      <w:r w:rsidRPr="0048631F">
        <w:rPr>
          <w:rFonts w:ascii="Arial" w:hAnsi="Arial" w:cs="Arial"/>
        </w:rPr>
        <w:t xml:space="preserve"> (2024), it would be valuable to build on the quality of ESG disclosure score and investigate the relationship between ESG disclosure and environmental performance in the future. Past studies of disclosure practices and reporting formats have largely ignored this issue of whether ESG disclosures result from carbon reduction or environmental benefits. Closing this disclosure and performance gap may contribute to the understanding of what the impact of sustainability reporting is for aviation. It is important to develop Legitimacy Theory and Stakeholder Theory further to gain a better understanding of the relationship between the disclosures in ESG and organisational legitimacy, stakeholder trust, investor confidence and corporate sustainability decision-making (Del Gesso and Lodhi, 2025). Further analysis is required to explore the effects of regulatory requirements and the corporate governance environment on ESG reporting and environmental accountability across different aviation markets, as well as the institutional environment of ESG reporting. Secondly, more detailed conceptualizing, covering all aspects of disclosure requirements, carbon reduction, sustainability compliance, stakeholder engagement and ‘greenwashing’ can be drawn up. The </w:t>
      </w:r>
      <w:r w:rsidRPr="0048631F">
        <w:rPr>
          <w:rFonts w:ascii="Arial" w:hAnsi="Arial" w:cs="Arial"/>
        </w:rPr>
        <w:lastRenderedPageBreak/>
        <w:t>frameworks that could be created will reflect a more comprehensive approach to the sustainability performance and would facilitate further elaboration of the theory of relation between disclosure credibility and environmental working outcomes of organisations. Further studies could also include a mixed-method or longitudinal research methodology examining the changes in ESG reporting over time, and the mix of, and the extent to which, different airlines and different regions take sustainability differently. The theoretical developments would support and contribute towards a more comprehensive study of sustainability, and to evidence-based ESG reporting and transparency within the aviation industry.</w:t>
      </w:r>
    </w:p>
    <w:p w14:paraId="22697C4E" w14:textId="77777777" w:rsidR="007575B8" w:rsidRPr="0048631F" w:rsidRDefault="004D78AD" w:rsidP="00024BB0">
      <w:pPr>
        <w:pStyle w:val="Heading2"/>
        <w:rPr>
          <w:rFonts w:ascii="Arial" w:hAnsi="Arial" w:cs="Arial"/>
        </w:rPr>
      </w:pPr>
      <w:bookmarkStart w:id="121" w:name="_Toc235889358"/>
      <w:r w:rsidRPr="0048631F">
        <w:rPr>
          <w:rFonts w:ascii="Arial" w:hAnsi="Arial" w:cs="Arial"/>
        </w:rPr>
        <w:t>5.5 Research Limitations</w:t>
      </w:r>
      <w:bookmarkEnd w:id="121"/>
    </w:p>
    <w:p w14:paraId="43D282EB" w14:textId="63568D2C" w:rsidR="007575B8" w:rsidRPr="0048631F" w:rsidRDefault="004D78AD" w:rsidP="00024BB0">
      <w:pPr>
        <w:rPr>
          <w:rFonts w:ascii="Arial" w:hAnsi="Arial" w:cs="Arial"/>
        </w:rPr>
      </w:pPr>
      <w:r w:rsidRPr="0048631F">
        <w:rPr>
          <w:rFonts w:ascii="Arial" w:hAnsi="Arial" w:cs="Arial"/>
        </w:rPr>
        <w:t xml:space="preserve">There are a few limitations of this study. Firstly, it has only relied on the use of secondary data that was obtained using SLT and does not assume primary data collection of organisational knowledge and </w:t>
      </w:r>
      <w:r w:rsidR="00F10A14" w:rsidRPr="0048631F">
        <w:rPr>
          <w:rFonts w:ascii="Arial" w:hAnsi="Arial" w:cs="Arial"/>
        </w:rPr>
        <w:t>practitioners’</w:t>
      </w:r>
      <w:r w:rsidRPr="0048631F">
        <w:rPr>
          <w:rFonts w:ascii="Arial" w:hAnsi="Arial" w:cs="Arial"/>
        </w:rPr>
        <w:t xml:space="preserve"> views</w:t>
      </w:r>
      <w:r w:rsidR="00F10A14" w:rsidRPr="0048631F">
        <w:rPr>
          <w:rFonts w:ascii="Arial" w:hAnsi="Arial" w:cs="Arial"/>
        </w:rPr>
        <w:t xml:space="preserve"> </w:t>
      </w:r>
      <w:r w:rsidRPr="0048631F">
        <w:rPr>
          <w:rFonts w:ascii="Arial" w:hAnsi="Arial" w:cs="Arial"/>
        </w:rPr>
        <w:t>to differences in reporting standards and sustainability metrics, and the various methods used for measuring carbon, comparing the conclusions of studies was difficult. Thirdly, a small number of conclusions are advanced that other airlines and contexts could make use of. Moreover, it is possible that publication of literature could have been affected by publication bias. Despite these drawbacks, the systematic review approach and the analysis of various sources is an approach that enhances the results' credibility, reliability and validity.</w:t>
      </w:r>
    </w:p>
    <w:p w14:paraId="7DF54F41" w14:textId="77777777" w:rsidR="007575B8" w:rsidRPr="0048631F" w:rsidRDefault="004D78AD" w:rsidP="00024BB0">
      <w:pPr>
        <w:pStyle w:val="Heading2"/>
        <w:rPr>
          <w:rFonts w:ascii="Arial" w:hAnsi="Arial" w:cs="Arial"/>
        </w:rPr>
      </w:pPr>
      <w:bookmarkStart w:id="122" w:name="_Toc235889359"/>
      <w:r w:rsidRPr="0048631F">
        <w:rPr>
          <w:rFonts w:ascii="Arial" w:hAnsi="Arial" w:cs="Arial"/>
        </w:rPr>
        <w:t>5.6 Recommendations for Future Research</w:t>
      </w:r>
      <w:bookmarkEnd w:id="122"/>
    </w:p>
    <w:p w14:paraId="46EE614E" w14:textId="77777777" w:rsidR="007575B8" w:rsidRPr="0048631F" w:rsidRDefault="004D78AD" w:rsidP="00024BB0">
      <w:pPr>
        <w:rPr>
          <w:rFonts w:ascii="Arial" w:hAnsi="Arial" w:cs="Arial"/>
        </w:rPr>
      </w:pPr>
      <w:r w:rsidRPr="0048631F">
        <w:rPr>
          <w:rFonts w:ascii="Arial" w:hAnsi="Arial" w:cs="Arial"/>
        </w:rPr>
        <w:t>This study can be extended by comparing the different airlines in India so as to understand the difference in performance of the airlines in terms of ESG disclosure and carbon emission reduction among the different airlines. Interviews with airline managers, sustainability practitioners, and regulators would be useful to learn better practices and reporting issues of airline organisations in terms of sustainability. Longitudinal studies that look at shifts over time in aviation ESG disclosure would enhance knowledge of aviation sustainable progress. Future research could complement this systematic review with quantitative research to examine if there is a statistical correlation between the quality of the ESG disclosure and carbon emissions, and organisational performance.</w:t>
      </w:r>
    </w:p>
    <w:p w14:paraId="4217CE5E" w14:textId="77777777" w:rsidR="007575B8" w:rsidRPr="0048631F" w:rsidRDefault="004D78AD" w:rsidP="00024BB0">
      <w:pPr>
        <w:pStyle w:val="Heading2"/>
        <w:rPr>
          <w:rFonts w:ascii="Arial" w:hAnsi="Arial" w:cs="Arial"/>
        </w:rPr>
      </w:pPr>
      <w:bookmarkStart w:id="123" w:name="_Toc235889360"/>
      <w:r w:rsidRPr="0048631F">
        <w:rPr>
          <w:rFonts w:ascii="Arial" w:hAnsi="Arial" w:cs="Arial"/>
        </w:rPr>
        <w:t>5.7 Chapter Summary</w:t>
      </w:r>
      <w:bookmarkEnd w:id="123"/>
    </w:p>
    <w:p w14:paraId="2654CE9B" w14:textId="77777777" w:rsidR="007575B8" w:rsidRPr="0048631F" w:rsidRDefault="004D78AD" w:rsidP="00024BB0">
      <w:pPr>
        <w:rPr>
          <w:rFonts w:ascii="Arial" w:hAnsi="Arial" w:cs="Arial"/>
        </w:rPr>
      </w:pPr>
      <w:r w:rsidRPr="0048631F">
        <w:rPr>
          <w:rFonts w:ascii="Arial" w:hAnsi="Arial" w:cs="Arial"/>
        </w:rPr>
        <w:t xml:space="preserve">This chapter summarised the research findings and addressed the research questions and gave practical and theoretical recommendations for further development of the </w:t>
      </w:r>
      <w:r w:rsidRPr="0048631F">
        <w:rPr>
          <w:rFonts w:ascii="Arial" w:hAnsi="Arial" w:cs="Arial"/>
        </w:rPr>
        <w:lastRenderedPageBreak/>
        <w:t>disclosure of the ESG in the aviation industry, and reduction of the carbon footprint in the same industry in India. The study concluded by identifying gaps in research and pointing towards areas for further research on sustainable reporting for future sustainable aviation decarbonisation and to enhance the environmental accountability of the aviation industry.</w:t>
      </w:r>
    </w:p>
    <w:p w14:paraId="1E86DDB6" w14:textId="77777777" w:rsidR="007575B8" w:rsidRPr="00024BB0" w:rsidRDefault="007575B8" w:rsidP="00024BB0">
      <w:pPr>
        <w:rPr>
          <w:rFonts w:ascii="Arial" w:hAnsi="Arial" w:cs="Arial"/>
        </w:rPr>
      </w:pPr>
    </w:p>
    <w:p w14:paraId="36F45AF2" w14:textId="77777777" w:rsidR="007575B8" w:rsidRPr="00024BB0" w:rsidRDefault="004D78AD" w:rsidP="00024BB0">
      <w:pPr>
        <w:rPr>
          <w:rFonts w:ascii="Arial" w:hAnsi="Arial" w:cs="Arial"/>
          <w:b/>
          <w:bCs/>
        </w:rPr>
      </w:pPr>
      <w:bookmarkStart w:id="124" w:name="_heading=h.7f70g8sssms1" w:colFirst="0" w:colLast="0"/>
      <w:bookmarkEnd w:id="124"/>
      <w:r w:rsidRPr="00024BB0">
        <w:rPr>
          <w:rFonts w:ascii="Arial" w:hAnsi="Arial" w:cs="Arial"/>
        </w:rPr>
        <w:br w:type="page"/>
      </w:r>
    </w:p>
    <w:p w14:paraId="5751C8DC" w14:textId="77777777" w:rsidR="007575B8" w:rsidRPr="00024BB0" w:rsidRDefault="004D78AD" w:rsidP="00024BB0">
      <w:pPr>
        <w:pStyle w:val="Heading1"/>
        <w:rPr>
          <w:rFonts w:ascii="Arial" w:hAnsi="Arial" w:cs="Arial"/>
        </w:rPr>
      </w:pPr>
      <w:bookmarkStart w:id="125" w:name="_Toc235889361"/>
      <w:r w:rsidRPr="00024BB0">
        <w:rPr>
          <w:rFonts w:ascii="Arial" w:hAnsi="Arial" w:cs="Arial"/>
        </w:rPr>
        <w:lastRenderedPageBreak/>
        <w:t>References</w:t>
      </w:r>
      <w:bookmarkEnd w:id="125"/>
    </w:p>
    <w:p w14:paraId="77937CAE" w14:textId="77777777" w:rsidR="007575B8" w:rsidRPr="00385B88" w:rsidRDefault="004D78AD" w:rsidP="00385B88">
      <w:pPr>
        <w:spacing w:after="240"/>
        <w:jc w:val="left"/>
        <w:rPr>
          <w:rFonts w:ascii="Arial" w:hAnsi="Arial" w:cs="Arial"/>
        </w:rPr>
      </w:pPr>
      <w:r w:rsidRPr="00385B88">
        <w:rPr>
          <w:rFonts w:ascii="Arial" w:hAnsi="Arial" w:cs="Arial"/>
        </w:rPr>
        <w:t xml:space="preserve">Abdelmoneim, Z. and El-Deeb, M.S., (2024). BOD characteristics and their impact on the link between ESG disclosure and integrated reporting disclosure quality: a study of Egyptian non-financial firms. </w:t>
      </w:r>
      <w:r w:rsidRPr="00385B88">
        <w:rPr>
          <w:rFonts w:ascii="Arial" w:hAnsi="Arial" w:cs="Arial"/>
          <w:i/>
          <w:iCs/>
        </w:rPr>
        <w:t>Future Business Journal, 10</w:t>
      </w:r>
      <w:r w:rsidRPr="00385B88">
        <w:rPr>
          <w:rFonts w:ascii="Arial" w:hAnsi="Arial" w:cs="Arial"/>
        </w:rPr>
        <w:t xml:space="preserve">(1), p.18. </w:t>
      </w:r>
      <w:hyperlink r:id="rId20">
        <w:r w:rsidRPr="00385B88">
          <w:rPr>
            <w:rFonts w:ascii="Arial" w:hAnsi="Arial" w:cs="Arial"/>
            <w:color w:val="1155CC"/>
            <w:u w:val="single"/>
          </w:rPr>
          <w:t>https://scholar.google.com/scholar?output=instlink&amp;q=info:oJFSSQU_s08J:scholar.google.com/&amp;hl=en&amp;as_sdt=0,5&amp;as_ylo=2022&amp;scillfp=5242055579943128425&amp;oi=lle</w:t>
        </w:r>
      </w:hyperlink>
      <w:r w:rsidRPr="00385B88">
        <w:rPr>
          <w:rFonts w:ascii="Arial" w:hAnsi="Arial" w:cs="Arial"/>
        </w:rPr>
        <w:t xml:space="preserve"> </w:t>
      </w:r>
    </w:p>
    <w:p w14:paraId="70231A77" w14:textId="77777777" w:rsidR="007575B8" w:rsidRPr="00385B88" w:rsidRDefault="004D78AD" w:rsidP="00385B88">
      <w:pPr>
        <w:spacing w:after="240"/>
        <w:jc w:val="left"/>
        <w:rPr>
          <w:rFonts w:ascii="Arial" w:hAnsi="Arial" w:cs="Arial"/>
        </w:rPr>
      </w:pPr>
      <w:r w:rsidRPr="00385B88">
        <w:rPr>
          <w:rFonts w:ascii="Arial" w:hAnsi="Arial" w:cs="Arial"/>
        </w:rPr>
        <w:t xml:space="preserve">Adopter. (2026). </w:t>
      </w:r>
      <w:r w:rsidRPr="00385B88">
        <w:rPr>
          <w:rFonts w:ascii="Arial" w:hAnsi="Arial" w:cs="Arial"/>
          <w:i/>
          <w:iCs/>
        </w:rPr>
        <w:t xml:space="preserve">35 Statistics on Sustainable Aviation You Need to Know in 2026. </w:t>
      </w:r>
      <w:r w:rsidRPr="00385B88">
        <w:rPr>
          <w:rFonts w:ascii="Arial" w:hAnsi="Arial" w:cs="Arial"/>
        </w:rPr>
        <w:t xml:space="preserve">Available at: </w:t>
      </w:r>
      <w:hyperlink r:id="rId21">
        <w:r w:rsidRPr="00385B88">
          <w:rPr>
            <w:rFonts w:ascii="Arial" w:hAnsi="Arial" w:cs="Arial"/>
            <w:color w:val="0000FF"/>
            <w:u w:val="single"/>
          </w:rPr>
          <w:t>https://www.adopter.net/knowledge-hub/35-statistics-on-sustainable-aviation-you-need-to-know-in-2026</w:t>
        </w:r>
      </w:hyperlink>
      <w:r w:rsidRPr="00385B88">
        <w:rPr>
          <w:rFonts w:ascii="Arial" w:hAnsi="Arial" w:cs="Arial"/>
        </w:rPr>
        <w:t xml:space="preserve"> [Accessed: 24 June 2026]</w:t>
      </w:r>
    </w:p>
    <w:p w14:paraId="0DBB3FCB" w14:textId="77777777" w:rsidR="007575B8" w:rsidRPr="00385B88" w:rsidRDefault="004D78AD" w:rsidP="00385B88">
      <w:pPr>
        <w:spacing w:after="240"/>
        <w:jc w:val="left"/>
        <w:rPr>
          <w:rFonts w:ascii="Arial" w:hAnsi="Arial" w:cs="Arial"/>
        </w:rPr>
      </w:pPr>
      <w:r w:rsidRPr="00385B88">
        <w:rPr>
          <w:rFonts w:ascii="Arial" w:hAnsi="Arial" w:cs="Arial"/>
          <w:color w:val="000000"/>
        </w:rPr>
        <w:t>Alici, A. (2025). Financial sustainability performance of airlines. </w:t>
      </w:r>
      <w:r w:rsidRPr="00385B88">
        <w:rPr>
          <w:rFonts w:ascii="Arial" w:hAnsi="Arial" w:cs="Arial"/>
          <w:i/>
          <w:iCs/>
          <w:color w:val="000000"/>
        </w:rPr>
        <w:t>Scientific Journal of Silesian University of Technology. Series Transport</w:t>
      </w:r>
      <w:r w:rsidRPr="00385B88">
        <w:rPr>
          <w:rFonts w:ascii="Arial" w:hAnsi="Arial" w:cs="Arial"/>
          <w:color w:val="000000"/>
        </w:rPr>
        <w:t>, </w:t>
      </w:r>
      <w:r w:rsidRPr="00385B88">
        <w:rPr>
          <w:rFonts w:ascii="Arial" w:hAnsi="Arial" w:cs="Arial"/>
          <w:i/>
          <w:iCs/>
          <w:color w:val="000000"/>
        </w:rPr>
        <w:t>129</w:t>
      </w:r>
      <w:r w:rsidRPr="00385B88">
        <w:rPr>
          <w:rFonts w:ascii="Arial" w:hAnsi="Arial" w:cs="Arial"/>
          <w:color w:val="000000"/>
        </w:rPr>
        <w:t xml:space="preserve">, pp.27-50. </w:t>
      </w:r>
      <w:hyperlink r:id="rId22">
        <w:r w:rsidRPr="00385B88">
          <w:rPr>
            <w:rFonts w:ascii="Arial" w:hAnsi="Arial" w:cs="Arial"/>
            <w:color w:val="0000FF"/>
            <w:u w:val="single"/>
          </w:rPr>
          <w:t>https://sjsutst.polsl.pl/archives/2025/vol129/027_SJSUTST129_2025_Alici.pdf</w:t>
        </w:r>
      </w:hyperlink>
    </w:p>
    <w:p w14:paraId="638B0C43" w14:textId="77777777" w:rsidR="007575B8" w:rsidRPr="00385B88" w:rsidRDefault="004D78AD" w:rsidP="00385B88">
      <w:pPr>
        <w:spacing w:after="240"/>
        <w:jc w:val="left"/>
        <w:rPr>
          <w:rFonts w:ascii="Arial" w:hAnsi="Arial" w:cs="Arial"/>
        </w:rPr>
      </w:pPr>
      <w:r w:rsidRPr="00385B88">
        <w:rPr>
          <w:rFonts w:ascii="Arial" w:hAnsi="Arial" w:cs="Arial"/>
        </w:rPr>
        <w:t>Amran, A., Abbasi, M.A., Foroughi, B. and Tanggamani, V. (2026). Sustainability reporting, corporate reputation, and firm performance: Moderating role of third-party assurance. </w:t>
      </w:r>
      <w:r w:rsidRPr="00385B88">
        <w:rPr>
          <w:rFonts w:ascii="Arial" w:hAnsi="Arial" w:cs="Arial"/>
          <w:i/>
          <w:iCs/>
        </w:rPr>
        <w:t>Corporate Reputation Review</w:t>
      </w:r>
      <w:r w:rsidRPr="00385B88">
        <w:rPr>
          <w:rFonts w:ascii="Arial" w:hAnsi="Arial" w:cs="Arial"/>
        </w:rPr>
        <w:t>, </w:t>
      </w:r>
      <w:r w:rsidRPr="00385B88">
        <w:rPr>
          <w:rFonts w:ascii="Arial" w:hAnsi="Arial" w:cs="Arial"/>
          <w:i/>
          <w:iCs/>
        </w:rPr>
        <w:t>29</w:t>
      </w:r>
      <w:r w:rsidRPr="00385B88">
        <w:rPr>
          <w:rFonts w:ascii="Arial" w:hAnsi="Arial" w:cs="Arial"/>
        </w:rPr>
        <w:t xml:space="preserve">(2), pp.142-158. </w:t>
      </w:r>
      <w:hyperlink r:id="rId23">
        <w:r w:rsidRPr="00385B88">
          <w:rPr>
            <w:rFonts w:ascii="Arial" w:hAnsi="Arial" w:cs="Arial"/>
            <w:color w:val="0000FF"/>
            <w:u w:val="single"/>
          </w:rPr>
          <w:t>https://link.springer.com/article/10.1057/s41299-024-00185-3</w:t>
        </w:r>
      </w:hyperlink>
    </w:p>
    <w:p w14:paraId="6862450C" w14:textId="77777777" w:rsidR="007575B8" w:rsidRPr="00385B88" w:rsidRDefault="004D78AD" w:rsidP="00385B88">
      <w:pPr>
        <w:spacing w:after="240"/>
        <w:jc w:val="left"/>
        <w:rPr>
          <w:rFonts w:ascii="Arial" w:hAnsi="Arial" w:cs="Arial"/>
        </w:rPr>
      </w:pPr>
      <w:r w:rsidRPr="00385B88">
        <w:rPr>
          <w:rFonts w:ascii="Arial" w:hAnsi="Arial" w:cs="Arial"/>
        </w:rPr>
        <w:t>Aragón</w:t>
      </w:r>
      <w:r w:rsidRPr="00385B88">
        <w:rPr>
          <w:rFonts w:ascii="Cambria Math" w:hAnsi="Cambria Math" w:cs="Cambria Math"/>
        </w:rPr>
        <w:t>‐</w:t>
      </w:r>
      <w:r w:rsidRPr="00385B88">
        <w:rPr>
          <w:rFonts w:ascii="Arial" w:hAnsi="Arial" w:cs="Arial"/>
        </w:rPr>
        <w:t>Correa, J.A., Ortiz</w:t>
      </w:r>
      <w:r w:rsidRPr="00385B88">
        <w:rPr>
          <w:rFonts w:ascii="Cambria Math" w:hAnsi="Cambria Math" w:cs="Cambria Math"/>
        </w:rPr>
        <w:t>‐</w:t>
      </w:r>
      <w:r w:rsidRPr="00385B88">
        <w:rPr>
          <w:rFonts w:ascii="Arial" w:hAnsi="Arial" w:cs="Arial"/>
        </w:rPr>
        <w:t>de</w:t>
      </w:r>
      <w:r w:rsidRPr="00385B88">
        <w:rPr>
          <w:rFonts w:ascii="Cambria Math" w:hAnsi="Cambria Math" w:cs="Cambria Math"/>
        </w:rPr>
        <w:t>‐</w:t>
      </w:r>
      <w:r w:rsidRPr="00385B88">
        <w:rPr>
          <w:rFonts w:ascii="Arial" w:hAnsi="Arial" w:cs="Arial"/>
        </w:rPr>
        <w:t>Mandojana, N. and Barnett, M. (2025). Heads Must Roll: How External and Internal Factors Combine to Improve Corporate Environmental Performance. </w:t>
      </w:r>
      <w:r w:rsidRPr="00385B88">
        <w:rPr>
          <w:rFonts w:ascii="Arial" w:hAnsi="Arial" w:cs="Arial"/>
          <w:i/>
          <w:iCs/>
        </w:rPr>
        <w:t>Business Strategy and the Environment</w:t>
      </w:r>
      <w:r w:rsidRPr="00385B88">
        <w:rPr>
          <w:rFonts w:ascii="Arial" w:hAnsi="Arial" w:cs="Arial"/>
        </w:rPr>
        <w:t>, </w:t>
      </w:r>
      <w:r w:rsidRPr="00385B88">
        <w:rPr>
          <w:rFonts w:ascii="Arial" w:hAnsi="Arial" w:cs="Arial"/>
          <w:i/>
          <w:iCs/>
        </w:rPr>
        <w:t>34</w:t>
      </w:r>
      <w:r w:rsidRPr="00385B88">
        <w:rPr>
          <w:rFonts w:ascii="Arial" w:hAnsi="Arial" w:cs="Arial"/>
        </w:rPr>
        <w:t xml:space="preserve">(4), pp.4912-4927. </w:t>
      </w:r>
      <w:hyperlink r:id="rId24">
        <w:r w:rsidRPr="00385B88">
          <w:rPr>
            <w:rFonts w:ascii="Arial" w:hAnsi="Arial" w:cs="Arial"/>
            <w:color w:val="0000FF"/>
            <w:u w:val="single"/>
          </w:rPr>
          <w:t>https://onlinelibrary.wiley.com/doi/abs/10.1002/bse.4234</w:t>
        </w:r>
      </w:hyperlink>
    </w:p>
    <w:p w14:paraId="1CFFCDFB" w14:textId="25CD6B2F" w:rsidR="007575B8" w:rsidRPr="00385B88" w:rsidRDefault="004D78AD" w:rsidP="00385B88">
      <w:pPr>
        <w:spacing w:after="240"/>
        <w:jc w:val="left"/>
        <w:rPr>
          <w:rFonts w:ascii="Arial" w:hAnsi="Arial" w:cs="Arial"/>
        </w:rPr>
      </w:pPr>
      <w:r w:rsidRPr="00385B88">
        <w:rPr>
          <w:rFonts w:ascii="Arial" w:hAnsi="Arial" w:cs="Arial"/>
          <w:color w:val="222222"/>
          <w:highlight w:val="white"/>
        </w:rPr>
        <w:t xml:space="preserve">Árkai, L.D. (2025). SDG-washing in the </w:t>
      </w:r>
      <w:r w:rsidR="000517A6" w:rsidRPr="00385B88">
        <w:rPr>
          <w:rFonts w:ascii="Arial" w:hAnsi="Arial" w:cs="Arial"/>
          <w:color w:val="222222"/>
          <w:highlight w:val="white"/>
        </w:rPr>
        <w:t>European</w:t>
      </w:r>
      <w:r w:rsidRPr="00385B88">
        <w:rPr>
          <w:rFonts w:ascii="Arial" w:hAnsi="Arial" w:cs="Arial"/>
          <w:color w:val="222222"/>
          <w:highlight w:val="white"/>
        </w:rPr>
        <w:t xml:space="preserve"> aviation industry: a comparative analysis of five selected airlines. </w:t>
      </w:r>
      <w:hyperlink r:id="rId25">
        <w:r w:rsidRPr="00385B88">
          <w:rPr>
            <w:rFonts w:ascii="Arial" w:hAnsi="Arial" w:cs="Arial"/>
            <w:color w:val="0000FF"/>
            <w:highlight w:val="white"/>
            <w:u w:val="single"/>
          </w:rPr>
          <w:t>https://repositorio.ucp.pt/entities/publication/dd2a92cb-ef5c-4e73-8062-65841fdc45cf</w:t>
        </w:r>
      </w:hyperlink>
    </w:p>
    <w:p w14:paraId="1C8DC9E3" w14:textId="0E22955C" w:rsidR="007575B8" w:rsidRPr="00385B88" w:rsidRDefault="004D78AD" w:rsidP="00385B88">
      <w:pPr>
        <w:spacing w:after="240"/>
        <w:jc w:val="left"/>
        <w:rPr>
          <w:rFonts w:ascii="Arial" w:hAnsi="Arial" w:cs="Arial"/>
        </w:rPr>
      </w:pPr>
      <w:r w:rsidRPr="00385B88">
        <w:rPr>
          <w:rFonts w:ascii="Arial" w:hAnsi="Arial" w:cs="Arial"/>
        </w:rPr>
        <w:t>Arvidsson, S. and Dumay, J., (2022). Corporate ESG reporting quantity, quality and performance: where to now for environmental policy and practice</w:t>
      </w:r>
      <w:r w:rsidR="000517A6" w:rsidRPr="00385B88">
        <w:rPr>
          <w:rFonts w:ascii="Arial" w:hAnsi="Arial" w:cs="Arial"/>
        </w:rPr>
        <w:t>?</w:t>
      </w:r>
      <w:r w:rsidRPr="00385B88">
        <w:rPr>
          <w:rFonts w:ascii="Arial" w:hAnsi="Arial" w:cs="Arial"/>
        </w:rPr>
        <w:t xml:space="preserve"> </w:t>
      </w:r>
      <w:r w:rsidRPr="00385B88">
        <w:rPr>
          <w:rFonts w:ascii="Arial" w:hAnsi="Arial" w:cs="Arial"/>
          <w:i/>
          <w:iCs/>
        </w:rPr>
        <w:t>Business strategy and the environment</w:t>
      </w:r>
      <w:r w:rsidRPr="00385B88">
        <w:rPr>
          <w:rFonts w:ascii="Arial" w:hAnsi="Arial" w:cs="Arial"/>
        </w:rPr>
        <w:t xml:space="preserve">, 31(3), pp.1091-1110. </w:t>
      </w:r>
      <w:hyperlink r:id="rId26">
        <w:r w:rsidRPr="00385B88">
          <w:rPr>
            <w:rFonts w:ascii="Arial" w:hAnsi="Arial" w:cs="Arial"/>
            <w:color w:val="1155CC"/>
            <w:u w:val="single"/>
          </w:rPr>
          <w:t>https://onlinelibrary.wiley.com/doi/full/10.1002/bse.2937?utm_source=chatgpt.com</w:t>
        </w:r>
      </w:hyperlink>
      <w:r w:rsidRPr="00385B88">
        <w:rPr>
          <w:rFonts w:ascii="Arial" w:hAnsi="Arial" w:cs="Arial"/>
        </w:rPr>
        <w:t xml:space="preserve"> </w:t>
      </w:r>
    </w:p>
    <w:p w14:paraId="0686C9AF"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lastRenderedPageBreak/>
        <w:t>Back, K.J. (2024). ESG for the hospitality and tourism research: Essential demanded research area for all. </w:t>
      </w:r>
      <w:r w:rsidRPr="00385B88">
        <w:rPr>
          <w:rFonts w:ascii="Arial" w:hAnsi="Arial" w:cs="Arial"/>
          <w:i/>
          <w:iCs/>
          <w:color w:val="222222"/>
          <w:highlight w:val="white"/>
        </w:rPr>
        <w:t>Tourism Management</w:t>
      </w:r>
      <w:r w:rsidRPr="00385B88">
        <w:rPr>
          <w:rFonts w:ascii="Arial" w:hAnsi="Arial" w:cs="Arial"/>
          <w:color w:val="222222"/>
          <w:highlight w:val="white"/>
        </w:rPr>
        <w:t>, </w:t>
      </w:r>
      <w:r w:rsidRPr="00385B88">
        <w:rPr>
          <w:rFonts w:ascii="Arial" w:hAnsi="Arial" w:cs="Arial"/>
          <w:i/>
          <w:iCs/>
          <w:color w:val="222222"/>
          <w:highlight w:val="white"/>
        </w:rPr>
        <w:t>105</w:t>
      </w:r>
      <w:r w:rsidRPr="00385B88">
        <w:rPr>
          <w:rFonts w:ascii="Arial" w:hAnsi="Arial" w:cs="Arial"/>
          <w:color w:val="222222"/>
          <w:highlight w:val="white"/>
        </w:rPr>
        <w:t xml:space="preserve">, p.104954. </w:t>
      </w:r>
      <w:hyperlink r:id="rId27">
        <w:r w:rsidRPr="00385B88">
          <w:rPr>
            <w:rFonts w:ascii="Arial" w:hAnsi="Arial" w:cs="Arial"/>
            <w:color w:val="0000FF"/>
            <w:highlight w:val="white"/>
            <w:u w:val="single"/>
          </w:rPr>
          <w:t>https://www.sciencedirect.com/science/article/pii/S0261517724000736</w:t>
        </w:r>
      </w:hyperlink>
    </w:p>
    <w:p w14:paraId="7BF3E53C" w14:textId="77777777" w:rsidR="007575B8" w:rsidRPr="00385B88" w:rsidRDefault="004D78AD" w:rsidP="00385B88">
      <w:pPr>
        <w:spacing w:after="240"/>
        <w:jc w:val="left"/>
        <w:rPr>
          <w:rFonts w:ascii="Arial" w:hAnsi="Arial" w:cs="Arial"/>
        </w:rPr>
      </w:pPr>
      <w:r w:rsidRPr="00385B88">
        <w:rPr>
          <w:rFonts w:ascii="Arial" w:hAnsi="Arial" w:cs="Arial"/>
        </w:rPr>
        <w:t xml:space="preserve">Bardon, P. and Massol, O., (2025). Decarbonizing aviation with sustainable aviation fuels: Myths and realities of the roadmaps to net zero by 2050. </w:t>
      </w:r>
      <w:r w:rsidRPr="00385B88">
        <w:rPr>
          <w:rFonts w:ascii="Arial" w:hAnsi="Arial" w:cs="Arial"/>
          <w:i/>
          <w:iCs/>
        </w:rPr>
        <w:t>Renewable and Sustainable Energy Reviews</w:t>
      </w:r>
      <w:r w:rsidRPr="00385B88">
        <w:rPr>
          <w:rFonts w:ascii="Arial" w:hAnsi="Arial" w:cs="Arial"/>
        </w:rPr>
        <w:t xml:space="preserve">, 211, p.115279. </w:t>
      </w:r>
      <w:hyperlink r:id="rId28">
        <w:r w:rsidRPr="00385B88">
          <w:rPr>
            <w:rFonts w:ascii="Arial" w:hAnsi="Arial" w:cs="Arial"/>
            <w:color w:val="1155CC"/>
            <w:u w:val="single"/>
          </w:rPr>
          <w:t>https://www.sciencedirect.com/science/article/pii/S1364032124010050</w:t>
        </w:r>
      </w:hyperlink>
      <w:r w:rsidRPr="00385B88">
        <w:rPr>
          <w:rFonts w:ascii="Arial" w:hAnsi="Arial" w:cs="Arial"/>
        </w:rPr>
        <w:t xml:space="preserve"> </w:t>
      </w:r>
    </w:p>
    <w:p w14:paraId="56AE2482" w14:textId="77777777" w:rsidR="007575B8" w:rsidRPr="00385B88" w:rsidRDefault="004D78AD" w:rsidP="00385B88">
      <w:pPr>
        <w:spacing w:after="240"/>
        <w:jc w:val="left"/>
        <w:rPr>
          <w:rFonts w:ascii="Arial" w:hAnsi="Arial" w:cs="Arial"/>
        </w:rPr>
      </w:pPr>
      <w:r w:rsidRPr="00385B88">
        <w:rPr>
          <w:rFonts w:ascii="Arial" w:hAnsi="Arial" w:cs="Arial"/>
        </w:rPr>
        <w:t>Bayramova, A. and Edwards, D.J. (2026). A study of objectivity and subjectivity in research methodology selection. </w:t>
      </w:r>
      <w:r w:rsidRPr="00385B88">
        <w:rPr>
          <w:rFonts w:ascii="Arial" w:hAnsi="Arial" w:cs="Arial"/>
          <w:i/>
          <w:iCs/>
        </w:rPr>
        <w:t>Quality &amp; Quantity</w:t>
      </w:r>
      <w:r w:rsidRPr="00385B88">
        <w:rPr>
          <w:rFonts w:ascii="Arial" w:hAnsi="Arial" w:cs="Arial"/>
        </w:rPr>
        <w:t>, </w:t>
      </w:r>
      <w:r w:rsidRPr="00385B88">
        <w:rPr>
          <w:rFonts w:ascii="Arial" w:hAnsi="Arial" w:cs="Arial"/>
          <w:i/>
          <w:iCs/>
        </w:rPr>
        <w:t>60</w:t>
      </w:r>
      <w:r w:rsidRPr="00385B88">
        <w:rPr>
          <w:rFonts w:ascii="Arial" w:hAnsi="Arial" w:cs="Arial"/>
        </w:rPr>
        <w:t xml:space="preserve">(2), pp.5905-5931. </w:t>
      </w:r>
      <w:hyperlink r:id="rId29">
        <w:r w:rsidRPr="00385B88">
          <w:rPr>
            <w:rFonts w:ascii="Arial" w:hAnsi="Arial" w:cs="Arial"/>
            <w:color w:val="0000FF"/>
            <w:u w:val="single"/>
          </w:rPr>
          <w:t>https://link.springer.com/article/10.1007/s11135-025-02517-9</w:t>
        </w:r>
      </w:hyperlink>
    </w:p>
    <w:p w14:paraId="71BB76DA" w14:textId="77777777" w:rsidR="007575B8" w:rsidRPr="00385B88" w:rsidRDefault="004D78AD" w:rsidP="00385B88">
      <w:pPr>
        <w:spacing w:after="240"/>
        <w:jc w:val="left"/>
        <w:rPr>
          <w:rFonts w:ascii="Arial" w:hAnsi="Arial" w:cs="Arial"/>
        </w:rPr>
      </w:pPr>
      <w:r w:rsidRPr="00385B88">
        <w:rPr>
          <w:rFonts w:ascii="Arial" w:hAnsi="Arial" w:cs="Arial"/>
        </w:rPr>
        <w:t>Bini, L. and Fissi, S. (2025). The readability of corporate sustainability narratives in a crisis: an analysis of linguistic features using Coh-Metrix. </w:t>
      </w:r>
      <w:r w:rsidRPr="00385B88">
        <w:rPr>
          <w:rFonts w:ascii="Arial" w:hAnsi="Arial" w:cs="Arial"/>
          <w:i/>
          <w:iCs/>
        </w:rPr>
        <w:t>Social Responsibility Journal</w:t>
      </w:r>
      <w:r w:rsidRPr="00385B88">
        <w:rPr>
          <w:rFonts w:ascii="Arial" w:hAnsi="Arial" w:cs="Arial"/>
        </w:rPr>
        <w:t>, </w:t>
      </w:r>
      <w:r w:rsidRPr="00385B88">
        <w:rPr>
          <w:rFonts w:ascii="Arial" w:hAnsi="Arial" w:cs="Arial"/>
          <w:i/>
          <w:iCs/>
        </w:rPr>
        <w:t>21</w:t>
      </w:r>
      <w:r w:rsidRPr="00385B88">
        <w:rPr>
          <w:rFonts w:ascii="Arial" w:hAnsi="Arial" w:cs="Arial"/>
        </w:rPr>
        <w:t xml:space="preserve">(5), pp.1049-1065. </w:t>
      </w:r>
      <w:hyperlink r:id="rId30">
        <w:r w:rsidRPr="00385B88">
          <w:rPr>
            <w:rFonts w:ascii="Arial" w:hAnsi="Arial" w:cs="Arial"/>
            <w:color w:val="0000FF"/>
            <w:u w:val="single"/>
          </w:rPr>
          <w:t>https://www.emerald.com/srj/article/21/5/1049/1242392</w:t>
        </w:r>
      </w:hyperlink>
    </w:p>
    <w:p w14:paraId="3FCB6B0D" w14:textId="77777777" w:rsidR="007575B8" w:rsidRPr="00385B88" w:rsidRDefault="004D78AD" w:rsidP="00385B88">
      <w:pPr>
        <w:spacing w:after="240"/>
        <w:jc w:val="left"/>
        <w:rPr>
          <w:rFonts w:ascii="Arial" w:hAnsi="Arial" w:cs="Arial"/>
        </w:rPr>
      </w:pPr>
      <w:r w:rsidRPr="00385B88">
        <w:rPr>
          <w:rFonts w:ascii="Arial" w:hAnsi="Arial" w:cs="Arial"/>
        </w:rPr>
        <w:t>Carter, N.A., Tagalik, S. and Ljubicic, G. (2025). Applying the Aajiiqatigiingniq Research Methodology: approaches and lessons learned through collaborative survey development and analysis. </w:t>
      </w:r>
      <w:r w:rsidRPr="00385B88">
        <w:rPr>
          <w:rFonts w:ascii="Arial" w:hAnsi="Arial" w:cs="Arial"/>
          <w:i/>
          <w:iCs/>
        </w:rPr>
        <w:t>Arctic Science</w:t>
      </w:r>
      <w:r w:rsidRPr="00385B88">
        <w:rPr>
          <w:rFonts w:ascii="Arial" w:hAnsi="Arial" w:cs="Arial"/>
        </w:rPr>
        <w:t>, </w:t>
      </w:r>
      <w:r w:rsidRPr="00385B88">
        <w:rPr>
          <w:rFonts w:ascii="Arial" w:hAnsi="Arial" w:cs="Arial"/>
          <w:i/>
          <w:iCs/>
        </w:rPr>
        <w:t>11</w:t>
      </w:r>
      <w:r w:rsidRPr="00385B88">
        <w:rPr>
          <w:rFonts w:ascii="Arial" w:hAnsi="Arial" w:cs="Arial"/>
        </w:rPr>
        <w:t xml:space="preserve">, pp.1-33. </w:t>
      </w:r>
      <w:hyperlink r:id="rId31">
        <w:r w:rsidRPr="00385B88">
          <w:rPr>
            <w:rFonts w:ascii="Arial" w:hAnsi="Arial" w:cs="Arial"/>
            <w:color w:val="0000FF"/>
            <w:u w:val="single"/>
          </w:rPr>
          <w:t>https://cdnsciencepub.com/doi/abs/10.1139/as-2023-0057</w:t>
        </w:r>
      </w:hyperlink>
    </w:p>
    <w:p w14:paraId="79D6B440" w14:textId="35723EA9" w:rsidR="007575B8" w:rsidRPr="00385B88" w:rsidRDefault="004D78AD" w:rsidP="00385B88">
      <w:pPr>
        <w:spacing w:after="240"/>
        <w:jc w:val="left"/>
        <w:rPr>
          <w:rFonts w:ascii="Arial" w:hAnsi="Arial" w:cs="Arial"/>
        </w:rPr>
      </w:pPr>
      <w:r w:rsidRPr="00385B88">
        <w:rPr>
          <w:rFonts w:ascii="Arial" w:hAnsi="Arial" w:cs="Arial"/>
        </w:rPr>
        <w:t xml:space="preserve">Castro, V.D., Martín-Peña, M.L., </w:t>
      </w:r>
      <w:r w:rsidR="000517A6" w:rsidRPr="00385B88">
        <w:rPr>
          <w:rFonts w:ascii="Arial" w:hAnsi="Arial" w:cs="Arial"/>
        </w:rPr>
        <w:t>Martinez</w:t>
      </w:r>
      <w:r w:rsidRPr="00385B88">
        <w:rPr>
          <w:rFonts w:ascii="Arial" w:hAnsi="Arial" w:cs="Arial"/>
        </w:rPr>
        <w:t xml:space="preserve">, E.M. and Salgado, M. (2025). Combining action research with design science as a qualitative research methodology. </w:t>
      </w:r>
      <w:r w:rsidR="000517A6" w:rsidRPr="00385B88">
        <w:rPr>
          <w:rFonts w:ascii="Arial" w:hAnsi="Arial" w:cs="Arial"/>
        </w:rPr>
        <w:t>An</w:t>
      </w:r>
      <w:r w:rsidRPr="00385B88">
        <w:rPr>
          <w:rFonts w:ascii="Arial" w:hAnsi="Arial" w:cs="Arial"/>
        </w:rPr>
        <w:t xml:space="preserve"> application to service (operations) management research. </w:t>
      </w:r>
      <w:r w:rsidRPr="00385B88">
        <w:rPr>
          <w:rFonts w:ascii="Arial" w:hAnsi="Arial" w:cs="Arial"/>
          <w:i/>
          <w:iCs/>
        </w:rPr>
        <w:t>International Journal of Qualitative Methods</w:t>
      </w:r>
      <w:r w:rsidRPr="00385B88">
        <w:rPr>
          <w:rFonts w:ascii="Arial" w:hAnsi="Arial" w:cs="Arial"/>
        </w:rPr>
        <w:t>, </w:t>
      </w:r>
      <w:r w:rsidRPr="00385B88">
        <w:rPr>
          <w:rFonts w:ascii="Arial" w:hAnsi="Arial" w:cs="Arial"/>
          <w:i/>
          <w:iCs/>
        </w:rPr>
        <w:t>24</w:t>
      </w:r>
      <w:r w:rsidRPr="00385B88">
        <w:rPr>
          <w:rFonts w:ascii="Arial" w:hAnsi="Arial" w:cs="Arial"/>
        </w:rPr>
        <w:t xml:space="preserve">, p.16094069241312018. </w:t>
      </w:r>
      <w:hyperlink r:id="rId32">
        <w:r w:rsidRPr="00385B88">
          <w:rPr>
            <w:rFonts w:ascii="Arial" w:hAnsi="Arial" w:cs="Arial"/>
            <w:color w:val="0000FF"/>
            <w:u w:val="single"/>
          </w:rPr>
          <w:t>https://journals.sagepub.com/doi/abs/10.1177/16094069241312018</w:t>
        </w:r>
      </w:hyperlink>
    </w:p>
    <w:p w14:paraId="3CCDF5FC" w14:textId="77777777" w:rsidR="007575B8" w:rsidRPr="00385B88" w:rsidRDefault="004D78AD" w:rsidP="00385B88">
      <w:pPr>
        <w:spacing w:after="240"/>
        <w:jc w:val="left"/>
        <w:rPr>
          <w:rFonts w:ascii="Arial" w:hAnsi="Arial" w:cs="Arial"/>
        </w:rPr>
      </w:pPr>
      <w:r w:rsidRPr="00385B88">
        <w:rPr>
          <w:rFonts w:ascii="Arial" w:hAnsi="Arial" w:cs="Arial"/>
        </w:rPr>
        <w:t xml:space="preserve">CB. (2025). </w:t>
      </w:r>
      <w:r w:rsidRPr="00385B88">
        <w:rPr>
          <w:rFonts w:ascii="Arial" w:hAnsi="Arial" w:cs="Arial"/>
          <w:i/>
          <w:iCs/>
        </w:rPr>
        <w:t>India’s carbon dioxide (CO2) emissions grew by 0.5% in the second half of 2025 and by just 0.7% in the year as a whole, the slowest rate in more than two decades</w:t>
      </w:r>
      <w:r w:rsidRPr="00385B88">
        <w:rPr>
          <w:rFonts w:ascii="Arial" w:hAnsi="Arial" w:cs="Arial"/>
        </w:rPr>
        <w:t xml:space="preserve">. Available at: </w:t>
      </w:r>
      <w:hyperlink r:id="rId33">
        <w:r w:rsidRPr="00385B88">
          <w:rPr>
            <w:rFonts w:ascii="Arial" w:hAnsi="Arial" w:cs="Arial"/>
            <w:color w:val="0000FF"/>
            <w:u w:val="single"/>
          </w:rPr>
          <w:t>https://www.carbonbrief.org/analysis-indias-co2-emissions-in-2025-grew-at-slowest-rate-in-two-decades/</w:t>
        </w:r>
      </w:hyperlink>
      <w:r w:rsidRPr="00385B88">
        <w:rPr>
          <w:rFonts w:ascii="Arial" w:hAnsi="Arial" w:cs="Arial"/>
        </w:rPr>
        <w:t xml:space="preserve"> [Accessed: 26 June 2026]</w:t>
      </w:r>
    </w:p>
    <w:p w14:paraId="44628C67" w14:textId="77777777" w:rsidR="007575B8" w:rsidRPr="00385B88" w:rsidRDefault="004D78AD" w:rsidP="00385B88">
      <w:pPr>
        <w:spacing w:after="240"/>
        <w:jc w:val="left"/>
        <w:rPr>
          <w:rFonts w:ascii="Arial" w:hAnsi="Arial" w:cs="Arial"/>
        </w:rPr>
      </w:pPr>
      <w:r w:rsidRPr="00385B88">
        <w:rPr>
          <w:rFonts w:ascii="Arial" w:hAnsi="Arial" w:cs="Arial"/>
        </w:rPr>
        <w:lastRenderedPageBreak/>
        <w:t>Cregan, C., Kelly, J.A. and Clinch, J.P. (2025). The use of ESG ratings in corporate compensation plans: Promises and pitfalls. </w:t>
      </w:r>
      <w:r w:rsidRPr="00385B88">
        <w:rPr>
          <w:rFonts w:ascii="Arial" w:hAnsi="Arial" w:cs="Arial"/>
          <w:i/>
          <w:iCs/>
        </w:rPr>
        <w:t>Compensation &amp; Benefits Review</w:t>
      </w:r>
      <w:r w:rsidRPr="00385B88">
        <w:rPr>
          <w:rFonts w:ascii="Arial" w:hAnsi="Arial" w:cs="Arial"/>
        </w:rPr>
        <w:t>, </w:t>
      </w:r>
      <w:r w:rsidRPr="00385B88">
        <w:rPr>
          <w:rFonts w:ascii="Arial" w:hAnsi="Arial" w:cs="Arial"/>
          <w:i/>
          <w:iCs/>
        </w:rPr>
        <w:t>57</w:t>
      </w:r>
      <w:r w:rsidRPr="00385B88">
        <w:rPr>
          <w:rFonts w:ascii="Arial" w:hAnsi="Arial" w:cs="Arial"/>
        </w:rPr>
        <w:t xml:space="preserve">(4), pp.262-275. </w:t>
      </w:r>
      <w:hyperlink r:id="rId34">
        <w:r w:rsidRPr="00385B88">
          <w:rPr>
            <w:rFonts w:ascii="Arial" w:hAnsi="Arial" w:cs="Arial"/>
            <w:color w:val="0000FF"/>
            <w:u w:val="single"/>
          </w:rPr>
          <w:t>https://journals.sagepub.com/doi/abs/10.1177/08863687251329843</w:t>
        </w:r>
      </w:hyperlink>
    </w:p>
    <w:p w14:paraId="13B12CAE" w14:textId="3193E80F" w:rsidR="007575B8" w:rsidRPr="00385B88" w:rsidRDefault="004D78AD" w:rsidP="00385B88">
      <w:pPr>
        <w:spacing w:after="240"/>
        <w:jc w:val="left"/>
        <w:rPr>
          <w:rFonts w:ascii="Arial" w:hAnsi="Arial" w:cs="Arial"/>
        </w:rPr>
      </w:pPr>
      <w:r w:rsidRPr="00385B88">
        <w:rPr>
          <w:rFonts w:ascii="Arial" w:hAnsi="Arial" w:cs="Arial"/>
        </w:rPr>
        <w:t>Crosschild, C., Varcoe, C., Brown, H.J. and Browne, A.J. (2026). Indigenous women’s health and data sovereignty: imagining an Indigenous research methodology using quantitative methods. </w:t>
      </w:r>
      <w:r w:rsidR="000517A6" w:rsidRPr="00385B88">
        <w:rPr>
          <w:rFonts w:ascii="Arial" w:hAnsi="Arial" w:cs="Arial"/>
          <w:i/>
          <w:iCs/>
        </w:rPr>
        <w:t>Alternative</w:t>
      </w:r>
      <w:r w:rsidRPr="00385B88">
        <w:rPr>
          <w:rFonts w:ascii="Arial" w:hAnsi="Arial" w:cs="Arial"/>
          <w:i/>
          <w:iCs/>
        </w:rPr>
        <w:t>: An International Journal of Indigenous Peoples</w:t>
      </w:r>
      <w:r w:rsidRPr="00385B88">
        <w:rPr>
          <w:rFonts w:ascii="Arial" w:hAnsi="Arial" w:cs="Arial"/>
        </w:rPr>
        <w:t>, </w:t>
      </w:r>
      <w:r w:rsidRPr="00385B88">
        <w:rPr>
          <w:rFonts w:ascii="Arial" w:hAnsi="Arial" w:cs="Arial"/>
          <w:i/>
          <w:iCs/>
        </w:rPr>
        <w:t>22</w:t>
      </w:r>
      <w:r w:rsidRPr="00385B88">
        <w:rPr>
          <w:rFonts w:ascii="Arial" w:hAnsi="Arial" w:cs="Arial"/>
        </w:rPr>
        <w:t xml:space="preserve">(1), pp.3-13. </w:t>
      </w:r>
      <w:hyperlink r:id="rId35">
        <w:r w:rsidRPr="00385B88">
          <w:rPr>
            <w:rFonts w:ascii="Arial" w:hAnsi="Arial" w:cs="Arial"/>
            <w:color w:val="0000FF"/>
            <w:u w:val="single"/>
          </w:rPr>
          <w:t>https://journals.sagepub.com/doi/abs/10.1177/11771801251392925</w:t>
        </w:r>
      </w:hyperlink>
    </w:p>
    <w:p w14:paraId="0F0BB9D9" w14:textId="548108AE" w:rsidR="007575B8" w:rsidRPr="00385B88" w:rsidRDefault="004D78AD" w:rsidP="00385B88">
      <w:pPr>
        <w:spacing w:after="240"/>
        <w:jc w:val="left"/>
        <w:rPr>
          <w:rFonts w:ascii="Arial" w:hAnsi="Arial" w:cs="Arial"/>
        </w:rPr>
      </w:pPr>
      <w:r w:rsidRPr="00385B88">
        <w:rPr>
          <w:rFonts w:ascii="Arial" w:hAnsi="Arial" w:cs="Arial"/>
          <w:color w:val="000000"/>
        </w:rPr>
        <w:t>Czocherra, J. (2025). Do high ESG scores mitigate crisis impacts</w:t>
      </w:r>
      <w:r w:rsidR="000517A6" w:rsidRPr="00385B88">
        <w:rPr>
          <w:rFonts w:ascii="Arial" w:hAnsi="Arial" w:cs="Arial"/>
          <w:color w:val="000000"/>
        </w:rPr>
        <w:t>?</w:t>
      </w:r>
      <w:r w:rsidRPr="00385B88">
        <w:rPr>
          <w:rFonts w:ascii="Arial" w:hAnsi="Arial" w:cs="Arial"/>
          <w:color w:val="000000"/>
        </w:rPr>
        <w:t xml:space="preserve"> </w:t>
      </w:r>
      <w:r w:rsidR="000517A6" w:rsidRPr="00385B88">
        <w:rPr>
          <w:rFonts w:ascii="Arial" w:hAnsi="Arial" w:cs="Arial"/>
          <w:color w:val="000000"/>
        </w:rPr>
        <w:t>A</w:t>
      </w:r>
      <w:r w:rsidRPr="00385B88">
        <w:rPr>
          <w:rFonts w:ascii="Arial" w:hAnsi="Arial" w:cs="Arial"/>
          <w:color w:val="000000"/>
        </w:rPr>
        <w:t xml:space="preserve"> difference-in-difference analysis of airline profitability during COVID-19. </w:t>
      </w:r>
      <w:hyperlink r:id="rId36">
        <w:r w:rsidRPr="00385B88">
          <w:rPr>
            <w:rFonts w:ascii="Arial" w:hAnsi="Arial" w:cs="Arial"/>
            <w:color w:val="0000FF"/>
            <w:u w:val="single"/>
          </w:rPr>
          <w:t>https://repositorio.ucp.pt/entities/publication/f0758206-8305-4258-b897-f2ae83b4e7df</w:t>
        </w:r>
      </w:hyperlink>
    </w:p>
    <w:p w14:paraId="4FE57ADF" w14:textId="77777777" w:rsidR="007575B8" w:rsidRPr="00385B88" w:rsidRDefault="004D78AD" w:rsidP="00385B88">
      <w:pPr>
        <w:spacing w:after="240"/>
        <w:jc w:val="left"/>
        <w:rPr>
          <w:rFonts w:ascii="Arial" w:hAnsi="Arial" w:cs="Arial"/>
        </w:rPr>
      </w:pPr>
      <w:r w:rsidRPr="00385B88">
        <w:rPr>
          <w:rFonts w:ascii="Arial" w:hAnsi="Arial" w:cs="Arial"/>
        </w:rPr>
        <w:t>Deloitte. (2025</w:t>
      </w:r>
      <w:r w:rsidRPr="00385B88">
        <w:rPr>
          <w:rFonts w:ascii="Arial" w:hAnsi="Arial" w:cs="Arial"/>
          <w:i/>
          <w:iCs/>
        </w:rPr>
        <w:t>). Green wings: India’s SAF revolution in the making.</w:t>
      </w:r>
      <w:r w:rsidRPr="00385B88">
        <w:rPr>
          <w:rFonts w:ascii="Arial" w:hAnsi="Arial" w:cs="Arial"/>
        </w:rPr>
        <w:t xml:space="preserve"> Available at: </w:t>
      </w:r>
      <w:hyperlink r:id="rId37">
        <w:r w:rsidRPr="00385B88">
          <w:rPr>
            <w:rFonts w:ascii="Arial" w:hAnsi="Arial" w:cs="Arial"/>
            <w:color w:val="0000FF"/>
            <w:u w:val="single"/>
          </w:rPr>
          <w:t>https://www.deloitte.com/in/en/issues/climate/sustainability-and-climate/sustainable-aviation-fuel-report.html</w:t>
        </w:r>
      </w:hyperlink>
      <w:r w:rsidRPr="00385B88">
        <w:rPr>
          <w:rFonts w:ascii="Arial" w:hAnsi="Arial" w:cs="Arial"/>
        </w:rPr>
        <w:t xml:space="preserve"> [Accessed: 26 June 2026]</w:t>
      </w:r>
    </w:p>
    <w:p w14:paraId="31A789F7" w14:textId="77777777" w:rsidR="007575B8" w:rsidRPr="00385B88" w:rsidRDefault="004D78AD" w:rsidP="00385B88">
      <w:pPr>
        <w:spacing w:after="240"/>
        <w:jc w:val="left"/>
        <w:rPr>
          <w:rFonts w:ascii="Arial" w:hAnsi="Arial" w:cs="Arial"/>
        </w:rPr>
      </w:pPr>
      <w:r w:rsidRPr="00385B88">
        <w:rPr>
          <w:rFonts w:ascii="Arial" w:hAnsi="Arial" w:cs="Arial"/>
        </w:rPr>
        <w:t xml:space="preserve">Del Gesso, C. and Lodhi, R.N., (2025). Theories underlying environmental, social and governance (ESG) disclosure: a systematic review of accounting studies. </w:t>
      </w:r>
      <w:r w:rsidRPr="00385B88">
        <w:rPr>
          <w:rFonts w:ascii="Arial" w:hAnsi="Arial" w:cs="Arial"/>
          <w:i/>
          <w:iCs/>
        </w:rPr>
        <w:t>Journal of Accounting Literature</w:t>
      </w:r>
      <w:r w:rsidRPr="00385B88">
        <w:rPr>
          <w:rFonts w:ascii="Arial" w:hAnsi="Arial" w:cs="Arial"/>
        </w:rPr>
        <w:t xml:space="preserve">, 47(2), pp.433-461. </w:t>
      </w:r>
      <w:hyperlink r:id="rId38">
        <w:r w:rsidRPr="00385B88">
          <w:rPr>
            <w:rFonts w:ascii="Arial" w:hAnsi="Arial" w:cs="Arial"/>
            <w:color w:val="1155CC"/>
            <w:u w:val="single"/>
          </w:rPr>
          <w:t>https://air.unimi.it/bitstream/2434/1022978/2/Author%20Accepted%20Manuscript.pdf</w:t>
        </w:r>
      </w:hyperlink>
      <w:r w:rsidRPr="00385B88">
        <w:rPr>
          <w:rFonts w:ascii="Arial" w:hAnsi="Arial" w:cs="Arial"/>
        </w:rPr>
        <w:t xml:space="preserve"> </w:t>
      </w:r>
    </w:p>
    <w:p w14:paraId="0364911D" w14:textId="77777777" w:rsidR="007575B8" w:rsidRPr="00385B88" w:rsidRDefault="004D78AD" w:rsidP="00385B88">
      <w:pPr>
        <w:spacing w:after="240"/>
        <w:jc w:val="left"/>
        <w:rPr>
          <w:rFonts w:ascii="Arial" w:hAnsi="Arial" w:cs="Arial"/>
        </w:rPr>
      </w:pPr>
      <w:r w:rsidRPr="00385B88">
        <w:rPr>
          <w:rFonts w:ascii="Arial" w:hAnsi="Arial" w:cs="Arial"/>
        </w:rPr>
        <w:t>Denscombe, M. (2025). Decolonial research methodology: an assessment of the challenge to established practice. </w:t>
      </w:r>
      <w:r w:rsidRPr="00385B88">
        <w:rPr>
          <w:rFonts w:ascii="Arial" w:hAnsi="Arial" w:cs="Arial"/>
          <w:i/>
          <w:iCs/>
        </w:rPr>
        <w:t>International Journal of Social Research Methodology</w:t>
      </w:r>
      <w:r w:rsidRPr="00385B88">
        <w:rPr>
          <w:rFonts w:ascii="Arial" w:hAnsi="Arial" w:cs="Arial"/>
        </w:rPr>
        <w:t>, </w:t>
      </w:r>
      <w:r w:rsidRPr="00385B88">
        <w:rPr>
          <w:rFonts w:ascii="Arial" w:hAnsi="Arial" w:cs="Arial"/>
          <w:i/>
          <w:iCs/>
        </w:rPr>
        <w:t>28</w:t>
      </w:r>
      <w:r w:rsidRPr="00385B88">
        <w:rPr>
          <w:rFonts w:ascii="Arial" w:hAnsi="Arial" w:cs="Arial"/>
        </w:rPr>
        <w:t xml:space="preserve">(2), pp.231-240. </w:t>
      </w:r>
      <w:hyperlink r:id="rId39">
        <w:r w:rsidRPr="00385B88">
          <w:rPr>
            <w:rFonts w:ascii="Arial" w:hAnsi="Arial" w:cs="Arial"/>
            <w:color w:val="0000FF"/>
            <w:u w:val="single"/>
          </w:rPr>
          <w:t>https://www.tandfonline.com/doi/abs/10.1080/13645579.2024.2357558</w:t>
        </w:r>
      </w:hyperlink>
    </w:p>
    <w:p w14:paraId="441FCAD8" w14:textId="55A90D99" w:rsidR="007575B8" w:rsidRPr="00385B88" w:rsidRDefault="004D78AD" w:rsidP="00385B88">
      <w:pPr>
        <w:spacing w:after="240"/>
        <w:jc w:val="left"/>
        <w:rPr>
          <w:rFonts w:ascii="Arial" w:hAnsi="Arial" w:cs="Arial"/>
        </w:rPr>
      </w:pPr>
      <w:r w:rsidRPr="00385B88">
        <w:rPr>
          <w:rFonts w:ascii="Arial" w:hAnsi="Arial" w:cs="Arial"/>
          <w:color w:val="000000"/>
        </w:rPr>
        <w:t xml:space="preserve">Doğan, M.A. (2025). Investigating the Relationship </w:t>
      </w:r>
      <w:r w:rsidR="000517A6" w:rsidRPr="00385B88">
        <w:rPr>
          <w:rFonts w:ascii="Arial" w:hAnsi="Arial" w:cs="Arial"/>
          <w:color w:val="000000"/>
        </w:rPr>
        <w:t>between</w:t>
      </w:r>
      <w:r w:rsidRPr="00385B88">
        <w:rPr>
          <w:rFonts w:ascii="Arial" w:hAnsi="Arial" w:cs="Arial"/>
          <w:color w:val="000000"/>
        </w:rPr>
        <w:t xml:space="preserve"> ESG Performance and Efficiency in Aircraft Manufacturers. </w:t>
      </w:r>
      <w:r w:rsidRPr="00385B88">
        <w:rPr>
          <w:rFonts w:ascii="Arial" w:hAnsi="Arial" w:cs="Arial"/>
          <w:i/>
          <w:iCs/>
          <w:color w:val="000000"/>
        </w:rPr>
        <w:t>International Journal of Aviation Science and Technology</w:t>
      </w:r>
      <w:r w:rsidRPr="00385B88">
        <w:rPr>
          <w:rFonts w:ascii="Arial" w:hAnsi="Arial" w:cs="Arial"/>
          <w:color w:val="000000"/>
        </w:rPr>
        <w:t>, </w:t>
      </w:r>
      <w:r w:rsidRPr="00385B88">
        <w:rPr>
          <w:rFonts w:ascii="Arial" w:hAnsi="Arial" w:cs="Arial"/>
          <w:i/>
          <w:iCs/>
          <w:color w:val="000000"/>
        </w:rPr>
        <w:t>6</w:t>
      </w:r>
      <w:r w:rsidRPr="00385B88">
        <w:rPr>
          <w:rFonts w:ascii="Arial" w:hAnsi="Arial" w:cs="Arial"/>
          <w:color w:val="000000"/>
        </w:rPr>
        <w:t xml:space="preserve">(02), pp.106-125. </w:t>
      </w:r>
      <w:hyperlink r:id="rId40">
        <w:r w:rsidRPr="00385B88">
          <w:rPr>
            <w:rFonts w:ascii="Arial" w:hAnsi="Arial" w:cs="Arial"/>
            <w:color w:val="0000FF"/>
            <w:u w:val="single"/>
          </w:rPr>
          <w:t>https://dergipark.org.tr/en/pub/ijast/issue/92906/1634691</w:t>
        </w:r>
      </w:hyperlink>
    </w:p>
    <w:p w14:paraId="12B59AFC" w14:textId="0B47F1E8" w:rsidR="007575B8" w:rsidRPr="00385B88" w:rsidRDefault="004D78AD" w:rsidP="00385B88">
      <w:pPr>
        <w:spacing w:after="240"/>
        <w:jc w:val="left"/>
        <w:rPr>
          <w:rFonts w:ascii="Arial" w:hAnsi="Arial" w:cs="Arial"/>
        </w:rPr>
      </w:pPr>
      <w:r w:rsidRPr="00385B88">
        <w:rPr>
          <w:rFonts w:ascii="Arial" w:hAnsi="Arial" w:cs="Arial"/>
          <w:color w:val="222222"/>
          <w:highlight w:val="white"/>
        </w:rPr>
        <w:lastRenderedPageBreak/>
        <w:t xml:space="preserve">DSilva, N. (2025). Towards Net-Zero: </w:t>
      </w:r>
      <w:r w:rsidR="000517A6" w:rsidRPr="00385B88">
        <w:rPr>
          <w:rFonts w:ascii="Arial" w:hAnsi="Arial" w:cs="Arial"/>
          <w:color w:val="222222"/>
          <w:highlight w:val="white"/>
        </w:rPr>
        <w:t>Analysing</w:t>
      </w:r>
      <w:r w:rsidRPr="00385B88">
        <w:rPr>
          <w:rFonts w:ascii="Arial" w:hAnsi="Arial" w:cs="Arial"/>
          <w:color w:val="222222"/>
          <w:highlight w:val="white"/>
        </w:rPr>
        <w:t xml:space="preserve"> Sustainability Reports of Global Airlines. </w:t>
      </w:r>
      <w:r w:rsidRPr="00385B88">
        <w:rPr>
          <w:rFonts w:ascii="Arial" w:hAnsi="Arial" w:cs="Arial"/>
          <w:i/>
          <w:iCs/>
          <w:color w:val="222222"/>
          <w:highlight w:val="white"/>
        </w:rPr>
        <w:t>International Journal of Environmental Sciences</w:t>
      </w:r>
      <w:r w:rsidRPr="00385B88">
        <w:rPr>
          <w:rFonts w:ascii="Arial" w:hAnsi="Arial" w:cs="Arial"/>
          <w:color w:val="222222"/>
          <w:highlight w:val="white"/>
        </w:rPr>
        <w:t xml:space="preserve">. </w:t>
      </w:r>
      <w:hyperlink r:id="rId41">
        <w:r w:rsidRPr="00385B88">
          <w:rPr>
            <w:rFonts w:ascii="Arial" w:hAnsi="Arial" w:cs="Arial"/>
            <w:color w:val="0000FF"/>
            <w:highlight w:val="white"/>
            <w:u w:val="single"/>
          </w:rPr>
          <w:t>https://www.academia.edu/download/123358104/3.pdf</w:t>
        </w:r>
      </w:hyperlink>
    </w:p>
    <w:p w14:paraId="5C077935" w14:textId="77777777" w:rsidR="007575B8" w:rsidRPr="00385B88" w:rsidRDefault="004D78AD" w:rsidP="00385B88">
      <w:pPr>
        <w:spacing w:after="240"/>
        <w:jc w:val="left"/>
        <w:rPr>
          <w:rFonts w:ascii="Arial" w:hAnsi="Arial" w:cs="Arial"/>
        </w:rPr>
      </w:pPr>
      <w:r w:rsidRPr="00385B88">
        <w:rPr>
          <w:rFonts w:ascii="Arial" w:hAnsi="Arial" w:cs="Arial"/>
        </w:rPr>
        <w:t>Dunfjäll, M. (2025). Materiality in transition: Challenges and opportunities in corporate sustainability reporting under the CSRD. </w:t>
      </w:r>
      <w:r w:rsidRPr="00385B88">
        <w:rPr>
          <w:rFonts w:ascii="Arial" w:hAnsi="Arial" w:cs="Arial"/>
          <w:i/>
          <w:iCs/>
        </w:rPr>
        <w:t>European Journal of Risk Regulation</w:t>
      </w:r>
      <w:r w:rsidRPr="00385B88">
        <w:rPr>
          <w:rFonts w:ascii="Arial" w:hAnsi="Arial" w:cs="Arial"/>
        </w:rPr>
        <w:t xml:space="preserve">, pp.1-15. </w:t>
      </w:r>
      <w:hyperlink r:id="rId42">
        <w:r w:rsidRPr="00385B88">
          <w:rPr>
            <w:rFonts w:ascii="Arial" w:hAnsi="Arial" w:cs="Arial"/>
            <w:color w:val="0000FF"/>
            <w:u w:val="single"/>
          </w:rPr>
          <w:t>https://www.cambridge.org/core/journals/european-journal-of-risk-regulation/article/materiality-in-transition-challenges-and-opportunities-in-corporate-sustainability-reporting-under-the-csrd/7E94EDD3DFE699DCD3118508F43DB16A</w:t>
        </w:r>
      </w:hyperlink>
    </w:p>
    <w:p w14:paraId="5E782458" w14:textId="42171D5C" w:rsidR="00F87275" w:rsidRDefault="004D78AD" w:rsidP="00385B88">
      <w:pPr>
        <w:jc w:val="left"/>
        <w:rPr>
          <w:rFonts w:ascii="Arial" w:hAnsi="Arial" w:cs="Arial"/>
        </w:rPr>
      </w:pPr>
      <w:r w:rsidRPr="00385B88">
        <w:rPr>
          <w:rFonts w:ascii="Arial" w:hAnsi="Arial" w:cs="Arial"/>
        </w:rPr>
        <w:t xml:space="preserve">Effectual Services, (2024). </w:t>
      </w:r>
      <w:r w:rsidRPr="00385B88">
        <w:rPr>
          <w:rFonts w:ascii="Arial" w:hAnsi="Arial" w:cs="Arial"/>
          <w:i/>
          <w:iCs/>
        </w:rPr>
        <w:t>How is sustainable aviation fuel made?</w:t>
      </w:r>
      <w:r w:rsidRPr="00385B88">
        <w:rPr>
          <w:rFonts w:ascii="Arial" w:hAnsi="Arial" w:cs="Arial"/>
        </w:rPr>
        <w:t xml:space="preserve"> Available at: </w:t>
      </w:r>
      <w:hyperlink r:id="rId43">
        <w:r w:rsidRPr="00385B88">
          <w:rPr>
            <w:rFonts w:ascii="Arial" w:hAnsi="Arial" w:cs="Arial"/>
            <w:color w:val="1155CC"/>
            <w:u w:val="single"/>
          </w:rPr>
          <w:t>https://www.effectualservices.com/article/sustainable-aviation-fuel</w:t>
        </w:r>
      </w:hyperlink>
      <w:r w:rsidRPr="00385B88">
        <w:rPr>
          <w:rFonts w:ascii="Arial" w:hAnsi="Arial" w:cs="Arial"/>
        </w:rPr>
        <w:t xml:space="preserve"> (Accessed on 15 July 2026).</w:t>
      </w:r>
    </w:p>
    <w:p w14:paraId="0BCE20A7" w14:textId="77777777" w:rsidR="00F87275" w:rsidRPr="00385B88" w:rsidRDefault="00F87275" w:rsidP="00385B88">
      <w:pPr>
        <w:jc w:val="left"/>
        <w:rPr>
          <w:rFonts w:ascii="Arial" w:hAnsi="Arial" w:cs="Arial"/>
        </w:rPr>
      </w:pPr>
    </w:p>
    <w:p w14:paraId="1512C8F9" w14:textId="5183753B" w:rsidR="007575B8" w:rsidRPr="00385B88" w:rsidRDefault="004D78AD" w:rsidP="00385B88">
      <w:pPr>
        <w:spacing w:after="240"/>
        <w:jc w:val="left"/>
        <w:rPr>
          <w:rFonts w:ascii="Arial" w:hAnsi="Arial" w:cs="Arial"/>
        </w:rPr>
      </w:pPr>
      <w:r w:rsidRPr="00385B88">
        <w:rPr>
          <w:rFonts w:ascii="Arial" w:hAnsi="Arial" w:cs="Arial"/>
          <w:color w:val="000000"/>
        </w:rPr>
        <w:t>Gössling, S., Humpe, A. and Sun, Y.Y. (2025). Are emissions from global air transport significantly underestimated</w:t>
      </w:r>
      <w:r w:rsidR="000517A6" w:rsidRPr="00385B88">
        <w:rPr>
          <w:rFonts w:ascii="Arial" w:hAnsi="Arial" w:cs="Arial"/>
          <w:color w:val="000000"/>
        </w:rPr>
        <w:t>?</w:t>
      </w:r>
      <w:r w:rsidRPr="00385B88">
        <w:rPr>
          <w:rFonts w:ascii="Arial" w:hAnsi="Arial" w:cs="Arial"/>
          <w:color w:val="000000"/>
        </w:rPr>
        <w:t> </w:t>
      </w:r>
      <w:r w:rsidRPr="00385B88">
        <w:rPr>
          <w:rFonts w:ascii="Arial" w:hAnsi="Arial" w:cs="Arial"/>
          <w:i/>
          <w:iCs/>
          <w:color w:val="000000"/>
        </w:rPr>
        <w:t>Current Issues in Tourism</w:t>
      </w:r>
      <w:r w:rsidRPr="00385B88">
        <w:rPr>
          <w:rFonts w:ascii="Arial" w:hAnsi="Arial" w:cs="Arial"/>
          <w:color w:val="000000"/>
        </w:rPr>
        <w:t>, </w:t>
      </w:r>
      <w:r w:rsidRPr="00385B88">
        <w:rPr>
          <w:rFonts w:ascii="Arial" w:hAnsi="Arial" w:cs="Arial"/>
          <w:i/>
          <w:iCs/>
          <w:color w:val="000000"/>
        </w:rPr>
        <w:t>28</w:t>
      </w:r>
      <w:r w:rsidRPr="00385B88">
        <w:rPr>
          <w:rFonts w:ascii="Arial" w:hAnsi="Arial" w:cs="Arial"/>
          <w:color w:val="000000"/>
        </w:rPr>
        <w:t xml:space="preserve">(5), pp.695-708. </w:t>
      </w:r>
      <w:hyperlink r:id="rId44">
        <w:r w:rsidRPr="00385B88">
          <w:rPr>
            <w:rFonts w:ascii="Arial" w:hAnsi="Arial" w:cs="Arial"/>
            <w:color w:val="0000FF"/>
            <w:u w:val="single"/>
          </w:rPr>
          <w:t>https://www.tandfonline.com/doi/abs/10.1080/13683500.2024.2337281</w:t>
        </w:r>
      </w:hyperlink>
    </w:p>
    <w:p w14:paraId="0CB4A485" w14:textId="77777777" w:rsidR="007575B8" w:rsidRPr="00385B88" w:rsidRDefault="004D78AD" w:rsidP="00385B88">
      <w:pPr>
        <w:spacing w:after="240"/>
        <w:jc w:val="left"/>
        <w:rPr>
          <w:rFonts w:ascii="Arial" w:hAnsi="Arial" w:cs="Arial"/>
        </w:rPr>
      </w:pPr>
      <w:r w:rsidRPr="00385B88">
        <w:rPr>
          <w:rFonts w:ascii="Arial" w:hAnsi="Arial" w:cs="Arial"/>
        </w:rPr>
        <w:t xml:space="preserve">Goyal, S. (2026). Sustainability Practices and Financial Performance in Low-Cost Airlines: A Panel Analysis Using a Sustainability Disclosure Index. </w:t>
      </w:r>
      <w:hyperlink r:id="rId45">
        <w:r w:rsidRPr="00385B88">
          <w:rPr>
            <w:rFonts w:ascii="Arial" w:hAnsi="Arial" w:cs="Arial"/>
            <w:color w:val="0000FF"/>
            <w:u w:val="single"/>
          </w:rPr>
          <w:t>https://uwspace.uwaterloo.ca/items/b6f43423-3eaf-40c1-958f-b3a0a3df3cf1</w:t>
        </w:r>
      </w:hyperlink>
    </w:p>
    <w:p w14:paraId="09182E4E" w14:textId="77777777" w:rsidR="007575B8" w:rsidRPr="00385B88" w:rsidRDefault="004D78AD" w:rsidP="00385B88">
      <w:pPr>
        <w:spacing w:after="240"/>
        <w:jc w:val="left"/>
        <w:rPr>
          <w:rFonts w:ascii="Arial" w:hAnsi="Arial" w:cs="Arial"/>
        </w:rPr>
      </w:pPr>
      <w:r w:rsidRPr="00385B88">
        <w:rPr>
          <w:rFonts w:ascii="Arial" w:hAnsi="Arial" w:cs="Arial"/>
        </w:rPr>
        <w:t>Graham, M., Alyanak, O., Bertolini, A., Feuerstein, P., Kuttler, T., Ustek Spilda, F. and Valente, J. (2025). Pressure and praise as an action research methodology: The case of Fairwork. </w:t>
      </w:r>
      <w:r w:rsidRPr="00385B88">
        <w:rPr>
          <w:rFonts w:ascii="Arial" w:hAnsi="Arial" w:cs="Arial"/>
          <w:i/>
          <w:iCs/>
        </w:rPr>
        <w:t>Environment and Planning A: Economy and Space</w:t>
      </w:r>
      <w:r w:rsidRPr="00385B88">
        <w:rPr>
          <w:rFonts w:ascii="Arial" w:hAnsi="Arial" w:cs="Arial"/>
        </w:rPr>
        <w:t xml:space="preserve">, p.0308518X251336893. </w:t>
      </w:r>
      <w:hyperlink r:id="rId46">
        <w:r w:rsidRPr="00385B88">
          <w:rPr>
            <w:rFonts w:ascii="Arial" w:hAnsi="Arial" w:cs="Arial"/>
            <w:color w:val="0000FF"/>
            <w:u w:val="single"/>
          </w:rPr>
          <w:t>https://journals.sagepub.com/doi/abs/10.1177/0308518X251336893</w:t>
        </w:r>
      </w:hyperlink>
    </w:p>
    <w:p w14:paraId="7FB50B59"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t>Gürçam, S. (2022). The neoliberal initiative of the aviation industry to fight the climate crisis: Greenwashing. </w:t>
      </w:r>
      <w:r w:rsidRPr="00385B88">
        <w:rPr>
          <w:rFonts w:ascii="Arial" w:hAnsi="Arial" w:cs="Arial"/>
          <w:i/>
          <w:iCs/>
          <w:color w:val="222222"/>
          <w:highlight w:val="white"/>
        </w:rPr>
        <w:t>International Journal of Environment and Geoinformatics</w:t>
      </w:r>
      <w:r w:rsidRPr="00385B88">
        <w:rPr>
          <w:rFonts w:ascii="Arial" w:hAnsi="Arial" w:cs="Arial"/>
          <w:color w:val="222222"/>
          <w:highlight w:val="white"/>
        </w:rPr>
        <w:t>, </w:t>
      </w:r>
      <w:r w:rsidRPr="00385B88">
        <w:rPr>
          <w:rFonts w:ascii="Arial" w:hAnsi="Arial" w:cs="Arial"/>
          <w:i/>
          <w:iCs/>
          <w:color w:val="222222"/>
          <w:highlight w:val="white"/>
        </w:rPr>
        <w:t>9</w:t>
      </w:r>
      <w:r w:rsidRPr="00385B88">
        <w:rPr>
          <w:rFonts w:ascii="Arial" w:hAnsi="Arial" w:cs="Arial"/>
          <w:color w:val="222222"/>
          <w:highlight w:val="white"/>
        </w:rPr>
        <w:t xml:space="preserve">(3), pp.178-186. </w:t>
      </w:r>
      <w:hyperlink r:id="rId47">
        <w:r w:rsidRPr="00385B88">
          <w:rPr>
            <w:rFonts w:ascii="Arial" w:hAnsi="Arial" w:cs="Arial"/>
            <w:color w:val="0000FF"/>
            <w:highlight w:val="white"/>
            <w:u w:val="single"/>
          </w:rPr>
          <w:t>https://dergipark.org.tr/en/pub/ijegeo/issue/68801/1083921</w:t>
        </w:r>
      </w:hyperlink>
    </w:p>
    <w:p w14:paraId="5F814B31"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lastRenderedPageBreak/>
        <w:t>Heyes, G., Urquhart, C., Hooper, P. and Thomas, C. (2023). Comprehensive strategic analysis for sustainability: An aviation industry case study. </w:t>
      </w:r>
      <w:r w:rsidRPr="00385B88">
        <w:rPr>
          <w:rFonts w:ascii="Arial" w:hAnsi="Arial" w:cs="Arial"/>
          <w:i/>
          <w:iCs/>
          <w:color w:val="222222"/>
          <w:highlight w:val="white"/>
        </w:rPr>
        <w:t>Sustainability</w:t>
      </w:r>
      <w:r w:rsidRPr="00385B88">
        <w:rPr>
          <w:rFonts w:ascii="Arial" w:hAnsi="Arial" w:cs="Arial"/>
          <w:color w:val="222222"/>
          <w:highlight w:val="white"/>
        </w:rPr>
        <w:t>, </w:t>
      </w:r>
      <w:r w:rsidRPr="00385B88">
        <w:rPr>
          <w:rFonts w:ascii="Arial" w:hAnsi="Arial" w:cs="Arial"/>
          <w:i/>
          <w:iCs/>
          <w:color w:val="222222"/>
          <w:highlight w:val="white"/>
        </w:rPr>
        <w:t>15</w:t>
      </w:r>
      <w:r w:rsidRPr="00385B88">
        <w:rPr>
          <w:rFonts w:ascii="Arial" w:hAnsi="Arial" w:cs="Arial"/>
          <w:color w:val="222222"/>
          <w:highlight w:val="white"/>
        </w:rPr>
        <w:t xml:space="preserve">(11), p.8806. </w:t>
      </w:r>
      <w:hyperlink r:id="rId48">
        <w:r w:rsidRPr="00385B88">
          <w:rPr>
            <w:rFonts w:ascii="Arial" w:hAnsi="Arial" w:cs="Arial"/>
            <w:color w:val="0000FF"/>
            <w:highlight w:val="white"/>
            <w:u w:val="single"/>
          </w:rPr>
          <w:t>https://www.mdpi.com/2071-1050/15/11/8806</w:t>
        </w:r>
      </w:hyperlink>
    </w:p>
    <w:p w14:paraId="7E2E8C5C"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t>Hooda, S.K. and Yadav, S. (2023). Green finance for sustainable aviation: stakeholder perspectives and systematic review. </w:t>
      </w:r>
      <w:r w:rsidRPr="00385B88">
        <w:rPr>
          <w:rFonts w:ascii="Arial" w:hAnsi="Arial" w:cs="Arial"/>
          <w:i/>
          <w:iCs/>
          <w:color w:val="222222"/>
          <w:highlight w:val="white"/>
        </w:rPr>
        <w:t xml:space="preserve">International Journal of Professional Business Review: Int. J. </w:t>
      </w:r>
      <w:proofErr w:type="spellStart"/>
      <w:r w:rsidRPr="00385B88">
        <w:rPr>
          <w:rFonts w:ascii="Arial" w:hAnsi="Arial" w:cs="Arial"/>
          <w:i/>
          <w:iCs/>
          <w:color w:val="222222"/>
          <w:highlight w:val="white"/>
        </w:rPr>
        <w:t>Prof.</w:t>
      </w:r>
      <w:proofErr w:type="spellEnd"/>
      <w:r w:rsidRPr="00385B88">
        <w:rPr>
          <w:rFonts w:ascii="Arial" w:hAnsi="Arial" w:cs="Arial"/>
          <w:i/>
          <w:iCs/>
          <w:color w:val="222222"/>
          <w:highlight w:val="white"/>
        </w:rPr>
        <w:t xml:space="preserve"> Bus. Rev.</w:t>
      </w:r>
      <w:r w:rsidRPr="00385B88">
        <w:rPr>
          <w:rFonts w:ascii="Arial" w:hAnsi="Arial" w:cs="Arial"/>
          <w:color w:val="222222"/>
          <w:highlight w:val="white"/>
        </w:rPr>
        <w:t>, </w:t>
      </w:r>
      <w:r w:rsidRPr="00385B88">
        <w:rPr>
          <w:rFonts w:ascii="Arial" w:hAnsi="Arial" w:cs="Arial"/>
          <w:i/>
          <w:iCs/>
          <w:color w:val="222222"/>
          <w:highlight w:val="white"/>
        </w:rPr>
        <w:t>8</w:t>
      </w:r>
      <w:r w:rsidRPr="00385B88">
        <w:rPr>
          <w:rFonts w:ascii="Arial" w:hAnsi="Arial" w:cs="Arial"/>
          <w:color w:val="222222"/>
          <w:highlight w:val="white"/>
        </w:rPr>
        <w:t xml:space="preserve">(5), p.31. </w:t>
      </w:r>
      <w:hyperlink r:id="rId49">
        <w:r w:rsidRPr="00385B88">
          <w:rPr>
            <w:rFonts w:ascii="Arial" w:hAnsi="Arial" w:cs="Arial"/>
            <w:color w:val="0000FF"/>
            <w:highlight w:val="white"/>
            <w:u w:val="single"/>
          </w:rPr>
          <w:t>https://dialnet.unirioja.es/servlet/articulo?codigo=8984851</w:t>
        </w:r>
      </w:hyperlink>
    </w:p>
    <w:p w14:paraId="5ACBA566" w14:textId="77777777" w:rsidR="007575B8" w:rsidRPr="00385B88" w:rsidRDefault="004D78AD" w:rsidP="00385B88">
      <w:pPr>
        <w:spacing w:after="240"/>
        <w:jc w:val="left"/>
        <w:rPr>
          <w:rFonts w:ascii="Arial" w:hAnsi="Arial" w:cs="Arial"/>
        </w:rPr>
      </w:pPr>
      <w:r w:rsidRPr="00385B88">
        <w:rPr>
          <w:rFonts w:ascii="Arial" w:hAnsi="Arial" w:cs="Arial"/>
        </w:rPr>
        <w:t xml:space="preserve">IATA. (2025). </w:t>
      </w:r>
      <w:r w:rsidRPr="00385B88">
        <w:rPr>
          <w:rFonts w:ascii="Arial" w:hAnsi="Arial" w:cs="Arial"/>
          <w:i/>
          <w:iCs/>
        </w:rPr>
        <w:t>How the Airline Industry Approaches Sustainability</w:t>
      </w:r>
      <w:r w:rsidRPr="00385B88">
        <w:rPr>
          <w:rFonts w:ascii="Arial" w:hAnsi="Arial" w:cs="Arial"/>
        </w:rPr>
        <w:t xml:space="preserve">. Available at: </w:t>
      </w:r>
      <w:hyperlink r:id="rId50">
        <w:r w:rsidRPr="00385B88">
          <w:rPr>
            <w:rFonts w:ascii="Arial" w:hAnsi="Arial" w:cs="Arial"/>
            <w:color w:val="0000FF"/>
            <w:u w:val="single"/>
          </w:rPr>
          <w:t>https://www.iata.org/en/programs/sustainability/</w:t>
        </w:r>
      </w:hyperlink>
      <w:r w:rsidRPr="00385B88">
        <w:rPr>
          <w:rFonts w:ascii="Arial" w:hAnsi="Arial" w:cs="Arial"/>
        </w:rPr>
        <w:t xml:space="preserve"> [Accessed: 24 June 2026]</w:t>
      </w:r>
    </w:p>
    <w:p w14:paraId="51951D2F" w14:textId="77777777" w:rsidR="007575B8" w:rsidRPr="00385B88" w:rsidRDefault="004D78AD" w:rsidP="00385B88">
      <w:pPr>
        <w:spacing w:after="240"/>
        <w:jc w:val="left"/>
        <w:rPr>
          <w:rFonts w:ascii="Arial" w:hAnsi="Arial" w:cs="Arial"/>
        </w:rPr>
      </w:pPr>
      <w:r w:rsidRPr="00385B88">
        <w:rPr>
          <w:rFonts w:ascii="Arial" w:hAnsi="Arial" w:cs="Arial"/>
        </w:rPr>
        <w:t xml:space="preserve">IEA. (2025). </w:t>
      </w:r>
      <w:r w:rsidRPr="00385B88">
        <w:rPr>
          <w:rFonts w:ascii="Arial" w:hAnsi="Arial" w:cs="Arial"/>
          <w:i/>
          <w:iCs/>
        </w:rPr>
        <w:t>Aviation.</w:t>
      </w:r>
      <w:r w:rsidRPr="00385B88">
        <w:rPr>
          <w:rFonts w:ascii="Arial" w:hAnsi="Arial" w:cs="Arial"/>
        </w:rPr>
        <w:t xml:space="preserve"> Available at: </w:t>
      </w:r>
      <w:hyperlink r:id="rId51">
        <w:r w:rsidRPr="00385B88">
          <w:rPr>
            <w:rFonts w:ascii="Arial" w:hAnsi="Arial" w:cs="Arial"/>
            <w:color w:val="0000FF"/>
            <w:u w:val="single"/>
          </w:rPr>
          <w:t>https://www.iea.org/energy-system/transport/aviation</w:t>
        </w:r>
      </w:hyperlink>
      <w:r w:rsidRPr="00385B88">
        <w:rPr>
          <w:rFonts w:ascii="Arial" w:hAnsi="Arial" w:cs="Arial"/>
        </w:rPr>
        <w:t xml:space="preserve"> [Accessed: 21 June 2026]</w:t>
      </w:r>
    </w:p>
    <w:p w14:paraId="608D79D3" w14:textId="77777777" w:rsidR="007575B8" w:rsidRPr="00385B88" w:rsidRDefault="004D78AD" w:rsidP="00385B88">
      <w:pPr>
        <w:spacing w:after="240"/>
        <w:jc w:val="left"/>
        <w:rPr>
          <w:rFonts w:ascii="Arial" w:hAnsi="Arial" w:cs="Arial"/>
        </w:rPr>
      </w:pPr>
      <w:r w:rsidRPr="00385B88">
        <w:rPr>
          <w:rFonts w:ascii="Arial" w:hAnsi="Arial" w:cs="Arial"/>
        </w:rPr>
        <w:t xml:space="preserve">IISPPR. (2025). </w:t>
      </w:r>
      <w:r w:rsidRPr="00385B88">
        <w:rPr>
          <w:rFonts w:ascii="Arial" w:hAnsi="Arial" w:cs="Arial"/>
          <w:i/>
          <w:iCs/>
        </w:rPr>
        <w:t>ESG Reporting- history, present and future- A comparative study of India and United States.</w:t>
      </w:r>
      <w:r w:rsidRPr="00385B88">
        <w:rPr>
          <w:rFonts w:ascii="Arial" w:hAnsi="Arial" w:cs="Arial"/>
        </w:rPr>
        <w:t xml:space="preserve"> Available at: </w:t>
      </w:r>
      <w:hyperlink r:id="rId52">
        <w:r w:rsidRPr="00385B88">
          <w:rPr>
            <w:rFonts w:ascii="Arial" w:hAnsi="Arial" w:cs="Arial"/>
            <w:color w:val="0000FF"/>
            <w:u w:val="single"/>
          </w:rPr>
          <w:t>https://iisppr.org.in/esg-reporting-history-present-and-future-a-comparative-study-of-india-and-united-states/</w:t>
        </w:r>
      </w:hyperlink>
      <w:r w:rsidRPr="00385B88">
        <w:rPr>
          <w:rFonts w:ascii="Arial" w:hAnsi="Arial" w:cs="Arial"/>
        </w:rPr>
        <w:t xml:space="preserve"> [Accessed: 25 June 2026]</w:t>
      </w:r>
    </w:p>
    <w:p w14:paraId="2E87871E" w14:textId="77777777" w:rsidR="007575B8" w:rsidRPr="00385B88" w:rsidRDefault="004D78AD" w:rsidP="00385B88">
      <w:pPr>
        <w:spacing w:after="240"/>
        <w:jc w:val="left"/>
        <w:rPr>
          <w:rFonts w:ascii="Arial" w:hAnsi="Arial" w:cs="Arial"/>
        </w:rPr>
      </w:pPr>
      <w:r w:rsidRPr="00385B88">
        <w:rPr>
          <w:rFonts w:ascii="Arial" w:hAnsi="Arial" w:cs="Arial"/>
        </w:rPr>
        <w:t xml:space="preserve">IMPRI. (2025). </w:t>
      </w:r>
      <w:r w:rsidRPr="00385B88">
        <w:rPr>
          <w:rFonts w:ascii="Arial" w:hAnsi="Arial" w:cs="Arial"/>
          <w:i/>
          <w:iCs/>
        </w:rPr>
        <w:t>India’s Aviation Climate Agenda 2025: Status and Strategy</w:t>
      </w:r>
      <w:r w:rsidRPr="00385B88">
        <w:rPr>
          <w:rFonts w:ascii="Arial" w:hAnsi="Arial" w:cs="Arial"/>
        </w:rPr>
        <w:t xml:space="preserve">. Available at: </w:t>
      </w:r>
      <w:hyperlink r:id="rId53">
        <w:r w:rsidRPr="00385B88">
          <w:rPr>
            <w:rFonts w:ascii="Arial" w:hAnsi="Arial" w:cs="Arial"/>
            <w:color w:val="0000FF"/>
            <w:u w:val="single"/>
          </w:rPr>
          <w:t>https://www.impriindia.com/insights/indias-aviation-climate-2025-strategy/</w:t>
        </w:r>
      </w:hyperlink>
      <w:r w:rsidRPr="00385B88">
        <w:rPr>
          <w:rFonts w:ascii="Arial" w:hAnsi="Arial" w:cs="Arial"/>
        </w:rPr>
        <w:t xml:space="preserve"> [Accessed: 26 June 2026]</w:t>
      </w:r>
    </w:p>
    <w:p w14:paraId="20576038" w14:textId="77777777" w:rsidR="007575B8" w:rsidRPr="00385B88" w:rsidRDefault="004D78AD" w:rsidP="00385B88">
      <w:pPr>
        <w:spacing w:after="240"/>
        <w:jc w:val="left"/>
        <w:rPr>
          <w:rFonts w:ascii="Arial" w:hAnsi="Arial" w:cs="Arial"/>
        </w:rPr>
      </w:pPr>
      <w:r w:rsidRPr="00385B88">
        <w:rPr>
          <w:rFonts w:ascii="Arial" w:hAnsi="Arial" w:cs="Arial"/>
        </w:rPr>
        <w:t>Jamaluddin, M., Rahmatullah, A. and Farid, M. (2025). Library research methodology in education: Fundamental concepts and implementation. </w:t>
      </w:r>
      <w:r w:rsidRPr="00385B88">
        <w:rPr>
          <w:rFonts w:ascii="Arial" w:hAnsi="Arial" w:cs="Arial"/>
          <w:i/>
          <w:iCs/>
        </w:rPr>
        <w:t xml:space="preserve">Cognitive: </w:t>
      </w:r>
      <w:proofErr w:type="spellStart"/>
      <w:r w:rsidRPr="00385B88">
        <w:rPr>
          <w:rFonts w:ascii="Arial" w:hAnsi="Arial" w:cs="Arial"/>
          <w:i/>
          <w:iCs/>
        </w:rPr>
        <w:t>Jurnal</w:t>
      </w:r>
      <w:proofErr w:type="spellEnd"/>
      <w:r w:rsidRPr="00385B88">
        <w:rPr>
          <w:rFonts w:ascii="Arial" w:hAnsi="Arial" w:cs="Arial"/>
          <w:i/>
          <w:iCs/>
        </w:rPr>
        <w:t xml:space="preserve"> Pendidikan dan Pembelajaran</w:t>
      </w:r>
      <w:r w:rsidRPr="00385B88">
        <w:rPr>
          <w:rFonts w:ascii="Arial" w:hAnsi="Arial" w:cs="Arial"/>
        </w:rPr>
        <w:t>, </w:t>
      </w:r>
      <w:r w:rsidRPr="00385B88">
        <w:rPr>
          <w:rFonts w:ascii="Arial" w:hAnsi="Arial" w:cs="Arial"/>
          <w:i/>
          <w:iCs/>
        </w:rPr>
        <w:t>3</w:t>
      </w:r>
      <w:r w:rsidRPr="00385B88">
        <w:rPr>
          <w:rFonts w:ascii="Arial" w:hAnsi="Arial" w:cs="Arial"/>
        </w:rPr>
        <w:t xml:space="preserve">(2), pp.128-187. </w:t>
      </w:r>
      <w:hyperlink r:id="rId54">
        <w:r w:rsidRPr="00385B88">
          <w:rPr>
            <w:rFonts w:ascii="Arial" w:hAnsi="Arial" w:cs="Arial"/>
            <w:color w:val="0000FF"/>
            <w:u w:val="single"/>
          </w:rPr>
          <w:t>https://ejournal.arshmedia.org/index.php/cognitive/article/view/160</w:t>
        </w:r>
      </w:hyperlink>
    </w:p>
    <w:p w14:paraId="53130169" w14:textId="701D81FC" w:rsidR="007575B8" w:rsidRDefault="004D78AD" w:rsidP="00385B88">
      <w:pPr>
        <w:spacing w:after="240"/>
        <w:jc w:val="left"/>
        <w:rPr>
          <w:rFonts w:ascii="Arial" w:hAnsi="Arial" w:cs="Arial"/>
        </w:rPr>
      </w:pPr>
      <w:r w:rsidRPr="00385B88">
        <w:rPr>
          <w:rFonts w:ascii="Arial" w:hAnsi="Arial" w:cs="Arial"/>
        </w:rPr>
        <w:t xml:space="preserve">JGBC. (2025). </w:t>
      </w:r>
      <w:r w:rsidRPr="00385B88">
        <w:rPr>
          <w:rFonts w:ascii="Arial" w:hAnsi="Arial" w:cs="Arial"/>
          <w:i/>
          <w:iCs/>
        </w:rPr>
        <w:t xml:space="preserve">Balancing Economic Growth and Emission Reductions: Policy Trade-offs in India’s Power Sector </w:t>
      </w:r>
      <w:r w:rsidR="007D5CC6" w:rsidRPr="00385B88">
        <w:rPr>
          <w:rFonts w:ascii="Arial" w:hAnsi="Arial" w:cs="Arial"/>
          <w:i/>
          <w:iCs/>
        </w:rPr>
        <w:t>towards</w:t>
      </w:r>
      <w:r w:rsidRPr="00385B88">
        <w:rPr>
          <w:rFonts w:ascii="Arial" w:hAnsi="Arial" w:cs="Arial"/>
          <w:i/>
          <w:iCs/>
        </w:rPr>
        <w:t xml:space="preserve"> Achieving the 2070 Net-Zero Goal</w:t>
      </w:r>
      <w:r w:rsidRPr="00385B88">
        <w:rPr>
          <w:rFonts w:ascii="Arial" w:hAnsi="Arial" w:cs="Arial"/>
        </w:rPr>
        <w:t xml:space="preserve">. Available at: </w:t>
      </w:r>
      <w:hyperlink r:id="rId55">
        <w:r w:rsidRPr="00385B88">
          <w:rPr>
            <w:rFonts w:ascii="Arial" w:hAnsi="Arial" w:cs="Arial"/>
            <w:color w:val="0000FF"/>
            <w:u w:val="single"/>
          </w:rPr>
          <w:t>https://jgbc.scholasticahq.com/article/125773-balancing-economic-growth-and-emission-reductions-policy-trade-offs-in-india-s-power-sector-towards-achieving-the-2070-net-zero-goal</w:t>
        </w:r>
      </w:hyperlink>
      <w:r w:rsidRPr="00385B88">
        <w:rPr>
          <w:rFonts w:ascii="Arial" w:hAnsi="Arial" w:cs="Arial"/>
        </w:rPr>
        <w:t xml:space="preserve"> [Accessed: 26 June 2026]</w:t>
      </w:r>
    </w:p>
    <w:p w14:paraId="7DC74C0E" w14:textId="77777777" w:rsidR="00F87275" w:rsidRPr="00385B88" w:rsidRDefault="00F87275" w:rsidP="00385B88">
      <w:pPr>
        <w:spacing w:after="240"/>
        <w:jc w:val="left"/>
        <w:rPr>
          <w:rFonts w:ascii="Arial" w:hAnsi="Arial" w:cs="Arial"/>
        </w:rPr>
      </w:pPr>
    </w:p>
    <w:p w14:paraId="1B29F469" w14:textId="77777777" w:rsidR="007575B8" w:rsidRPr="00385B88" w:rsidRDefault="004D78AD" w:rsidP="00385B88">
      <w:pPr>
        <w:spacing w:after="240"/>
        <w:jc w:val="left"/>
        <w:rPr>
          <w:rFonts w:ascii="Arial" w:hAnsi="Arial" w:cs="Arial"/>
        </w:rPr>
      </w:pPr>
      <w:r w:rsidRPr="00385B88">
        <w:rPr>
          <w:rFonts w:ascii="Arial" w:hAnsi="Arial" w:cs="Arial"/>
        </w:rPr>
        <w:lastRenderedPageBreak/>
        <w:t>Jiao, R. (2026). Demystifying verification and validation in design research methodology–from underdeveloped practice to methodological rigour. </w:t>
      </w:r>
      <w:r w:rsidRPr="00385B88">
        <w:rPr>
          <w:rFonts w:ascii="Arial" w:hAnsi="Arial" w:cs="Arial"/>
          <w:i/>
          <w:iCs/>
        </w:rPr>
        <w:t>Journal of Engineering Design</w:t>
      </w:r>
      <w:r w:rsidRPr="00385B88">
        <w:rPr>
          <w:rFonts w:ascii="Arial" w:hAnsi="Arial" w:cs="Arial"/>
        </w:rPr>
        <w:t>, </w:t>
      </w:r>
      <w:r w:rsidRPr="00385B88">
        <w:rPr>
          <w:rFonts w:ascii="Arial" w:hAnsi="Arial" w:cs="Arial"/>
          <w:i/>
          <w:iCs/>
        </w:rPr>
        <w:t>37</w:t>
      </w:r>
      <w:r w:rsidRPr="00385B88">
        <w:rPr>
          <w:rFonts w:ascii="Arial" w:hAnsi="Arial" w:cs="Arial"/>
        </w:rPr>
        <w:t xml:space="preserve">(4), pp.1143-1162. </w:t>
      </w:r>
      <w:hyperlink r:id="rId56">
        <w:r w:rsidRPr="00385B88">
          <w:rPr>
            <w:rFonts w:ascii="Arial" w:hAnsi="Arial" w:cs="Arial"/>
            <w:color w:val="0000FF"/>
            <w:u w:val="single"/>
          </w:rPr>
          <w:t>https://www.tandfonline.com/doi/abs/10.1080/09544828.2026.2624355</w:t>
        </w:r>
      </w:hyperlink>
    </w:p>
    <w:p w14:paraId="33921CC3" w14:textId="781ACCC2" w:rsidR="007575B8" w:rsidRPr="00385B88" w:rsidRDefault="004D78AD" w:rsidP="00385B88">
      <w:pPr>
        <w:spacing w:after="240"/>
        <w:jc w:val="left"/>
        <w:rPr>
          <w:rFonts w:ascii="Arial" w:hAnsi="Arial" w:cs="Arial"/>
        </w:rPr>
      </w:pPr>
      <w:r w:rsidRPr="00385B88">
        <w:rPr>
          <w:rFonts w:ascii="Arial" w:hAnsi="Arial" w:cs="Arial"/>
          <w:color w:val="000000"/>
        </w:rPr>
        <w:t xml:space="preserve">Kadłubek, M. and Wieczorek, J. (2025). Non-financial reporting as an </w:t>
      </w:r>
      <w:r w:rsidR="007D5CC6" w:rsidRPr="00385B88">
        <w:rPr>
          <w:rFonts w:ascii="Arial" w:hAnsi="Arial" w:cs="Arial"/>
          <w:color w:val="000000"/>
        </w:rPr>
        <w:t>embodiment of</w:t>
      </w:r>
      <w:r w:rsidRPr="00385B88">
        <w:rPr>
          <w:rFonts w:ascii="Arial" w:hAnsi="Arial" w:cs="Arial"/>
          <w:color w:val="000000"/>
        </w:rPr>
        <w:t xml:space="preserve"> social </w:t>
      </w:r>
      <w:r w:rsidR="007D5CC6" w:rsidRPr="00385B88">
        <w:rPr>
          <w:rFonts w:ascii="Arial" w:hAnsi="Arial" w:cs="Arial"/>
          <w:color w:val="000000"/>
        </w:rPr>
        <w:t>responsibility in</w:t>
      </w:r>
      <w:r w:rsidRPr="00385B88">
        <w:rPr>
          <w:rFonts w:ascii="Arial" w:hAnsi="Arial" w:cs="Arial"/>
          <w:color w:val="000000"/>
        </w:rPr>
        <w:t xml:space="preserve"> transport, forwarding, and logistics sector. </w:t>
      </w:r>
      <w:r w:rsidRPr="00385B88">
        <w:rPr>
          <w:rFonts w:ascii="Arial" w:hAnsi="Arial" w:cs="Arial"/>
          <w:i/>
          <w:iCs/>
          <w:color w:val="000000"/>
        </w:rPr>
        <w:t xml:space="preserve">Ekonomika </w:t>
      </w:r>
      <w:r w:rsidR="007D5CC6" w:rsidRPr="00385B88">
        <w:rPr>
          <w:rFonts w:ascii="Arial" w:hAnsi="Arial" w:cs="Arial"/>
          <w:i/>
          <w:iCs/>
          <w:color w:val="000000"/>
        </w:rPr>
        <w:t>I</w:t>
      </w:r>
      <w:r w:rsidRPr="00385B88">
        <w:rPr>
          <w:rFonts w:ascii="Arial" w:hAnsi="Arial" w:cs="Arial"/>
          <w:i/>
          <w:iCs/>
          <w:color w:val="000000"/>
        </w:rPr>
        <w:t xml:space="preserve"> Organizacja Logistyki</w:t>
      </w:r>
      <w:r w:rsidRPr="00385B88">
        <w:rPr>
          <w:rFonts w:ascii="Arial" w:hAnsi="Arial" w:cs="Arial"/>
          <w:color w:val="000000"/>
        </w:rPr>
        <w:t>, </w:t>
      </w:r>
      <w:r w:rsidRPr="00385B88">
        <w:rPr>
          <w:rFonts w:ascii="Arial" w:hAnsi="Arial" w:cs="Arial"/>
          <w:i/>
          <w:iCs/>
          <w:color w:val="000000"/>
        </w:rPr>
        <w:t>10</w:t>
      </w:r>
      <w:r w:rsidRPr="00385B88">
        <w:rPr>
          <w:rFonts w:ascii="Arial" w:hAnsi="Arial" w:cs="Arial"/>
          <w:color w:val="000000"/>
        </w:rPr>
        <w:t xml:space="preserve">(1), pp.39-61. </w:t>
      </w:r>
      <w:hyperlink r:id="rId57">
        <w:r w:rsidRPr="00385B88">
          <w:rPr>
            <w:rFonts w:ascii="Arial" w:hAnsi="Arial" w:cs="Arial"/>
            <w:color w:val="0000FF"/>
            <w:u w:val="single"/>
          </w:rPr>
          <w:t>https://eiol.sggw.edu.pl/article/view/10921</w:t>
        </w:r>
      </w:hyperlink>
    </w:p>
    <w:p w14:paraId="07663CA9" w14:textId="77777777" w:rsidR="007575B8" w:rsidRPr="00385B88" w:rsidRDefault="004D78AD" w:rsidP="00385B88">
      <w:pPr>
        <w:spacing w:after="240"/>
        <w:jc w:val="left"/>
        <w:rPr>
          <w:rFonts w:ascii="Arial" w:hAnsi="Arial" w:cs="Arial"/>
        </w:rPr>
      </w:pPr>
      <w:r w:rsidRPr="00385B88">
        <w:rPr>
          <w:rFonts w:ascii="Arial" w:hAnsi="Arial" w:cs="Arial"/>
        </w:rPr>
        <w:t>Kaffash, S., Chomachaei, F. and Aktas, E. (2026). Environmental sustainability performance of US airlines: implications of financial performance and technical efficiency. </w:t>
      </w:r>
      <w:r w:rsidRPr="00385B88">
        <w:rPr>
          <w:rFonts w:ascii="Arial" w:hAnsi="Arial" w:cs="Arial"/>
          <w:i/>
          <w:iCs/>
        </w:rPr>
        <w:t>Journal of the Operational Research Society</w:t>
      </w:r>
      <w:r w:rsidRPr="00385B88">
        <w:rPr>
          <w:rFonts w:ascii="Arial" w:hAnsi="Arial" w:cs="Arial"/>
        </w:rPr>
        <w:t>, </w:t>
      </w:r>
      <w:r w:rsidRPr="00385B88">
        <w:rPr>
          <w:rFonts w:ascii="Arial" w:hAnsi="Arial" w:cs="Arial"/>
          <w:i/>
          <w:iCs/>
        </w:rPr>
        <w:t>77</w:t>
      </w:r>
      <w:r w:rsidRPr="00385B88">
        <w:rPr>
          <w:rFonts w:ascii="Arial" w:hAnsi="Arial" w:cs="Arial"/>
        </w:rPr>
        <w:t xml:space="preserve">(1), pp.64-84. </w:t>
      </w:r>
      <w:hyperlink r:id="rId58">
        <w:r w:rsidRPr="00385B88">
          <w:rPr>
            <w:rFonts w:ascii="Arial" w:hAnsi="Arial" w:cs="Arial"/>
            <w:color w:val="0000FF"/>
            <w:u w:val="single"/>
          </w:rPr>
          <w:t>https://www.tandfonline.com/doi/abs/10.1080/01605682.2024.2429567</w:t>
        </w:r>
      </w:hyperlink>
    </w:p>
    <w:p w14:paraId="7831CE5F"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t>Klimczyk, W., Jasiński, R., Niklas, J., Siedlecki, M. and Ziółkowski, A. (2025). Sustainable aviation fuels: A comprehensive review of production pathways, environmental impacts, lifecycle assessment, and certification frameworks. </w:t>
      </w:r>
      <w:r w:rsidRPr="00385B88">
        <w:rPr>
          <w:rFonts w:ascii="Arial" w:hAnsi="Arial" w:cs="Arial"/>
          <w:i/>
          <w:iCs/>
          <w:color w:val="222222"/>
          <w:highlight w:val="white"/>
        </w:rPr>
        <w:t>Energies</w:t>
      </w:r>
      <w:r w:rsidRPr="00385B88">
        <w:rPr>
          <w:rFonts w:ascii="Arial" w:hAnsi="Arial" w:cs="Arial"/>
          <w:color w:val="222222"/>
          <w:highlight w:val="white"/>
        </w:rPr>
        <w:t>, </w:t>
      </w:r>
      <w:r w:rsidRPr="00385B88">
        <w:rPr>
          <w:rFonts w:ascii="Arial" w:hAnsi="Arial" w:cs="Arial"/>
          <w:i/>
          <w:iCs/>
          <w:color w:val="222222"/>
          <w:highlight w:val="white"/>
        </w:rPr>
        <w:t>18</w:t>
      </w:r>
      <w:r w:rsidRPr="00385B88">
        <w:rPr>
          <w:rFonts w:ascii="Arial" w:hAnsi="Arial" w:cs="Arial"/>
          <w:color w:val="222222"/>
          <w:highlight w:val="white"/>
        </w:rPr>
        <w:t xml:space="preserve">(14), p.3705. </w:t>
      </w:r>
      <w:hyperlink r:id="rId59">
        <w:r w:rsidRPr="00385B88">
          <w:rPr>
            <w:rFonts w:ascii="Arial" w:hAnsi="Arial" w:cs="Arial"/>
            <w:color w:val="0000FF"/>
            <w:highlight w:val="white"/>
            <w:u w:val="single"/>
          </w:rPr>
          <w:t>https://www.mdpi.com/1996-1073/18/14/3705</w:t>
        </w:r>
      </w:hyperlink>
    </w:p>
    <w:p w14:paraId="29C70E72" w14:textId="77777777" w:rsidR="007575B8" w:rsidRPr="00385B88" w:rsidRDefault="004D78AD" w:rsidP="00385B88">
      <w:pPr>
        <w:spacing w:after="240"/>
        <w:jc w:val="left"/>
        <w:rPr>
          <w:rFonts w:ascii="Arial" w:hAnsi="Arial" w:cs="Arial"/>
        </w:rPr>
      </w:pPr>
      <w:r w:rsidRPr="00385B88">
        <w:rPr>
          <w:rFonts w:ascii="Arial" w:hAnsi="Arial" w:cs="Arial"/>
        </w:rPr>
        <w:t>Koparan, E. and Çıtak, F. (2025). The Impact of Environmental Sustainability on Financial Performance in Airline Companies Based on Legitimacy Theory. </w:t>
      </w:r>
      <w:r w:rsidRPr="00385B88">
        <w:rPr>
          <w:rFonts w:ascii="Arial" w:hAnsi="Arial" w:cs="Arial"/>
          <w:i/>
          <w:iCs/>
        </w:rPr>
        <w:t>Journal of Aviation</w:t>
      </w:r>
      <w:r w:rsidRPr="00385B88">
        <w:rPr>
          <w:rFonts w:ascii="Arial" w:hAnsi="Arial" w:cs="Arial"/>
        </w:rPr>
        <w:t>, </w:t>
      </w:r>
      <w:r w:rsidRPr="00385B88">
        <w:rPr>
          <w:rFonts w:ascii="Arial" w:hAnsi="Arial" w:cs="Arial"/>
          <w:i/>
          <w:iCs/>
        </w:rPr>
        <w:t>9</w:t>
      </w:r>
      <w:r w:rsidRPr="00385B88">
        <w:rPr>
          <w:rFonts w:ascii="Arial" w:hAnsi="Arial" w:cs="Arial"/>
        </w:rPr>
        <w:t xml:space="preserve">(2), pp.445-453. </w:t>
      </w:r>
      <w:hyperlink r:id="rId60">
        <w:r w:rsidRPr="00385B88">
          <w:rPr>
            <w:rFonts w:ascii="Arial" w:hAnsi="Arial" w:cs="Arial"/>
            <w:color w:val="0000FF"/>
            <w:u w:val="single"/>
          </w:rPr>
          <w:t>https://dergipark.org.tr/en/pub/jav/article/1692375</w:t>
        </w:r>
      </w:hyperlink>
    </w:p>
    <w:p w14:paraId="5481EFAC" w14:textId="77777777" w:rsidR="007575B8" w:rsidRPr="00385B88" w:rsidRDefault="004D78AD" w:rsidP="00385B88">
      <w:pPr>
        <w:spacing w:after="240"/>
        <w:jc w:val="left"/>
        <w:rPr>
          <w:rFonts w:ascii="Arial" w:hAnsi="Arial" w:cs="Arial"/>
        </w:rPr>
      </w:pPr>
      <w:r w:rsidRPr="00385B88">
        <w:rPr>
          <w:rFonts w:ascii="Arial" w:hAnsi="Arial" w:cs="Arial"/>
        </w:rPr>
        <w:t>Krasodomska, J., Zarzycka, E., Street, D.L. and Grabowski, W. (2025). The impact of companies’ trust-building efforts on sustainability reporting assurance quality: insights from Europe. </w:t>
      </w:r>
      <w:r w:rsidRPr="00385B88">
        <w:rPr>
          <w:rFonts w:ascii="Arial" w:hAnsi="Arial" w:cs="Arial"/>
          <w:i/>
          <w:iCs/>
        </w:rPr>
        <w:t>Meditari Accountancy Research</w:t>
      </w:r>
      <w:r w:rsidRPr="00385B88">
        <w:rPr>
          <w:rFonts w:ascii="Arial" w:hAnsi="Arial" w:cs="Arial"/>
        </w:rPr>
        <w:t>, </w:t>
      </w:r>
      <w:r w:rsidRPr="00385B88">
        <w:rPr>
          <w:rFonts w:ascii="Arial" w:hAnsi="Arial" w:cs="Arial"/>
          <w:i/>
          <w:iCs/>
        </w:rPr>
        <w:t>33</w:t>
      </w:r>
      <w:r w:rsidRPr="00385B88">
        <w:rPr>
          <w:rFonts w:ascii="Arial" w:hAnsi="Arial" w:cs="Arial"/>
        </w:rPr>
        <w:t xml:space="preserve">(7), pp.246-279. </w:t>
      </w:r>
      <w:hyperlink r:id="rId61">
        <w:r w:rsidRPr="00385B88">
          <w:rPr>
            <w:rFonts w:ascii="Arial" w:hAnsi="Arial" w:cs="Arial"/>
            <w:color w:val="0000FF"/>
            <w:u w:val="single"/>
          </w:rPr>
          <w:t>https://www.emerald.com/medar/article/33/7/246/1267627</w:t>
        </w:r>
      </w:hyperlink>
    </w:p>
    <w:p w14:paraId="17D48589" w14:textId="77777777" w:rsidR="007575B8" w:rsidRPr="00385B88" w:rsidRDefault="004D78AD" w:rsidP="00385B88">
      <w:pPr>
        <w:spacing w:after="240"/>
        <w:jc w:val="left"/>
        <w:rPr>
          <w:rFonts w:ascii="Arial" w:hAnsi="Arial" w:cs="Arial"/>
        </w:rPr>
      </w:pPr>
      <w:r w:rsidRPr="00385B88">
        <w:rPr>
          <w:rFonts w:ascii="Arial" w:hAnsi="Arial" w:cs="Arial"/>
          <w:color w:val="000000"/>
        </w:rPr>
        <w:t xml:space="preserve">Laurila, O. (2025). Exploring Cultural and Institutional Factors to the Adoption and Communication of Sustainable Strategies in Airline Industry. </w:t>
      </w:r>
      <w:hyperlink r:id="rId62">
        <w:r w:rsidRPr="00385B88">
          <w:rPr>
            <w:rFonts w:ascii="Arial" w:hAnsi="Arial" w:cs="Arial"/>
            <w:color w:val="0000FF"/>
            <w:u w:val="single"/>
          </w:rPr>
          <w:t>https://osuva.uwasa.fi/items/42e8ff76-1474-4ee0-865a-ebb43a0bc472</w:t>
        </w:r>
      </w:hyperlink>
    </w:p>
    <w:p w14:paraId="4F138966" w14:textId="77777777" w:rsidR="007575B8" w:rsidRDefault="004D78AD" w:rsidP="00385B88">
      <w:pPr>
        <w:spacing w:before="280" w:after="280"/>
        <w:jc w:val="left"/>
        <w:rPr>
          <w:rFonts w:ascii="Arial" w:hAnsi="Arial" w:cs="Arial"/>
        </w:rPr>
      </w:pPr>
      <w:r w:rsidRPr="00385B88">
        <w:rPr>
          <w:rFonts w:ascii="Arial" w:hAnsi="Arial" w:cs="Arial"/>
        </w:rPr>
        <w:t xml:space="preserve">Lincoln, Y.S. and Guba, E.G., (1988). Criteria for Assessing Naturalistic Inquiries as Reports. </w:t>
      </w:r>
    </w:p>
    <w:p w14:paraId="52E87450" w14:textId="77777777" w:rsidR="00F87275" w:rsidRPr="00385B88" w:rsidRDefault="00F87275" w:rsidP="00385B88">
      <w:pPr>
        <w:spacing w:before="280" w:after="280"/>
        <w:jc w:val="left"/>
        <w:rPr>
          <w:rFonts w:ascii="Arial" w:hAnsi="Arial" w:cs="Arial"/>
        </w:rPr>
      </w:pPr>
    </w:p>
    <w:p w14:paraId="3B8AE379" w14:textId="77777777" w:rsidR="007575B8" w:rsidRPr="00385B88" w:rsidRDefault="004D78AD" w:rsidP="00385B88">
      <w:pPr>
        <w:spacing w:after="240"/>
        <w:jc w:val="left"/>
        <w:rPr>
          <w:rFonts w:ascii="Arial" w:hAnsi="Arial" w:cs="Arial"/>
          <w:color w:val="0000FF"/>
          <w:u w:val="single"/>
        </w:rPr>
      </w:pPr>
      <w:r w:rsidRPr="00385B88">
        <w:rPr>
          <w:rFonts w:ascii="Arial" w:hAnsi="Arial" w:cs="Arial"/>
        </w:rPr>
        <w:lastRenderedPageBreak/>
        <w:t>Longston, P., Audi, M. and Ali, A. (2025). Environmental, Social &amp; Governance Disclosures and Corporate Financial Performance: Evidence from Selected Asian Economies. </w:t>
      </w:r>
      <w:r w:rsidRPr="00385B88">
        <w:rPr>
          <w:rFonts w:ascii="Arial" w:hAnsi="Arial" w:cs="Arial"/>
          <w:i/>
          <w:iCs/>
        </w:rPr>
        <w:t>Pakistan Journal of Social Science Review</w:t>
      </w:r>
      <w:r w:rsidRPr="00385B88">
        <w:rPr>
          <w:rFonts w:ascii="Arial" w:hAnsi="Arial" w:cs="Arial"/>
        </w:rPr>
        <w:t>, </w:t>
      </w:r>
      <w:r w:rsidRPr="00385B88">
        <w:rPr>
          <w:rFonts w:ascii="Arial" w:hAnsi="Arial" w:cs="Arial"/>
          <w:i/>
          <w:iCs/>
        </w:rPr>
        <w:t>4</w:t>
      </w:r>
      <w:r w:rsidRPr="00385B88">
        <w:rPr>
          <w:rFonts w:ascii="Arial" w:hAnsi="Arial" w:cs="Arial"/>
        </w:rPr>
        <w:t xml:space="preserve">(1), pp.22-49. </w:t>
      </w:r>
      <w:hyperlink r:id="rId63">
        <w:r w:rsidRPr="00385B88">
          <w:rPr>
            <w:rFonts w:ascii="Arial" w:hAnsi="Arial" w:cs="Arial"/>
            <w:color w:val="0000FF"/>
            <w:u w:val="single"/>
          </w:rPr>
          <w:t>http://pjssrjournal.com/index.php/Journal/article/view/94</w:t>
        </w:r>
      </w:hyperlink>
    </w:p>
    <w:p w14:paraId="372E35A6" w14:textId="77777777" w:rsidR="007D5CC6" w:rsidRPr="00385B88" w:rsidRDefault="007D5CC6" w:rsidP="00385B88">
      <w:pPr>
        <w:spacing w:after="240"/>
        <w:jc w:val="left"/>
        <w:rPr>
          <w:rFonts w:ascii="Arial" w:hAnsi="Arial" w:cs="Arial"/>
        </w:rPr>
      </w:pPr>
    </w:p>
    <w:p w14:paraId="5A45757E" w14:textId="77777777" w:rsidR="007575B8" w:rsidRPr="00385B88" w:rsidRDefault="004D78AD" w:rsidP="00385B88">
      <w:pPr>
        <w:spacing w:after="240"/>
        <w:jc w:val="left"/>
        <w:rPr>
          <w:rFonts w:ascii="Arial" w:hAnsi="Arial" w:cs="Arial"/>
        </w:rPr>
      </w:pPr>
      <w:r w:rsidRPr="00385B88">
        <w:rPr>
          <w:rFonts w:ascii="Arial" w:hAnsi="Arial" w:cs="Arial"/>
        </w:rPr>
        <w:t>Lu, W.M., Wang, H.F. and Nguyen, T.H.Y. (2025). The moderating effect of relational capital and board gender diversity on the relationship between environmental performance and firm performance in the airline industry. </w:t>
      </w:r>
      <w:r w:rsidRPr="00385B88">
        <w:rPr>
          <w:rFonts w:ascii="Arial" w:hAnsi="Arial" w:cs="Arial"/>
          <w:i/>
          <w:iCs/>
        </w:rPr>
        <w:t>Business Strategy and the Environment</w:t>
      </w:r>
      <w:r w:rsidRPr="00385B88">
        <w:rPr>
          <w:rFonts w:ascii="Arial" w:hAnsi="Arial" w:cs="Arial"/>
        </w:rPr>
        <w:t>, </w:t>
      </w:r>
      <w:r w:rsidRPr="00385B88">
        <w:rPr>
          <w:rFonts w:ascii="Arial" w:hAnsi="Arial" w:cs="Arial"/>
          <w:i/>
          <w:iCs/>
        </w:rPr>
        <w:t>34</w:t>
      </w:r>
      <w:r w:rsidRPr="00385B88">
        <w:rPr>
          <w:rFonts w:ascii="Arial" w:hAnsi="Arial" w:cs="Arial"/>
        </w:rPr>
        <w:t xml:space="preserve">(6), pp.6925-6947. </w:t>
      </w:r>
      <w:hyperlink r:id="rId64">
        <w:r w:rsidRPr="00385B88">
          <w:rPr>
            <w:rFonts w:ascii="Arial" w:hAnsi="Arial" w:cs="Arial"/>
            <w:color w:val="0000FF"/>
            <w:u w:val="single"/>
          </w:rPr>
          <w:t>https://onlinelibrary.wiley.com/doi/abs/10.1002/bse.4330</w:t>
        </w:r>
      </w:hyperlink>
    </w:p>
    <w:p w14:paraId="35B94920" w14:textId="77777777" w:rsidR="007575B8" w:rsidRPr="00385B88" w:rsidRDefault="004D78AD" w:rsidP="00385B88">
      <w:pPr>
        <w:spacing w:after="240"/>
        <w:jc w:val="left"/>
        <w:rPr>
          <w:rFonts w:ascii="Arial" w:hAnsi="Arial" w:cs="Arial"/>
        </w:rPr>
      </w:pPr>
      <w:r w:rsidRPr="00385B88">
        <w:rPr>
          <w:rFonts w:ascii="Arial" w:hAnsi="Arial" w:cs="Arial"/>
        </w:rPr>
        <w:t>Magnússon, F. (2025). </w:t>
      </w:r>
      <w:r w:rsidRPr="00385B88">
        <w:rPr>
          <w:rFonts w:ascii="Arial" w:hAnsi="Arial" w:cs="Arial"/>
          <w:i/>
          <w:iCs/>
        </w:rPr>
        <w:t>The impact of ESG ratings on financial distress: a study of the aviation industry</w:t>
      </w:r>
      <w:r w:rsidRPr="00385B88">
        <w:rPr>
          <w:rFonts w:ascii="Arial" w:hAnsi="Arial" w:cs="Arial"/>
        </w:rPr>
        <w:t xml:space="preserve">. </w:t>
      </w:r>
      <w:hyperlink r:id="rId65">
        <w:r w:rsidRPr="00385B88">
          <w:rPr>
            <w:rFonts w:ascii="Arial" w:hAnsi="Arial" w:cs="Arial"/>
            <w:color w:val="0000FF"/>
            <w:u w:val="single"/>
          </w:rPr>
          <w:t>https://skemman.is/handle/1946/45915</w:t>
        </w:r>
      </w:hyperlink>
    </w:p>
    <w:p w14:paraId="20372F1D" w14:textId="77777777" w:rsidR="007575B8" w:rsidRPr="00385B88" w:rsidRDefault="004D78AD" w:rsidP="00385B88">
      <w:pPr>
        <w:spacing w:after="240"/>
        <w:jc w:val="left"/>
        <w:rPr>
          <w:rFonts w:ascii="Arial" w:hAnsi="Arial" w:cs="Arial"/>
        </w:rPr>
      </w:pPr>
      <w:r w:rsidRPr="00385B88">
        <w:rPr>
          <w:rFonts w:ascii="Arial" w:hAnsi="Arial" w:cs="Arial"/>
        </w:rPr>
        <w:t>Makateng, D.S. and Mokala, N.T. (2025). Understanding qualitative research methodology: A systematic review. </w:t>
      </w:r>
      <w:r w:rsidRPr="00385B88">
        <w:rPr>
          <w:rFonts w:ascii="Arial" w:hAnsi="Arial" w:cs="Arial"/>
          <w:i/>
          <w:iCs/>
        </w:rPr>
        <w:t>E-Journal of Humanities Arts and Social Sciences</w:t>
      </w:r>
      <w:r w:rsidRPr="00385B88">
        <w:rPr>
          <w:rFonts w:ascii="Arial" w:hAnsi="Arial" w:cs="Arial"/>
        </w:rPr>
        <w:t>, </w:t>
      </w:r>
      <w:r w:rsidRPr="00385B88">
        <w:rPr>
          <w:rFonts w:ascii="Arial" w:hAnsi="Arial" w:cs="Arial"/>
          <w:i/>
          <w:iCs/>
        </w:rPr>
        <w:t>6</w:t>
      </w:r>
      <w:r w:rsidRPr="00385B88">
        <w:rPr>
          <w:rFonts w:ascii="Arial" w:hAnsi="Arial" w:cs="Arial"/>
        </w:rPr>
        <w:t xml:space="preserve">(3), pp.327-335. </w:t>
      </w:r>
      <w:hyperlink r:id="rId66">
        <w:r w:rsidRPr="00385B88">
          <w:rPr>
            <w:rFonts w:ascii="Arial" w:hAnsi="Arial" w:cs="Arial"/>
            <w:color w:val="0000FF"/>
            <w:u w:val="single"/>
          </w:rPr>
          <w:t>https://noyam.org/wp-content/uploads/2025/03/EHASS2025637.pdf</w:t>
        </w:r>
      </w:hyperlink>
    </w:p>
    <w:p w14:paraId="001720E3" w14:textId="77777777" w:rsidR="007575B8" w:rsidRPr="00385B88" w:rsidRDefault="004D78AD" w:rsidP="00385B88">
      <w:pPr>
        <w:spacing w:after="240"/>
        <w:jc w:val="left"/>
        <w:rPr>
          <w:rFonts w:ascii="Arial" w:hAnsi="Arial" w:cs="Arial"/>
        </w:rPr>
      </w:pPr>
      <w:r w:rsidRPr="00385B88">
        <w:rPr>
          <w:rFonts w:ascii="Arial" w:hAnsi="Arial" w:cs="Arial"/>
        </w:rPr>
        <w:t>Marete, C.K. and Zakharov, W. (2025). ESG, CSR and other forms of sustainability reporting in US airports: a scoping review. </w:t>
      </w:r>
      <w:r w:rsidRPr="00385B88">
        <w:rPr>
          <w:rFonts w:ascii="Arial" w:hAnsi="Arial" w:cs="Arial"/>
          <w:i/>
          <w:iCs/>
        </w:rPr>
        <w:t>Journal of Transport and Sustainability</w:t>
      </w:r>
      <w:r w:rsidRPr="00385B88">
        <w:rPr>
          <w:rFonts w:ascii="Arial" w:hAnsi="Arial" w:cs="Arial"/>
        </w:rPr>
        <w:t>, </w:t>
      </w:r>
      <w:r w:rsidRPr="00385B88">
        <w:rPr>
          <w:rFonts w:ascii="Arial" w:hAnsi="Arial" w:cs="Arial"/>
          <w:i/>
          <w:iCs/>
        </w:rPr>
        <w:t>1</w:t>
      </w:r>
      <w:r w:rsidRPr="00385B88">
        <w:rPr>
          <w:rFonts w:ascii="Arial" w:hAnsi="Arial" w:cs="Arial"/>
        </w:rPr>
        <w:t xml:space="preserve">(1), pp.101-120. </w:t>
      </w:r>
      <w:hyperlink r:id="rId67">
        <w:r w:rsidRPr="00385B88">
          <w:rPr>
            <w:rFonts w:ascii="Arial" w:hAnsi="Arial" w:cs="Arial"/>
            <w:color w:val="0000FF"/>
            <w:u w:val="single"/>
          </w:rPr>
          <w:t>https://www.emerald.com/jtas/article/1/1/101/1307723</w:t>
        </w:r>
      </w:hyperlink>
    </w:p>
    <w:p w14:paraId="12556488" w14:textId="77777777" w:rsidR="007575B8" w:rsidRPr="00385B88" w:rsidRDefault="004D78AD" w:rsidP="00385B88">
      <w:pPr>
        <w:spacing w:after="240"/>
        <w:jc w:val="left"/>
        <w:rPr>
          <w:rFonts w:ascii="Arial" w:hAnsi="Arial" w:cs="Arial"/>
        </w:rPr>
      </w:pPr>
      <w:proofErr w:type="spellStart"/>
      <w:r w:rsidRPr="00385B88">
        <w:rPr>
          <w:rFonts w:ascii="Arial" w:hAnsi="Arial" w:cs="Arial"/>
        </w:rPr>
        <w:t>Marra</w:t>
      </w:r>
      <w:proofErr w:type="spellEnd"/>
      <w:r w:rsidRPr="00385B88">
        <w:rPr>
          <w:rFonts w:ascii="Arial" w:hAnsi="Arial" w:cs="Arial"/>
        </w:rPr>
        <w:t xml:space="preserve">, M. and Nielsen, B.B. (2025). Research methodology: best practices for rigorous, credible, and impactful research: Herman Aguinis, Sage Publications, 2024, ISBN 978-1071871942. </w:t>
      </w:r>
      <w:hyperlink r:id="rId68">
        <w:r w:rsidRPr="00385B88">
          <w:rPr>
            <w:rFonts w:ascii="Arial" w:hAnsi="Arial" w:cs="Arial"/>
            <w:color w:val="0000FF"/>
            <w:u w:val="single"/>
          </w:rPr>
          <w:t>https://link.springer.com/article/10.1057/s41267-025-00774-2</w:t>
        </w:r>
      </w:hyperlink>
    </w:p>
    <w:p w14:paraId="70FE747F" w14:textId="77777777" w:rsidR="007575B8" w:rsidRPr="00385B88" w:rsidRDefault="004D78AD" w:rsidP="00385B88">
      <w:pPr>
        <w:spacing w:after="240"/>
        <w:jc w:val="left"/>
        <w:rPr>
          <w:rFonts w:ascii="Arial" w:hAnsi="Arial" w:cs="Arial"/>
        </w:rPr>
      </w:pPr>
      <w:r w:rsidRPr="00385B88">
        <w:rPr>
          <w:rFonts w:ascii="Arial" w:hAnsi="Arial" w:cs="Arial"/>
        </w:rPr>
        <w:t>Mintah, E.O. and Gulko, N. (2025). The impact of the COVID-19 pandemic on social and environmental reporting and financial performance of airlines operating in the UK. </w:t>
      </w:r>
      <w:r w:rsidRPr="00385B88">
        <w:rPr>
          <w:rFonts w:ascii="Arial" w:hAnsi="Arial" w:cs="Arial"/>
          <w:i/>
          <w:iCs/>
        </w:rPr>
        <w:t>Journal of Financial Reporting and Accounting</w:t>
      </w:r>
      <w:r w:rsidRPr="00385B88">
        <w:rPr>
          <w:rFonts w:ascii="Arial" w:hAnsi="Arial" w:cs="Arial"/>
        </w:rPr>
        <w:t>, </w:t>
      </w:r>
      <w:r w:rsidRPr="00385B88">
        <w:rPr>
          <w:rFonts w:ascii="Arial" w:hAnsi="Arial" w:cs="Arial"/>
          <w:i/>
          <w:iCs/>
        </w:rPr>
        <w:t>23</w:t>
      </w:r>
      <w:r w:rsidRPr="00385B88">
        <w:rPr>
          <w:rFonts w:ascii="Arial" w:hAnsi="Arial" w:cs="Arial"/>
        </w:rPr>
        <w:t xml:space="preserve">(5), pp.2051-2076. </w:t>
      </w:r>
      <w:hyperlink r:id="rId69">
        <w:r w:rsidRPr="00385B88">
          <w:rPr>
            <w:rFonts w:ascii="Arial" w:hAnsi="Arial" w:cs="Arial"/>
            <w:color w:val="0000FF"/>
            <w:u w:val="single"/>
          </w:rPr>
          <w:t>https://www.emerald.com/jfra/article/23/5/2051/1253885</w:t>
        </w:r>
      </w:hyperlink>
    </w:p>
    <w:p w14:paraId="6CC81162" w14:textId="0AF42154" w:rsidR="007575B8" w:rsidRPr="00385B88" w:rsidRDefault="004D78AD" w:rsidP="00385B88">
      <w:pPr>
        <w:spacing w:after="240"/>
        <w:jc w:val="left"/>
        <w:rPr>
          <w:rFonts w:ascii="Arial" w:hAnsi="Arial" w:cs="Arial"/>
          <w:color w:val="0000FF"/>
          <w:u w:val="single"/>
        </w:rPr>
      </w:pPr>
      <w:r w:rsidRPr="00385B88">
        <w:rPr>
          <w:rFonts w:ascii="Arial" w:hAnsi="Arial" w:cs="Arial"/>
          <w:color w:val="000000"/>
        </w:rPr>
        <w:lastRenderedPageBreak/>
        <w:t>Mintah, E.O., Elmarzouky, M. and Shohaieb, D. (2026). Examining airlines' environmental and social disclosure: does board gender diversity matter</w:t>
      </w:r>
      <w:r w:rsidR="007D5CC6" w:rsidRPr="00385B88">
        <w:rPr>
          <w:rFonts w:ascii="Arial" w:hAnsi="Arial" w:cs="Arial"/>
          <w:color w:val="000000"/>
        </w:rPr>
        <w:t>?</w:t>
      </w:r>
      <w:r w:rsidRPr="00385B88">
        <w:rPr>
          <w:rFonts w:ascii="Arial" w:hAnsi="Arial" w:cs="Arial"/>
          <w:color w:val="000000"/>
        </w:rPr>
        <w:t> </w:t>
      </w:r>
      <w:r w:rsidRPr="00385B88">
        <w:rPr>
          <w:rFonts w:ascii="Arial" w:hAnsi="Arial" w:cs="Arial"/>
          <w:i/>
          <w:iCs/>
          <w:color w:val="000000"/>
        </w:rPr>
        <w:t>Business Strategy and the Environment</w:t>
      </w:r>
      <w:r w:rsidRPr="00385B88">
        <w:rPr>
          <w:rFonts w:ascii="Arial" w:hAnsi="Arial" w:cs="Arial"/>
          <w:color w:val="000000"/>
        </w:rPr>
        <w:t>, </w:t>
      </w:r>
      <w:r w:rsidRPr="00385B88">
        <w:rPr>
          <w:rFonts w:ascii="Arial" w:hAnsi="Arial" w:cs="Arial"/>
          <w:i/>
          <w:iCs/>
          <w:color w:val="000000"/>
        </w:rPr>
        <w:t>35</w:t>
      </w:r>
      <w:r w:rsidRPr="00385B88">
        <w:rPr>
          <w:rFonts w:ascii="Arial" w:hAnsi="Arial" w:cs="Arial"/>
          <w:color w:val="000000"/>
        </w:rPr>
        <w:t xml:space="preserve">(1), pp.1-17. </w:t>
      </w:r>
      <w:hyperlink r:id="rId70">
        <w:r w:rsidRPr="00385B88">
          <w:rPr>
            <w:rFonts w:ascii="Arial" w:hAnsi="Arial" w:cs="Arial"/>
            <w:color w:val="0000FF"/>
            <w:u w:val="single"/>
          </w:rPr>
          <w:t>https://onlinelibrary.wiley.com/doi/abs/10.1002/bse.70164</w:t>
        </w:r>
      </w:hyperlink>
    </w:p>
    <w:p w14:paraId="524FBDEF" w14:textId="77777777" w:rsidR="007575B8" w:rsidRPr="00385B88" w:rsidRDefault="004D78AD" w:rsidP="00385B88">
      <w:pPr>
        <w:spacing w:after="240"/>
        <w:jc w:val="left"/>
        <w:rPr>
          <w:rFonts w:ascii="Arial" w:hAnsi="Arial" w:cs="Arial"/>
        </w:rPr>
      </w:pPr>
      <w:r w:rsidRPr="00385B88">
        <w:rPr>
          <w:rFonts w:ascii="Arial" w:hAnsi="Arial" w:cs="Arial"/>
        </w:rPr>
        <w:t>MoghadasNian, S. (2025). AI-driven inventory optimization in airline logistics: Enhancing efficiency, sustainability, and operational performance. </w:t>
      </w:r>
      <w:r w:rsidRPr="00385B88">
        <w:rPr>
          <w:rFonts w:ascii="Arial" w:hAnsi="Arial" w:cs="Arial"/>
          <w:i/>
          <w:iCs/>
        </w:rPr>
        <w:t>Sustainability, and Operational Performance (March 19, 2025)</w:t>
      </w:r>
      <w:r w:rsidRPr="00385B88">
        <w:rPr>
          <w:rFonts w:ascii="Arial" w:hAnsi="Arial" w:cs="Arial"/>
        </w:rPr>
        <w:t xml:space="preserve">. </w:t>
      </w:r>
      <w:hyperlink r:id="rId71">
        <w:r w:rsidRPr="00385B88">
          <w:rPr>
            <w:rFonts w:ascii="Arial" w:hAnsi="Arial" w:cs="Arial"/>
            <w:color w:val="0000FF"/>
            <w:u w:val="single"/>
          </w:rPr>
          <w:t>https://papers.ssrn.com/sol3/papers.cfm?abstract_id=6119086</w:t>
        </w:r>
      </w:hyperlink>
    </w:p>
    <w:p w14:paraId="583651DD" w14:textId="77777777" w:rsidR="007575B8" w:rsidRPr="00385B88" w:rsidRDefault="004D78AD" w:rsidP="00385B88">
      <w:pPr>
        <w:spacing w:after="240"/>
        <w:jc w:val="left"/>
        <w:rPr>
          <w:rFonts w:ascii="Arial" w:hAnsi="Arial" w:cs="Arial"/>
        </w:rPr>
      </w:pPr>
      <w:r w:rsidRPr="00385B88">
        <w:rPr>
          <w:rFonts w:ascii="Arial" w:hAnsi="Arial" w:cs="Arial"/>
        </w:rPr>
        <w:t>Mustafa, F., Smolarski, J. and Elamer, A.A. (2025). The convergence of artificial intelligence and sustainability reporting: A systematic review of applications, challenges and future directions. </w:t>
      </w:r>
      <w:r w:rsidRPr="00385B88">
        <w:rPr>
          <w:rFonts w:ascii="Arial" w:hAnsi="Arial" w:cs="Arial"/>
          <w:i/>
          <w:iCs/>
        </w:rPr>
        <w:t>Business Strategy and the Environment</w:t>
      </w:r>
      <w:r w:rsidRPr="00385B88">
        <w:rPr>
          <w:rFonts w:ascii="Arial" w:hAnsi="Arial" w:cs="Arial"/>
        </w:rPr>
        <w:t>, </w:t>
      </w:r>
      <w:r w:rsidRPr="00385B88">
        <w:rPr>
          <w:rFonts w:ascii="Arial" w:hAnsi="Arial" w:cs="Arial"/>
          <w:i/>
          <w:iCs/>
        </w:rPr>
        <w:t>34</w:t>
      </w:r>
      <w:r w:rsidRPr="00385B88">
        <w:rPr>
          <w:rFonts w:ascii="Arial" w:hAnsi="Arial" w:cs="Arial"/>
        </w:rPr>
        <w:t xml:space="preserve">(8), pp.9761-9784. </w:t>
      </w:r>
      <w:hyperlink r:id="rId72">
        <w:r w:rsidRPr="00385B88">
          <w:rPr>
            <w:rFonts w:ascii="Arial" w:hAnsi="Arial" w:cs="Arial"/>
            <w:color w:val="0000FF"/>
            <w:u w:val="single"/>
          </w:rPr>
          <w:t>https://onlinelibrary.wiley.com/doi/abs/10.1002/bse.70090</w:t>
        </w:r>
      </w:hyperlink>
    </w:p>
    <w:p w14:paraId="36EF7589" w14:textId="77777777" w:rsidR="007575B8" w:rsidRPr="00385B88" w:rsidRDefault="004D78AD" w:rsidP="00385B88">
      <w:pPr>
        <w:spacing w:after="240"/>
        <w:jc w:val="left"/>
        <w:rPr>
          <w:rFonts w:ascii="Arial" w:hAnsi="Arial" w:cs="Arial"/>
        </w:rPr>
      </w:pPr>
      <w:r w:rsidRPr="00385B88">
        <w:rPr>
          <w:rFonts w:ascii="Arial" w:hAnsi="Arial" w:cs="Arial"/>
          <w:color w:val="000000"/>
        </w:rPr>
        <w:t>Nijssen, J. (2025). </w:t>
      </w:r>
      <w:r w:rsidRPr="00385B88">
        <w:rPr>
          <w:rFonts w:ascii="Arial" w:hAnsi="Arial" w:cs="Arial"/>
          <w:i/>
          <w:iCs/>
          <w:color w:val="000000"/>
        </w:rPr>
        <w:t>Assessing Scope 3 Emissions of Airlines: Development and Application of a Calculation Tool</w:t>
      </w:r>
      <w:r w:rsidRPr="00385B88">
        <w:rPr>
          <w:rFonts w:ascii="Arial" w:hAnsi="Arial" w:cs="Arial"/>
          <w:color w:val="000000"/>
        </w:rPr>
        <w:t xml:space="preserve"> (Master's thesis). </w:t>
      </w:r>
      <w:hyperlink r:id="rId73">
        <w:r w:rsidRPr="00385B88">
          <w:rPr>
            <w:rFonts w:ascii="Arial" w:hAnsi="Arial" w:cs="Arial"/>
            <w:color w:val="0000FF"/>
            <w:u w:val="single"/>
          </w:rPr>
          <w:t>https://studenttheses.uu.nl/handle/20.500.12932/50606</w:t>
        </w:r>
      </w:hyperlink>
    </w:p>
    <w:p w14:paraId="1B7CD1FA" w14:textId="77777777" w:rsidR="007575B8" w:rsidRPr="00385B88" w:rsidRDefault="004D78AD" w:rsidP="00385B88">
      <w:pPr>
        <w:spacing w:after="240"/>
        <w:jc w:val="left"/>
        <w:rPr>
          <w:rFonts w:ascii="Arial" w:hAnsi="Arial" w:cs="Arial"/>
        </w:rPr>
      </w:pPr>
      <w:r w:rsidRPr="00385B88">
        <w:rPr>
          <w:rFonts w:ascii="Arial" w:hAnsi="Arial" w:cs="Arial"/>
        </w:rPr>
        <w:t xml:space="preserve">NM. (2025). </w:t>
      </w:r>
      <w:r w:rsidRPr="00385B88">
        <w:rPr>
          <w:rFonts w:ascii="Arial" w:hAnsi="Arial" w:cs="Arial"/>
          <w:i/>
          <w:iCs/>
        </w:rPr>
        <w:t>The Sustainable Skies Imperative: Why ESG in GCC Aviation Has Never Mattered More.</w:t>
      </w:r>
      <w:r w:rsidRPr="00385B88">
        <w:rPr>
          <w:rFonts w:ascii="Arial" w:hAnsi="Arial" w:cs="Arial"/>
        </w:rPr>
        <w:t xml:space="preserve"> Available at: </w:t>
      </w:r>
      <w:hyperlink r:id="rId74">
        <w:r w:rsidRPr="00385B88">
          <w:rPr>
            <w:rFonts w:ascii="Arial" w:hAnsi="Arial" w:cs="Arial"/>
            <w:color w:val="0000FF"/>
            <w:u w:val="single"/>
          </w:rPr>
          <w:t>https://newmetrics.net/insights/the-sustainable-skies-imperative-why-esg-in-gcc-aviation-has-never-mattered-more/</w:t>
        </w:r>
      </w:hyperlink>
      <w:r w:rsidRPr="00385B88">
        <w:rPr>
          <w:rFonts w:ascii="Arial" w:hAnsi="Arial" w:cs="Arial"/>
        </w:rPr>
        <w:t xml:space="preserve"> [Accessed: 26 June 2026]</w:t>
      </w:r>
    </w:p>
    <w:p w14:paraId="1E90290E" w14:textId="77777777" w:rsidR="007575B8" w:rsidRPr="00385B88" w:rsidRDefault="004D78AD" w:rsidP="00385B88">
      <w:pPr>
        <w:spacing w:after="240"/>
        <w:jc w:val="left"/>
        <w:rPr>
          <w:rFonts w:ascii="Arial" w:hAnsi="Arial" w:cs="Arial"/>
        </w:rPr>
      </w:pPr>
      <w:r w:rsidRPr="00385B88">
        <w:rPr>
          <w:rFonts w:ascii="Arial" w:hAnsi="Arial" w:cs="Arial"/>
          <w:color w:val="000000"/>
        </w:rPr>
        <w:t xml:space="preserve">Pairoux, J. (2025). Enhancing business valuation through ESG integration: a quantitative analysis of qantas airways using the discounted cash flow model. </w:t>
      </w:r>
      <w:hyperlink r:id="rId75">
        <w:r w:rsidRPr="00385B88">
          <w:rPr>
            <w:rFonts w:ascii="Arial" w:hAnsi="Arial" w:cs="Arial"/>
            <w:color w:val="0000FF"/>
            <w:u w:val="single"/>
          </w:rPr>
          <w:t>https://run.unl.pt/entities/publication/fe9cfa80-daed-4ac5-ab82-4fe67cb68b79</w:t>
        </w:r>
      </w:hyperlink>
    </w:p>
    <w:p w14:paraId="1B83D1A2" w14:textId="77777777" w:rsidR="007575B8" w:rsidRPr="00385B88" w:rsidRDefault="004D78AD" w:rsidP="00385B88">
      <w:pPr>
        <w:spacing w:after="240"/>
        <w:jc w:val="left"/>
        <w:rPr>
          <w:rFonts w:ascii="Arial" w:hAnsi="Arial" w:cs="Arial"/>
        </w:rPr>
      </w:pPr>
      <w:r w:rsidRPr="00385B88">
        <w:rPr>
          <w:rFonts w:ascii="Arial" w:hAnsi="Arial" w:cs="Arial"/>
        </w:rPr>
        <w:t>Poppi, F. (2025). Airlines’ emission disclosures: The fine line between opportunity and environmental inaction. </w:t>
      </w:r>
      <w:r w:rsidRPr="00385B88">
        <w:rPr>
          <w:rFonts w:ascii="Arial" w:hAnsi="Arial" w:cs="Arial"/>
          <w:i/>
          <w:iCs/>
        </w:rPr>
        <w:t>Iperstoria</w:t>
      </w:r>
      <w:r w:rsidRPr="00385B88">
        <w:rPr>
          <w:rFonts w:ascii="Arial" w:hAnsi="Arial" w:cs="Arial"/>
        </w:rPr>
        <w:t xml:space="preserve">, (25). </w:t>
      </w:r>
      <w:hyperlink r:id="rId76">
        <w:r w:rsidRPr="00385B88">
          <w:rPr>
            <w:rFonts w:ascii="Arial" w:hAnsi="Arial" w:cs="Arial"/>
            <w:color w:val="0000FF"/>
            <w:u w:val="single"/>
          </w:rPr>
          <w:t>https://iperstoria.it/article/view/1544</w:t>
        </w:r>
      </w:hyperlink>
    </w:p>
    <w:p w14:paraId="2B0DFBA2" w14:textId="77777777" w:rsidR="007575B8" w:rsidRPr="00385B88" w:rsidRDefault="004D78AD" w:rsidP="00385B88">
      <w:pPr>
        <w:spacing w:after="240"/>
        <w:jc w:val="left"/>
        <w:rPr>
          <w:rFonts w:ascii="Arial" w:hAnsi="Arial" w:cs="Arial"/>
        </w:rPr>
      </w:pPr>
      <w:r w:rsidRPr="00385B88">
        <w:rPr>
          <w:rFonts w:ascii="Arial" w:hAnsi="Arial" w:cs="Arial"/>
        </w:rPr>
        <w:t>Qin, D., Wu, X., Li, F., Yu, X. and Hua, F. (2025). Teaching critical appraisal and research methodology to dental students and practitioners: A scoping review. </w:t>
      </w:r>
      <w:r w:rsidRPr="00385B88">
        <w:rPr>
          <w:rFonts w:ascii="Arial" w:hAnsi="Arial" w:cs="Arial"/>
          <w:i/>
          <w:iCs/>
        </w:rPr>
        <w:t>Journal of Dentistry</w:t>
      </w:r>
      <w:r w:rsidRPr="00385B88">
        <w:rPr>
          <w:rFonts w:ascii="Arial" w:hAnsi="Arial" w:cs="Arial"/>
        </w:rPr>
        <w:t>, </w:t>
      </w:r>
      <w:r w:rsidRPr="00385B88">
        <w:rPr>
          <w:rFonts w:ascii="Arial" w:hAnsi="Arial" w:cs="Arial"/>
          <w:i/>
          <w:iCs/>
        </w:rPr>
        <w:t>160</w:t>
      </w:r>
      <w:r w:rsidRPr="00385B88">
        <w:rPr>
          <w:rFonts w:ascii="Arial" w:hAnsi="Arial" w:cs="Arial"/>
        </w:rPr>
        <w:t xml:space="preserve">, p.105930. </w:t>
      </w:r>
      <w:hyperlink r:id="rId77">
        <w:r w:rsidRPr="00385B88">
          <w:rPr>
            <w:rFonts w:ascii="Arial" w:hAnsi="Arial" w:cs="Arial"/>
            <w:color w:val="0000FF"/>
            <w:u w:val="single"/>
          </w:rPr>
          <w:t>https://www.sciencedirect.com/science/article/pii/S0300571225003744</w:t>
        </w:r>
      </w:hyperlink>
    </w:p>
    <w:p w14:paraId="527B5024" w14:textId="64D9E0D9" w:rsidR="007575B8" w:rsidRPr="00385B88" w:rsidRDefault="004D78AD" w:rsidP="00385B88">
      <w:pPr>
        <w:spacing w:after="240"/>
        <w:jc w:val="left"/>
        <w:rPr>
          <w:rFonts w:ascii="Arial" w:hAnsi="Arial" w:cs="Arial"/>
        </w:rPr>
      </w:pPr>
      <w:r w:rsidRPr="00385B88">
        <w:rPr>
          <w:rFonts w:ascii="Arial" w:hAnsi="Arial" w:cs="Arial"/>
        </w:rPr>
        <w:lastRenderedPageBreak/>
        <w:t>Raimo, N., L'Abate, V., Sica, D. and Vitolla, F. (2025). Integrated reporting and the Corporate Sustainability Reporting Directive: bridging the gap or growing apart</w:t>
      </w:r>
      <w:r w:rsidR="007D5CC6" w:rsidRPr="00385B88">
        <w:rPr>
          <w:rFonts w:ascii="Arial" w:hAnsi="Arial" w:cs="Arial"/>
        </w:rPr>
        <w:t>?</w:t>
      </w:r>
      <w:r w:rsidRPr="00385B88">
        <w:rPr>
          <w:rFonts w:ascii="Arial" w:hAnsi="Arial" w:cs="Arial"/>
        </w:rPr>
        <w:t> </w:t>
      </w:r>
      <w:r w:rsidRPr="00385B88">
        <w:rPr>
          <w:rFonts w:ascii="Arial" w:hAnsi="Arial" w:cs="Arial"/>
          <w:i/>
          <w:iCs/>
        </w:rPr>
        <w:t>Management Decision</w:t>
      </w:r>
      <w:r w:rsidRPr="00385B88">
        <w:rPr>
          <w:rFonts w:ascii="Arial" w:hAnsi="Arial" w:cs="Arial"/>
        </w:rPr>
        <w:t xml:space="preserve">. </w:t>
      </w:r>
      <w:hyperlink r:id="rId78">
        <w:r w:rsidRPr="00385B88">
          <w:rPr>
            <w:rFonts w:ascii="Arial" w:hAnsi="Arial" w:cs="Arial"/>
            <w:color w:val="0000FF"/>
            <w:u w:val="single"/>
          </w:rPr>
          <w:t>https://www.emerald.com/md/article/doi/10.1108/MD-10-2024-2408/1259508</w:t>
        </w:r>
      </w:hyperlink>
    </w:p>
    <w:p w14:paraId="5FBE4A32" w14:textId="6087F856" w:rsidR="007575B8" w:rsidRPr="00385B88" w:rsidRDefault="004D78AD" w:rsidP="00385B88">
      <w:pPr>
        <w:spacing w:after="240"/>
        <w:jc w:val="left"/>
        <w:rPr>
          <w:rFonts w:ascii="Arial" w:hAnsi="Arial" w:cs="Arial"/>
        </w:rPr>
      </w:pPr>
      <w:r w:rsidRPr="00385B88">
        <w:rPr>
          <w:rFonts w:ascii="Arial" w:hAnsi="Arial" w:cs="Arial"/>
          <w:color w:val="222222"/>
          <w:highlight w:val="white"/>
        </w:rPr>
        <w:t xml:space="preserve">Raman, R., Gunasekar, S., </w:t>
      </w:r>
      <w:r w:rsidR="007D5CC6" w:rsidRPr="00385B88">
        <w:rPr>
          <w:rFonts w:ascii="Arial" w:hAnsi="Arial" w:cs="Arial"/>
          <w:color w:val="222222"/>
          <w:highlight w:val="white"/>
        </w:rPr>
        <w:t>David</w:t>
      </w:r>
      <w:r w:rsidRPr="00385B88">
        <w:rPr>
          <w:rFonts w:ascii="Arial" w:hAnsi="Arial" w:cs="Arial"/>
          <w:color w:val="222222"/>
          <w:highlight w:val="white"/>
        </w:rPr>
        <w:t>, L.D., Rahmat, A.F. and Nedungadi, P. (2024). Aligning sustainable aviation fuel research with sustainable development goals: Trends and thematic analysis. </w:t>
      </w:r>
      <w:r w:rsidRPr="00385B88">
        <w:rPr>
          <w:rFonts w:ascii="Arial" w:hAnsi="Arial" w:cs="Arial"/>
          <w:i/>
          <w:iCs/>
          <w:color w:val="222222"/>
          <w:highlight w:val="white"/>
        </w:rPr>
        <w:t>Energy Reports</w:t>
      </w:r>
      <w:r w:rsidRPr="00385B88">
        <w:rPr>
          <w:rFonts w:ascii="Arial" w:hAnsi="Arial" w:cs="Arial"/>
          <w:color w:val="222222"/>
          <w:highlight w:val="white"/>
        </w:rPr>
        <w:t>, </w:t>
      </w:r>
      <w:r w:rsidRPr="00385B88">
        <w:rPr>
          <w:rFonts w:ascii="Arial" w:hAnsi="Arial" w:cs="Arial"/>
          <w:i/>
          <w:iCs/>
          <w:color w:val="222222"/>
          <w:highlight w:val="white"/>
        </w:rPr>
        <w:t>12</w:t>
      </w:r>
      <w:r w:rsidRPr="00385B88">
        <w:rPr>
          <w:rFonts w:ascii="Arial" w:hAnsi="Arial" w:cs="Arial"/>
          <w:color w:val="222222"/>
          <w:highlight w:val="white"/>
        </w:rPr>
        <w:t xml:space="preserve">, pp.2642-2652. </w:t>
      </w:r>
      <w:hyperlink r:id="rId79">
        <w:r w:rsidRPr="00385B88">
          <w:rPr>
            <w:rFonts w:ascii="Arial" w:hAnsi="Arial" w:cs="Arial"/>
            <w:color w:val="0000FF"/>
            <w:highlight w:val="white"/>
            <w:u w:val="single"/>
          </w:rPr>
          <w:t>https://www.sciencedirect.com/science/article/pii/S2352484724005651</w:t>
        </w:r>
      </w:hyperlink>
    </w:p>
    <w:p w14:paraId="22314731" w14:textId="77777777" w:rsidR="007575B8" w:rsidRPr="00385B88" w:rsidRDefault="004D78AD" w:rsidP="00385B88">
      <w:pPr>
        <w:spacing w:after="240"/>
        <w:jc w:val="left"/>
        <w:rPr>
          <w:rFonts w:ascii="Arial" w:hAnsi="Arial" w:cs="Arial"/>
        </w:rPr>
      </w:pPr>
      <w:r w:rsidRPr="00385B88">
        <w:rPr>
          <w:rFonts w:ascii="Arial" w:hAnsi="Arial" w:cs="Arial"/>
        </w:rPr>
        <w:t xml:space="preserve">Ranpati Dewage, A., (2025). Sustainable approach for future aviation: sustainable aviation fuel partnerships and fleet modernization. </w:t>
      </w:r>
      <w:hyperlink r:id="rId80">
        <w:r w:rsidRPr="00385B88">
          <w:rPr>
            <w:rFonts w:ascii="Arial" w:hAnsi="Arial" w:cs="Arial"/>
            <w:color w:val="1155CC"/>
            <w:u w:val="single"/>
          </w:rPr>
          <w:t>https://www.theseus.fi/bitstream/handle/10024/895782/Ranpati%20Dewage_Anjalee.pdf?sequence=2</w:t>
        </w:r>
      </w:hyperlink>
      <w:r w:rsidRPr="00385B88">
        <w:rPr>
          <w:rFonts w:ascii="Arial" w:hAnsi="Arial" w:cs="Arial"/>
        </w:rPr>
        <w:t xml:space="preserve"> </w:t>
      </w:r>
    </w:p>
    <w:p w14:paraId="5784F346" w14:textId="7B346E15" w:rsidR="007575B8" w:rsidRPr="00385B88" w:rsidRDefault="004D78AD" w:rsidP="00385B88">
      <w:pPr>
        <w:spacing w:after="240"/>
        <w:jc w:val="left"/>
        <w:rPr>
          <w:rFonts w:ascii="Arial" w:hAnsi="Arial" w:cs="Arial"/>
        </w:rPr>
      </w:pPr>
      <w:r w:rsidRPr="00385B88">
        <w:rPr>
          <w:rFonts w:ascii="Arial" w:hAnsi="Arial" w:cs="Arial"/>
        </w:rPr>
        <w:t xml:space="preserve">Reuters. (2025). </w:t>
      </w:r>
      <w:r w:rsidR="007D5CC6" w:rsidRPr="00385B88">
        <w:rPr>
          <w:rFonts w:ascii="Arial" w:hAnsi="Arial" w:cs="Arial"/>
          <w:i/>
          <w:iCs/>
        </w:rPr>
        <w:t>at</w:t>
      </w:r>
      <w:r w:rsidRPr="00385B88">
        <w:rPr>
          <w:rFonts w:ascii="Arial" w:hAnsi="Arial" w:cs="Arial"/>
          <w:i/>
          <w:iCs/>
        </w:rPr>
        <w:t xml:space="preserve"> aviation meeting, ESG takes backseat to jet shortages.</w:t>
      </w:r>
      <w:r w:rsidRPr="00385B88">
        <w:rPr>
          <w:rFonts w:ascii="Arial" w:hAnsi="Arial" w:cs="Arial"/>
        </w:rPr>
        <w:t xml:space="preserve"> Available at: </w:t>
      </w:r>
      <w:hyperlink r:id="rId81">
        <w:r w:rsidRPr="00385B88">
          <w:rPr>
            <w:rFonts w:ascii="Arial" w:hAnsi="Arial" w:cs="Arial"/>
            <w:color w:val="0000FF"/>
            <w:u w:val="single"/>
          </w:rPr>
          <w:t>https://www.reuters.com/business/aerospace-defense/aviation-meeting-esg-takes-backseat-jet-shortages-2025-01-17/</w:t>
        </w:r>
      </w:hyperlink>
      <w:r w:rsidRPr="00385B88">
        <w:rPr>
          <w:rFonts w:ascii="Arial" w:hAnsi="Arial" w:cs="Arial"/>
        </w:rPr>
        <w:t xml:space="preserve"> [Accessed: 26 June 2026]</w:t>
      </w:r>
    </w:p>
    <w:p w14:paraId="2275A16B" w14:textId="77777777" w:rsidR="007575B8" w:rsidRPr="00385B88" w:rsidRDefault="004D78AD" w:rsidP="00385B88">
      <w:pPr>
        <w:spacing w:after="240"/>
        <w:jc w:val="left"/>
        <w:rPr>
          <w:rFonts w:ascii="Arial" w:hAnsi="Arial" w:cs="Arial"/>
        </w:rPr>
      </w:pPr>
      <w:r w:rsidRPr="00385B88">
        <w:rPr>
          <w:rFonts w:ascii="Arial" w:hAnsi="Arial" w:cs="Arial"/>
        </w:rPr>
        <w:t xml:space="preserve">RG. (2025). </w:t>
      </w:r>
      <w:r w:rsidRPr="00385B88">
        <w:rPr>
          <w:rFonts w:ascii="Arial" w:hAnsi="Arial" w:cs="Arial"/>
          <w:i/>
          <w:iCs/>
        </w:rPr>
        <w:t>Number of ESG regulations</w:t>
      </w:r>
      <w:r w:rsidRPr="00385B88">
        <w:rPr>
          <w:rFonts w:ascii="Arial" w:hAnsi="Arial" w:cs="Arial"/>
        </w:rPr>
        <w:t xml:space="preserve">. Available at: </w:t>
      </w:r>
      <w:hyperlink r:id="rId82">
        <w:r w:rsidRPr="00385B88">
          <w:rPr>
            <w:rFonts w:ascii="Arial" w:hAnsi="Arial" w:cs="Arial"/>
            <w:color w:val="0000FF"/>
            <w:u w:val="single"/>
          </w:rPr>
          <w:t>https://www.researchgate.net/figure/Number-of-ESG-regulations_fig3_345415689</w:t>
        </w:r>
      </w:hyperlink>
      <w:r w:rsidRPr="00385B88">
        <w:rPr>
          <w:rFonts w:ascii="Arial" w:hAnsi="Arial" w:cs="Arial"/>
        </w:rPr>
        <w:t xml:space="preserve"> [Accessed: 23 June 2026]</w:t>
      </w:r>
    </w:p>
    <w:p w14:paraId="15BE494F" w14:textId="77777777" w:rsidR="007575B8" w:rsidRPr="00385B88" w:rsidRDefault="004D78AD" w:rsidP="00385B88">
      <w:pPr>
        <w:spacing w:after="240"/>
        <w:jc w:val="left"/>
        <w:rPr>
          <w:rFonts w:ascii="Arial" w:hAnsi="Arial" w:cs="Arial"/>
        </w:rPr>
      </w:pPr>
      <w:r w:rsidRPr="00385B88">
        <w:rPr>
          <w:rFonts w:ascii="Arial" w:hAnsi="Arial" w:cs="Arial"/>
          <w:color w:val="222222"/>
          <w:highlight w:val="white"/>
        </w:rPr>
        <w:t>Rosario, M. (2024). Assessing the efficacy of EU greenwashing directive: A study of European airlines’ voluntary carbon offset programs. </w:t>
      </w:r>
      <w:r w:rsidRPr="00385B88">
        <w:rPr>
          <w:rFonts w:ascii="Arial" w:hAnsi="Arial" w:cs="Arial"/>
          <w:i/>
          <w:iCs/>
          <w:color w:val="222222"/>
          <w:highlight w:val="white"/>
        </w:rPr>
        <w:t>Journal of the Air Transport Research Society</w:t>
      </w:r>
      <w:r w:rsidRPr="00385B88">
        <w:rPr>
          <w:rFonts w:ascii="Arial" w:hAnsi="Arial" w:cs="Arial"/>
          <w:color w:val="222222"/>
          <w:highlight w:val="white"/>
        </w:rPr>
        <w:t>, </w:t>
      </w:r>
      <w:r w:rsidRPr="00385B88">
        <w:rPr>
          <w:rFonts w:ascii="Arial" w:hAnsi="Arial" w:cs="Arial"/>
          <w:i/>
          <w:iCs/>
          <w:color w:val="222222"/>
          <w:highlight w:val="white"/>
        </w:rPr>
        <w:t>3</w:t>
      </w:r>
      <w:r w:rsidRPr="00385B88">
        <w:rPr>
          <w:rFonts w:ascii="Arial" w:hAnsi="Arial" w:cs="Arial"/>
          <w:color w:val="222222"/>
          <w:highlight w:val="white"/>
        </w:rPr>
        <w:t xml:space="preserve">, p.100028. </w:t>
      </w:r>
      <w:hyperlink r:id="rId83">
        <w:r w:rsidRPr="00385B88">
          <w:rPr>
            <w:rFonts w:ascii="Arial" w:hAnsi="Arial" w:cs="Arial"/>
            <w:color w:val="0000FF"/>
            <w:highlight w:val="white"/>
            <w:u w:val="single"/>
          </w:rPr>
          <w:t>https://www.sciencedirect.com/science/article/pii/S2941198X24000393</w:t>
        </w:r>
      </w:hyperlink>
    </w:p>
    <w:p w14:paraId="400F2175" w14:textId="560B8D07" w:rsidR="007575B8" w:rsidRDefault="004D78AD" w:rsidP="00385B88">
      <w:pPr>
        <w:spacing w:after="240"/>
        <w:jc w:val="left"/>
        <w:rPr>
          <w:rFonts w:ascii="Arial" w:hAnsi="Arial" w:cs="Arial"/>
          <w:color w:val="0000FF"/>
          <w:u w:val="single"/>
        </w:rPr>
      </w:pPr>
      <w:proofErr w:type="spellStart"/>
      <w:r w:rsidRPr="00385B88">
        <w:rPr>
          <w:rFonts w:ascii="Arial" w:hAnsi="Arial" w:cs="Arial"/>
        </w:rPr>
        <w:t>Salesa</w:t>
      </w:r>
      <w:proofErr w:type="spellEnd"/>
      <w:r w:rsidRPr="00385B88">
        <w:rPr>
          <w:rFonts w:ascii="Arial" w:hAnsi="Arial" w:cs="Arial"/>
        </w:rPr>
        <w:t>, A., León, R. and Moneva, J.M. (2025). Aero</w:t>
      </w:r>
      <w:r w:rsidRPr="00385B88">
        <w:rPr>
          <w:rFonts w:ascii="Cambria Math" w:hAnsi="Cambria Math" w:cs="Cambria Math"/>
        </w:rPr>
        <w:t>‐</w:t>
      </w:r>
      <w:r w:rsidRPr="00385B88">
        <w:rPr>
          <w:rFonts w:ascii="Arial" w:hAnsi="Arial" w:cs="Arial"/>
        </w:rPr>
        <w:t xml:space="preserve">Circularity: Charting the Flight Path </w:t>
      </w:r>
      <w:r w:rsidR="007D5CC6" w:rsidRPr="00385B88">
        <w:rPr>
          <w:rFonts w:ascii="Arial" w:hAnsi="Arial" w:cs="Arial"/>
        </w:rPr>
        <w:t>between</w:t>
      </w:r>
      <w:r w:rsidRPr="00385B88">
        <w:rPr>
          <w:rFonts w:ascii="Arial" w:hAnsi="Arial" w:cs="Arial"/>
        </w:rPr>
        <w:t xml:space="preserve"> Circular Economy and Sustainability Performance. </w:t>
      </w:r>
      <w:r w:rsidRPr="00385B88">
        <w:rPr>
          <w:rFonts w:ascii="Arial" w:hAnsi="Arial" w:cs="Arial"/>
          <w:i/>
          <w:iCs/>
        </w:rPr>
        <w:t>Business Strategy and the Environment</w:t>
      </w:r>
      <w:r w:rsidRPr="00385B88">
        <w:rPr>
          <w:rFonts w:ascii="Arial" w:hAnsi="Arial" w:cs="Arial"/>
        </w:rPr>
        <w:t>, </w:t>
      </w:r>
      <w:r w:rsidRPr="00385B88">
        <w:rPr>
          <w:rFonts w:ascii="Arial" w:hAnsi="Arial" w:cs="Arial"/>
          <w:i/>
          <w:iCs/>
        </w:rPr>
        <w:t>34</w:t>
      </w:r>
      <w:r w:rsidRPr="00385B88">
        <w:rPr>
          <w:rFonts w:ascii="Arial" w:hAnsi="Arial" w:cs="Arial"/>
        </w:rPr>
        <w:t xml:space="preserve">(4), pp.4766-4784. </w:t>
      </w:r>
      <w:hyperlink r:id="rId84">
        <w:r w:rsidRPr="00385B88">
          <w:rPr>
            <w:rFonts w:ascii="Arial" w:hAnsi="Arial" w:cs="Arial"/>
            <w:color w:val="0000FF"/>
            <w:u w:val="single"/>
          </w:rPr>
          <w:t>https://onlinelibrary.wiley.com/doi/abs/10.1002/bse.4235</w:t>
        </w:r>
      </w:hyperlink>
    </w:p>
    <w:p w14:paraId="3AC31341" w14:textId="77777777" w:rsidR="00F87275" w:rsidRDefault="00F87275" w:rsidP="00385B88">
      <w:pPr>
        <w:spacing w:after="240"/>
        <w:jc w:val="left"/>
        <w:rPr>
          <w:rFonts w:ascii="Arial" w:hAnsi="Arial" w:cs="Arial"/>
          <w:color w:val="0000FF"/>
          <w:u w:val="single"/>
        </w:rPr>
      </w:pPr>
    </w:p>
    <w:p w14:paraId="68C6778F" w14:textId="77777777" w:rsidR="00F87275" w:rsidRPr="00385B88" w:rsidRDefault="00F87275" w:rsidP="00385B88">
      <w:pPr>
        <w:spacing w:after="240"/>
        <w:jc w:val="left"/>
        <w:rPr>
          <w:rFonts w:ascii="Arial" w:hAnsi="Arial" w:cs="Arial"/>
        </w:rPr>
      </w:pPr>
    </w:p>
    <w:p w14:paraId="1F836377" w14:textId="6F571439" w:rsidR="007575B8" w:rsidRPr="00385B88" w:rsidRDefault="004D78AD" w:rsidP="00385B88">
      <w:pPr>
        <w:spacing w:after="240"/>
        <w:jc w:val="left"/>
        <w:rPr>
          <w:rFonts w:ascii="Arial" w:hAnsi="Arial" w:cs="Arial"/>
        </w:rPr>
      </w:pPr>
      <w:r w:rsidRPr="00385B88">
        <w:rPr>
          <w:rFonts w:ascii="Arial" w:hAnsi="Arial" w:cs="Arial"/>
        </w:rPr>
        <w:lastRenderedPageBreak/>
        <w:t xml:space="preserve">Saunders, M., Lewis, P. and Thornhill, A., (2003). Research methods </w:t>
      </w:r>
      <w:r w:rsidR="00385B88" w:rsidRPr="00385B88">
        <w:rPr>
          <w:rFonts w:ascii="Arial" w:hAnsi="Arial" w:cs="Arial"/>
        </w:rPr>
        <w:t>for business</w:t>
      </w:r>
      <w:r w:rsidRPr="00385B88">
        <w:rPr>
          <w:rFonts w:ascii="Arial" w:hAnsi="Arial" w:cs="Arial"/>
        </w:rPr>
        <w:t xml:space="preserve"> students. </w:t>
      </w:r>
      <w:r w:rsidRPr="00385B88">
        <w:rPr>
          <w:rFonts w:ascii="Arial" w:hAnsi="Arial" w:cs="Arial"/>
          <w:i/>
          <w:iCs/>
        </w:rPr>
        <w:t>Essex: Prentice Hall: Financial Times</w:t>
      </w:r>
      <w:r w:rsidRPr="00385B88">
        <w:rPr>
          <w:rFonts w:ascii="Arial" w:hAnsi="Arial" w:cs="Arial"/>
        </w:rPr>
        <w:t xml:space="preserve">. </w:t>
      </w:r>
      <w:hyperlink r:id="rId85">
        <w:r w:rsidRPr="00385B88">
          <w:rPr>
            <w:rFonts w:ascii="Arial" w:hAnsi="Arial" w:cs="Arial"/>
            <w:color w:val="0000FF"/>
            <w:u w:val="single"/>
          </w:rPr>
          <w:t>https://www.researchgate.net/profile/Mohammed-Mustafa-72/post/What_is_difference_between_epistemology_and_ontology/attachment/5b82b176cfe4a76455ee5f8c/AS%3A663875938684937%401535291766342/download/Mark+Saunders_+Philip+Lewis_+Adrian+Thornhill-Research+methods+for+business+students-Pearson+Education+%282009%291.pdf</w:t>
        </w:r>
      </w:hyperlink>
    </w:p>
    <w:p w14:paraId="0E8B9D88" w14:textId="04446922" w:rsidR="007575B8" w:rsidRPr="00385B88" w:rsidRDefault="004D78AD" w:rsidP="00385B88">
      <w:pPr>
        <w:spacing w:after="240"/>
        <w:jc w:val="left"/>
        <w:rPr>
          <w:rFonts w:ascii="Arial" w:hAnsi="Arial" w:cs="Arial"/>
        </w:rPr>
      </w:pPr>
      <w:r w:rsidRPr="00385B88">
        <w:rPr>
          <w:rFonts w:ascii="Arial" w:hAnsi="Arial" w:cs="Arial"/>
        </w:rPr>
        <w:t xml:space="preserve">Setälä, K., Aarikka-Stenroos, L., Wright, S.J. and Grundström, M. (2025). How stakeholders respond to airline sustainability </w:t>
      </w:r>
      <w:r w:rsidR="00385B88" w:rsidRPr="00385B88">
        <w:rPr>
          <w:rFonts w:ascii="Arial" w:hAnsi="Arial" w:cs="Arial"/>
        </w:rPr>
        <w:t>signalling</w:t>
      </w:r>
      <w:r w:rsidRPr="00385B88">
        <w:rPr>
          <w:rFonts w:ascii="Arial" w:hAnsi="Arial" w:cs="Arial"/>
        </w:rPr>
        <w:t>–a social media analysis. </w:t>
      </w:r>
      <w:r w:rsidRPr="00385B88">
        <w:rPr>
          <w:rFonts w:ascii="Arial" w:hAnsi="Arial" w:cs="Arial"/>
          <w:i/>
          <w:iCs/>
        </w:rPr>
        <w:t>Corporate Communications: An International Journal</w:t>
      </w:r>
      <w:r w:rsidRPr="00385B88">
        <w:rPr>
          <w:rFonts w:ascii="Arial" w:hAnsi="Arial" w:cs="Arial"/>
        </w:rPr>
        <w:t>, </w:t>
      </w:r>
      <w:r w:rsidRPr="00385B88">
        <w:rPr>
          <w:rFonts w:ascii="Arial" w:hAnsi="Arial" w:cs="Arial"/>
          <w:i/>
          <w:iCs/>
        </w:rPr>
        <w:t>30</w:t>
      </w:r>
      <w:r w:rsidRPr="00385B88">
        <w:rPr>
          <w:rFonts w:ascii="Arial" w:hAnsi="Arial" w:cs="Arial"/>
        </w:rPr>
        <w:t xml:space="preserve">(2), pp.276-293. </w:t>
      </w:r>
      <w:hyperlink r:id="rId86">
        <w:r w:rsidRPr="00385B88">
          <w:rPr>
            <w:rFonts w:ascii="Arial" w:hAnsi="Arial" w:cs="Arial"/>
            <w:color w:val="0000FF"/>
            <w:u w:val="single"/>
          </w:rPr>
          <w:t>https://www.emerald.com/ccij/article/30/2/276/1243216</w:t>
        </w:r>
      </w:hyperlink>
    </w:p>
    <w:p w14:paraId="1D2720F5" w14:textId="77777777" w:rsidR="007575B8" w:rsidRPr="00385B88" w:rsidRDefault="004D78AD" w:rsidP="00385B88">
      <w:pPr>
        <w:spacing w:after="240"/>
        <w:jc w:val="left"/>
        <w:rPr>
          <w:rFonts w:ascii="Arial" w:hAnsi="Arial" w:cs="Arial"/>
        </w:rPr>
      </w:pPr>
      <w:r w:rsidRPr="00385B88">
        <w:rPr>
          <w:rFonts w:ascii="Arial" w:hAnsi="Arial" w:cs="Arial"/>
        </w:rPr>
        <w:t xml:space="preserve">SF. (2025). </w:t>
      </w:r>
      <w:r w:rsidRPr="00385B88">
        <w:rPr>
          <w:rFonts w:ascii="Arial" w:hAnsi="Arial" w:cs="Arial"/>
          <w:i/>
          <w:iCs/>
        </w:rPr>
        <w:t>Here's Why Aviation's 65% Sustainable Fuel Target For 2050 No Longer Adds Up.</w:t>
      </w:r>
      <w:r w:rsidRPr="00385B88">
        <w:rPr>
          <w:rFonts w:ascii="Arial" w:hAnsi="Arial" w:cs="Arial"/>
        </w:rPr>
        <w:t xml:space="preserve"> Available at: </w:t>
      </w:r>
      <w:hyperlink r:id="rId87">
        <w:r w:rsidRPr="00385B88">
          <w:rPr>
            <w:rFonts w:ascii="Arial" w:hAnsi="Arial" w:cs="Arial"/>
            <w:color w:val="0000FF"/>
            <w:u w:val="single"/>
          </w:rPr>
          <w:t>https://simpleflying.com/hereswhy-aviation-65-percent-sustainable-fuel-target-2025-no-longer-add-up/</w:t>
        </w:r>
      </w:hyperlink>
      <w:r w:rsidRPr="00385B88">
        <w:rPr>
          <w:rFonts w:ascii="Arial" w:hAnsi="Arial" w:cs="Arial"/>
        </w:rPr>
        <w:t xml:space="preserve"> [Accessed: 24 June 2026]</w:t>
      </w:r>
    </w:p>
    <w:p w14:paraId="0128137A" w14:textId="77777777" w:rsidR="007575B8" w:rsidRPr="00385B88" w:rsidRDefault="004D78AD" w:rsidP="00385B88">
      <w:pPr>
        <w:spacing w:after="240"/>
        <w:jc w:val="left"/>
        <w:rPr>
          <w:rFonts w:ascii="Arial" w:hAnsi="Arial" w:cs="Arial"/>
        </w:rPr>
      </w:pPr>
      <w:r w:rsidRPr="00385B88">
        <w:rPr>
          <w:rFonts w:ascii="Arial" w:hAnsi="Arial" w:cs="Arial"/>
        </w:rPr>
        <w:t xml:space="preserve">Statista. (2025). </w:t>
      </w:r>
      <w:r w:rsidRPr="00385B88">
        <w:rPr>
          <w:rFonts w:ascii="Arial" w:hAnsi="Arial" w:cs="Arial"/>
          <w:i/>
          <w:iCs/>
        </w:rPr>
        <w:t>Green Aviation - statistics &amp; facts.</w:t>
      </w:r>
      <w:r w:rsidRPr="00385B88">
        <w:rPr>
          <w:rFonts w:ascii="Arial" w:hAnsi="Arial" w:cs="Arial"/>
        </w:rPr>
        <w:t xml:space="preserve"> Available at: </w:t>
      </w:r>
      <w:hyperlink r:id="rId88" w:anchor="topicOverview">
        <w:r w:rsidRPr="00385B88">
          <w:rPr>
            <w:rFonts w:ascii="Arial" w:hAnsi="Arial" w:cs="Arial"/>
            <w:color w:val="0000FF"/>
            <w:u w:val="single"/>
          </w:rPr>
          <w:t>https://www.statista.com/topics/10755/green-aviation/?srsltid=AfmBOorFHLraOLd2O2Nt0FH8TDj5sP41cdmaSTwDQo3nWC1X-Xe4PRk9#topicOverview</w:t>
        </w:r>
      </w:hyperlink>
      <w:r w:rsidRPr="00385B88">
        <w:rPr>
          <w:rFonts w:ascii="Arial" w:hAnsi="Arial" w:cs="Arial"/>
        </w:rPr>
        <w:t xml:space="preserve"> [Accessed: 26 June 2026]</w:t>
      </w:r>
    </w:p>
    <w:p w14:paraId="797FD2D5" w14:textId="77777777" w:rsidR="007575B8" w:rsidRPr="00385B88" w:rsidRDefault="004D78AD" w:rsidP="00385B88">
      <w:pPr>
        <w:spacing w:after="240"/>
        <w:jc w:val="left"/>
        <w:rPr>
          <w:rFonts w:ascii="Arial" w:hAnsi="Arial" w:cs="Arial"/>
        </w:rPr>
      </w:pPr>
      <w:r w:rsidRPr="00385B88">
        <w:rPr>
          <w:rFonts w:ascii="Arial" w:hAnsi="Arial" w:cs="Arial"/>
        </w:rPr>
        <w:t>Susilawati, A., Al-Obaidi, A.S.M., Abduh, A., Irwansyah, F.S. and Nandiyanto, A.B.D. (2025). How to do research methodology: From literature review, bibliometric, step-by-step research stages, to practical examples in science and engineering education. </w:t>
      </w:r>
      <w:r w:rsidRPr="00385B88">
        <w:rPr>
          <w:rFonts w:ascii="Arial" w:hAnsi="Arial" w:cs="Arial"/>
          <w:i/>
          <w:iCs/>
        </w:rPr>
        <w:t>Indonesian Journal of Science and Technology</w:t>
      </w:r>
      <w:r w:rsidRPr="00385B88">
        <w:rPr>
          <w:rFonts w:ascii="Arial" w:hAnsi="Arial" w:cs="Arial"/>
        </w:rPr>
        <w:t>, </w:t>
      </w:r>
      <w:r w:rsidRPr="00385B88">
        <w:rPr>
          <w:rFonts w:ascii="Arial" w:hAnsi="Arial" w:cs="Arial"/>
          <w:i/>
          <w:iCs/>
        </w:rPr>
        <w:t>10</w:t>
      </w:r>
      <w:r w:rsidRPr="00385B88">
        <w:rPr>
          <w:rFonts w:ascii="Arial" w:hAnsi="Arial" w:cs="Arial"/>
        </w:rPr>
        <w:t xml:space="preserve">(1), pp.1-40. </w:t>
      </w:r>
      <w:hyperlink r:id="rId89">
        <w:r w:rsidRPr="00385B88">
          <w:rPr>
            <w:rFonts w:ascii="Arial" w:hAnsi="Arial" w:cs="Arial"/>
            <w:color w:val="0000FF"/>
            <w:u w:val="single"/>
          </w:rPr>
          <w:t>https://ijost.upi.edu/index.php/ijost/article/view/439</w:t>
        </w:r>
      </w:hyperlink>
    </w:p>
    <w:p w14:paraId="37C83954" w14:textId="026068AA" w:rsidR="007575B8" w:rsidRDefault="004D78AD" w:rsidP="00385B88">
      <w:pPr>
        <w:spacing w:after="240"/>
        <w:jc w:val="left"/>
        <w:rPr>
          <w:rFonts w:ascii="Arial" w:hAnsi="Arial" w:cs="Arial"/>
          <w:color w:val="0000FF"/>
          <w:u w:val="single"/>
        </w:rPr>
      </w:pPr>
      <w:r w:rsidRPr="00385B88">
        <w:rPr>
          <w:rFonts w:ascii="Arial" w:hAnsi="Arial" w:cs="Arial"/>
          <w:color w:val="222222"/>
          <w:highlight w:val="white"/>
        </w:rPr>
        <w:t xml:space="preserve">Talaue, G.M. (2026). Understanding </w:t>
      </w:r>
      <w:r w:rsidR="007D5CC6" w:rsidRPr="00385B88">
        <w:rPr>
          <w:rFonts w:ascii="Arial" w:hAnsi="Arial" w:cs="Arial"/>
          <w:color w:val="222222"/>
          <w:highlight w:val="white"/>
        </w:rPr>
        <w:t>the</w:t>
      </w:r>
      <w:r w:rsidRPr="00385B88">
        <w:rPr>
          <w:rFonts w:ascii="Arial" w:hAnsi="Arial" w:cs="Arial"/>
          <w:color w:val="222222"/>
          <w:highlight w:val="white"/>
        </w:rPr>
        <w:t xml:space="preserve"> Relationship of Greenwashing and Consumer </w:t>
      </w:r>
      <w:r w:rsidR="007D5CC6" w:rsidRPr="00385B88">
        <w:rPr>
          <w:rFonts w:ascii="Arial" w:hAnsi="Arial" w:cs="Arial"/>
          <w:color w:val="222222"/>
          <w:highlight w:val="white"/>
        </w:rPr>
        <w:t>Behaviour</w:t>
      </w:r>
      <w:r w:rsidRPr="00385B88">
        <w:rPr>
          <w:rFonts w:ascii="Arial" w:hAnsi="Arial" w:cs="Arial"/>
          <w:color w:val="222222"/>
          <w:highlight w:val="white"/>
        </w:rPr>
        <w:t xml:space="preserve">: Case Study of the Airline Sector in the US. </w:t>
      </w:r>
      <w:hyperlink r:id="rId90">
        <w:r w:rsidRPr="00385B88">
          <w:rPr>
            <w:rFonts w:ascii="Arial" w:hAnsi="Arial" w:cs="Arial"/>
            <w:color w:val="0000FF"/>
            <w:highlight w:val="white"/>
            <w:u w:val="single"/>
          </w:rPr>
          <w:t>https://cmpublisher.com/wp-content/uploads/2026/04/CM2621101020-Gilbert_M_Talaue.pdf</w:t>
        </w:r>
      </w:hyperlink>
    </w:p>
    <w:p w14:paraId="20E585B6" w14:textId="77777777" w:rsidR="00F87275" w:rsidRPr="00385B88" w:rsidRDefault="00F87275" w:rsidP="00385B88">
      <w:pPr>
        <w:spacing w:after="240"/>
        <w:jc w:val="left"/>
        <w:rPr>
          <w:rFonts w:ascii="Arial" w:hAnsi="Arial" w:cs="Arial"/>
        </w:rPr>
      </w:pPr>
    </w:p>
    <w:p w14:paraId="174C2BF3" w14:textId="77777777" w:rsidR="007575B8" w:rsidRPr="00385B88" w:rsidRDefault="004D78AD" w:rsidP="00385B88">
      <w:pPr>
        <w:spacing w:after="240"/>
        <w:jc w:val="left"/>
        <w:rPr>
          <w:rFonts w:ascii="Arial" w:hAnsi="Arial" w:cs="Arial"/>
        </w:rPr>
      </w:pPr>
      <w:r w:rsidRPr="00385B88">
        <w:rPr>
          <w:rFonts w:ascii="Arial" w:hAnsi="Arial" w:cs="Arial"/>
        </w:rPr>
        <w:lastRenderedPageBreak/>
        <w:t>Tilman, C.B., UNTL, E.F., Belo, A.P., UNTL, D.F., dos Santos Seixas, H., HNGV, U., de Jesus Belo, J.F., UNTL, M.F., Guterres, D.J., Henriques, P. and MJ, C. (2025). The Literature Depth Review on the Study Design in Qualitative Research Methodology (2025). </w:t>
      </w:r>
      <w:r w:rsidRPr="00385B88">
        <w:rPr>
          <w:rFonts w:ascii="Arial" w:hAnsi="Arial" w:cs="Arial"/>
          <w:i/>
          <w:iCs/>
        </w:rPr>
        <w:t>American Journal of Medical and Clinical Research &amp; Reviews</w:t>
      </w:r>
      <w:r w:rsidRPr="00385B88">
        <w:rPr>
          <w:rFonts w:ascii="Arial" w:hAnsi="Arial" w:cs="Arial"/>
        </w:rPr>
        <w:t>, </w:t>
      </w:r>
      <w:r w:rsidRPr="00385B88">
        <w:rPr>
          <w:rFonts w:ascii="Arial" w:hAnsi="Arial" w:cs="Arial"/>
          <w:i/>
          <w:iCs/>
        </w:rPr>
        <w:t>4</w:t>
      </w:r>
      <w:r w:rsidRPr="00385B88">
        <w:rPr>
          <w:rFonts w:ascii="Arial" w:hAnsi="Arial" w:cs="Arial"/>
        </w:rPr>
        <w:t xml:space="preserve">(4), pp.1-10. </w:t>
      </w:r>
      <w:hyperlink r:id="rId91">
        <w:r w:rsidRPr="00385B88">
          <w:rPr>
            <w:rFonts w:ascii="Arial" w:hAnsi="Arial" w:cs="Arial"/>
            <w:color w:val="0000FF"/>
            <w:u w:val="single"/>
          </w:rPr>
          <w:t>https://ajmcrr.com/index.php/pub/article/view/297</w:t>
        </w:r>
      </w:hyperlink>
    </w:p>
    <w:p w14:paraId="603EDA59" w14:textId="77777777" w:rsidR="007575B8" w:rsidRDefault="004D78AD" w:rsidP="00385B88">
      <w:pPr>
        <w:jc w:val="left"/>
        <w:rPr>
          <w:rFonts w:ascii="Arial" w:hAnsi="Arial" w:cs="Arial"/>
        </w:rPr>
      </w:pPr>
      <w:r w:rsidRPr="00385B88">
        <w:rPr>
          <w:rFonts w:ascii="Arial" w:hAnsi="Arial" w:cs="Arial"/>
        </w:rPr>
        <w:t xml:space="preserve">Timextender, (2025). </w:t>
      </w:r>
      <w:r w:rsidRPr="00385B88">
        <w:rPr>
          <w:rFonts w:ascii="Arial" w:hAnsi="Arial" w:cs="Arial"/>
          <w:i/>
          <w:iCs/>
        </w:rPr>
        <w:t xml:space="preserve">North America </w:t>
      </w:r>
      <w:r w:rsidRPr="00385B88">
        <w:rPr>
          <w:rFonts w:ascii="Arial" w:hAnsi="Arial" w:cs="Arial"/>
          <w:i/>
          <w:iCs/>
          <w:color w:val="0F1020"/>
        </w:rPr>
        <w:t>&amp; Europe: A Tale of Two Approaches for ESG Regulations.</w:t>
      </w:r>
      <w:r w:rsidRPr="00385B88">
        <w:rPr>
          <w:rFonts w:ascii="Arial" w:hAnsi="Arial" w:cs="Arial"/>
          <w:color w:val="0F1020"/>
        </w:rPr>
        <w:t xml:space="preserve"> </w:t>
      </w:r>
      <w:r w:rsidRPr="00385B88">
        <w:rPr>
          <w:rFonts w:ascii="Arial" w:hAnsi="Arial" w:cs="Arial"/>
        </w:rPr>
        <w:t xml:space="preserve">Available at: </w:t>
      </w:r>
      <w:hyperlink r:id="rId92">
        <w:r w:rsidRPr="00385B88">
          <w:rPr>
            <w:rFonts w:ascii="Arial" w:hAnsi="Arial" w:cs="Arial"/>
            <w:color w:val="1155CC"/>
            <w:u w:val="single"/>
          </w:rPr>
          <w:t>https://www.timextender.com/blog/data-empowered-leadership/approaches-for-esg-regulations</w:t>
        </w:r>
      </w:hyperlink>
      <w:r w:rsidRPr="00385B88">
        <w:rPr>
          <w:rFonts w:ascii="Arial" w:hAnsi="Arial" w:cs="Arial"/>
          <w:color w:val="0F1020"/>
        </w:rPr>
        <w:t xml:space="preserve"> </w:t>
      </w:r>
      <w:r w:rsidRPr="00385B88">
        <w:rPr>
          <w:rFonts w:ascii="Arial" w:hAnsi="Arial" w:cs="Arial"/>
        </w:rPr>
        <w:t>[Accessed: 30 June 2026]</w:t>
      </w:r>
    </w:p>
    <w:p w14:paraId="20476C03" w14:textId="77777777" w:rsidR="00F87275" w:rsidRPr="00385B88" w:rsidRDefault="00F87275" w:rsidP="00385B88">
      <w:pPr>
        <w:jc w:val="left"/>
        <w:rPr>
          <w:rFonts w:ascii="Arial" w:hAnsi="Arial" w:cs="Arial"/>
          <w:color w:val="EE0000"/>
        </w:rPr>
      </w:pPr>
    </w:p>
    <w:p w14:paraId="664B76B3" w14:textId="77777777" w:rsidR="007575B8" w:rsidRPr="00385B88" w:rsidRDefault="004D78AD" w:rsidP="00385B88">
      <w:pPr>
        <w:spacing w:after="240"/>
        <w:jc w:val="left"/>
        <w:rPr>
          <w:rFonts w:ascii="Arial" w:hAnsi="Arial" w:cs="Arial"/>
        </w:rPr>
      </w:pPr>
      <w:r w:rsidRPr="00385B88">
        <w:rPr>
          <w:rFonts w:ascii="Arial" w:hAnsi="Arial" w:cs="Arial"/>
        </w:rPr>
        <w:t xml:space="preserve">Toivanen, P. (2025). Comparing sustainability practices and initiatives for achieving car-bon-neutral/more sustainable targets in airfreight. </w:t>
      </w:r>
      <w:hyperlink r:id="rId93">
        <w:r w:rsidRPr="00385B88">
          <w:rPr>
            <w:rFonts w:ascii="Arial" w:hAnsi="Arial" w:cs="Arial"/>
            <w:color w:val="0000FF"/>
            <w:u w:val="single"/>
          </w:rPr>
          <w:t>https://www.theseus.fi/handle/10024/901332</w:t>
        </w:r>
      </w:hyperlink>
    </w:p>
    <w:p w14:paraId="7815A038" w14:textId="77777777" w:rsidR="007575B8" w:rsidRPr="00385B88" w:rsidRDefault="004D78AD" w:rsidP="00385B88">
      <w:pPr>
        <w:spacing w:after="240"/>
        <w:jc w:val="left"/>
        <w:rPr>
          <w:rFonts w:ascii="Arial" w:hAnsi="Arial" w:cs="Arial"/>
        </w:rPr>
      </w:pPr>
      <w:r w:rsidRPr="00385B88">
        <w:rPr>
          <w:rFonts w:ascii="Arial" w:hAnsi="Arial" w:cs="Arial"/>
          <w:color w:val="000000"/>
        </w:rPr>
        <w:t>Tsoi, B.H.N. and Liu, J.C.E. (2025). Assessing airline communication for voluntary carbon offsets. </w:t>
      </w:r>
      <w:proofErr w:type="spellStart"/>
      <w:proofErr w:type="gramStart"/>
      <w:r w:rsidRPr="00385B88">
        <w:rPr>
          <w:rFonts w:ascii="Arial" w:hAnsi="Arial" w:cs="Arial"/>
          <w:i/>
          <w:iCs/>
          <w:color w:val="000000"/>
        </w:rPr>
        <w:t>npj</w:t>
      </w:r>
      <w:proofErr w:type="spellEnd"/>
      <w:proofErr w:type="gramEnd"/>
      <w:r w:rsidRPr="00385B88">
        <w:rPr>
          <w:rFonts w:ascii="Arial" w:hAnsi="Arial" w:cs="Arial"/>
          <w:i/>
          <w:iCs/>
          <w:color w:val="000000"/>
        </w:rPr>
        <w:t xml:space="preserve"> Sustainable Mobility and Transport</w:t>
      </w:r>
      <w:r w:rsidRPr="00385B88">
        <w:rPr>
          <w:rFonts w:ascii="Arial" w:hAnsi="Arial" w:cs="Arial"/>
          <w:color w:val="000000"/>
        </w:rPr>
        <w:t>, </w:t>
      </w:r>
      <w:r w:rsidRPr="00385B88">
        <w:rPr>
          <w:rFonts w:ascii="Arial" w:hAnsi="Arial" w:cs="Arial"/>
          <w:i/>
          <w:iCs/>
          <w:color w:val="000000"/>
        </w:rPr>
        <w:t>2</w:t>
      </w:r>
      <w:r w:rsidRPr="00385B88">
        <w:rPr>
          <w:rFonts w:ascii="Arial" w:hAnsi="Arial" w:cs="Arial"/>
          <w:color w:val="000000"/>
        </w:rPr>
        <w:t xml:space="preserve">(1), p.10. </w:t>
      </w:r>
      <w:hyperlink r:id="rId94">
        <w:r w:rsidRPr="00385B88">
          <w:rPr>
            <w:rFonts w:ascii="Arial" w:hAnsi="Arial" w:cs="Arial"/>
            <w:color w:val="0000FF"/>
            <w:u w:val="single"/>
          </w:rPr>
          <w:t>https://www.nature.com/articles/s44333-025-00027-7</w:t>
        </w:r>
      </w:hyperlink>
    </w:p>
    <w:p w14:paraId="70B07376" w14:textId="77777777" w:rsidR="007575B8" w:rsidRPr="00385B88" w:rsidRDefault="004D78AD" w:rsidP="00385B88">
      <w:pPr>
        <w:spacing w:after="240"/>
        <w:jc w:val="left"/>
        <w:rPr>
          <w:rFonts w:ascii="Arial" w:hAnsi="Arial" w:cs="Arial"/>
        </w:rPr>
      </w:pPr>
      <w:r w:rsidRPr="00385B88">
        <w:rPr>
          <w:rFonts w:ascii="Arial" w:hAnsi="Arial" w:cs="Arial"/>
        </w:rPr>
        <w:t>Tusquellas, N., López-Villanueva, D., Palau, R. and Santiago, R. (2025). Educational Conceptual Model Design Research Methodology. </w:t>
      </w:r>
      <w:r w:rsidRPr="00385B88">
        <w:rPr>
          <w:rFonts w:ascii="Arial" w:hAnsi="Arial" w:cs="Arial"/>
          <w:i/>
          <w:iCs/>
        </w:rPr>
        <w:t>UTE Teaching &amp; Technology (</w:t>
      </w:r>
      <w:proofErr w:type="spellStart"/>
      <w:r w:rsidRPr="00385B88">
        <w:rPr>
          <w:rFonts w:ascii="Arial" w:hAnsi="Arial" w:cs="Arial"/>
          <w:i/>
          <w:iCs/>
        </w:rPr>
        <w:t>Universitas</w:t>
      </w:r>
      <w:proofErr w:type="spellEnd"/>
      <w:r w:rsidRPr="00385B88">
        <w:rPr>
          <w:rFonts w:ascii="Arial" w:hAnsi="Arial" w:cs="Arial"/>
          <w:i/>
          <w:iCs/>
        </w:rPr>
        <w:t xml:space="preserve"> Tarraconensis)</w:t>
      </w:r>
      <w:r w:rsidRPr="00385B88">
        <w:rPr>
          <w:rFonts w:ascii="Arial" w:hAnsi="Arial" w:cs="Arial"/>
        </w:rPr>
        <w:t xml:space="preserve">, (2), pp.e4103-e4103. </w:t>
      </w:r>
      <w:hyperlink r:id="rId95">
        <w:r w:rsidRPr="00385B88">
          <w:rPr>
            <w:rFonts w:ascii="Arial" w:hAnsi="Arial" w:cs="Arial"/>
            <w:color w:val="0000FF"/>
            <w:u w:val="single"/>
          </w:rPr>
          <w:t>https://revistes.urv.cat/index.php/ute/article/view/4103</w:t>
        </w:r>
      </w:hyperlink>
    </w:p>
    <w:p w14:paraId="3C4A5E18" w14:textId="5AEBB86E" w:rsidR="007575B8" w:rsidRPr="00385B88" w:rsidRDefault="004D78AD" w:rsidP="00385B88">
      <w:pPr>
        <w:spacing w:after="240"/>
        <w:jc w:val="left"/>
        <w:rPr>
          <w:rFonts w:ascii="Arial" w:hAnsi="Arial" w:cs="Arial"/>
        </w:rPr>
      </w:pPr>
      <w:r w:rsidRPr="00385B88">
        <w:rPr>
          <w:rFonts w:ascii="Arial" w:hAnsi="Arial" w:cs="Arial"/>
          <w:color w:val="222222"/>
          <w:highlight w:val="white"/>
        </w:rPr>
        <w:t xml:space="preserve">Verbruggen, P. and Schuijers, A. (2025). Greenwashing the Aviation Industry? On the Lawful Use of ‘Sustainable Aviation Fuel’Claims in Airline Advertising </w:t>
      </w:r>
      <w:r w:rsidR="00EF0484" w:rsidRPr="00385B88">
        <w:rPr>
          <w:rFonts w:ascii="Arial" w:hAnsi="Arial" w:cs="Arial"/>
          <w:color w:val="222222"/>
          <w:highlight w:val="white"/>
        </w:rPr>
        <w:t>under</w:t>
      </w:r>
      <w:r w:rsidRPr="00385B88">
        <w:rPr>
          <w:rFonts w:ascii="Arial" w:hAnsi="Arial" w:cs="Arial"/>
          <w:color w:val="222222"/>
          <w:highlight w:val="white"/>
        </w:rPr>
        <w:t xml:space="preserve"> European Consumer Law. </w:t>
      </w:r>
      <w:r w:rsidRPr="00385B88">
        <w:rPr>
          <w:rFonts w:ascii="Arial" w:hAnsi="Arial" w:cs="Arial"/>
          <w:i/>
          <w:iCs/>
          <w:color w:val="222222"/>
          <w:highlight w:val="white"/>
        </w:rPr>
        <w:t>Tilburg Law Review</w:t>
      </w:r>
      <w:r w:rsidRPr="00385B88">
        <w:rPr>
          <w:rFonts w:ascii="Arial" w:hAnsi="Arial" w:cs="Arial"/>
          <w:color w:val="222222"/>
          <w:highlight w:val="white"/>
        </w:rPr>
        <w:t>, </w:t>
      </w:r>
      <w:r w:rsidRPr="00385B88">
        <w:rPr>
          <w:rFonts w:ascii="Arial" w:hAnsi="Arial" w:cs="Arial"/>
          <w:i/>
          <w:iCs/>
          <w:color w:val="222222"/>
          <w:highlight w:val="white"/>
        </w:rPr>
        <w:t>30</w:t>
      </w:r>
      <w:r w:rsidRPr="00385B88">
        <w:rPr>
          <w:rFonts w:ascii="Arial" w:hAnsi="Arial" w:cs="Arial"/>
          <w:color w:val="222222"/>
          <w:highlight w:val="white"/>
        </w:rPr>
        <w:t xml:space="preserve">(2). </w:t>
      </w:r>
      <w:hyperlink r:id="rId96">
        <w:r w:rsidRPr="00385B88">
          <w:rPr>
            <w:rFonts w:ascii="Arial" w:hAnsi="Arial" w:cs="Arial"/>
            <w:color w:val="0000FF"/>
            <w:highlight w:val="white"/>
            <w:u w:val="single"/>
          </w:rPr>
          <w:t>https://tilburglawreview.com/en/articles/10.5334/tilr.411</w:t>
        </w:r>
      </w:hyperlink>
    </w:p>
    <w:p w14:paraId="0C088BAC" w14:textId="77777777" w:rsidR="007575B8" w:rsidRPr="00385B88" w:rsidRDefault="004D78AD" w:rsidP="00385B88">
      <w:pPr>
        <w:spacing w:after="240"/>
        <w:jc w:val="left"/>
        <w:rPr>
          <w:rFonts w:ascii="Arial" w:hAnsi="Arial" w:cs="Arial"/>
          <w:color w:val="222222"/>
          <w:highlight w:val="white"/>
        </w:rPr>
      </w:pPr>
      <w:r w:rsidRPr="00385B88">
        <w:rPr>
          <w:rFonts w:ascii="Arial" w:hAnsi="Arial" w:cs="Arial"/>
          <w:color w:val="222222"/>
          <w:highlight w:val="white"/>
        </w:rPr>
        <w:t>Wandelt, S., Zhang, Y. and Sun, X. (2025). Sustainable aviation fuels: A meta-review of surveys and key challenges. </w:t>
      </w:r>
      <w:r w:rsidRPr="00385B88">
        <w:rPr>
          <w:rFonts w:ascii="Arial" w:hAnsi="Arial" w:cs="Arial"/>
          <w:i/>
          <w:iCs/>
          <w:color w:val="222222"/>
          <w:highlight w:val="white"/>
        </w:rPr>
        <w:t>Journal of the Air Transport Research Society</w:t>
      </w:r>
      <w:r w:rsidRPr="00385B88">
        <w:rPr>
          <w:rFonts w:ascii="Arial" w:hAnsi="Arial" w:cs="Arial"/>
          <w:color w:val="222222"/>
          <w:highlight w:val="white"/>
        </w:rPr>
        <w:t>, </w:t>
      </w:r>
      <w:r w:rsidRPr="00385B88">
        <w:rPr>
          <w:rFonts w:ascii="Arial" w:hAnsi="Arial" w:cs="Arial"/>
          <w:i/>
          <w:iCs/>
          <w:color w:val="222222"/>
          <w:highlight w:val="white"/>
        </w:rPr>
        <w:t>4</w:t>
      </w:r>
      <w:r w:rsidRPr="00385B88">
        <w:rPr>
          <w:rFonts w:ascii="Arial" w:hAnsi="Arial" w:cs="Arial"/>
          <w:color w:val="222222"/>
          <w:highlight w:val="white"/>
        </w:rPr>
        <w:t xml:space="preserve">, p.100056. </w:t>
      </w:r>
      <w:hyperlink r:id="rId97">
        <w:r w:rsidRPr="00385B88">
          <w:rPr>
            <w:rFonts w:ascii="Arial" w:hAnsi="Arial" w:cs="Arial"/>
            <w:color w:val="0000FF"/>
            <w:highlight w:val="white"/>
            <w:u w:val="single"/>
          </w:rPr>
          <w:t>https://www.sciencedirect.com/science/article/pii/S2941198X24000678</w:t>
        </w:r>
      </w:hyperlink>
    </w:p>
    <w:p w14:paraId="3EE30DDE" w14:textId="77777777" w:rsidR="007575B8" w:rsidRPr="00385B88" w:rsidRDefault="004D78AD" w:rsidP="00385B88">
      <w:pPr>
        <w:spacing w:after="240"/>
        <w:jc w:val="left"/>
        <w:rPr>
          <w:rFonts w:ascii="Arial" w:hAnsi="Arial" w:cs="Arial"/>
        </w:rPr>
      </w:pPr>
      <w:r w:rsidRPr="00385B88">
        <w:rPr>
          <w:rFonts w:ascii="Arial" w:hAnsi="Arial" w:cs="Arial"/>
        </w:rPr>
        <w:t>Weber, O., Jones, D. and Makinde, A. (2025). The Connection between Sustainability Ratings and Financial Performance in the Aviation Industry. </w:t>
      </w:r>
      <w:r w:rsidRPr="00385B88">
        <w:rPr>
          <w:rFonts w:ascii="Arial" w:hAnsi="Arial" w:cs="Arial"/>
          <w:i/>
          <w:iCs/>
        </w:rPr>
        <w:t>Available at SSRN 5279501</w:t>
      </w:r>
      <w:r w:rsidRPr="00385B88">
        <w:rPr>
          <w:rFonts w:ascii="Arial" w:hAnsi="Arial" w:cs="Arial"/>
        </w:rPr>
        <w:t xml:space="preserve">. </w:t>
      </w:r>
      <w:hyperlink r:id="rId98">
        <w:r w:rsidRPr="00385B88">
          <w:rPr>
            <w:rFonts w:ascii="Arial" w:hAnsi="Arial" w:cs="Arial"/>
            <w:color w:val="0000FF"/>
            <w:u w:val="single"/>
          </w:rPr>
          <w:t>https://papers.ssrn.com/sol3/papers.cfm?abstract_id=5279501</w:t>
        </w:r>
      </w:hyperlink>
    </w:p>
    <w:p w14:paraId="2797C2F5" w14:textId="77777777" w:rsidR="007575B8" w:rsidRPr="00385B88" w:rsidRDefault="004D78AD" w:rsidP="00385B88">
      <w:pPr>
        <w:spacing w:after="240"/>
        <w:jc w:val="left"/>
        <w:rPr>
          <w:rFonts w:ascii="Arial" w:hAnsi="Arial" w:cs="Arial"/>
        </w:rPr>
      </w:pPr>
      <w:r w:rsidRPr="00385B88">
        <w:rPr>
          <w:rFonts w:ascii="Arial" w:hAnsi="Arial" w:cs="Arial"/>
        </w:rPr>
        <w:lastRenderedPageBreak/>
        <w:t>Wulandari, P. (2026). Normative Legal Research Methodology from the Experts' Perspective: A Comparative Analysis of Concepts and Approaches. </w:t>
      </w:r>
      <w:r w:rsidRPr="00385B88">
        <w:rPr>
          <w:rFonts w:ascii="Arial" w:hAnsi="Arial" w:cs="Arial"/>
          <w:i/>
          <w:iCs/>
        </w:rPr>
        <w:t>Archipel: Journal of Indonesian Interdisciplinary Studies</w:t>
      </w:r>
      <w:r w:rsidRPr="00385B88">
        <w:rPr>
          <w:rFonts w:ascii="Arial" w:hAnsi="Arial" w:cs="Arial"/>
        </w:rPr>
        <w:t>, </w:t>
      </w:r>
      <w:r w:rsidRPr="00385B88">
        <w:rPr>
          <w:rFonts w:ascii="Arial" w:hAnsi="Arial" w:cs="Arial"/>
          <w:i/>
          <w:iCs/>
        </w:rPr>
        <w:t>1</w:t>
      </w:r>
      <w:r w:rsidRPr="00385B88">
        <w:rPr>
          <w:rFonts w:ascii="Arial" w:hAnsi="Arial" w:cs="Arial"/>
        </w:rPr>
        <w:t xml:space="preserve">(6), pp.12-25. </w:t>
      </w:r>
      <w:hyperlink r:id="rId99">
        <w:r w:rsidRPr="00385B88">
          <w:rPr>
            <w:rFonts w:ascii="Arial" w:hAnsi="Arial" w:cs="Arial"/>
            <w:color w:val="0000FF"/>
            <w:u w:val="single"/>
          </w:rPr>
          <w:t>https://ojsap.com/index.php/archipel/article/view/34</w:t>
        </w:r>
      </w:hyperlink>
    </w:p>
    <w:p w14:paraId="041F0B85" w14:textId="77777777" w:rsidR="007575B8" w:rsidRPr="00385B88" w:rsidRDefault="004D78AD" w:rsidP="00385B88">
      <w:pPr>
        <w:spacing w:after="240"/>
        <w:jc w:val="left"/>
        <w:rPr>
          <w:rFonts w:ascii="Arial" w:hAnsi="Arial" w:cs="Arial"/>
        </w:rPr>
      </w:pPr>
      <w:r w:rsidRPr="00385B88">
        <w:rPr>
          <w:rFonts w:ascii="Arial" w:hAnsi="Arial" w:cs="Arial"/>
          <w:color w:val="000000"/>
        </w:rPr>
        <w:t>Yaylalı, İ. and Kahraman, F. (2025). The role of accounting in managing climate change and a practice in the aviation industry. </w:t>
      </w:r>
      <w:r w:rsidRPr="00385B88">
        <w:rPr>
          <w:rFonts w:ascii="Arial" w:hAnsi="Arial" w:cs="Arial"/>
          <w:i/>
          <w:iCs/>
          <w:color w:val="000000"/>
        </w:rPr>
        <w:t>International Journal of Social Inquiry</w:t>
      </w:r>
      <w:r w:rsidRPr="00385B88">
        <w:rPr>
          <w:rFonts w:ascii="Arial" w:hAnsi="Arial" w:cs="Arial"/>
          <w:color w:val="000000"/>
        </w:rPr>
        <w:t>, </w:t>
      </w:r>
      <w:r w:rsidRPr="00385B88">
        <w:rPr>
          <w:rFonts w:ascii="Arial" w:hAnsi="Arial" w:cs="Arial"/>
          <w:i/>
          <w:iCs/>
          <w:color w:val="000000"/>
        </w:rPr>
        <w:t>18</w:t>
      </w:r>
      <w:r w:rsidRPr="00385B88">
        <w:rPr>
          <w:rFonts w:ascii="Arial" w:hAnsi="Arial" w:cs="Arial"/>
          <w:color w:val="000000"/>
        </w:rPr>
        <w:t xml:space="preserve">(1), pp.51-70. </w:t>
      </w:r>
      <w:hyperlink r:id="rId100">
        <w:r w:rsidRPr="00385B88">
          <w:rPr>
            <w:rFonts w:ascii="Arial" w:hAnsi="Arial" w:cs="Arial"/>
            <w:color w:val="0000FF"/>
            <w:u w:val="single"/>
          </w:rPr>
          <w:t>https://dergipark.org.tr/en/pub/ijsi/article/1524169</w:t>
        </w:r>
      </w:hyperlink>
    </w:p>
    <w:p w14:paraId="3609B0FA" w14:textId="77777777" w:rsidR="007575B8" w:rsidRPr="00385B88" w:rsidRDefault="004D78AD" w:rsidP="00385B88">
      <w:pPr>
        <w:spacing w:after="240"/>
        <w:jc w:val="left"/>
        <w:rPr>
          <w:rFonts w:ascii="Arial" w:hAnsi="Arial" w:cs="Arial"/>
        </w:rPr>
      </w:pPr>
      <w:r w:rsidRPr="00385B88">
        <w:rPr>
          <w:rFonts w:ascii="Arial" w:hAnsi="Arial" w:cs="Arial"/>
          <w:color w:val="000000"/>
        </w:rPr>
        <w:t>Zengin, B. (2025). The Impact of ESG Performance on Financial Profitability: Evidence from the Aviation Sector in EU Countries. </w:t>
      </w:r>
      <w:r w:rsidRPr="00385B88">
        <w:rPr>
          <w:rFonts w:ascii="Arial" w:hAnsi="Arial" w:cs="Arial"/>
          <w:i/>
          <w:iCs/>
          <w:color w:val="000000"/>
        </w:rPr>
        <w:t>Journal of Aviation</w:t>
      </w:r>
      <w:r w:rsidRPr="00385B88">
        <w:rPr>
          <w:rFonts w:ascii="Arial" w:hAnsi="Arial" w:cs="Arial"/>
          <w:color w:val="000000"/>
        </w:rPr>
        <w:t>, </w:t>
      </w:r>
      <w:r w:rsidRPr="00385B88">
        <w:rPr>
          <w:rFonts w:ascii="Arial" w:hAnsi="Arial" w:cs="Arial"/>
          <w:i/>
          <w:iCs/>
          <w:color w:val="000000"/>
        </w:rPr>
        <w:t>9</w:t>
      </w:r>
      <w:r w:rsidRPr="00385B88">
        <w:rPr>
          <w:rFonts w:ascii="Arial" w:hAnsi="Arial" w:cs="Arial"/>
          <w:color w:val="000000"/>
        </w:rPr>
        <w:t xml:space="preserve">(3), pp.600-608. </w:t>
      </w:r>
      <w:hyperlink r:id="rId101">
        <w:r w:rsidRPr="00385B88">
          <w:rPr>
            <w:rFonts w:ascii="Arial" w:hAnsi="Arial" w:cs="Arial"/>
            <w:color w:val="0000FF"/>
            <w:u w:val="single"/>
          </w:rPr>
          <w:t>https://dergipark.org.tr/en/pub/jav/article/1768349?issue_id=95121</w:t>
        </w:r>
      </w:hyperlink>
    </w:p>
    <w:sectPr w:rsidR="007575B8" w:rsidRPr="00385B88">
      <w:footerReference w:type="default" r:id="rId10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FDE3D" w14:textId="77777777" w:rsidR="00697E31" w:rsidRDefault="00697E31">
      <w:pPr>
        <w:spacing w:line="240" w:lineRule="auto"/>
      </w:pPr>
      <w:r>
        <w:separator/>
      </w:r>
    </w:p>
  </w:endnote>
  <w:endnote w:type="continuationSeparator" w:id="0">
    <w:p w14:paraId="79CC9ABC" w14:textId="77777777" w:rsidR="00697E31" w:rsidRDefault="00697E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56CEA69-6B49-4527-9496-BE820C27615F}"/>
  </w:font>
  <w:font w:name="Calibri">
    <w:panose1 w:val="020F0502020204030204"/>
    <w:charset w:val="00"/>
    <w:family w:val="swiss"/>
    <w:pitch w:val="variable"/>
    <w:sig w:usb0="E4002EFF" w:usb1="C000247B" w:usb2="00000009" w:usb3="00000000" w:csb0="000001FF" w:csb1="00000000"/>
    <w:embedRegular r:id="rId2" w:fontKey="{E5B7DAEA-EFD8-4107-8F36-23CA5C08DECC}"/>
  </w:font>
  <w:font w:name="Segoe UI">
    <w:panose1 w:val="020B0502040204020203"/>
    <w:charset w:val="00"/>
    <w:family w:val="swiss"/>
    <w:pitch w:val="variable"/>
    <w:sig w:usb0="E4002EFF" w:usb1="C000E47F" w:usb2="00000009" w:usb3="00000000" w:csb0="000001FF" w:csb1="00000000"/>
    <w:embedRegular r:id="rId3" w:fontKey="{B8BE0EC9-7824-467C-A34C-DEE7AA5BFE59}"/>
  </w:font>
  <w:font w:name="Cambria Math">
    <w:panose1 w:val="02040503050406030204"/>
    <w:charset w:val="00"/>
    <w:family w:val="roman"/>
    <w:pitch w:val="variable"/>
    <w:sig w:usb0="E00006FF" w:usb1="420024FF" w:usb2="02000000" w:usb3="00000000" w:csb0="0000019F" w:csb1="00000000"/>
    <w:embedRegular r:id="rId4" w:fontKey="{87CBDE6D-EC6A-46D1-814D-154504ECA287}"/>
    <w:embedBold r:id="rId5" w:fontKey="{E49F4D8B-E7CB-48F0-BF37-B8E18F4DA95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EAFCF" w14:textId="77777777" w:rsidR="008060F9" w:rsidRDefault="008060F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53850">
      <w:rPr>
        <w:noProof/>
        <w:color w:val="000000"/>
      </w:rPr>
      <w:t>14</w:t>
    </w:r>
    <w:r>
      <w:rPr>
        <w:color w:val="000000"/>
      </w:rPr>
      <w:fldChar w:fldCharType="end"/>
    </w:r>
  </w:p>
  <w:p w14:paraId="7DFB8A29" w14:textId="77777777" w:rsidR="008060F9" w:rsidRDefault="008060F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41683" w14:textId="77777777" w:rsidR="00697E31" w:rsidRDefault="00697E31">
      <w:pPr>
        <w:spacing w:line="240" w:lineRule="auto"/>
      </w:pPr>
      <w:r>
        <w:separator/>
      </w:r>
    </w:p>
  </w:footnote>
  <w:footnote w:type="continuationSeparator" w:id="0">
    <w:p w14:paraId="19B93C81" w14:textId="77777777" w:rsidR="00697E31" w:rsidRDefault="00697E3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9537F"/>
    <w:multiLevelType w:val="multilevel"/>
    <w:tmpl w:val="0F66FD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5DA75E2"/>
    <w:multiLevelType w:val="multilevel"/>
    <w:tmpl w:val="5768934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4BA66B13"/>
    <w:multiLevelType w:val="multilevel"/>
    <w:tmpl w:val="02745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5B8"/>
    <w:rsid w:val="0002175F"/>
    <w:rsid w:val="00024BB0"/>
    <w:rsid w:val="000517A6"/>
    <w:rsid w:val="000D1EE7"/>
    <w:rsid w:val="00186555"/>
    <w:rsid w:val="001A5DCE"/>
    <w:rsid w:val="001A6BA7"/>
    <w:rsid w:val="001E6882"/>
    <w:rsid w:val="002909D4"/>
    <w:rsid w:val="002920D5"/>
    <w:rsid w:val="00341E4C"/>
    <w:rsid w:val="00385B88"/>
    <w:rsid w:val="003A3064"/>
    <w:rsid w:val="004164DD"/>
    <w:rsid w:val="004234DB"/>
    <w:rsid w:val="004404AC"/>
    <w:rsid w:val="004644B1"/>
    <w:rsid w:val="0048631F"/>
    <w:rsid w:val="004B585E"/>
    <w:rsid w:val="004D78AD"/>
    <w:rsid w:val="004E2739"/>
    <w:rsid w:val="00595442"/>
    <w:rsid w:val="005A1478"/>
    <w:rsid w:val="00673E8B"/>
    <w:rsid w:val="006754F9"/>
    <w:rsid w:val="006958F8"/>
    <w:rsid w:val="00697E31"/>
    <w:rsid w:val="006D3AD0"/>
    <w:rsid w:val="00733F20"/>
    <w:rsid w:val="007575B8"/>
    <w:rsid w:val="007C7325"/>
    <w:rsid w:val="007D5CC6"/>
    <w:rsid w:val="007D6205"/>
    <w:rsid w:val="00801D4E"/>
    <w:rsid w:val="008060F9"/>
    <w:rsid w:val="00851E97"/>
    <w:rsid w:val="008E1321"/>
    <w:rsid w:val="00920F3E"/>
    <w:rsid w:val="0092504C"/>
    <w:rsid w:val="00932EA2"/>
    <w:rsid w:val="00936EA4"/>
    <w:rsid w:val="00942D94"/>
    <w:rsid w:val="009A5D4F"/>
    <w:rsid w:val="00A45335"/>
    <w:rsid w:val="00A55E3F"/>
    <w:rsid w:val="00A914D6"/>
    <w:rsid w:val="00B53850"/>
    <w:rsid w:val="00C10C8A"/>
    <w:rsid w:val="00C3489E"/>
    <w:rsid w:val="00C67386"/>
    <w:rsid w:val="00CA0992"/>
    <w:rsid w:val="00CB6A49"/>
    <w:rsid w:val="00D05358"/>
    <w:rsid w:val="00D943BF"/>
    <w:rsid w:val="00DB7130"/>
    <w:rsid w:val="00DF11E0"/>
    <w:rsid w:val="00E34A8A"/>
    <w:rsid w:val="00E9596A"/>
    <w:rsid w:val="00E965F3"/>
    <w:rsid w:val="00E96FBE"/>
    <w:rsid w:val="00EF0484"/>
    <w:rsid w:val="00F10A14"/>
    <w:rsid w:val="00F20203"/>
    <w:rsid w:val="00F87275"/>
    <w:rsid w:val="00F92F24"/>
    <w:rsid w:val="00FA248A"/>
    <w:rsid w:val="00FD61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5B3C7"/>
  <w15:docId w15:val="{681E8EAA-3C6C-4195-840C-92B51992D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jc w:val="center"/>
      <w:outlineLvl w:val="3"/>
    </w:pPr>
    <w:rPr>
      <w:b/>
      <w:bCs/>
    </w:rPr>
  </w:style>
  <w:style w:type="paragraph" w:styleId="Heading5">
    <w:name w:val="heading 5"/>
    <w:basedOn w:val="Normal"/>
    <w:next w:val="Normal"/>
    <w:uiPriority w:val="9"/>
    <w:unhideWhenUsed/>
    <w:qFormat/>
    <w:pPr>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3A3064"/>
    <w:pPr>
      <w:spacing w:after="100"/>
    </w:pPr>
  </w:style>
  <w:style w:type="paragraph" w:styleId="TOC2">
    <w:name w:val="toc 2"/>
    <w:basedOn w:val="Normal"/>
    <w:next w:val="Normal"/>
    <w:autoRedefine/>
    <w:uiPriority w:val="39"/>
    <w:unhideWhenUsed/>
    <w:rsid w:val="003A3064"/>
    <w:pPr>
      <w:spacing w:after="100"/>
      <w:ind w:left="240"/>
    </w:pPr>
  </w:style>
  <w:style w:type="paragraph" w:styleId="TOC4">
    <w:name w:val="toc 4"/>
    <w:basedOn w:val="Normal"/>
    <w:next w:val="Normal"/>
    <w:autoRedefine/>
    <w:uiPriority w:val="39"/>
    <w:unhideWhenUsed/>
    <w:rsid w:val="003A3064"/>
    <w:pPr>
      <w:spacing w:after="100"/>
      <w:ind w:left="720"/>
    </w:pPr>
  </w:style>
  <w:style w:type="paragraph" w:styleId="TOC3">
    <w:name w:val="toc 3"/>
    <w:basedOn w:val="Normal"/>
    <w:next w:val="Normal"/>
    <w:autoRedefine/>
    <w:uiPriority w:val="39"/>
    <w:unhideWhenUsed/>
    <w:rsid w:val="003A3064"/>
    <w:pPr>
      <w:spacing w:after="100"/>
      <w:ind w:left="480"/>
    </w:pPr>
  </w:style>
  <w:style w:type="paragraph" w:styleId="TOC5">
    <w:name w:val="toc 5"/>
    <w:basedOn w:val="Normal"/>
    <w:next w:val="Normal"/>
    <w:autoRedefine/>
    <w:uiPriority w:val="39"/>
    <w:unhideWhenUsed/>
    <w:rsid w:val="003A3064"/>
    <w:pPr>
      <w:spacing w:after="100"/>
      <w:ind w:left="960"/>
    </w:pPr>
  </w:style>
  <w:style w:type="paragraph" w:styleId="TOC6">
    <w:name w:val="toc 6"/>
    <w:basedOn w:val="Normal"/>
    <w:next w:val="Normal"/>
    <w:autoRedefine/>
    <w:uiPriority w:val="39"/>
    <w:unhideWhenUsed/>
    <w:rsid w:val="003A3064"/>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3A3064"/>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3A3064"/>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3A3064"/>
    <w:pPr>
      <w:spacing w:after="100" w:line="259" w:lineRule="auto"/>
      <w:ind w:left="176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3A3064"/>
    <w:rPr>
      <w:color w:val="0000FF" w:themeColor="hyperlink"/>
      <w:u w:val="single"/>
    </w:rPr>
  </w:style>
  <w:style w:type="character" w:customStyle="1" w:styleId="UnresolvedMention">
    <w:name w:val="Unresolved Mention"/>
    <w:basedOn w:val="DefaultParagraphFont"/>
    <w:uiPriority w:val="99"/>
    <w:semiHidden/>
    <w:unhideWhenUsed/>
    <w:rsid w:val="003A3064"/>
    <w:rPr>
      <w:color w:val="605E5C"/>
      <w:shd w:val="clear" w:color="auto" w:fill="E1DFDD"/>
    </w:rPr>
  </w:style>
  <w:style w:type="paragraph" w:styleId="TOCHeading">
    <w:name w:val="TOC Heading"/>
    <w:basedOn w:val="Heading1"/>
    <w:next w:val="Normal"/>
    <w:uiPriority w:val="39"/>
    <w:unhideWhenUsed/>
    <w:qFormat/>
    <w:rsid w:val="003A306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ableofFigures">
    <w:name w:val="table of figures"/>
    <w:basedOn w:val="Normal"/>
    <w:next w:val="Normal"/>
    <w:uiPriority w:val="99"/>
    <w:unhideWhenUsed/>
    <w:rsid w:val="003A3064"/>
  </w:style>
  <w:style w:type="character" w:styleId="CommentReference">
    <w:name w:val="annotation reference"/>
    <w:basedOn w:val="DefaultParagraphFont"/>
    <w:uiPriority w:val="99"/>
    <w:semiHidden/>
    <w:unhideWhenUsed/>
    <w:rsid w:val="00D943BF"/>
    <w:rPr>
      <w:sz w:val="16"/>
      <w:szCs w:val="16"/>
    </w:rPr>
  </w:style>
  <w:style w:type="paragraph" w:styleId="CommentText">
    <w:name w:val="annotation text"/>
    <w:basedOn w:val="Normal"/>
    <w:link w:val="CommentTextChar"/>
    <w:uiPriority w:val="99"/>
    <w:semiHidden/>
    <w:unhideWhenUsed/>
    <w:rsid w:val="00D943BF"/>
    <w:pPr>
      <w:spacing w:line="240" w:lineRule="auto"/>
    </w:pPr>
    <w:rPr>
      <w:sz w:val="20"/>
      <w:szCs w:val="20"/>
    </w:rPr>
  </w:style>
  <w:style w:type="character" w:customStyle="1" w:styleId="CommentTextChar">
    <w:name w:val="Comment Text Char"/>
    <w:basedOn w:val="DefaultParagraphFont"/>
    <w:link w:val="CommentText"/>
    <w:uiPriority w:val="99"/>
    <w:semiHidden/>
    <w:rsid w:val="00D943BF"/>
    <w:rPr>
      <w:sz w:val="20"/>
      <w:szCs w:val="20"/>
    </w:rPr>
  </w:style>
  <w:style w:type="paragraph" w:styleId="CommentSubject">
    <w:name w:val="annotation subject"/>
    <w:basedOn w:val="CommentText"/>
    <w:next w:val="CommentText"/>
    <w:link w:val="CommentSubjectChar"/>
    <w:uiPriority w:val="99"/>
    <w:semiHidden/>
    <w:unhideWhenUsed/>
    <w:rsid w:val="00D943BF"/>
    <w:rPr>
      <w:b/>
      <w:bCs/>
    </w:rPr>
  </w:style>
  <w:style w:type="character" w:customStyle="1" w:styleId="CommentSubjectChar">
    <w:name w:val="Comment Subject Char"/>
    <w:basedOn w:val="CommentTextChar"/>
    <w:link w:val="CommentSubject"/>
    <w:uiPriority w:val="99"/>
    <w:semiHidden/>
    <w:rsid w:val="00D943BF"/>
    <w:rPr>
      <w:b/>
      <w:bCs/>
      <w:sz w:val="20"/>
      <w:szCs w:val="20"/>
    </w:rPr>
  </w:style>
  <w:style w:type="paragraph" w:styleId="BalloonText">
    <w:name w:val="Balloon Text"/>
    <w:basedOn w:val="Normal"/>
    <w:link w:val="BalloonTextChar"/>
    <w:uiPriority w:val="99"/>
    <w:semiHidden/>
    <w:unhideWhenUsed/>
    <w:rsid w:val="00D943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3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full/10.1002/bse.2937?utm_source=chatgpt.com" TargetMode="External"/><Relationship Id="rId21" Type="http://schemas.openxmlformats.org/officeDocument/2006/relationships/hyperlink" Target="https://www.adopter.net/knowledge-hub/35-statistics-on-sustainable-aviation-you-need-to-know-in-2026" TargetMode="External"/><Relationship Id="rId42" Type="http://schemas.openxmlformats.org/officeDocument/2006/relationships/hyperlink" Target="https://www.cambridge.org/core/journals/european-journal-of-risk-regulation/article/materiality-in-transition-challenges-and-opportunities-in-corporate-sustainability-reporting-under-the-csrd/7E94EDD3DFE699DCD3118508F43DB16A" TargetMode="External"/><Relationship Id="rId47" Type="http://schemas.openxmlformats.org/officeDocument/2006/relationships/hyperlink" Target="https://dergipark.org.tr/en/pub/ijegeo/issue/68801/1083921" TargetMode="External"/><Relationship Id="rId63" Type="http://schemas.openxmlformats.org/officeDocument/2006/relationships/hyperlink" Target="http://pjssrjournal.com/index.php/Journal/article/view/94" TargetMode="External"/><Relationship Id="rId68" Type="http://schemas.openxmlformats.org/officeDocument/2006/relationships/hyperlink" Target="https://link.springer.com/article/10.1057/s41267-025-00774-2" TargetMode="External"/><Relationship Id="rId84" Type="http://schemas.openxmlformats.org/officeDocument/2006/relationships/hyperlink" Target="https://onlinelibrary.wiley.com/doi/abs/10.1002/bse.4235" TargetMode="External"/><Relationship Id="rId89" Type="http://schemas.openxmlformats.org/officeDocument/2006/relationships/hyperlink" Target="https://ijost.upi.edu/index.php/ijost/article/view/439" TargetMode="External"/><Relationship Id="rId7" Type="http://schemas.openxmlformats.org/officeDocument/2006/relationships/footnotes" Target="footnotes.xml"/><Relationship Id="rId71" Type="http://schemas.openxmlformats.org/officeDocument/2006/relationships/hyperlink" Target="https://papers.ssrn.com/sol3/papers.cfm?abstract_id=6119086" TargetMode="External"/><Relationship Id="rId92" Type="http://schemas.openxmlformats.org/officeDocument/2006/relationships/hyperlink" Target="https://www.timextender.com/blog/data-empowered-leadership/approaches-for-esg-regulations" TargetMode="External"/><Relationship Id="rId2" Type="http://schemas.openxmlformats.org/officeDocument/2006/relationships/customXml" Target="../customXml/item2.xml"/><Relationship Id="rId16" Type="http://schemas.openxmlformats.org/officeDocument/2006/relationships/image" Target="media/image26.png"/><Relationship Id="rId29" Type="http://schemas.openxmlformats.org/officeDocument/2006/relationships/hyperlink" Target="https://link.springer.com/article/10.1007/s11135-025-02517-9" TargetMode="External"/><Relationship Id="rId11" Type="http://schemas.openxmlformats.org/officeDocument/2006/relationships/image" Target="media/image3.jpg"/><Relationship Id="rId24" Type="http://schemas.openxmlformats.org/officeDocument/2006/relationships/hyperlink" Target="https://onlinelibrary.wiley.com/doi/abs/10.1002/bse.4234" TargetMode="External"/><Relationship Id="rId32" Type="http://schemas.openxmlformats.org/officeDocument/2006/relationships/hyperlink" Target="https://journals.sagepub.com/doi/abs/10.1177/16094069241312018" TargetMode="External"/><Relationship Id="rId37" Type="http://schemas.openxmlformats.org/officeDocument/2006/relationships/hyperlink" Target="https://www.deloitte.com/in/en/issues/climate/sustainability-and-climate/sustainable-aviation-fuel-report.html" TargetMode="External"/><Relationship Id="rId40" Type="http://schemas.openxmlformats.org/officeDocument/2006/relationships/hyperlink" Target="https://dergipark.org.tr/en/pub/ijast/issue/92906/1634691" TargetMode="External"/><Relationship Id="rId45" Type="http://schemas.openxmlformats.org/officeDocument/2006/relationships/hyperlink" Target="https://uwspace.uwaterloo.ca/items/b6f43423-3eaf-40c1-958f-b3a0a3df3cf1" TargetMode="External"/><Relationship Id="rId53" Type="http://schemas.openxmlformats.org/officeDocument/2006/relationships/hyperlink" Target="https://www.impriindia.com/insights/indias-aviation-climate-2025-strategy/" TargetMode="External"/><Relationship Id="rId58" Type="http://schemas.openxmlformats.org/officeDocument/2006/relationships/hyperlink" Target="https://www.tandfonline.com/doi/abs/10.1080/01605682.2024.2429567" TargetMode="External"/><Relationship Id="rId66" Type="http://schemas.openxmlformats.org/officeDocument/2006/relationships/hyperlink" Target="https://noyam.org/wp-content/uploads/2025/03/EHASS2025637.pdf" TargetMode="External"/><Relationship Id="rId74" Type="http://schemas.openxmlformats.org/officeDocument/2006/relationships/hyperlink" Target="https://newmetrics.net/insights/the-sustainable-skies-imperative-why-esg-in-gcc-aviation-has-never-mattered-more/" TargetMode="External"/><Relationship Id="rId79" Type="http://schemas.openxmlformats.org/officeDocument/2006/relationships/hyperlink" Target="https://www.sciencedirect.com/science/article/pii/S2352484724005651" TargetMode="External"/><Relationship Id="rId87" Type="http://schemas.openxmlformats.org/officeDocument/2006/relationships/hyperlink" Target="https://simpleflying.com/hereswhy-aviation-65-percent-sustainable-fuel-target-2025-no-longer-add-up/" TargetMode="External"/><Relationship Id="rId102"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www.emerald.com/medar/article/33/7/246/1267627" TargetMode="External"/><Relationship Id="rId82" Type="http://schemas.openxmlformats.org/officeDocument/2006/relationships/hyperlink" Target="https://www.researchgate.net/figure/Number-of-ESG-regulations_fig3_345415689" TargetMode="External"/><Relationship Id="rId90" Type="http://schemas.openxmlformats.org/officeDocument/2006/relationships/hyperlink" Target="https://cmpublisher.com/wp-content/uploads/2026/04/CM2621101020-Gilbert_M_Talaue.pdf" TargetMode="External"/><Relationship Id="rId95" Type="http://schemas.openxmlformats.org/officeDocument/2006/relationships/hyperlink" Target="https://revistes.urv.cat/index.php/ute/article/view/4103" TargetMode="External"/><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hyperlink" Target="https://sjsutst.polsl.pl/archives/2025/vol129/027_SJSUTST129_2025_Alici.pdf" TargetMode="External"/><Relationship Id="rId27" Type="http://schemas.openxmlformats.org/officeDocument/2006/relationships/hyperlink" Target="https://www.sciencedirect.com/science/article/pii/S0261517724000736" TargetMode="External"/><Relationship Id="rId30" Type="http://schemas.openxmlformats.org/officeDocument/2006/relationships/hyperlink" Target="https://www.emerald.com/srj/article/21/5/1049/1242392" TargetMode="External"/><Relationship Id="rId35" Type="http://schemas.openxmlformats.org/officeDocument/2006/relationships/hyperlink" Target="https://journals.sagepub.com/doi/abs/10.1177/11771801251392925" TargetMode="External"/><Relationship Id="rId43" Type="http://schemas.openxmlformats.org/officeDocument/2006/relationships/hyperlink" Target="https://www.effectualservices.com/article/sustainable-aviation-fuel" TargetMode="External"/><Relationship Id="rId48" Type="http://schemas.openxmlformats.org/officeDocument/2006/relationships/hyperlink" Target="https://www.mdpi.com/2071-1050/15/11/8806" TargetMode="External"/><Relationship Id="rId56" Type="http://schemas.openxmlformats.org/officeDocument/2006/relationships/hyperlink" Target="https://www.tandfonline.com/doi/abs/10.1080/09544828.2026.2624355" TargetMode="External"/><Relationship Id="rId64" Type="http://schemas.openxmlformats.org/officeDocument/2006/relationships/hyperlink" Target="https://onlinelibrary.wiley.com/doi/abs/10.1002/bse.4330" TargetMode="External"/><Relationship Id="rId69" Type="http://schemas.openxmlformats.org/officeDocument/2006/relationships/hyperlink" Target="https://www.emerald.com/jfra/article/23/5/2051/1253885" TargetMode="External"/><Relationship Id="rId77" Type="http://schemas.openxmlformats.org/officeDocument/2006/relationships/hyperlink" Target="https://www.sciencedirect.com/science/article/pii/S0300571225003744" TargetMode="External"/><Relationship Id="rId100" Type="http://schemas.openxmlformats.org/officeDocument/2006/relationships/hyperlink" Target="https://dergipark.org.tr/en/pub/ijsi/article/1524169" TargetMode="External"/><Relationship Id="rId8" Type="http://schemas.openxmlformats.org/officeDocument/2006/relationships/endnotes" Target="endnotes.xml"/><Relationship Id="rId51" Type="http://schemas.openxmlformats.org/officeDocument/2006/relationships/hyperlink" Target="https://www.iea.org/energy-system/transport/aviation" TargetMode="External"/><Relationship Id="rId72" Type="http://schemas.openxmlformats.org/officeDocument/2006/relationships/hyperlink" Target="https://onlinelibrary.wiley.com/doi/abs/10.1002/bse.70090" TargetMode="External"/><Relationship Id="rId80" Type="http://schemas.openxmlformats.org/officeDocument/2006/relationships/hyperlink" Target="https://www.theseus.fi/bitstream/handle/10024/895782/Ranpati%20Dewage_Anjalee.pdf?sequence=2" TargetMode="External"/><Relationship Id="rId85" Type="http://schemas.openxmlformats.org/officeDocument/2006/relationships/hyperlink" Target="https://www.researchgate.net/profile/Mohammed-Mustafa-72/post/What_is_difference_between_epistemology_and_ontology/attachment/5b82b176cfe4a76455ee5f8c/AS%3A663875938684937%401535291766342/download/Mark+Saunders_+Philip+Lewis_+Adrian+Thornhill-Research+methods+for+business+students-Pearson+Education+%282009%291.pdf" TargetMode="External"/><Relationship Id="rId93" Type="http://schemas.openxmlformats.org/officeDocument/2006/relationships/hyperlink" Target="https://www.theseus.fi/handle/10024/901332" TargetMode="External"/><Relationship Id="rId98" Type="http://schemas.openxmlformats.org/officeDocument/2006/relationships/hyperlink" Target="https://papers.ssrn.com/sol3/papers.cfm?abstract_id=5279501"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repositorio.ucp.pt/entities/publication/dd2a92cb-ef5c-4e73-8062-65841fdc45cf" TargetMode="External"/><Relationship Id="rId33" Type="http://schemas.openxmlformats.org/officeDocument/2006/relationships/hyperlink" Target="https://www.carbonbrief.org/analysis-indias-co2-emissions-in-2025-grew-at-slowest-rate-in-two-decades/" TargetMode="External"/><Relationship Id="rId38" Type="http://schemas.openxmlformats.org/officeDocument/2006/relationships/hyperlink" Target="https://air.unimi.it/bitstream/2434/1022978/2/Author%20Accepted%20Manuscript.pdf" TargetMode="External"/><Relationship Id="rId46" Type="http://schemas.openxmlformats.org/officeDocument/2006/relationships/hyperlink" Target="https://journals.sagepub.com/doi/abs/10.1177/0308518X251336893" TargetMode="External"/><Relationship Id="rId59" Type="http://schemas.openxmlformats.org/officeDocument/2006/relationships/hyperlink" Target="https://www.mdpi.com/1996-1073/18/14/3705" TargetMode="External"/><Relationship Id="rId67" Type="http://schemas.openxmlformats.org/officeDocument/2006/relationships/hyperlink" Target="https://www.emerald.com/jtas/article/1/1/101/1307723" TargetMode="External"/><Relationship Id="rId103" Type="http://schemas.openxmlformats.org/officeDocument/2006/relationships/fontTable" Target="fontTable.xml"/><Relationship Id="rId20" Type="http://schemas.openxmlformats.org/officeDocument/2006/relationships/hyperlink" Target="https://scholar.google.com/scholar?output=instlink&amp;q=info:oJFSSQU_s08J:scholar.google.com/&amp;hl=en&amp;as_sdt=0,5&amp;as_ylo=2022&amp;scillfp=5242055579943128425&amp;oi=lle" TargetMode="External"/><Relationship Id="rId41" Type="http://schemas.openxmlformats.org/officeDocument/2006/relationships/hyperlink" Target="https://www.academia.edu/download/123358104/3.pdf" TargetMode="External"/><Relationship Id="rId54" Type="http://schemas.openxmlformats.org/officeDocument/2006/relationships/hyperlink" Target="https://ejournal.arshmedia.org/index.php/cognitive/article/view/160" TargetMode="External"/><Relationship Id="rId62" Type="http://schemas.openxmlformats.org/officeDocument/2006/relationships/hyperlink" Target="https://osuva.uwasa.fi/items/42e8ff76-1474-4ee0-865a-ebb43a0bc472" TargetMode="External"/><Relationship Id="rId70" Type="http://schemas.openxmlformats.org/officeDocument/2006/relationships/hyperlink" Target="https://onlinelibrary.wiley.com/doi/abs/10.1002/bse.70164" TargetMode="External"/><Relationship Id="rId75" Type="http://schemas.openxmlformats.org/officeDocument/2006/relationships/hyperlink" Target="https://run.unl.pt/entities/publication/fe9cfa80-daed-4ac5-ab82-4fe67cb68b79" TargetMode="External"/><Relationship Id="rId83" Type="http://schemas.openxmlformats.org/officeDocument/2006/relationships/hyperlink" Target="https://www.sciencedirect.com/science/article/pii/S2941198X24000393" TargetMode="External"/><Relationship Id="rId88" Type="http://schemas.openxmlformats.org/officeDocument/2006/relationships/hyperlink" Target="https://www.statista.com/topics/10755/green-aviation/?srsltid=AfmBOorFHLraOLd2O2Nt0FH8TDj5sP41cdmaSTwDQo3nWC1X-Xe4PRk9" TargetMode="External"/><Relationship Id="rId91" Type="http://schemas.openxmlformats.org/officeDocument/2006/relationships/hyperlink" Target="https://ajmcrr.com/index.php/pub/article/view/297" TargetMode="External"/><Relationship Id="rId96" Type="http://schemas.openxmlformats.org/officeDocument/2006/relationships/hyperlink" Target="https://tilburglawreview.com/en/articles/10.5334/tilr.41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link.springer.com/article/10.1057/s41299-024-00185-3" TargetMode="External"/><Relationship Id="rId28" Type="http://schemas.openxmlformats.org/officeDocument/2006/relationships/hyperlink" Target="https://www.sciencedirect.com/science/article/pii/S1364032124010050" TargetMode="External"/><Relationship Id="rId36" Type="http://schemas.openxmlformats.org/officeDocument/2006/relationships/hyperlink" Target="https://repositorio.ucp.pt/entities/publication/f0758206-8305-4258-b897-f2ae83b4e7df" TargetMode="External"/><Relationship Id="rId49" Type="http://schemas.openxmlformats.org/officeDocument/2006/relationships/hyperlink" Target="https://dialnet.unirioja.es/servlet/articulo?codigo=8984851" TargetMode="External"/><Relationship Id="rId57" Type="http://schemas.openxmlformats.org/officeDocument/2006/relationships/hyperlink" Target="https://eiol.sggw.edu.pl/article/view/10921" TargetMode="External"/><Relationship Id="rId10" Type="http://schemas.openxmlformats.org/officeDocument/2006/relationships/image" Target="media/image2.jpg"/><Relationship Id="rId31" Type="http://schemas.openxmlformats.org/officeDocument/2006/relationships/hyperlink" Target="https://cdnsciencepub.com/doi/abs/10.1139/as-2023-0057" TargetMode="External"/><Relationship Id="rId44" Type="http://schemas.openxmlformats.org/officeDocument/2006/relationships/hyperlink" Target="https://www.tandfonline.com/doi/abs/10.1080/13683500.2024.2337281" TargetMode="External"/><Relationship Id="rId52" Type="http://schemas.openxmlformats.org/officeDocument/2006/relationships/hyperlink" Target="https://iisppr.org.in/esg-reporting-history-present-and-future-a-comparative-study-of-india-and-united-states/" TargetMode="External"/><Relationship Id="rId60" Type="http://schemas.openxmlformats.org/officeDocument/2006/relationships/hyperlink" Target="https://dergipark.org.tr/en/pub/jav/article/1692375" TargetMode="External"/><Relationship Id="rId65" Type="http://schemas.openxmlformats.org/officeDocument/2006/relationships/hyperlink" Target="https://skemman.is/handle/1946/45915" TargetMode="External"/><Relationship Id="rId73" Type="http://schemas.openxmlformats.org/officeDocument/2006/relationships/hyperlink" Target="https://studenttheses.uu.nl/handle/20.500.12932/50606" TargetMode="External"/><Relationship Id="rId78" Type="http://schemas.openxmlformats.org/officeDocument/2006/relationships/hyperlink" Target="https://www.emerald.com/md/article/doi/10.1108/MD-10-2024-2408/1259508" TargetMode="External"/><Relationship Id="rId81" Type="http://schemas.openxmlformats.org/officeDocument/2006/relationships/hyperlink" Target="https://www.reuters.com/business/aerospace-defense/aviation-meeting-esg-takes-backseat-jet-shortages-2025-01-17/" TargetMode="External"/><Relationship Id="rId86" Type="http://schemas.openxmlformats.org/officeDocument/2006/relationships/hyperlink" Target="https://www.emerald.com/ccij/article/30/2/276/1243216" TargetMode="External"/><Relationship Id="rId94" Type="http://schemas.openxmlformats.org/officeDocument/2006/relationships/hyperlink" Target="https://www.nature.com/articles/s44333-025-00027-7" TargetMode="External"/><Relationship Id="rId99" Type="http://schemas.openxmlformats.org/officeDocument/2006/relationships/hyperlink" Target="https://ojsap.com/index.php/archipel/article/view/34" TargetMode="External"/><Relationship Id="rId101" Type="http://schemas.openxmlformats.org/officeDocument/2006/relationships/hyperlink" Target="https://dergipark.org.tr/en/pub/jav/article/1768349?issue_id=95121"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hyperlink" Target="https://www.tandfonline.com/doi/abs/10.1080/13645579.2024.2357558" TargetMode="External"/><Relationship Id="rId34" Type="http://schemas.openxmlformats.org/officeDocument/2006/relationships/hyperlink" Target="https://journals.sagepub.com/doi/abs/10.1177/08863687251329843" TargetMode="External"/><Relationship Id="rId50" Type="http://schemas.openxmlformats.org/officeDocument/2006/relationships/hyperlink" Target="https://www.iata.org/en/programs/sustainability/" TargetMode="External"/><Relationship Id="rId55" Type="http://schemas.openxmlformats.org/officeDocument/2006/relationships/hyperlink" Target="https://jgbc.scholasticahq.com/article/125773-balancing-economic-growth-and-emission-reductions-policy-trade-offs-in-india-s-power-sector-towards-achieving-the-2070-net-zero-goal" TargetMode="External"/><Relationship Id="rId76" Type="http://schemas.openxmlformats.org/officeDocument/2006/relationships/hyperlink" Target="https://iperstoria.it/article/view/1544" TargetMode="External"/><Relationship Id="rId97" Type="http://schemas.openxmlformats.org/officeDocument/2006/relationships/hyperlink" Target="https://www.sciencedirect.com/science/article/pii/S2941198X24000678" TargetMode="External"/><Relationship Id="rId10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wfQVkReCn/8R+fry6WoRnly72A==">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4AC6B9-A320-4C17-B4BE-3EE23FA73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78</Pages>
  <Words>23096</Words>
  <Characters>131648</Characters>
  <Application>Microsoft Office Word</Application>
  <DocSecurity>0</DocSecurity>
  <Lines>1097</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55</cp:revision>
  <dcterms:created xsi:type="dcterms:W3CDTF">2026-07-25T10:53:00Z</dcterms:created>
  <dcterms:modified xsi:type="dcterms:W3CDTF">2026-08-17T14:40:00Z</dcterms:modified>
</cp:coreProperties>
</file>