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D1049" w:rsidR="00ED1049" w:rsidP="00ED1049" w:rsidRDefault="00ED1049" w14:paraId="382DE1ED" w14:textId="77777777">
      <w:pPr>
        <w:ind w:left="426"/>
        <w:rPr>
          <w:rFonts w:ascii="Arial" w:hAnsi="Arial" w:cs="Arial"/>
        </w:rPr>
      </w:pPr>
    </w:p>
    <w:p w:rsidRPr="00074402" w:rsidR="00ED1049" w:rsidP="00ED1049" w:rsidRDefault="007A71F9" w14:paraId="53410222" w14:textId="0AB48B63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BC407DE" wp14:editId="740F5173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1525465937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074402" w:rsidR="00ED1049" w:rsidP="00ED1049" w:rsidRDefault="00ED1049" w14:paraId="7FFBC5AA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074402" w:rsidR="00ED1049" w:rsidP="00ED1049" w:rsidRDefault="00ED1049" w14:paraId="78DAF980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074402" w:rsidR="00ED1049" w:rsidP="00ED1049" w:rsidRDefault="00ED1049" w14:paraId="03A28F53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="00ED1049" w:rsidP="00ED1049" w:rsidRDefault="00ED1049" w14:paraId="0E612551" w14:textId="7777777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:rsidRPr="00761924" w:rsidR="00ED1049" w:rsidP="00ED1049" w:rsidRDefault="00ED1049" w14:paraId="3FE156D0" w14:textId="644FC110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761924">
        <w:rPr>
          <w:rFonts w:ascii="Arial" w:hAnsi="Arial" w:cs="Arial"/>
          <w:b/>
          <w:bCs/>
          <w:sz w:val="28"/>
          <w:szCs w:val="28"/>
          <w:lang w:val="en-GB"/>
        </w:rPr>
        <w:t>Student name</w:t>
      </w:r>
      <w:r w:rsidRPr="00761924">
        <w:rPr>
          <w:rFonts w:ascii="Arial" w:hAnsi="Arial" w:cs="Arial"/>
          <w:sz w:val="28"/>
          <w:szCs w:val="28"/>
          <w:lang w:val="en-GB"/>
        </w:rPr>
        <w:t>:</w:t>
      </w:r>
      <w:r w:rsidRPr="00761924" w:rsidR="00844DFD">
        <w:rPr>
          <w:rFonts w:ascii="Arial" w:hAnsi="Arial" w:cs="Arial"/>
          <w:sz w:val="28"/>
          <w:szCs w:val="28"/>
          <w:lang w:val="en-GB"/>
        </w:rPr>
        <w:t xml:space="preserve"> Tasha Young </w:t>
      </w:r>
    </w:p>
    <w:p w:rsidRPr="00761924" w:rsidR="00ED1049" w:rsidP="00ED1049" w:rsidRDefault="00ED1049" w14:paraId="42CC40DB" w14:textId="583EC351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761924">
        <w:rPr>
          <w:rFonts w:ascii="Arial" w:hAnsi="Arial" w:cs="Arial"/>
          <w:b/>
          <w:bCs/>
          <w:sz w:val="28"/>
          <w:szCs w:val="28"/>
          <w:lang w:val="en-GB"/>
        </w:rPr>
        <w:t>Student ID</w:t>
      </w:r>
      <w:r w:rsidRPr="00761924">
        <w:rPr>
          <w:rFonts w:ascii="Arial" w:hAnsi="Arial" w:cs="Arial"/>
          <w:sz w:val="28"/>
          <w:szCs w:val="28"/>
          <w:lang w:val="en-GB"/>
        </w:rPr>
        <w:t>:</w:t>
      </w:r>
      <w:r w:rsidRPr="00761924" w:rsidR="00844DFD">
        <w:rPr>
          <w:rFonts w:ascii="Arial" w:hAnsi="Arial" w:cs="Arial"/>
          <w:sz w:val="28"/>
          <w:szCs w:val="28"/>
          <w:lang w:val="en-GB"/>
        </w:rPr>
        <w:t>2316864</w:t>
      </w:r>
    </w:p>
    <w:p w:rsidRPr="00761924" w:rsidR="00ED1049" w:rsidP="00ED1049" w:rsidRDefault="00ED1049" w14:paraId="30E0DC7D" w14:textId="7777777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</w:p>
    <w:p w:rsidRPr="00761924" w:rsidR="00ED1049" w:rsidP="00ED1049" w:rsidRDefault="00ED1049" w14:paraId="3D777376" w14:textId="59974CE6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761924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761924">
        <w:rPr>
          <w:rFonts w:ascii="Arial" w:hAnsi="Arial" w:cs="Arial"/>
          <w:sz w:val="28"/>
          <w:szCs w:val="28"/>
          <w:lang w:val="en-GB"/>
        </w:rPr>
        <w:t xml:space="preserve">: </w:t>
      </w:r>
      <w:r w:rsidRPr="00761924" w:rsidR="00844DFD">
        <w:rPr>
          <w:rFonts w:ascii="Arial" w:hAnsi="Arial" w:cs="Arial"/>
          <w:color w:val="1D2125"/>
          <w:sz w:val="36"/>
          <w:szCs w:val="36"/>
          <w:shd w:val="clear" w:color="auto" w:fill="FFFFFF"/>
        </w:rPr>
        <w:t> </w:t>
      </w:r>
      <w:r w:rsidRPr="00761924" w:rsidR="00844DFD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 xml:space="preserve"> </w:t>
      </w:r>
      <w:r w:rsidRPr="00761924" w:rsidR="00844DFD">
        <w:rPr>
          <w:rStyle w:val="Strong"/>
          <w:rFonts w:ascii="Arial" w:hAnsi="Arial" w:cs="Arial"/>
          <w:color w:val="1D2125"/>
          <w:sz w:val="28"/>
          <w:szCs w:val="28"/>
          <w:shd w:val="clear" w:color="auto" w:fill="FFFFFF"/>
        </w:rPr>
        <w:t>Empowering the Older Person</w:t>
      </w:r>
      <w:r w:rsidRPr="00761924" w:rsidR="00844DFD">
        <w:rPr>
          <w:rFonts w:ascii="Arial" w:hAnsi="Arial" w:cs="Arial"/>
          <w:color w:val="1D2125"/>
          <w:sz w:val="36"/>
          <w:szCs w:val="36"/>
          <w:shd w:val="clear" w:color="auto" w:fill="FFFFFF"/>
        </w:rPr>
        <w:t>.</w:t>
      </w:r>
    </w:p>
    <w:p w:rsidRPr="00761924" w:rsidR="00ED1049" w:rsidP="00ED1049" w:rsidRDefault="00ED1049" w14:paraId="2A955DB8" w14:textId="62453A7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761924">
        <w:rPr>
          <w:rFonts w:ascii="Arial" w:hAnsi="Arial" w:cs="Arial"/>
          <w:b/>
          <w:bCs/>
          <w:sz w:val="28"/>
          <w:szCs w:val="28"/>
        </w:rPr>
        <w:t>Module code:</w:t>
      </w:r>
      <w:r w:rsidRPr="00761924" w:rsidR="00844DFD">
        <w:rPr>
          <w:rFonts w:ascii="Arial" w:hAnsi="Arial" w:cs="Arial"/>
          <w:b/>
          <w:bCs/>
          <w:color w:val="1D2125"/>
          <w:sz w:val="36"/>
          <w:szCs w:val="36"/>
          <w:shd w:val="clear" w:color="auto" w:fill="FFFFFF"/>
        </w:rPr>
        <w:t xml:space="preserve"> </w:t>
      </w:r>
      <w:r w:rsidRPr="00761924" w:rsidR="00844DFD">
        <w:rPr>
          <w:rStyle w:val="Strong"/>
          <w:rFonts w:ascii="Arial" w:hAnsi="Arial" w:cs="Arial"/>
          <w:b w:val="0"/>
          <w:bCs w:val="0"/>
          <w:color w:val="1D2125"/>
          <w:sz w:val="24"/>
          <w:szCs w:val="24"/>
          <w:shd w:val="clear" w:color="auto" w:fill="FFFFFF"/>
        </w:rPr>
        <w:t>BMHP6027</w:t>
      </w:r>
    </w:p>
    <w:p w:rsidRPr="00761924" w:rsidR="00ED1049" w:rsidP="00ED1049" w:rsidRDefault="00FB49B9" w14:paraId="3F392C3E" w14:textId="1205BCF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761924">
        <w:rPr>
          <w:rFonts w:ascii="Arial" w:hAnsi="Arial" w:cs="Arial"/>
          <w:b/>
          <w:bCs/>
          <w:sz w:val="28"/>
          <w:szCs w:val="28"/>
        </w:rPr>
        <w:t>Lecturer</w:t>
      </w:r>
      <w:r w:rsidRPr="00761924" w:rsidR="006D2642">
        <w:rPr>
          <w:rFonts w:ascii="Arial" w:hAnsi="Arial" w:cs="Arial"/>
          <w:b/>
          <w:bCs/>
          <w:sz w:val="28"/>
          <w:szCs w:val="28"/>
        </w:rPr>
        <w:t>’s</w:t>
      </w:r>
      <w:r w:rsidRPr="00761924" w:rsidR="00ED1049">
        <w:rPr>
          <w:rFonts w:ascii="Arial" w:hAnsi="Arial" w:cs="Arial"/>
          <w:b/>
          <w:bCs/>
          <w:sz w:val="28"/>
          <w:szCs w:val="28"/>
        </w:rPr>
        <w:t xml:space="preserve"> name</w:t>
      </w:r>
      <w:r w:rsidRPr="00761924" w:rsidR="00ED1049">
        <w:rPr>
          <w:rFonts w:ascii="Arial" w:hAnsi="Arial" w:cs="Arial"/>
          <w:sz w:val="28"/>
          <w:szCs w:val="28"/>
        </w:rPr>
        <w:t>:</w:t>
      </w:r>
      <w:r w:rsidRPr="00761924" w:rsidR="00CA56B2">
        <w:rPr>
          <w:rFonts w:ascii="Arial" w:hAnsi="Arial" w:cs="Arial"/>
          <w:sz w:val="28"/>
          <w:szCs w:val="28"/>
        </w:rPr>
        <w:t xml:space="preserve"> </w:t>
      </w:r>
      <w:r w:rsidRPr="00761924" w:rsidR="0098165B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shd w:val="clear" w:color="auto" w:fill="FFFFFF"/>
        </w:rPr>
        <w:t>Laila Surani</w:t>
      </w:r>
    </w:p>
    <w:p w:rsidRPr="00ED1049" w:rsidR="00ED1049" w:rsidP="0098165B" w:rsidRDefault="0098165B" w14:paraId="0F631C8B" w14:textId="73EF909B">
      <w:pPr>
        <w:tabs>
          <w:tab w:val="left" w:pos="404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Pr="00CC0A8F" w:rsidR="00CC0A8F" w:rsidP="00C46111" w:rsidRDefault="00CC0A8F" w14:paraId="684AC80D" w14:textId="77777777">
      <w:r w:rsidRPr="00CC0A8F">
        <w:br w:type="page"/>
      </w:r>
    </w:p>
    <w:tbl>
      <w:tblPr>
        <w:tblW w:w="141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650"/>
        <w:gridCol w:w="417"/>
        <w:gridCol w:w="4379"/>
        <w:gridCol w:w="363"/>
        <w:gridCol w:w="4384"/>
      </w:tblGrid>
      <w:tr w:rsidRPr="000E2F62" w:rsidR="00346FFA" w:rsidTr="35972BD9" w14:paraId="27011CAB" w14:textId="77777777">
        <w:trPr>
          <w:trHeight w:val="2393"/>
        </w:trPr>
        <w:tc>
          <w:tcPr>
            <w:tcW w:w="4650" w:type="dxa"/>
            <w:tcMar/>
          </w:tcPr>
          <w:p w:rsidRPr="00B66C79" w:rsidR="00EB6F36" w:rsidP="00B67824" w:rsidRDefault="00B66C79" w14:paraId="74D88B13" w14:textId="7F371F20">
            <w:pPr>
              <w:rPr>
                <w:rFonts w:ascii="Arial" w:hAnsi="Arial" w:cs="Arial"/>
                <w:b/>
                <w:bCs/>
                <w:noProof/>
                <w:color w:val="215E99" w:themeColor="text2" w:themeTint="BF"/>
                <w:sz w:val="28"/>
                <w:szCs w:val="28"/>
              </w:rPr>
            </w:pPr>
            <w:r w:rsidRPr="00B66C79">
              <w:rPr>
                <w:rStyle w:val="bzpyqfadein"/>
                <w:rFonts w:ascii="Arial" w:hAnsi="Arial" w:cs="Arial"/>
                <w:b/>
                <w:bCs/>
                <w:color w:val="215E99" w:themeColor="text2" w:themeTint="BF"/>
                <w:sz w:val="28"/>
                <w:szCs w:val="28"/>
              </w:rPr>
              <w:lastRenderedPageBreak/>
              <w:t>Empowering Older Adults in Health and Social Care</w:t>
            </w:r>
            <w:r>
              <w:rPr>
                <w:rStyle w:val="bzpyqfadein"/>
                <w:rFonts w:ascii="Arial" w:hAnsi="Arial" w:cs="Arial"/>
                <w:b/>
                <w:bCs/>
                <w:color w:val="215E99" w:themeColor="text2" w:themeTint="BF"/>
                <w:sz w:val="28"/>
                <w:szCs w:val="28"/>
              </w:rPr>
              <w:t>.</w:t>
            </w:r>
          </w:p>
          <w:p w:rsidRPr="000E2F62" w:rsidR="00346FFA" w:rsidP="00B67824" w:rsidRDefault="0043030F" w14:paraId="325C3DCE" w14:textId="0C9C2333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5CFF0868" wp14:editId="2952C646">
                  <wp:extent cx="2811780" cy="2278380"/>
                  <wp:effectExtent l="0" t="0" r="7620" b="7620"/>
                  <wp:docPr id="2" name="Picture 1" descr="The UK's Aging Population and it's Growing Demand for Home Care | Care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UK's Aging Population and it's Growing Demand for Home Care | Carem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4910" cy="2289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dxa"/>
            <w:vMerge w:val="restart"/>
            <w:tcMar/>
          </w:tcPr>
          <w:p w:rsidRPr="000E2F62" w:rsidR="00346FFA" w:rsidP="00B67824" w:rsidRDefault="00346FFA" w14:paraId="17BBE2E0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79" w:type="dxa"/>
            <w:vMerge w:val="restart"/>
            <w:tcMar/>
          </w:tcPr>
          <w:p w:rsidRPr="00947E2E" w:rsidR="00EB6F36" w:rsidP="35972BD9" w:rsidRDefault="00E36E6D" w14:paraId="33F65A51" w14:textId="7C73E73A">
            <w:pPr>
              <w:rPr>
                <w:rFonts w:ascii="Arial" w:hAnsi="Arial" w:cs="Arial"/>
                <w:b w:val="1"/>
                <w:bCs w:val="1"/>
                <w:noProof/>
                <w:color w:val="215E99" w:themeColor="text2" w:themeTint="BF" w:themeShade="FF"/>
                <w:sz w:val="28"/>
                <w:szCs w:val="28"/>
              </w:rPr>
            </w:pPr>
            <w:r w:rsidRPr="35972BD9" w:rsidR="010E830F">
              <w:rPr>
                <w:rFonts w:ascii="Arial" w:hAnsi="Arial" w:cs="Arial"/>
                <w:b w:val="1"/>
                <w:bCs w:val="1"/>
                <w:noProof/>
                <w:color w:val="215E99" w:themeColor="text2" w:themeTint="BF" w:themeShade="FF"/>
                <w:sz w:val="28"/>
                <w:szCs w:val="28"/>
              </w:rPr>
              <w:t>Effective Approaches to Supporting Older Adults.</w:t>
            </w:r>
          </w:p>
          <w:p w:rsidRPr="00947E2E" w:rsidR="00EB6F36" w:rsidP="35972BD9" w:rsidRDefault="00E36E6D" w14:paraId="03712CBF" w14:textId="4747C16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35972BD9" w:rsidR="010E830F">
              <w:rPr>
                <w:rFonts w:ascii="Arial" w:hAnsi="Arial" w:cs="Arial"/>
                <w:sz w:val="22"/>
                <w:szCs w:val="22"/>
              </w:rPr>
              <w:t xml:space="preserve"> Evidence shows that </w:t>
            </w:r>
            <w:r w:rsidRPr="35972BD9" w:rsidR="010E830F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>reablement and intermediate care services</w:t>
            </w: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help older adults regain independence after illness or hospital admission (Social Care Institute for Excellence, 2020).</w:t>
            </w:r>
          </w:p>
          <w:p w:rsidRPr="00947E2E" w:rsidR="00EB6F36" w:rsidP="35972BD9" w:rsidRDefault="00E36E6D" w14:paraId="518DC152" w14:textId="38AD5436">
            <w:pPr>
              <w:pStyle w:val="NormalWeb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35972BD9" w:rsidR="010E830F">
              <w:rPr>
                <w:rFonts w:ascii="Arial" w:hAnsi="Arial" w:cs="Arial"/>
                <w:sz w:val="22"/>
                <w:szCs w:val="22"/>
              </w:rPr>
              <w:t xml:space="preserve"> </w:t>
            </w:r>
            <w:r w:rsidRPr="35972BD9" w:rsidR="010E830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These approaches focus on:</w:t>
            </w:r>
          </w:p>
          <w:p w:rsidRPr="00947E2E" w:rsidR="00EB6F36" w:rsidP="35972BD9" w:rsidRDefault="00E36E6D" w14:paraId="692D4B9B" w14:textId="77777777">
            <w:pPr>
              <w:pStyle w:val="NormalWeb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>rebuilding daily living skills</w:t>
            </w:r>
          </w:p>
          <w:p w:rsidRPr="00947E2E" w:rsidR="00EB6F36" w:rsidP="35972BD9" w:rsidRDefault="00E36E6D" w14:paraId="70CAD1A6" w14:textId="77777777">
            <w:pPr>
              <w:pStyle w:val="NormalWeb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>improving confidence</w:t>
            </w:r>
          </w:p>
          <w:p w:rsidRPr="00947E2E" w:rsidR="00EB6F36" w:rsidP="35972BD9" w:rsidRDefault="00E36E6D" w14:paraId="624FCEE3" w14:textId="19C63DD1">
            <w:pPr>
              <w:pStyle w:val="NormalWeb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>reducing long-term care</w:t>
            </w:r>
            <w:r w:rsidRPr="35972BD9" w:rsidR="3B0DAFEC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and</w:t>
            </w: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dependence.</w:t>
            </w:r>
          </w:p>
          <w:p w:rsidRPr="00947E2E" w:rsidR="00EB6F36" w:rsidP="35972BD9" w:rsidRDefault="00E36E6D" w14:paraId="32C65C7C" w14:textId="4BEF979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35972BD9" w:rsidR="010E830F">
              <w:rPr>
                <w:rFonts w:ascii="Arial" w:hAnsi="Arial" w:cs="Arial"/>
                <w:sz w:val="22"/>
                <w:szCs w:val="22"/>
              </w:rPr>
              <w:t xml:space="preserve"> Community-based support and integrated services can improve coordination between the </w:t>
            </w:r>
            <w:r w:rsidRPr="35972BD9" w:rsidR="010E830F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>NHS, local authorities and voluntary organisations</w:t>
            </w: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(NHS England, 2024).</w:t>
            </w:r>
          </w:p>
          <w:p w:rsidRPr="00947E2E" w:rsidR="00EB6F36" w:rsidP="35972BD9" w:rsidRDefault="00E36E6D" w14:paraId="45C1DEBE" w14:textId="59E05EBF">
            <w:pPr>
              <w:pStyle w:val="NormalWeb"/>
              <w:rPr>
                <w:rStyle w:val="bzpyqfadein"/>
                <w:b w:val="1"/>
                <w:bCs w:val="1"/>
                <w:sz w:val="22"/>
                <w:szCs w:val="22"/>
              </w:rPr>
            </w:pPr>
            <w:r w:rsidRPr="35972BD9" w:rsidR="010E830F">
              <w:rPr>
                <w:rFonts w:ascii="Arial" w:hAnsi="Arial" w:cs="Arial"/>
              </w:rPr>
              <w:t> T</w:t>
            </w:r>
            <w:r w:rsidRPr="35972BD9" w:rsidR="010E830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heories supporting active ageing include</w:t>
            </w:r>
            <w:r w:rsidRPr="35972BD9" w:rsidR="010E830F">
              <w:rPr>
                <w:rStyle w:val="bzpyqfadein"/>
                <w:b w:val="1"/>
                <w:bCs w:val="1"/>
                <w:sz w:val="22"/>
                <w:szCs w:val="22"/>
              </w:rPr>
              <w:t>:</w:t>
            </w:r>
          </w:p>
          <w:p w:rsidRPr="00947E2E" w:rsidR="00EB6F36" w:rsidP="35972BD9" w:rsidRDefault="00E36E6D" w14:paraId="5B9FE27E" w14:textId="6402D312">
            <w:pPr>
              <w:pStyle w:val="NormalWeb"/>
              <w:rPr>
                <w:rStyle w:val="bzpyqfadein"/>
                <w:b w:val="1"/>
                <w:bCs w:val="1"/>
                <w:sz w:val="22"/>
                <w:szCs w:val="22"/>
              </w:rPr>
            </w:pPr>
          </w:p>
          <w:p w:rsidRPr="00947E2E" w:rsidR="00EB6F36" w:rsidP="35972BD9" w:rsidRDefault="00E36E6D" w14:paraId="3A09C46B" w14:textId="77777777">
            <w:pPr>
              <w:pStyle w:val="NormalWeb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010E830F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>Activity Theory</w:t>
            </w: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– continued participation in activities improves wellbeing (Havighurst, 1961).</w:t>
            </w:r>
          </w:p>
          <w:p w:rsidRPr="00947E2E" w:rsidR="00EB6F36" w:rsidP="35972BD9" w:rsidRDefault="00E36E6D" w14:paraId="29423557" w14:textId="77777777">
            <w:pPr>
              <w:pStyle w:val="NormalWeb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010E830F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>Continuity Theory</w:t>
            </w: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– maintaining familiar routines supports stability in later life (Atchley, 1989).</w:t>
            </w:r>
          </w:p>
          <w:p w:rsidRPr="00947E2E" w:rsidR="00EB6F36" w:rsidP="35972BD9" w:rsidRDefault="00E36E6D" w14:paraId="667AD55D" w14:textId="64B6AF25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35972BD9" w:rsidR="010E830F">
              <w:rPr>
                <w:rFonts w:ascii="Arial" w:hAnsi="Arial" w:cs="Arial"/>
                <w:sz w:val="22"/>
                <w:szCs w:val="22"/>
              </w:rPr>
              <w:t xml:space="preserve"> Person-centred care encourages older adults to </w:t>
            </w:r>
            <w:r w:rsidRPr="35972BD9" w:rsidR="010E830F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>maintain control over their daily lives and care decisions</w:t>
            </w:r>
            <w:r w:rsidRPr="35972BD9" w:rsidR="010E830F">
              <w:rPr>
                <w:rStyle w:val="bzpyqfadein"/>
                <w:rFonts w:ascii="Arial" w:hAnsi="Arial" w:cs="Arial"/>
                <w:sz w:val="22"/>
                <w:szCs w:val="22"/>
              </w:rPr>
              <w:t>.</w:t>
            </w:r>
          </w:p>
          <w:p w:rsidRPr="00947E2E" w:rsidR="00EB6F36" w:rsidP="35972BD9" w:rsidRDefault="00E36E6D" w14:paraId="536F14F5" w14:textId="0855F2CF">
            <w:pPr>
              <w:pStyle w:val="NormalWeb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63" w:type="dxa"/>
            <w:vMerge w:val="restart"/>
            <w:tcMar/>
          </w:tcPr>
          <w:p w:rsidRPr="000E2F62" w:rsidR="00346FFA" w:rsidP="00B67824" w:rsidRDefault="00346FFA" w14:paraId="6783CF39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84" w:type="dxa"/>
            <w:tcMar/>
            <w:vAlign w:val="center"/>
          </w:tcPr>
          <w:p w:rsidR="00346FFA" w:rsidP="00EB6F36" w:rsidRDefault="007A71F9" w14:paraId="26B4EB6A" w14:textId="7777777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DFECCE0" wp14:editId="26CD902D">
                      <wp:extent cx="2148840" cy="304800"/>
                      <wp:effectExtent l="0" t="0" r="0" b="0"/>
                      <wp:docPr id="1298640090" name="Rectangl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14884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Pr="002E3612" w:rsidR="008D783C" w:rsidP="003B10A4" w:rsidRDefault="008D783C" w14:paraId="7D29DC7E" w14:textId="699E3A47">
                                  <w:pPr>
                                    <w:rPr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" style="width:169.2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4DFECC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">
                      <o:lock v:ext="edit" aspectratio="t"/>
                      <v:textbox>
                        <w:txbxContent>
                          <w:p w:rsidRPr="002E3612" w:rsidR="008D783C" w:rsidP="003B10A4" w:rsidRDefault="008D783C" w14:paraId="7D29DC7E" w14:textId="699E3A47">
                            <w:pPr>
                              <w:rPr>
                                <w:lang w:val="nl-NL"/>
                              </w:rPr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="00556DA8">
              <w:rPr>
                <w:noProof/>
              </w:rPr>
              <w:drawing>
                <wp:inline distT="0" distB="0" distL="0" distR="0" wp14:anchorId="02031B65" wp14:editId="05FCC16F">
                  <wp:extent cx="2560320" cy="2034540"/>
                  <wp:effectExtent l="0" t="0" r="0" b="3810"/>
                  <wp:docPr id="5" name="Picture 2" descr="An ageing population: the nature of healthcare and our need to adapt |  Society for Endocrinolo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 ageing population: the nature of healthcare and our need to adapt |  Society for Endocrinolo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3B10A4" w:rsidR="008D783C" w:rsidP="008D783C" w:rsidRDefault="00E95CC8" w14:paraId="46B19DD7" w14:textId="7943A011">
            <w:pPr>
              <w:rPr>
                <w:rFonts w:ascii="Arial" w:hAnsi="Arial" w:cs="Arial"/>
              </w:rPr>
            </w:pPr>
            <w:r w:rsidRPr="003B10A4">
              <w:rPr>
                <w:rFonts w:ascii="Arial" w:hAnsi="Arial" w:cs="Arial"/>
                <w:color w:val="2C3E50"/>
                <w:sz w:val="23"/>
                <w:szCs w:val="23"/>
                <w:shd w:val="clear" w:color="auto" w:fill="FFFFFF"/>
              </w:rPr>
              <w:t>(Endocrinology</w:t>
            </w:r>
            <w:r w:rsidRPr="003B10A4" w:rsidR="008D783C">
              <w:rPr>
                <w:rFonts w:ascii="Arial" w:hAnsi="Arial" w:cs="Arial"/>
                <w:color w:val="2C3E50"/>
                <w:sz w:val="23"/>
                <w:szCs w:val="23"/>
                <w:shd w:val="clear" w:color="auto" w:fill="FFFFFF"/>
              </w:rPr>
              <w:t>.</w:t>
            </w:r>
            <w:r w:rsidRPr="003B10A4" w:rsidR="002E3612">
              <w:rPr>
                <w:rFonts w:ascii="Arial" w:hAnsi="Arial" w:cs="Arial"/>
                <w:color w:val="2C3E50"/>
                <w:sz w:val="23"/>
                <w:szCs w:val="23"/>
                <w:shd w:val="clear" w:color="auto" w:fill="FFFFFF"/>
              </w:rPr>
              <w:t>2015</w:t>
            </w:r>
            <w:r w:rsidRPr="003B10A4" w:rsidR="008D783C">
              <w:rPr>
                <w:rFonts w:ascii="Arial" w:hAnsi="Arial" w:cs="Arial"/>
                <w:color w:val="2C3E50"/>
                <w:sz w:val="23"/>
                <w:szCs w:val="23"/>
                <w:shd w:val="clear" w:color="auto" w:fill="FFFFFF"/>
              </w:rPr>
              <w:t>)</w:t>
            </w:r>
          </w:p>
        </w:tc>
      </w:tr>
      <w:tr w:rsidRPr="000E2F62" w:rsidR="00346FFA" w:rsidTr="35972BD9" w14:paraId="476A8D6E" w14:textId="77777777">
        <w:trPr>
          <w:trHeight w:val="272"/>
        </w:trPr>
        <w:tc>
          <w:tcPr>
            <w:tcW w:w="4650" w:type="dxa"/>
            <w:tcMar/>
          </w:tcPr>
          <w:p w:rsidRPr="009E0D97" w:rsidR="00346FFA" w:rsidP="00B67824" w:rsidRDefault="009E0D97" w14:paraId="70B5A49C" w14:textId="3B96D2D4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E0D97">
              <w:rPr>
                <w:rFonts w:ascii="Arial" w:hAnsi="Arial" w:cs="Arial"/>
                <w:color w:val="2C3E50"/>
                <w:sz w:val="23"/>
                <w:szCs w:val="23"/>
                <w:shd w:val="clear" w:color="auto" w:fill="FFFFFF"/>
              </w:rPr>
              <w:t> </w:t>
            </w:r>
            <w:r w:rsidRPr="00A93C7B" w:rsidR="0043030F">
              <w:rPr>
                <w:rFonts w:ascii="Arial" w:hAnsi="Arial" w:cs="Arial"/>
                <w:color w:val="2C3E50"/>
                <w:sz w:val="23"/>
                <w:szCs w:val="23"/>
                <w:shd w:val="clear" w:color="auto" w:fill="FFFFFF"/>
              </w:rPr>
              <w:t>(Bentley, 2024)</w:t>
            </w:r>
          </w:p>
        </w:tc>
        <w:tc>
          <w:tcPr>
            <w:tcW w:w="417" w:type="dxa"/>
            <w:vMerge/>
            <w:tcMar/>
          </w:tcPr>
          <w:p w:rsidRPr="000E2F62" w:rsidR="00346FFA" w:rsidP="00B67824" w:rsidRDefault="00346FFA" w14:paraId="0378E25F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79" w:type="dxa"/>
            <w:vMerge/>
            <w:tcMar/>
          </w:tcPr>
          <w:p w:rsidRPr="00EB6F36" w:rsidR="00346FFA" w:rsidP="00B67824" w:rsidRDefault="00346FFA" w14:paraId="4F9106FD" w14:textId="77777777">
            <w:pPr>
              <w:rPr>
                <w:rFonts w:ascii="Arial" w:hAnsi="Arial" w:eastAsia="Century Gothic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3" w:type="dxa"/>
            <w:vMerge/>
            <w:tcMar/>
          </w:tcPr>
          <w:p w:rsidRPr="000E2F62" w:rsidR="00346FFA" w:rsidP="00B67824" w:rsidRDefault="00346FFA" w14:paraId="09C605C2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84" w:type="dxa"/>
            <w:tcMar/>
          </w:tcPr>
          <w:p w:rsidRPr="00EB6F36" w:rsidR="00346FFA" w:rsidP="00346FFA" w:rsidRDefault="00346FFA" w14:paraId="0CD7A1E5" w14:textId="77777777">
            <w:pPr>
              <w:pStyle w:val="NoSpacing"/>
              <w:rPr>
                <w:rFonts w:ascii="Arial" w:hAnsi="Arial" w:cs="Arial"/>
              </w:rPr>
            </w:pPr>
          </w:p>
        </w:tc>
      </w:tr>
      <w:tr w:rsidRPr="000E2F62" w:rsidR="004642F0" w:rsidTr="35972BD9" w14:paraId="18E8AF8D" w14:textId="77777777">
        <w:trPr>
          <w:trHeight w:val="496"/>
        </w:trPr>
        <w:tc>
          <w:tcPr>
            <w:tcW w:w="4650" w:type="dxa"/>
            <w:vMerge w:val="restart"/>
            <w:tcMar/>
          </w:tcPr>
          <w:p w:rsidR="00B67824" w:rsidP="00F37523" w:rsidRDefault="009E0D97" w14:paraId="5DC09A7D" w14:textId="17E3A7AD">
            <w:pPr>
              <w:pStyle w:val="Heading1"/>
              <w:rPr>
                <w:rStyle w:val="Heading1Char"/>
                <w:rFonts w:ascii="Arial" w:hAnsi="Arial" w:cs="Arial"/>
                <w:b/>
                <w:color w:val="215E99" w:themeColor="text2" w:themeTint="BF"/>
              </w:rPr>
            </w:pPr>
            <w:r w:rsidRPr="005A1278">
              <w:rPr>
                <w:rStyle w:val="Heading1Char"/>
                <w:rFonts w:ascii="Arial" w:hAnsi="Arial" w:cs="Arial"/>
                <w:b/>
                <w:color w:val="215E99" w:themeColor="text2" w:themeTint="BF"/>
              </w:rPr>
              <w:t>Introduction</w:t>
            </w:r>
          </w:p>
          <w:p w:rsidRPr="00B42600" w:rsidR="005213A8" w:rsidP="35972BD9" w:rsidRDefault="00B42600" w14:paraId="6D58CAC4" w14:textId="66DDF1F5">
            <w:pPr>
              <w:numPr>
                <w:ilvl w:val="0"/>
                <w:numId w:val="8"/>
              </w:numPr>
              <w:spacing w:before="100" w:beforeAutospacing="on" w:after="100" w:afterAutospacing="on"/>
              <w:rPr>
                <w:rFonts w:ascii="Arial" w:hAnsi="Arial" w:eastAsia="Times New Roman" w:cs="Arial"/>
                <w:lang w:val="en-GB" w:eastAsia="en-GB"/>
              </w:rPr>
            </w:pPr>
            <w:r w:rsidRPr="35972BD9" w:rsidR="00B42600">
              <w:rPr>
                <w:rFonts w:ascii="Arial" w:hAnsi="Arial" w:eastAsia="Times New Roman" w:cs="Arial"/>
                <w:lang w:val="en-GB" w:eastAsia="en-GB"/>
              </w:rPr>
              <w:t>The UK population is ageing,</w:t>
            </w:r>
            <w:r w:rsidRPr="35972BD9" w:rsidR="313646C8">
              <w:rPr>
                <w:rFonts w:ascii="Arial" w:hAnsi="Arial" w:eastAsia="Times New Roman" w:cs="Arial"/>
                <w:lang w:val="en-GB" w:eastAsia="en-GB"/>
              </w:rPr>
              <w:t xml:space="preserve"> with</w:t>
            </w:r>
            <w:r w:rsidRPr="35972BD9" w:rsidR="00B42600">
              <w:rPr>
                <w:rFonts w:ascii="Arial" w:hAnsi="Arial" w:eastAsia="Times New Roman" w:cs="Arial"/>
                <w:lang w:val="en-GB" w:eastAsia="en-GB"/>
              </w:rPr>
              <w:t xml:space="preserve"> increasing demand for health and social care services.</w:t>
            </w:r>
          </w:p>
          <w:p w:rsidRPr="00B42600" w:rsidR="00B42600" w:rsidP="00B42600" w:rsidRDefault="00B42600" w14:paraId="0BE1D4E9" w14:textId="77777777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eastAsia="Times New Roman" w:cs="Arial"/>
                <w:lang w:val="en-GB" w:eastAsia="en-GB"/>
              </w:rPr>
            </w:pPr>
            <w:r w:rsidRPr="00B42600">
              <w:rPr>
                <w:rFonts w:ascii="Arial" w:hAnsi="Arial" w:eastAsia="Times New Roman" w:cs="Arial"/>
                <w:lang w:val="en-GB" w:eastAsia="en-GB"/>
              </w:rPr>
              <w:t xml:space="preserve">Around </w:t>
            </w:r>
            <w:r w:rsidRPr="00B42600">
              <w:rPr>
                <w:rFonts w:ascii="Arial" w:hAnsi="Arial" w:eastAsia="Times New Roman" w:cs="Arial"/>
                <w:b/>
                <w:bCs/>
                <w:lang w:val="en-GB" w:eastAsia="en-GB"/>
              </w:rPr>
              <w:t>12.5 million people in the UK are aged 65 and over</w:t>
            </w:r>
            <w:r w:rsidRPr="00B42600">
              <w:rPr>
                <w:rFonts w:ascii="Arial" w:hAnsi="Arial" w:eastAsia="Times New Roman" w:cs="Arial"/>
                <w:lang w:val="en-GB" w:eastAsia="en-GB"/>
              </w:rPr>
              <w:t xml:space="preserve">, representing about </w:t>
            </w:r>
            <w:r w:rsidRPr="00B42600">
              <w:rPr>
                <w:rFonts w:ascii="Arial" w:hAnsi="Arial" w:eastAsia="Times New Roman" w:cs="Arial"/>
                <w:b/>
                <w:bCs/>
                <w:lang w:val="en-GB" w:eastAsia="en-GB"/>
              </w:rPr>
              <w:t>18% of the population</w:t>
            </w:r>
            <w:r w:rsidRPr="00B42600">
              <w:rPr>
                <w:rFonts w:ascii="Arial" w:hAnsi="Arial" w:eastAsia="Times New Roman" w:cs="Arial"/>
                <w:lang w:val="en-GB" w:eastAsia="en-GB"/>
              </w:rPr>
              <w:t xml:space="preserve"> (MHA, 2023).</w:t>
            </w:r>
          </w:p>
          <w:p w:rsidRPr="00B42600" w:rsidR="00B42600" w:rsidP="00B42600" w:rsidRDefault="00B42600" w14:paraId="71B1B05B" w14:textId="77777777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eastAsia="Times New Roman" w:cs="Arial"/>
                <w:lang w:val="en-GB" w:eastAsia="en-GB"/>
              </w:rPr>
            </w:pPr>
            <w:r w:rsidRPr="00B42600">
              <w:rPr>
                <w:rFonts w:ascii="Arial" w:hAnsi="Arial" w:eastAsia="Times New Roman" w:cs="Arial"/>
                <w:lang w:val="en-GB" w:eastAsia="en-GB"/>
              </w:rPr>
              <w:t xml:space="preserve">Longer life expectancy and lower birth rates mean the number of older </w:t>
            </w:r>
            <w:r w:rsidRPr="00B42600">
              <w:rPr>
                <w:rFonts w:ascii="Arial" w:hAnsi="Arial" w:eastAsia="Times New Roman" w:cs="Arial"/>
                <w:lang w:val="en-GB" w:eastAsia="en-GB"/>
              </w:rPr>
              <w:lastRenderedPageBreak/>
              <w:t>adults continues to grow (Centre for Ageing Better, 2024).</w:t>
            </w:r>
          </w:p>
          <w:p w:rsidRPr="00B42600" w:rsidR="00B42600" w:rsidP="00B42600" w:rsidRDefault="00B42600" w14:paraId="48C7785D" w14:textId="77777777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eastAsia="Times New Roman" w:cs="Arial"/>
                <w:lang w:val="en-GB" w:eastAsia="en-GB"/>
              </w:rPr>
            </w:pPr>
            <w:r w:rsidRPr="00B42600">
              <w:rPr>
                <w:rFonts w:ascii="Arial" w:hAnsi="Arial" w:eastAsia="Times New Roman" w:cs="Arial"/>
                <w:lang w:val="en-GB" w:eastAsia="en-GB"/>
              </w:rPr>
              <w:t xml:space="preserve">Older adults often experience </w:t>
            </w:r>
            <w:r w:rsidRPr="00B42600">
              <w:rPr>
                <w:rFonts w:ascii="Arial" w:hAnsi="Arial" w:eastAsia="Times New Roman" w:cs="Arial"/>
                <w:b/>
                <w:bCs/>
                <w:lang w:val="en-GB" w:eastAsia="en-GB"/>
              </w:rPr>
              <w:t>multiple health conditions, frailty, and social challenges</w:t>
            </w:r>
            <w:r w:rsidRPr="00B42600">
              <w:rPr>
                <w:rFonts w:ascii="Arial" w:hAnsi="Arial" w:eastAsia="Times New Roman" w:cs="Arial"/>
                <w:lang w:val="en-GB" w:eastAsia="en-GB"/>
              </w:rPr>
              <w:t>, which require coordinated and person-centred support.</w:t>
            </w:r>
          </w:p>
          <w:p w:rsidRPr="00B42600" w:rsidR="00B42600" w:rsidP="35972BD9" w:rsidRDefault="00B42600" w14:paraId="27615171" w14:textId="77777777">
            <w:pPr>
              <w:numPr>
                <w:ilvl w:val="0"/>
                <w:numId w:val="8"/>
              </w:numPr>
              <w:spacing w:before="100" w:beforeAutospacing="on" w:after="100" w:afterAutospacing="on"/>
              <w:rPr>
                <w:rFonts w:ascii="Arial" w:hAnsi="Arial" w:eastAsia="Times New Roman" w:cs="Arial"/>
                <w:lang w:val="en-GB" w:eastAsia="en-GB"/>
              </w:rPr>
            </w:pPr>
            <w:r w:rsidRPr="35972BD9" w:rsidR="00B42600">
              <w:rPr>
                <w:rFonts w:ascii="Arial" w:hAnsi="Arial" w:eastAsia="Times New Roman" w:cs="Arial"/>
                <w:lang w:val="en-GB" w:eastAsia="en-GB"/>
              </w:rPr>
              <w:t xml:space="preserve">Empowerment in care focuses on </w:t>
            </w:r>
            <w:r w:rsidRPr="35972BD9" w:rsidR="00B42600">
              <w:rPr>
                <w:rFonts w:ascii="Arial" w:hAnsi="Arial" w:eastAsia="Times New Roman" w:cs="Arial"/>
                <w:b w:val="1"/>
                <w:bCs w:val="1"/>
                <w:lang w:val="en-GB" w:eastAsia="en-GB"/>
              </w:rPr>
              <w:t>maintaining</w:t>
            </w:r>
            <w:r w:rsidRPr="35972BD9" w:rsidR="00B42600">
              <w:rPr>
                <w:rFonts w:ascii="Arial" w:hAnsi="Arial" w:eastAsia="Times New Roman" w:cs="Arial"/>
                <w:b w:val="1"/>
                <w:bCs w:val="1"/>
                <w:lang w:val="en-GB" w:eastAsia="en-GB"/>
              </w:rPr>
              <w:t xml:space="preserve"> independence, choice, and wellbeing in later life</w:t>
            </w:r>
            <w:r w:rsidRPr="35972BD9" w:rsidR="00B42600">
              <w:rPr>
                <w:rFonts w:ascii="Arial" w:hAnsi="Arial" w:eastAsia="Times New Roman" w:cs="Arial"/>
                <w:lang w:val="en-GB" w:eastAsia="en-GB"/>
              </w:rPr>
              <w:t>.</w:t>
            </w:r>
          </w:p>
          <w:p w:rsidRPr="00282198" w:rsidR="00282198" w:rsidP="35972BD9" w:rsidRDefault="00282198" w14:paraId="405ABB9C" w14:textId="693FDBFC">
            <w:pPr>
              <w:pStyle w:val="Heading1"/>
              <w:rPr>
                <w:rStyle w:val="Heading1Char"/>
                <w:rFonts w:ascii="Arial" w:hAnsi="Arial" w:cs="Arial"/>
                <w:b w:val="1"/>
                <w:bCs w:val="1"/>
                <w:color w:val="215E99" w:themeColor="text2" w:themeTint="BF" w:themeShade="FF"/>
              </w:rPr>
            </w:pPr>
            <w:r w:rsidRPr="35972BD9" w:rsidR="371F80F2">
              <w:rPr>
                <w:rStyle w:val="Heading1Char"/>
                <w:rFonts w:ascii="Arial" w:hAnsi="Arial" w:cs="Arial"/>
                <w:b w:val="1"/>
                <w:bCs w:val="1"/>
                <w:color w:val="215E99" w:themeColor="text2" w:themeTint="BF" w:themeShade="FF"/>
              </w:rPr>
              <w:t xml:space="preserve">Care, Empowerment and support needs of older people. </w:t>
            </w:r>
          </w:p>
          <w:p w:rsidRPr="00282198" w:rsidR="00282198" w:rsidP="35972BD9" w:rsidRDefault="00282198" w14:paraId="00FB7461" w14:textId="4AD8C865">
            <w:pPr>
              <w:pStyle w:val="NormalWeb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• Older adults need support that promotes functional ability, independence and autonomy not just physical care (National Institute for Health and Care Excellence, 2015).</w:t>
            </w:r>
          </w:p>
          <w:p w:rsidRPr="00282198" w:rsidR="00282198" w:rsidP="35972BD9" w:rsidRDefault="00282198" w14:paraId="087D5422" w14:textId="636C0295">
            <w:pPr>
              <w:pStyle w:val="NormalWeb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• </w:t>
            </w: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Maintaining</w:t>
            </w: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daily living skills is vital </w:t>
            </w:r>
            <w:r w:rsidRPr="35972BD9" w:rsidR="42CDFF9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for wellbeing</w:t>
            </w: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quality of life in later life.</w:t>
            </w:r>
          </w:p>
          <w:p w:rsidRPr="00282198" w:rsidR="00282198" w:rsidP="35972BD9" w:rsidRDefault="00282198" w14:textId="77777777" w14:paraId="5CD90B32">
            <w:pPr>
              <w:pStyle w:val="NormalWeb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• UK policy, through the Care Act 2014, emphasises empowerment via wellbeing, choice and control, and personalised care.</w:t>
            </w:r>
          </w:p>
          <w:p w:rsidRPr="00282198" w:rsidR="00282198" w:rsidP="35972BD9" w:rsidRDefault="00282198" w14:textId="77777777" w14:paraId="466564D3">
            <w:pPr>
              <w:pStyle w:val="NormalWeb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• Older adults should be actively involved in care planning, decision</w:t>
            </w:r>
            <w:r w:rsidRPr="35972BD9" w:rsidR="371F80F2">
              <w:rPr>
                <w:rFonts w:ascii="Cambria Math" w:hAnsi="Cambria Math" w:cs="Cambria Math"/>
                <w:color w:val="000000" w:themeColor="text1" w:themeTint="FF" w:themeShade="FF"/>
                <w:sz w:val="22"/>
                <w:szCs w:val="22"/>
              </w:rPr>
              <w:t>‑</w:t>
            </w: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making and goal setting to maintain independence (Bowers et al., 2019).</w:t>
            </w:r>
          </w:p>
          <w:p w:rsidRPr="00282198" w:rsidR="00282198" w:rsidP="35972BD9" w:rsidRDefault="00282198" w14:textId="77777777" w14:paraId="22288D14">
            <w:pPr>
              <w:pStyle w:val="NormalWeb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• Support must also address emotional wellbeing, social participation, identity and meaningful activity.</w:t>
            </w:r>
          </w:p>
          <w:p w:rsidRPr="00282198" w:rsidR="00282198" w:rsidP="35972BD9" w:rsidRDefault="00282198" w14:paraId="7DC33628" w14:textId="66CC9941">
            <w:pPr>
              <w:pStyle w:val="NormalWeb"/>
              <w:rPr>
                <w:rFonts w:ascii="Arial" w:hAnsi="Arial" w:cs="Arial"/>
                <w:color w:val="000000" w:themeColor="text1" w:themeTint="FF" w:themeShade="FF"/>
              </w:rPr>
            </w:pPr>
            <w:r w:rsidRPr="35972BD9" w:rsidR="371F80F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• Strong social connection is linked to better health outcomes and reduced decline in older adults (Age UK, 2023).</w:t>
            </w:r>
          </w:p>
          <w:p w:rsidRPr="00282198" w:rsidR="002A4940" w:rsidP="00983E85" w:rsidRDefault="002A4940" w14:paraId="5A4D8BC6" w14:textId="43F80F2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417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:rsidRPr="00EB6F36" w:rsidR="004642F0" w:rsidP="00B67824" w:rsidRDefault="004642F0" w14:paraId="6BF80D3C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379" w:type="dxa"/>
            <w:vMerge/>
            <w:tcMar/>
            <w:vAlign w:val="center"/>
          </w:tcPr>
          <w:p w:rsidRPr="00EB6F36" w:rsidR="004642F0" w:rsidP="00B67824" w:rsidRDefault="004642F0" w14:paraId="26209CA0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3" w:type="dxa"/>
            <w:vMerge/>
            <w:tcMar/>
            <w:vAlign w:val="center"/>
          </w:tcPr>
          <w:p w:rsidRPr="00EB6F36" w:rsidR="004642F0" w:rsidP="00B67824" w:rsidRDefault="004642F0" w14:paraId="4C257A45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384" w:type="dxa"/>
            <w:vMerge w:val="restart"/>
            <w:tcMar/>
          </w:tcPr>
          <w:p w:rsidRPr="00562332" w:rsidR="00EB6F36" w:rsidP="35972BD9" w:rsidRDefault="00562332" w14:paraId="589F2BA0" w14:textId="2D93A3BD">
            <w:pPr>
              <w:pStyle w:val="Normal"/>
              <w:rPr>
                <w:rFonts w:ascii="Arial" w:hAnsi="Arial" w:cs="Arial"/>
                <w:b w:val="1"/>
                <w:bCs w:val="1"/>
                <w:color w:val="215E99" w:themeColor="text2" w:themeTint="BF"/>
                <w:sz w:val="28"/>
                <w:szCs w:val="28"/>
              </w:rPr>
            </w:pPr>
            <w:r w:rsidRPr="35972BD9" w:rsidR="00562332">
              <w:rPr>
                <w:rFonts w:ascii="Arial" w:hAnsi="Arial" w:cs="Arial"/>
                <w:b w:val="1"/>
                <w:bCs w:val="1"/>
                <w:color w:val="215E99" w:themeColor="text2" w:themeTint="BF" w:themeShade="FF"/>
                <w:sz w:val="28"/>
                <w:szCs w:val="28"/>
              </w:rPr>
              <w:t>Recommendations to Improve Services for Older People</w:t>
            </w:r>
            <w:r w:rsidRPr="35972BD9" w:rsidR="005170CD">
              <w:rPr>
                <w:rFonts w:ascii="Arial" w:hAnsi="Arial" w:cs="Arial"/>
                <w:b w:val="1"/>
                <w:bCs w:val="1"/>
                <w:color w:val="215E99" w:themeColor="text2" w:themeTint="BF" w:themeShade="FF"/>
                <w:sz w:val="28"/>
                <w:szCs w:val="28"/>
              </w:rPr>
              <w:t>.</w:t>
            </w:r>
          </w:p>
          <w:p w:rsidRPr="00B51110" w:rsidR="00B51110" w:rsidP="00B51110" w:rsidRDefault="00B51110" w14:paraId="3187C6EA" w14:textId="612AB9E8">
            <w:pPr>
              <w:rPr>
                <w:rFonts w:ascii="Arial" w:hAnsi="Arial" w:cs="Arial"/>
              </w:rPr>
            </w:pPr>
            <w:r w:rsidRPr="35972BD9" w:rsidR="00B51110">
              <w:rPr>
                <w:rFonts w:ascii="Arial" w:hAnsi="Arial" w:cs="Arial"/>
              </w:rPr>
              <w:t xml:space="preserve">• Expand preventative services such as </w:t>
            </w:r>
            <w:r w:rsidRPr="35972BD9" w:rsidR="21C200D8">
              <w:rPr>
                <w:rFonts w:ascii="Arial" w:hAnsi="Arial" w:cs="Arial"/>
              </w:rPr>
              <w:t>fall‐</w:t>
            </w:r>
            <w:r w:rsidRPr="35972BD9" w:rsidR="00B51110">
              <w:rPr>
                <w:rFonts w:ascii="Arial" w:hAnsi="Arial" w:cs="Arial"/>
              </w:rPr>
              <w:t xml:space="preserve">prevention </w:t>
            </w:r>
            <w:r w:rsidRPr="35972BD9" w:rsidR="3563BF80">
              <w:rPr>
                <w:rFonts w:ascii="Arial" w:hAnsi="Arial" w:cs="Arial"/>
              </w:rPr>
              <w:t>programs,</w:t>
            </w:r>
            <w:r w:rsidRPr="35972BD9" w:rsidR="008F7816">
              <w:rPr>
                <w:rFonts w:ascii="Arial" w:hAnsi="Arial" w:cs="Arial"/>
              </w:rPr>
              <w:t xml:space="preserve"> </w:t>
            </w:r>
            <w:r w:rsidRPr="35972BD9" w:rsidR="00B51110">
              <w:rPr>
                <w:rFonts w:ascii="Arial" w:hAnsi="Arial" w:cs="Arial"/>
              </w:rPr>
              <w:t xml:space="preserve">home </w:t>
            </w:r>
            <w:r w:rsidRPr="35972BD9" w:rsidR="00B51110">
              <w:rPr>
                <w:rFonts w:ascii="Arial" w:hAnsi="Arial" w:cs="Arial"/>
              </w:rPr>
              <w:t>adaptations</w:t>
            </w:r>
            <w:r w:rsidRPr="35972BD9" w:rsidR="00B51110">
              <w:rPr>
                <w:rFonts w:ascii="Arial" w:hAnsi="Arial" w:cs="Arial"/>
              </w:rPr>
              <w:t xml:space="preserve"> and community </w:t>
            </w:r>
            <w:r w:rsidRPr="35972BD9" w:rsidR="00CA56B2">
              <w:rPr>
                <w:rFonts w:ascii="Arial" w:hAnsi="Arial" w:cs="Arial"/>
              </w:rPr>
              <w:t>pl</w:t>
            </w:r>
            <w:r w:rsidRPr="35972BD9" w:rsidR="00CA56B2">
              <w:rPr>
                <w:rFonts w:ascii="Arial" w:hAnsi="Arial" w:cs="Arial"/>
              </w:rPr>
              <w:t>ac</w:t>
            </w:r>
            <w:r w:rsidRPr="35972BD9" w:rsidR="00CA56B2">
              <w:rPr>
                <w:rFonts w:ascii="Arial" w:hAnsi="Arial" w:cs="Arial"/>
              </w:rPr>
              <w:t>em</w:t>
            </w:r>
            <w:r w:rsidRPr="35972BD9" w:rsidR="00CA56B2">
              <w:rPr>
                <w:rFonts w:ascii="Arial" w:hAnsi="Arial" w:cs="Arial"/>
              </w:rPr>
              <w:t>ent</w:t>
            </w:r>
            <w:r w:rsidRPr="35972BD9" w:rsidR="00B51110">
              <w:rPr>
                <w:rFonts w:ascii="Arial" w:hAnsi="Arial" w:cs="Arial"/>
              </w:rPr>
              <w:t xml:space="preserve"> (Social Care Institute for Excellence, 2020).</w:t>
            </w:r>
          </w:p>
          <w:p w:rsidRPr="00B51110" w:rsidR="00B51110" w:rsidP="00B51110" w:rsidRDefault="00B51110" w14:paraId="40E6DB18" w14:textId="77777777">
            <w:pPr>
              <w:rPr>
                <w:rFonts w:ascii="Arial" w:hAnsi="Arial" w:cs="Arial"/>
              </w:rPr>
            </w:pPr>
            <w:r w:rsidRPr="00B51110">
              <w:rPr>
                <w:rFonts w:ascii="Arial" w:hAnsi="Arial" w:cs="Arial"/>
              </w:rPr>
              <w:t>• Strengthen integration between health and social care to improve coordination (NHS England, 2024).</w:t>
            </w:r>
          </w:p>
          <w:p w:rsidRPr="00B51110" w:rsidR="00B51110" w:rsidP="00B51110" w:rsidRDefault="00B51110" w14:paraId="73700A9F" w14:textId="77777777">
            <w:pPr>
              <w:rPr>
                <w:rFonts w:ascii="Arial" w:hAnsi="Arial" w:cs="Arial"/>
              </w:rPr>
            </w:pPr>
            <w:r w:rsidRPr="00B51110">
              <w:rPr>
                <w:rFonts w:ascii="Arial" w:hAnsi="Arial" w:cs="Arial"/>
              </w:rPr>
              <w:t>• Increase investment in the health and social care workforce, with a focus on training and retention (British Geriatrics Society, 2024).</w:t>
            </w:r>
          </w:p>
          <w:p w:rsidRPr="00B51110" w:rsidR="00B51110" w:rsidP="00B51110" w:rsidRDefault="00B51110" w14:paraId="2C546CF9" w14:textId="77777777">
            <w:pPr>
              <w:rPr>
                <w:rFonts w:ascii="Arial" w:hAnsi="Arial" w:cs="Arial"/>
              </w:rPr>
            </w:pPr>
            <w:r w:rsidRPr="00B51110">
              <w:rPr>
                <w:rFonts w:ascii="Arial" w:hAnsi="Arial" w:cs="Arial"/>
              </w:rPr>
              <w:t>• Improve digital inclusion so older adults can access online services and health information (Age UK, 2024).</w:t>
            </w:r>
          </w:p>
          <w:p w:rsidRPr="004460AE" w:rsidR="00B67824" w:rsidP="35972BD9" w:rsidRDefault="00B51110" w14:paraId="1989C72B" w14:textId="4F6BC2BD">
            <w:pPr>
              <w:rPr>
                <w:rFonts w:ascii="Arial" w:hAnsi="Arial" w:cs="Arial"/>
                <w:sz w:val="24"/>
                <w:szCs w:val="24"/>
              </w:rPr>
            </w:pPr>
            <w:r w:rsidRPr="35972BD9" w:rsidR="00B51110">
              <w:rPr>
                <w:rFonts w:ascii="Arial" w:hAnsi="Arial" w:cs="Arial"/>
              </w:rPr>
              <w:t xml:space="preserve">• Continue implementing Care Act 2014 principles to support choice, </w:t>
            </w:r>
            <w:r w:rsidRPr="35972BD9" w:rsidR="00B51110">
              <w:rPr>
                <w:rFonts w:ascii="Arial" w:hAnsi="Arial" w:cs="Arial"/>
              </w:rPr>
              <w:t>independence</w:t>
            </w:r>
            <w:r w:rsidRPr="35972BD9" w:rsidR="00B51110">
              <w:rPr>
                <w:rFonts w:ascii="Arial" w:hAnsi="Arial" w:cs="Arial"/>
              </w:rPr>
              <w:t xml:space="preserve"> and empowerment</w:t>
            </w:r>
            <w:r w:rsidRPr="35972BD9" w:rsidR="00B51110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4460AE" w:rsidR="00B67824" w:rsidP="35972BD9" w:rsidRDefault="00B51110" w14:paraId="0AB89F4C" w14:textId="76FAB5D2">
            <w:pPr>
              <w:rPr>
                <w:rFonts w:ascii="Arial" w:hAnsi="Arial" w:cs="Arial"/>
                <w:sz w:val="24"/>
                <w:szCs w:val="24"/>
              </w:rPr>
            </w:pPr>
          </w:p>
          <w:p w:rsidRPr="004460AE" w:rsidR="00B67824" w:rsidP="35972BD9" w:rsidRDefault="00B51110" w14:paraId="3DC82DBF" w14:textId="3FDC64F3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35972BD9" w:rsidR="21054B5E">
              <w:rPr>
                <w:rFonts w:ascii="Arial" w:hAnsi="Arial" w:cs="Arial"/>
                <w:b w:val="1"/>
                <w:bCs w:val="1"/>
                <w:color w:val="215E99" w:themeColor="text2" w:themeTint="BF" w:themeShade="FF"/>
                <w:sz w:val="28"/>
                <w:szCs w:val="28"/>
              </w:rPr>
              <w:t>Conclusion</w:t>
            </w:r>
            <w:r w:rsidRPr="35972BD9" w:rsidR="21054B5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.</w:t>
            </w:r>
          </w:p>
          <w:p w:rsidRPr="004460AE" w:rsidR="00B67824" w:rsidP="35972BD9" w:rsidRDefault="00B51110" w14:paraId="0D9B4558" w14:textId="77777777">
            <w:pPr>
              <w:pStyle w:val="NormalWeb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Older adults in the UK face </w:t>
            </w:r>
            <w:r w:rsidRPr="35972BD9" w:rsidR="21054B5E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>health, social and structural challenges</w:t>
            </w: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that can affect independence and wellbeing.</w:t>
            </w:r>
          </w:p>
          <w:p w:rsidRPr="004460AE" w:rsidR="00B67824" w:rsidP="35972BD9" w:rsidRDefault="00B51110" w14:paraId="1DEDD549" w14:textId="77777777">
            <w:pPr>
              <w:pStyle w:val="NormalWeb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>However, policies and evidence-based approaches already exist to support healthy ageing.</w:t>
            </w:r>
          </w:p>
          <w:p w:rsidRPr="004460AE" w:rsidR="00B67824" w:rsidP="35972BD9" w:rsidRDefault="00B51110" w14:paraId="3F0C0F21" w14:textId="77777777">
            <w:pPr>
              <w:pStyle w:val="NormalWeb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Services such as reablement, community care and personalised support can help older adults </w:t>
            </w:r>
            <w:r w:rsidRPr="35972BD9" w:rsidR="21054B5E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>maintain functional ability and independence</w:t>
            </w: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(Social Care Institute for Excellence, 2020).</w:t>
            </w:r>
          </w:p>
          <w:p w:rsidRPr="004460AE" w:rsidR="00B67824" w:rsidP="35972BD9" w:rsidRDefault="00B51110" w14:paraId="179E91E7" w14:textId="278185BF">
            <w:pPr>
              <w:pStyle w:val="NormalWeb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>Strengthening service integration, workforce capacity and digital inclusion will further improve care outcomes.</w:t>
            </w:r>
          </w:p>
          <w:p w:rsidRPr="004460AE" w:rsidR="00B67824" w:rsidP="35972BD9" w:rsidRDefault="00B51110" w14:paraId="7304C439" w14:textId="631B8C39">
            <w:pPr>
              <w:pStyle w:val="NormalWeb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>Promoting autonomy and person-</w:t>
            </w: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>cent</w:t>
            </w:r>
            <w:r w:rsidRPr="35972BD9" w:rsidR="550B375E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red </w:t>
            </w: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care ensures that older adults </w:t>
            </w: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>remain</w:t>
            </w: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</w:t>
            </w:r>
            <w:r w:rsidRPr="35972BD9" w:rsidR="21054B5E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 xml:space="preserve">active </w:t>
            </w:r>
            <w:r w:rsidRPr="35972BD9" w:rsidR="21054B5E">
              <w:rPr>
                <w:rStyle w:val="bzpyqfadein"/>
                <w:rFonts w:ascii="Arial" w:hAnsi="Arial" w:cs="Arial"/>
                <w:b w:val="1"/>
                <w:bCs w:val="1"/>
                <w:sz w:val="22"/>
                <w:szCs w:val="22"/>
              </w:rPr>
              <w:t>participants in decisions about their health and social care</w:t>
            </w:r>
            <w:r w:rsidRPr="35972BD9" w:rsidR="21054B5E">
              <w:rPr>
                <w:rStyle w:val="bzpyqfadein"/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0E2F62" w:rsidR="004642F0" w:rsidTr="35972BD9" w14:paraId="11E6A33A" w14:textId="77777777">
        <w:trPr>
          <w:trHeight w:val="60"/>
        </w:trPr>
        <w:tc>
          <w:tcPr>
            <w:tcW w:w="4650" w:type="dxa"/>
            <w:vMerge/>
            <w:tcMar/>
          </w:tcPr>
          <w:p w:rsidRPr="000E2F62" w:rsidR="004642F0" w:rsidP="00B67824" w:rsidRDefault="004642F0" w14:paraId="31A37CFB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7" w:type="dxa"/>
            <w:vMerge/>
            <w:tcMar/>
          </w:tcPr>
          <w:p w:rsidRPr="000E2F62" w:rsidR="004642F0" w:rsidP="00B67824" w:rsidRDefault="004642F0" w14:paraId="67FE6AF8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79" w:type="dxa"/>
            <w:tcMar/>
          </w:tcPr>
          <w:p w:rsidRPr="000E2F62" w:rsidR="004642F0" w:rsidP="00C46111" w:rsidRDefault="004642F0" w14:paraId="265A985E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3" w:type="dxa"/>
            <w:vMerge/>
            <w:tcMar/>
          </w:tcPr>
          <w:p w:rsidRPr="000E2F62" w:rsidR="004642F0" w:rsidP="00B67824" w:rsidRDefault="004642F0" w14:paraId="7C9413AE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84" w:type="dxa"/>
            <w:vMerge/>
            <w:tcMar/>
          </w:tcPr>
          <w:p w:rsidRPr="000E2F62" w:rsidR="004642F0" w:rsidP="004642F0" w:rsidRDefault="004642F0" w14:paraId="57C3E9A1" w14:textId="77777777">
            <w:pPr>
              <w:rPr>
                <w:rFonts w:ascii="Arial" w:hAnsi="Arial" w:cs="Arial"/>
                <w:sz w:val="21"/>
              </w:rPr>
            </w:pPr>
          </w:p>
        </w:tc>
      </w:tr>
      <w:tr w:rsidRPr="000E2F62" w:rsidR="004642F0" w:rsidTr="35972BD9" w14:paraId="5A354B4C" w14:textId="77777777">
        <w:trPr>
          <w:trHeight w:val="6431"/>
        </w:trPr>
        <w:tc>
          <w:tcPr>
            <w:tcW w:w="4650" w:type="dxa"/>
            <w:vMerge/>
            <w:tcMar/>
          </w:tcPr>
          <w:p w:rsidRPr="000E2F62" w:rsidR="004642F0" w:rsidP="00B67824" w:rsidRDefault="004642F0" w14:paraId="5810A476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7" w:type="dxa"/>
            <w:vMerge/>
            <w:tcMar/>
          </w:tcPr>
          <w:p w:rsidRPr="000E2F62" w:rsidR="004642F0" w:rsidP="00B67824" w:rsidRDefault="004642F0" w14:paraId="11822C25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79" w:type="dxa"/>
            <w:tcMar/>
          </w:tcPr>
          <w:p w:rsidRPr="00DD21B5" w:rsidR="00EB6F36" w:rsidP="35972BD9" w:rsidRDefault="00EB6F36" w14:paraId="73EF736C" w14:textId="2F2E4442">
            <w:pPr>
              <w:rPr>
                <w:rFonts w:ascii="Arial" w:hAnsi="Arial" w:cs="Arial"/>
                <w:b w:val="1"/>
                <w:bCs w:val="1"/>
                <w:color w:val="215E99" w:themeColor="text2" w:themeTint="BF" w:themeShade="FF"/>
                <w:sz w:val="28"/>
                <w:szCs w:val="28"/>
              </w:rPr>
            </w:pPr>
            <w:r w:rsidRPr="35972BD9" w:rsidR="5155DAF6">
              <w:rPr>
                <w:rFonts w:ascii="Arial" w:hAnsi="Arial" w:cs="Arial"/>
                <w:b w:val="1"/>
                <w:bCs w:val="1"/>
                <w:color w:val="215E99" w:themeColor="text2" w:themeTint="BF" w:themeShade="FF"/>
                <w:sz w:val="28"/>
                <w:szCs w:val="28"/>
              </w:rPr>
              <w:t>Challenges Faced by Older Adults in the UK Care System.</w:t>
            </w:r>
          </w:p>
          <w:p w:rsidRPr="00DD21B5" w:rsidR="00EB6F36" w:rsidP="35972BD9" w:rsidRDefault="00EB6F36" w14:paraId="0D0A3ED2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5972BD9" w:rsidR="5155DAF6">
              <w:rPr>
                <w:rFonts w:ascii="Arial" w:hAnsi="Arial" w:cs="Arial"/>
                <w:color w:val="000000" w:themeColor="text1" w:themeTint="FF" w:themeShade="FF"/>
              </w:rPr>
              <w:t>• Many older adults experience frailty, multimorbidity and long</w:t>
            </w:r>
            <w:r w:rsidRPr="35972BD9" w:rsidR="5155DAF6">
              <w:rPr>
                <w:rFonts w:ascii="Cambria Math" w:hAnsi="Cambria Math" w:cs="Cambria Math"/>
                <w:color w:val="000000" w:themeColor="text1" w:themeTint="FF" w:themeShade="FF"/>
              </w:rPr>
              <w:t>‑</w:t>
            </w:r>
            <w:r w:rsidRPr="35972BD9" w:rsidR="5155DAF6">
              <w:rPr>
                <w:rFonts w:ascii="Arial" w:hAnsi="Arial" w:cs="Arial"/>
                <w:color w:val="000000" w:themeColor="text1" w:themeTint="FF" w:themeShade="FF"/>
              </w:rPr>
              <w:t>term conditions, increasing care needs (Care Quality Commission, 2025).</w:t>
            </w:r>
          </w:p>
          <w:p w:rsidRPr="00DD21B5" w:rsidR="00EB6F36" w:rsidP="35972BD9" w:rsidRDefault="00EB6F36" w14:paraId="507315DF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5972BD9" w:rsidR="5155DAF6">
              <w:rPr>
                <w:rFonts w:ascii="Arial" w:hAnsi="Arial" w:cs="Arial"/>
                <w:color w:val="000000" w:themeColor="text1" w:themeTint="FF" w:themeShade="FF"/>
              </w:rPr>
              <w:t>• Delays in accessing rehabilitation, assessments and home</w:t>
            </w:r>
            <w:r w:rsidRPr="35972BD9" w:rsidR="5155DAF6">
              <w:rPr>
                <w:rFonts w:ascii="Cambria Math" w:hAnsi="Cambria Math" w:cs="Cambria Math"/>
                <w:color w:val="000000" w:themeColor="text1" w:themeTint="FF" w:themeShade="FF"/>
              </w:rPr>
              <w:t>‑</w:t>
            </w:r>
            <w:r w:rsidRPr="35972BD9" w:rsidR="5155DAF6">
              <w:rPr>
                <w:rFonts w:ascii="Arial" w:hAnsi="Arial" w:cs="Arial"/>
                <w:color w:val="000000" w:themeColor="text1" w:themeTint="FF" w:themeShade="FF"/>
              </w:rPr>
              <w:t>based care can lead to avoidable loss of independence (Age UK, 2024).</w:t>
            </w:r>
          </w:p>
          <w:p w:rsidRPr="00DD21B5" w:rsidR="00EB6F36" w:rsidP="35972BD9" w:rsidRDefault="00EB6F36" w14:paraId="0FBAD1A2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5972BD9" w:rsidR="5155DAF6">
              <w:rPr>
                <w:rFonts w:ascii="Arial" w:hAnsi="Arial" w:cs="Arial"/>
                <w:color w:val="000000" w:themeColor="text1" w:themeTint="FF" w:themeShade="FF"/>
              </w:rPr>
              <w:t>• Health inequalities in deprived areas contribute to poorer outcomes and shorter healthy life expectancy (Iacobacci, 2020).</w:t>
            </w:r>
          </w:p>
          <w:p w:rsidRPr="00DD21B5" w:rsidR="00EB6F36" w:rsidP="35972BD9" w:rsidRDefault="00EB6F36" w14:paraId="322A9884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5972BD9" w:rsidR="5155DAF6">
              <w:rPr>
                <w:rFonts w:ascii="Arial" w:hAnsi="Arial" w:cs="Arial"/>
                <w:color w:val="000000" w:themeColor="text1" w:themeTint="FF" w:themeShade="FF"/>
              </w:rPr>
              <w:t>• Additional barriers to healthy ageing include digital exclusion, social isolation and limited access to physical activity (Office for Health Improvement and Disparities, 2022).</w:t>
            </w:r>
          </w:p>
          <w:p w:rsidRPr="00DD21B5" w:rsidR="00EB6F36" w:rsidP="35972BD9" w:rsidRDefault="00EB6F36" w14:paraId="54E2ED76" w14:textId="1CB597D3">
            <w:pPr>
              <w:rPr>
                <w:rFonts w:ascii="Arial" w:hAnsi="Arial" w:cs="Arial"/>
                <w:noProof/>
                <w:color w:val="000000" w:themeColor="text1" w:themeTint="FF" w:themeShade="FF"/>
                <w:lang w:val="en-GB"/>
              </w:rPr>
            </w:pPr>
            <w:r w:rsidRPr="35972BD9" w:rsidR="5155DAF6">
              <w:rPr>
                <w:rFonts w:ascii="Arial" w:hAnsi="Arial" w:cs="Arial"/>
                <w:color w:val="000000" w:themeColor="text1" w:themeTint="FF" w:themeShade="FF"/>
              </w:rPr>
              <w:t>• Fragmented health and social care services reduce continuity of care and support (Care Quality Commission, 2025).</w:t>
            </w:r>
          </w:p>
        </w:tc>
        <w:tc>
          <w:tcPr>
            <w:tcW w:w="363" w:type="dxa"/>
            <w:vMerge/>
            <w:tcMar/>
          </w:tcPr>
          <w:p w:rsidRPr="000E2F62" w:rsidR="004642F0" w:rsidP="00B67824" w:rsidRDefault="004642F0" w14:paraId="20BCBCE8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384" w:type="dxa"/>
            <w:vMerge/>
            <w:tcMar/>
          </w:tcPr>
          <w:p w:rsidRPr="000E2F62" w:rsidR="004642F0" w:rsidP="004642F0" w:rsidRDefault="004642F0" w14:paraId="03A7DF7C" w14:textId="77777777">
            <w:pPr>
              <w:rPr>
                <w:rFonts w:ascii="Arial" w:hAnsi="Arial" w:cs="Arial"/>
                <w:sz w:val="21"/>
              </w:rPr>
            </w:pPr>
          </w:p>
        </w:tc>
      </w:tr>
    </w:tbl>
    <w:p w:rsidR="00ED1049" w:rsidP="35972BD9" w:rsidRDefault="00ED1049" w14:paraId="2E95896A" w14:textId="13B75355">
      <w:pPr>
        <w:pStyle w:val="Normal"/>
        <w:rPr>
          <w:rFonts w:ascii="Arial" w:hAnsi="Arial" w:cs="Arial"/>
          <w:b w:val="1"/>
          <w:bCs w:val="1"/>
          <w:sz w:val="28"/>
          <w:szCs w:val="28"/>
        </w:rPr>
      </w:pPr>
      <w:r w:rsidRPr="35972BD9" w:rsidR="00ED1049">
        <w:rPr>
          <w:rFonts w:ascii="Arial" w:hAnsi="Arial" w:cs="Arial"/>
          <w:b w:val="1"/>
          <w:bCs w:val="1"/>
          <w:sz w:val="28"/>
          <w:szCs w:val="28"/>
        </w:rPr>
        <w:t>References</w:t>
      </w:r>
    </w:p>
    <w:p w:rsidRPr="00B22DF7" w:rsidR="00C333EF" w:rsidP="00C333EF" w:rsidRDefault="00C333EF" w14:paraId="21DA0580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Age UK (2023)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Later life in the United Kingdom 2023</w:t>
      </w:r>
      <w:r w:rsidRPr="00B22DF7">
        <w:rPr>
          <w:rStyle w:val="bzpyqfadein"/>
          <w:rFonts w:ascii="Arial" w:hAnsi="Arial" w:cs="Arial"/>
          <w:sz w:val="22"/>
          <w:szCs w:val="22"/>
        </w:rPr>
        <w:t xml:space="preserve">. London: Age UK. Available at: </w:t>
      </w:r>
      <w:hyperlink w:tgtFrame="_new" w:history="1" r:id="rId15">
        <w:r w:rsidRPr="00B22DF7">
          <w:rPr>
            <w:rStyle w:val="bzpyqfadein"/>
            <w:rFonts w:ascii="Arial" w:hAnsi="Arial" w:cs="Arial"/>
            <w:color w:val="0000FF"/>
            <w:sz w:val="22"/>
            <w:szCs w:val="22"/>
            <w:u w:val="single"/>
          </w:rPr>
          <w:t>https://www.ageuk.org.uk</w:t>
        </w:r>
      </w:hyperlink>
      <w:r w:rsidRPr="00B22DF7">
        <w:rPr>
          <w:rStyle w:val="bzpyqfadein"/>
          <w:rFonts w:ascii="Arial" w:hAnsi="Arial" w:cs="Arial"/>
          <w:sz w:val="22"/>
          <w:szCs w:val="22"/>
        </w:rPr>
        <w:t xml:space="preserve"> (Accessed: 24 February 2026).</w:t>
      </w:r>
    </w:p>
    <w:p w:rsidRPr="00B22DF7" w:rsidR="00C333EF" w:rsidP="00C333EF" w:rsidRDefault="00C333EF" w14:paraId="4411C8DB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Age UK (2024)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Digital inclusion and older people</w:t>
      </w:r>
      <w:r w:rsidRPr="00B22DF7">
        <w:rPr>
          <w:rStyle w:val="bzpyqfadein"/>
          <w:rFonts w:ascii="Arial" w:hAnsi="Arial" w:cs="Arial"/>
          <w:sz w:val="22"/>
          <w:szCs w:val="22"/>
        </w:rPr>
        <w:t xml:space="preserve">. London: Age UK. Available at: </w:t>
      </w:r>
      <w:hyperlink w:tgtFrame="_new" w:history="1" r:id="rId16">
        <w:r w:rsidRPr="00B22DF7">
          <w:rPr>
            <w:rStyle w:val="bzpyqfadein"/>
            <w:rFonts w:ascii="Arial" w:hAnsi="Arial" w:cs="Arial"/>
            <w:color w:val="0000FF"/>
            <w:sz w:val="22"/>
            <w:szCs w:val="22"/>
            <w:u w:val="single"/>
          </w:rPr>
          <w:t>https://www.ageuk.org.uk</w:t>
        </w:r>
      </w:hyperlink>
      <w:r w:rsidRPr="00B22DF7">
        <w:rPr>
          <w:rStyle w:val="bzpyqfadein"/>
          <w:rFonts w:ascii="Arial" w:hAnsi="Arial" w:cs="Arial"/>
          <w:sz w:val="22"/>
          <w:szCs w:val="22"/>
        </w:rPr>
        <w:t xml:space="preserve"> (Accessed: 13 March 2025).</w:t>
      </w:r>
    </w:p>
    <w:p w:rsidRPr="00B22DF7" w:rsidR="00C333EF" w:rsidP="00C333EF" w:rsidRDefault="00C333EF" w14:paraId="79534CBA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Atchley, R.C. (1989) ‘A continuity theory of normal aging’,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The Gerontologist</w:t>
      </w:r>
      <w:r w:rsidRPr="00B22DF7">
        <w:rPr>
          <w:rStyle w:val="bzpyqfadein"/>
          <w:rFonts w:ascii="Arial" w:hAnsi="Arial" w:cs="Arial"/>
          <w:sz w:val="22"/>
          <w:szCs w:val="22"/>
        </w:rPr>
        <w:t>, 29(2), pp. 183–190.</w:t>
      </w:r>
    </w:p>
    <w:p w:rsidRPr="00B22DF7" w:rsidR="00C333EF" w:rsidP="00C333EF" w:rsidRDefault="00C333EF" w14:paraId="0BB36D3D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Bentley, A. (2024)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The UK’s aging population and its growing demand for home care</w:t>
      </w:r>
      <w:r w:rsidRPr="00B22DF7">
        <w:rPr>
          <w:rStyle w:val="bzpyqfadein"/>
          <w:rFonts w:ascii="Arial" w:hAnsi="Arial" w:cs="Arial"/>
          <w:sz w:val="22"/>
          <w:szCs w:val="22"/>
        </w:rPr>
        <w:t xml:space="preserve">. Available at: </w:t>
      </w:r>
      <w:hyperlink w:tgtFrame="_new" w:history="1" r:id="rId17">
        <w:r w:rsidRPr="00B22DF7">
          <w:rPr>
            <w:rStyle w:val="bzpyqfadein"/>
            <w:rFonts w:ascii="Arial" w:hAnsi="Arial" w:cs="Arial"/>
            <w:color w:val="0000FF"/>
            <w:sz w:val="22"/>
            <w:szCs w:val="22"/>
            <w:u w:val="single"/>
          </w:rPr>
          <w:t>https://www.caremark.co.uk/franchise-opportunities/news/why-the-home-care-industry-is-a-smart-investment-in-2025-and-beyond-2/</w:t>
        </w:r>
      </w:hyperlink>
      <w:r w:rsidRPr="00B22DF7">
        <w:rPr>
          <w:rStyle w:val="bzpyqfadein"/>
          <w:rFonts w:ascii="Arial" w:hAnsi="Arial" w:cs="Arial"/>
          <w:sz w:val="22"/>
          <w:szCs w:val="22"/>
        </w:rPr>
        <w:t xml:space="preserve"> (Accessed: 10 March 2025).</w:t>
      </w:r>
    </w:p>
    <w:p w:rsidRPr="00B22DF7" w:rsidR="00C333EF" w:rsidP="00C333EF" w:rsidRDefault="00C333EF" w14:paraId="7D7285C3" w14:textId="5F0A0D06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Bowers, H., Clark, A. and Crosby, G. (2019) ‘Supporting choice and control for older people in home care’,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Health and Social Care in the Community</w:t>
      </w:r>
      <w:r w:rsidRPr="00B22DF7">
        <w:rPr>
          <w:rStyle w:val="bzpyqfadein"/>
          <w:rFonts w:ascii="Arial" w:hAnsi="Arial" w:cs="Arial"/>
          <w:sz w:val="22"/>
          <w:szCs w:val="22"/>
        </w:rPr>
        <w:t>, 27(3), pp. 749–758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 xml:space="preserve"> 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>(Accessed: 13 March 2025).</w:t>
      </w:r>
    </w:p>
    <w:p w:rsidRPr="00B22DF7" w:rsidR="00C333EF" w:rsidP="00C333EF" w:rsidRDefault="00C333EF" w14:paraId="2D828A6B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British Geriatrics Society (2024)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Joining the dots: A blueprint for preventing and managing frailty in older people</w:t>
      </w:r>
      <w:r w:rsidRPr="00B22DF7">
        <w:rPr>
          <w:rStyle w:val="bzpyqfadein"/>
          <w:rFonts w:ascii="Arial" w:hAnsi="Arial" w:cs="Arial"/>
          <w:sz w:val="22"/>
          <w:szCs w:val="22"/>
        </w:rPr>
        <w:t>. London: British Geriatrics Society.</w:t>
      </w:r>
    </w:p>
    <w:p w:rsidRPr="00B22DF7" w:rsidR="00C333EF" w:rsidP="00C333EF" w:rsidRDefault="00C333EF" w14:paraId="0404F906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Care Quality Commission (2025)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The state of health care and adult social care in England 2024/25: Health and care for frail and older people</w:t>
      </w:r>
      <w:r w:rsidRPr="00B22DF7">
        <w:rPr>
          <w:rStyle w:val="bzpyqfadein"/>
          <w:rFonts w:ascii="Arial" w:hAnsi="Arial" w:cs="Arial"/>
          <w:sz w:val="22"/>
          <w:szCs w:val="22"/>
        </w:rPr>
        <w:t xml:space="preserve">. London: Care Quality Commission. Available at: </w:t>
      </w:r>
      <w:hyperlink w:tgtFrame="_new" w:history="1" r:id="rId18">
        <w:r w:rsidRPr="00B22DF7">
          <w:rPr>
            <w:rStyle w:val="bzpyqfadein"/>
            <w:rFonts w:ascii="Arial" w:hAnsi="Arial" w:cs="Arial"/>
            <w:color w:val="0000FF"/>
            <w:sz w:val="22"/>
            <w:szCs w:val="22"/>
            <w:u w:val="single"/>
          </w:rPr>
          <w:t>https://www.cqc.org.uk</w:t>
        </w:r>
      </w:hyperlink>
      <w:r w:rsidRPr="00B22DF7">
        <w:rPr>
          <w:rStyle w:val="bzpyqfadein"/>
          <w:rFonts w:ascii="Arial" w:hAnsi="Arial" w:cs="Arial"/>
          <w:sz w:val="22"/>
          <w:szCs w:val="22"/>
        </w:rPr>
        <w:t xml:space="preserve"> (Accessed: 10 March 2025).</w:t>
      </w:r>
    </w:p>
    <w:p w:rsidRPr="00B22DF7" w:rsidR="00C333EF" w:rsidP="00C333EF" w:rsidRDefault="00C333EF" w14:paraId="4DD21FF7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Centre for Ageing Better (2024)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Our ageing population: The state of ageing 2023–24</w:t>
      </w:r>
      <w:r w:rsidRPr="00B22DF7">
        <w:rPr>
          <w:rStyle w:val="bzpyqfadein"/>
          <w:rFonts w:ascii="Arial" w:hAnsi="Arial" w:cs="Arial"/>
          <w:sz w:val="22"/>
          <w:szCs w:val="22"/>
        </w:rPr>
        <w:t xml:space="preserve">. Available at: </w:t>
      </w:r>
      <w:hyperlink w:tgtFrame="_new" w:history="1" r:id="rId19">
        <w:r w:rsidRPr="00B22DF7">
          <w:rPr>
            <w:rStyle w:val="bzpyqfadein"/>
            <w:rFonts w:ascii="Arial" w:hAnsi="Arial" w:cs="Arial"/>
            <w:color w:val="0000FF"/>
            <w:sz w:val="22"/>
            <w:szCs w:val="22"/>
            <w:u w:val="single"/>
          </w:rPr>
          <w:t>https://ageing-better.org.uk/our-ageing-population-state-ageing-2023-4</w:t>
        </w:r>
      </w:hyperlink>
      <w:r w:rsidRPr="00B22DF7">
        <w:rPr>
          <w:rStyle w:val="bzpyqfadein"/>
          <w:rFonts w:ascii="Arial" w:hAnsi="Arial" w:cs="Arial"/>
          <w:sz w:val="22"/>
          <w:szCs w:val="22"/>
        </w:rPr>
        <w:t xml:space="preserve"> (Accessed: 24 February 2026).</w:t>
      </w:r>
    </w:p>
    <w:p w:rsidRPr="00B22DF7" w:rsidR="00C333EF" w:rsidP="00C333EF" w:rsidRDefault="00C333EF" w14:paraId="112116D5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Department of Health and Social Care (2025)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Care and support statutory guidance: Issued under the Care Act 2014</w:t>
      </w:r>
      <w:r w:rsidRPr="00B22DF7">
        <w:rPr>
          <w:rStyle w:val="bzpyqfadein"/>
          <w:rFonts w:ascii="Arial" w:hAnsi="Arial" w:cs="Arial"/>
          <w:sz w:val="22"/>
          <w:szCs w:val="22"/>
        </w:rPr>
        <w:t>. London: DHSC.</w:t>
      </w:r>
    </w:p>
    <w:p w:rsidRPr="00B22DF7" w:rsidR="00C333EF" w:rsidP="00C333EF" w:rsidRDefault="00C333EF" w14:paraId="3D75A386" w14:textId="6096160C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Glasby, J. (2022)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Understanding health and social care</w:t>
      </w:r>
      <w:r w:rsidRPr="00B22DF7">
        <w:rPr>
          <w:rStyle w:val="bzpyqfadein"/>
          <w:rFonts w:ascii="Arial" w:hAnsi="Arial" w:cs="Arial"/>
          <w:sz w:val="22"/>
          <w:szCs w:val="22"/>
        </w:rPr>
        <w:t xml:space="preserve">. 4th </w:t>
      </w:r>
      <w:proofErr w:type="spellStart"/>
      <w:r w:rsidRPr="00B22DF7">
        <w:rPr>
          <w:rStyle w:val="bzpyqfadein"/>
          <w:rFonts w:ascii="Arial" w:hAnsi="Arial" w:cs="Arial"/>
          <w:sz w:val="22"/>
          <w:szCs w:val="22"/>
        </w:rPr>
        <w:t>edn</w:t>
      </w:r>
      <w:proofErr w:type="spellEnd"/>
      <w:r w:rsidRPr="00B22DF7">
        <w:rPr>
          <w:rStyle w:val="bzpyqfadein"/>
          <w:rFonts w:ascii="Arial" w:hAnsi="Arial" w:cs="Arial"/>
          <w:sz w:val="22"/>
          <w:szCs w:val="22"/>
        </w:rPr>
        <w:t xml:space="preserve">. Bristol: Policy 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>Press (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>Accessed: 13 March 2025).</w:t>
      </w:r>
    </w:p>
    <w:p w:rsidRPr="00B22DF7" w:rsidR="00C333EF" w:rsidP="00C333EF" w:rsidRDefault="00C333EF" w14:paraId="650F23B8" w14:textId="6534ABB1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Havighurst, R.J. (1961) ‘Successful aging’,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The Gerontologist</w:t>
      </w:r>
      <w:r w:rsidRPr="00B22DF7">
        <w:rPr>
          <w:rStyle w:val="bzpyqfadein"/>
          <w:rFonts w:ascii="Arial" w:hAnsi="Arial" w:cs="Arial"/>
          <w:sz w:val="22"/>
          <w:szCs w:val="22"/>
        </w:rPr>
        <w:t>, 1(1), pp. 8–13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 xml:space="preserve"> 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>(Accessed: 1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>6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 xml:space="preserve"> March 2025).</w:t>
      </w:r>
    </w:p>
    <w:p w:rsidRPr="00B22DF7" w:rsidR="00B22DF7" w:rsidP="00B22DF7" w:rsidRDefault="00C333EF" w14:paraId="0333C419" w14:textId="72DD841B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Iacobacci, G. (2020) ‘Health inequalities and older people’,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British Journal of Community Nursing</w:t>
      </w:r>
      <w:r w:rsidRPr="00B22DF7">
        <w:rPr>
          <w:rStyle w:val="bzpyqfadein"/>
          <w:rFonts w:ascii="Arial" w:hAnsi="Arial" w:cs="Arial"/>
          <w:sz w:val="22"/>
          <w:szCs w:val="22"/>
        </w:rPr>
        <w:t>.</w:t>
      </w:r>
      <w:r w:rsidRPr="00B22DF7" w:rsidR="00B22DF7">
        <w:rPr>
          <w:rStyle w:val="Heading4Char"/>
          <w:rFonts w:ascii="Arial" w:hAnsi="Arial" w:eastAsia="Century Schoolbook"/>
          <w:sz w:val="22"/>
          <w:szCs w:val="22"/>
        </w:rPr>
        <w:t xml:space="preserve"> </w:t>
      </w:r>
      <w:r w:rsidRPr="00B22DF7" w:rsidR="00B22DF7">
        <w:rPr>
          <w:rStyle w:val="bzpyqfadein"/>
          <w:rFonts w:ascii="Arial" w:hAnsi="Arial" w:cs="Arial"/>
          <w:sz w:val="22"/>
          <w:szCs w:val="22"/>
        </w:rPr>
        <w:t>(Accessed: 16 March 2025).</w:t>
      </w:r>
    </w:p>
    <w:p w:rsidRPr="00B22DF7" w:rsidR="00C333EF" w:rsidP="00C333EF" w:rsidRDefault="00C333EF" w14:paraId="10DA3418" w14:textId="73F69373">
      <w:pPr>
        <w:pStyle w:val="NormalWeb"/>
        <w:rPr>
          <w:rFonts w:ascii="Arial" w:hAnsi="Arial" w:cs="Arial"/>
          <w:sz w:val="22"/>
          <w:szCs w:val="22"/>
        </w:rPr>
      </w:pPr>
    </w:p>
    <w:p w:rsidRPr="00B22DF7" w:rsidR="00C333EF" w:rsidP="00C333EF" w:rsidRDefault="00C333EF" w14:paraId="1E0D45ED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MHA (2023)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Facts and statistics about older people in the UK</w:t>
      </w:r>
      <w:r w:rsidRPr="00B22DF7">
        <w:rPr>
          <w:rStyle w:val="bzpyqfadein"/>
          <w:rFonts w:ascii="Arial" w:hAnsi="Arial" w:cs="Arial"/>
          <w:sz w:val="22"/>
          <w:szCs w:val="22"/>
        </w:rPr>
        <w:t>. Available at: https://www.mha.org.uk/care-support/later-life-hub/facts-stats-about-older-people (Accessed: 24 February 2026).</w:t>
      </w:r>
    </w:p>
    <w:p w:rsidRPr="00B22DF7" w:rsidR="00C333EF" w:rsidP="00C333EF" w:rsidRDefault="00C333EF" w14:paraId="7E405A54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National Institute for Health and Care Excellence (2015)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Older people: Independence and mental wellbeing (NG32)</w:t>
      </w:r>
      <w:r w:rsidRPr="00B22DF7">
        <w:rPr>
          <w:rStyle w:val="bzpyqfadein"/>
          <w:rFonts w:ascii="Arial" w:hAnsi="Arial" w:cs="Arial"/>
          <w:sz w:val="22"/>
          <w:szCs w:val="22"/>
        </w:rPr>
        <w:t>. London: NICE.</w:t>
      </w:r>
    </w:p>
    <w:p w:rsidRPr="00B22DF7" w:rsidR="00C333EF" w:rsidP="00C333EF" w:rsidRDefault="00C333EF" w14:paraId="05D6426E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NHS England (2024)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Intermediate care framework: Improving community-based support for older adults</w:t>
      </w:r>
      <w:r w:rsidRPr="00B22DF7">
        <w:rPr>
          <w:rStyle w:val="bzpyqfadein"/>
          <w:rFonts w:ascii="Arial" w:hAnsi="Arial" w:cs="Arial"/>
          <w:sz w:val="22"/>
          <w:szCs w:val="22"/>
        </w:rPr>
        <w:t>. London: NHS England.</w:t>
      </w:r>
    </w:p>
    <w:p w:rsidRPr="00B22DF7" w:rsidR="00C333EF" w:rsidP="00C333EF" w:rsidRDefault="00C333EF" w14:paraId="07BF1775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Office for Health Improvement and Disparities (2022)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Healthy ageing: Applying All Our Health</w:t>
      </w:r>
      <w:r w:rsidRPr="00B22DF7">
        <w:rPr>
          <w:rStyle w:val="bzpyqfadein"/>
          <w:rFonts w:ascii="Arial" w:hAnsi="Arial" w:cs="Arial"/>
          <w:sz w:val="22"/>
          <w:szCs w:val="22"/>
        </w:rPr>
        <w:t xml:space="preserve">. London: OHID. Available at: </w:t>
      </w:r>
      <w:hyperlink w:tgtFrame="_new" w:history="1" r:id="rId20">
        <w:r w:rsidRPr="00B22DF7">
          <w:rPr>
            <w:rStyle w:val="bzpyqfadein"/>
            <w:rFonts w:ascii="Arial" w:hAnsi="Arial" w:cs="Arial"/>
            <w:color w:val="0000FF"/>
            <w:sz w:val="22"/>
            <w:szCs w:val="22"/>
            <w:u w:val="single"/>
          </w:rPr>
          <w:t>https://www.gov.uk</w:t>
        </w:r>
      </w:hyperlink>
      <w:r w:rsidRPr="00B22DF7">
        <w:rPr>
          <w:rStyle w:val="bzpyqfadein"/>
          <w:rFonts w:ascii="Arial" w:hAnsi="Arial" w:cs="Arial"/>
          <w:sz w:val="22"/>
          <w:szCs w:val="22"/>
        </w:rPr>
        <w:t xml:space="preserve"> (Accessed: 10 March 2025).</w:t>
      </w:r>
    </w:p>
    <w:p w:rsidRPr="00B22DF7" w:rsidR="00C333EF" w:rsidP="00C333EF" w:rsidRDefault="00C333EF" w14:paraId="48F39E66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lastRenderedPageBreak/>
        <w:t xml:space="preserve">Parliamentary Office of Science and Technology (2024)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Healthy ageing and care for older populations</w:t>
      </w:r>
      <w:r w:rsidRPr="00B22DF7">
        <w:rPr>
          <w:rStyle w:val="bzpyqfadein"/>
          <w:rFonts w:ascii="Arial" w:hAnsi="Arial" w:cs="Arial"/>
          <w:sz w:val="22"/>
          <w:szCs w:val="22"/>
        </w:rPr>
        <w:t>. London: UK Parliament.</w:t>
      </w:r>
    </w:p>
    <w:p w:rsidRPr="00B22DF7" w:rsidR="00C333EF" w:rsidP="00C333EF" w:rsidRDefault="00C333EF" w14:paraId="4510800D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Social Care Institute for Excellence (2020)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Reablement: Key principles and practice</w:t>
      </w:r>
      <w:r w:rsidRPr="00B22DF7">
        <w:rPr>
          <w:rStyle w:val="bzpyqfadein"/>
          <w:rFonts w:ascii="Arial" w:hAnsi="Arial" w:cs="Arial"/>
          <w:sz w:val="22"/>
          <w:szCs w:val="22"/>
        </w:rPr>
        <w:t>. London: SCIE.</w:t>
      </w:r>
    </w:p>
    <w:p w:rsidRPr="00B22DF7" w:rsidR="00C333EF" w:rsidP="00C333EF" w:rsidRDefault="00C333EF" w14:paraId="250D5A20" w14:textId="77777777">
      <w:pPr>
        <w:pStyle w:val="NormalWeb"/>
        <w:rPr>
          <w:rFonts w:ascii="Arial" w:hAnsi="Arial" w:cs="Arial"/>
          <w:sz w:val="22"/>
          <w:szCs w:val="22"/>
        </w:rPr>
      </w:pPr>
      <w:r w:rsidRPr="00B22DF7">
        <w:rPr>
          <w:rStyle w:val="bzpyqfadein"/>
          <w:rFonts w:ascii="Arial" w:hAnsi="Arial" w:cs="Arial"/>
          <w:sz w:val="22"/>
          <w:szCs w:val="22"/>
        </w:rPr>
        <w:t xml:space="preserve">Society for Endocrinology (2015) </w:t>
      </w:r>
      <w:r w:rsidRPr="00B22DF7">
        <w:rPr>
          <w:rStyle w:val="bzpyqfadein"/>
          <w:rFonts w:ascii="Arial" w:hAnsi="Arial" w:cs="Arial"/>
          <w:i/>
          <w:iCs/>
          <w:sz w:val="22"/>
          <w:szCs w:val="22"/>
        </w:rPr>
        <w:t>An ageing population: The nature of healthcare and our need to adapt</w:t>
      </w:r>
      <w:r w:rsidRPr="00B22DF7">
        <w:rPr>
          <w:rStyle w:val="bzpyqfadein"/>
          <w:rFonts w:ascii="Arial" w:hAnsi="Arial" w:cs="Arial"/>
          <w:sz w:val="22"/>
          <w:szCs w:val="22"/>
        </w:rPr>
        <w:t xml:space="preserve">. Available at: </w:t>
      </w:r>
      <w:hyperlink w:tgtFrame="_new" w:history="1" r:id="rId21">
        <w:r w:rsidRPr="00B22DF7">
          <w:rPr>
            <w:rStyle w:val="bzpyqfadein"/>
            <w:rFonts w:ascii="Arial" w:hAnsi="Arial" w:cs="Arial"/>
            <w:color w:val="0000FF"/>
            <w:sz w:val="22"/>
            <w:szCs w:val="22"/>
            <w:u w:val="single"/>
          </w:rPr>
          <w:t>https://www.endocrinology.org</w:t>
        </w:r>
      </w:hyperlink>
      <w:r w:rsidRPr="00B22DF7">
        <w:rPr>
          <w:rStyle w:val="bzpyqfadein"/>
          <w:rFonts w:ascii="Arial" w:hAnsi="Arial" w:cs="Arial"/>
          <w:sz w:val="22"/>
          <w:szCs w:val="22"/>
        </w:rPr>
        <w:t xml:space="preserve"> (Accessed: 10 March 2025).</w:t>
      </w:r>
    </w:p>
    <w:p w:rsidRPr="00B22DF7" w:rsidR="0061036E" w:rsidP="009C5884" w:rsidRDefault="0061036E" w14:paraId="50B620F8" w14:textId="6C1E67F5">
      <w:pPr>
        <w:rPr>
          <w:rFonts w:ascii="Arial" w:hAnsi="Arial" w:cs="Arial"/>
          <w:color w:val="2C3E50"/>
          <w:shd w:val="clear" w:color="auto" w:fill="FEF1C4"/>
        </w:rPr>
      </w:pPr>
    </w:p>
    <w:p w:rsidRPr="00B22DF7" w:rsidR="00983E85" w:rsidP="00C46111" w:rsidRDefault="00983E85" w14:paraId="3D172F8B" w14:textId="402072A5">
      <w:pPr>
        <w:rPr>
          <w:rFonts w:ascii="Arial" w:hAnsi="Arial" w:cs="Arial"/>
          <w:color w:val="2C3E50"/>
          <w:shd w:val="clear" w:color="auto" w:fill="FEF1C4"/>
        </w:rPr>
      </w:pPr>
    </w:p>
    <w:sectPr w:rsidRPr="00B22DF7" w:rsidR="00983E85" w:rsidSect="00C46111">
      <w:headerReference w:type="default" r:id="rId22"/>
      <w:headerReference w:type="first" r:id="rId23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03C4" w:rsidP="00D210FA" w:rsidRDefault="00D703C4" w14:paraId="7302EF8A" w14:textId="77777777">
      <w:pPr>
        <w:spacing w:after="0"/>
      </w:pPr>
      <w:r>
        <w:separator/>
      </w:r>
    </w:p>
  </w:endnote>
  <w:endnote w:type="continuationSeparator" w:id="0">
    <w:p w:rsidR="00D703C4" w:rsidP="00D210FA" w:rsidRDefault="00D703C4" w14:paraId="3D976140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03C4" w:rsidP="00D210FA" w:rsidRDefault="00D703C4" w14:paraId="347B1078" w14:textId="77777777">
      <w:pPr>
        <w:spacing w:after="0"/>
      </w:pPr>
      <w:r>
        <w:separator/>
      </w:r>
    </w:p>
  </w:footnote>
  <w:footnote w:type="continuationSeparator" w:id="0">
    <w:p w:rsidR="00D703C4" w:rsidP="00D210FA" w:rsidRDefault="00D703C4" w14:paraId="06A3B8EB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0A8F" w:rsidRDefault="00346FFA" w14:paraId="4CAD8074" w14:textId="77777777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B0F18" w:rsidRDefault="008B0F18" w14:paraId="3C8FAA88" w14:textId="77777777">
    <w:pPr>
      <w:pStyle w:val="Header"/>
    </w:pPr>
  </w:p>
  <w:p w:rsidR="00D210FA" w:rsidRDefault="00D210FA" w14:paraId="6E8DEAA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97821"/>
    <w:multiLevelType w:val="multilevel"/>
    <w:tmpl w:val="D0F02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ECD7FB3"/>
    <w:multiLevelType w:val="multilevel"/>
    <w:tmpl w:val="A6129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5D7F4A"/>
    <w:multiLevelType w:val="multilevel"/>
    <w:tmpl w:val="3162F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5695D41"/>
    <w:multiLevelType w:val="multilevel"/>
    <w:tmpl w:val="AD80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8FB59EE"/>
    <w:multiLevelType w:val="multilevel"/>
    <w:tmpl w:val="91B6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D281325"/>
    <w:multiLevelType w:val="multilevel"/>
    <w:tmpl w:val="4AC6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5B56325"/>
    <w:multiLevelType w:val="multilevel"/>
    <w:tmpl w:val="A30E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7A710975"/>
    <w:multiLevelType w:val="multilevel"/>
    <w:tmpl w:val="0EC6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7B484276"/>
    <w:multiLevelType w:val="multilevel"/>
    <w:tmpl w:val="F13C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78717939">
    <w:abstractNumId w:val="4"/>
  </w:num>
  <w:num w:numId="2" w16cid:durableId="553735857">
    <w:abstractNumId w:val="2"/>
  </w:num>
  <w:num w:numId="3" w16cid:durableId="224335014">
    <w:abstractNumId w:val="14"/>
  </w:num>
  <w:num w:numId="4" w16cid:durableId="1209761024">
    <w:abstractNumId w:val="15"/>
  </w:num>
  <w:num w:numId="5" w16cid:durableId="1231040385">
    <w:abstractNumId w:val="8"/>
  </w:num>
  <w:num w:numId="6" w16cid:durableId="447041553">
    <w:abstractNumId w:val="7"/>
  </w:num>
  <w:num w:numId="7" w16cid:durableId="1671717901">
    <w:abstractNumId w:val="10"/>
  </w:num>
  <w:num w:numId="8" w16cid:durableId="176702966">
    <w:abstractNumId w:val="5"/>
  </w:num>
  <w:num w:numId="9" w16cid:durableId="1224750627">
    <w:abstractNumId w:val="0"/>
  </w:num>
  <w:num w:numId="10" w16cid:durableId="1766070990">
    <w:abstractNumId w:val="3"/>
  </w:num>
  <w:num w:numId="11" w16cid:durableId="1043362624">
    <w:abstractNumId w:val="11"/>
  </w:num>
  <w:num w:numId="12" w16cid:durableId="1421563043">
    <w:abstractNumId w:val="6"/>
  </w:num>
  <w:num w:numId="13" w16cid:durableId="851645316">
    <w:abstractNumId w:val="12"/>
  </w:num>
  <w:num w:numId="14" w16cid:durableId="1164930703">
    <w:abstractNumId w:val="9"/>
  </w:num>
  <w:num w:numId="15" w16cid:durableId="1601528007">
    <w:abstractNumId w:val="1"/>
  </w:num>
  <w:num w:numId="16" w16cid:durableId="14325107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4030"/>
    <w:rsid w:val="00023293"/>
    <w:rsid w:val="00061977"/>
    <w:rsid w:val="00073A5E"/>
    <w:rsid w:val="0008782A"/>
    <w:rsid w:val="000A065A"/>
    <w:rsid w:val="000E2F62"/>
    <w:rsid w:val="00106FC5"/>
    <w:rsid w:val="00120DEC"/>
    <w:rsid w:val="00123C19"/>
    <w:rsid w:val="00127F31"/>
    <w:rsid w:val="001317B4"/>
    <w:rsid w:val="00177D10"/>
    <w:rsid w:val="001A672F"/>
    <w:rsid w:val="001B0F2F"/>
    <w:rsid w:val="001C55B6"/>
    <w:rsid w:val="001D6CC4"/>
    <w:rsid w:val="00206405"/>
    <w:rsid w:val="0021687A"/>
    <w:rsid w:val="00253267"/>
    <w:rsid w:val="00282198"/>
    <w:rsid w:val="002823CD"/>
    <w:rsid w:val="00287787"/>
    <w:rsid w:val="002914CC"/>
    <w:rsid w:val="00291685"/>
    <w:rsid w:val="00296F70"/>
    <w:rsid w:val="002A4940"/>
    <w:rsid w:val="002B0A3D"/>
    <w:rsid w:val="002D0C3B"/>
    <w:rsid w:val="002E3612"/>
    <w:rsid w:val="003007A7"/>
    <w:rsid w:val="00303CBB"/>
    <w:rsid w:val="003257E1"/>
    <w:rsid w:val="00325DEC"/>
    <w:rsid w:val="00346FFA"/>
    <w:rsid w:val="00392CF6"/>
    <w:rsid w:val="003A3069"/>
    <w:rsid w:val="003B10A4"/>
    <w:rsid w:val="003B3ABD"/>
    <w:rsid w:val="003C20B5"/>
    <w:rsid w:val="003C7C50"/>
    <w:rsid w:val="003E545F"/>
    <w:rsid w:val="003F03D2"/>
    <w:rsid w:val="003F1E1A"/>
    <w:rsid w:val="004045E5"/>
    <w:rsid w:val="00421496"/>
    <w:rsid w:val="00422C27"/>
    <w:rsid w:val="0043030F"/>
    <w:rsid w:val="0044367C"/>
    <w:rsid w:val="004460AE"/>
    <w:rsid w:val="00451B96"/>
    <w:rsid w:val="00454531"/>
    <w:rsid w:val="004642F0"/>
    <w:rsid w:val="004645F8"/>
    <w:rsid w:val="00487611"/>
    <w:rsid w:val="004A10E5"/>
    <w:rsid w:val="004E056C"/>
    <w:rsid w:val="004F5917"/>
    <w:rsid w:val="00500564"/>
    <w:rsid w:val="0051102B"/>
    <w:rsid w:val="005170CD"/>
    <w:rsid w:val="00517812"/>
    <w:rsid w:val="005213A8"/>
    <w:rsid w:val="00556DA8"/>
    <w:rsid w:val="00562332"/>
    <w:rsid w:val="005838BC"/>
    <w:rsid w:val="005A1278"/>
    <w:rsid w:val="005B57E1"/>
    <w:rsid w:val="005E5671"/>
    <w:rsid w:val="005E61E0"/>
    <w:rsid w:val="005F0F31"/>
    <w:rsid w:val="006024ED"/>
    <w:rsid w:val="0061036E"/>
    <w:rsid w:val="0061793F"/>
    <w:rsid w:val="0062123A"/>
    <w:rsid w:val="00634071"/>
    <w:rsid w:val="006605F8"/>
    <w:rsid w:val="00666765"/>
    <w:rsid w:val="006676A1"/>
    <w:rsid w:val="006833BD"/>
    <w:rsid w:val="006C74BC"/>
    <w:rsid w:val="006D2642"/>
    <w:rsid w:val="006E2D42"/>
    <w:rsid w:val="00701F51"/>
    <w:rsid w:val="00720FEE"/>
    <w:rsid w:val="00753D4C"/>
    <w:rsid w:val="00761924"/>
    <w:rsid w:val="00764B6F"/>
    <w:rsid w:val="00787987"/>
    <w:rsid w:val="00787E1B"/>
    <w:rsid w:val="0079486C"/>
    <w:rsid w:val="007A71F9"/>
    <w:rsid w:val="007B31A3"/>
    <w:rsid w:val="007C701C"/>
    <w:rsid w:val="007C7319"/>
    <w:rsid w:val="007D43B3"/>
    <w:rsid w:val="007E7225"/>
    <w:rsid w:val="007E7754"/>
    <w:rsid w:val="007F20B4"/>
    <w:rsid w:val="007F525E"/>
    <w:rsid w:val="00820FF2"/>
    <w:rsid w:val="0082695D"/>
    <w:rsid w:val="0083044C"/>
    <w:rsid w:val="00832653"/>
    <w:rsid w:val="00844DFD"/>
    <w:rsid w:val="00847CFA"/>
    <w:rsid w:val="0085182D"/>
    <w:rsid w:val="00853B03"/>
    <w:rsid w:val="00867E5F"/>
    <w:rsid w:val="008709F5"/>
    <w:rsid w:val="00877A91"/>
    <w:rsid w:val="00884E86"/>
    <w:rsid w:val="008927FF"/>
    <w:rsid w:val="008A5FA5"/>
    <w:rsid w:val="008A75AB"/>
    <w:rsid w:val="008B0F18"/>
    <w:rsid w:val="008D6C80"/>
    <w:rsid w:val="008D783C"/>
    <w:rsid w:val="008E279B"/>
    <w:rsid w:val="008E3921"/>
    <w:rsid w:val="008F7816"/>
    <w:rsid w:val="0090027B"/>
    <w:rsid w:val="0090088E"/>
    <w:rsid w:val="00905238"/>
    <w:rsid w:val="009149A9"/>
    <w:rsid w:val="00944B49"/>
    <w:rsid w:val="0094702A"/>
    <w:rsid w:val="00947E2E"/>
    <w:rsid w:val="00950CE5"/>
    <w:rsid w:val="00967DAB"/>
    <w:rsid w:val="0098165B"/>
    <w:rsid w:val="009834C5"/>
    <w:rsid w:val="00983E85"/>
    <w:rsid w:val="00990E76"/>
    <w:rsid w:val="00991A53"/>
    <w:rsid w:val="00996F4E"/>
    <w:rsid w:val="009A79B4"/>
    <w:rsid w:val="009C5884"/>
    <w:rsid w:val="009D6D26"/>
    <w:rsid w:val="009E0D97"/>
    <w:rsid w:val="009F71FE"/>
    <w:rsid w:val="00A31F33"/>
    <w:rsid w:val="00A621D0"/>
    <w:rsid w:val="00A70A62"/>
    <w:rsid w:val="00A71DA8"/>
    <w:rsid w:val="00A844D6"/>
    <w:rsid w:val="00A93C7B"/>
    <w:rsid w:val="00AB1210"/>
    <w:rsid w:val="00AB3CA3"/>
    <w:rsid w:val="00AB770D"/>
    <w:rsid w:val="00AE4D9E"/>
    <w:rsid w:val="00AF2088"/>
    <w:rsid w:val="00AF5FB0"/>
    <w:rsid w:val="00B0080A"/>
    <w:rsid w:val="00B0538C"/>
    <w:rsid w:val="00B22DF7"/>
    <w:rsid w:val="00B31009"/>
    <w:rsid w:val="00B37AB8"/>
    <w:rsid w:val="00B418DE"/>
    <w:rsid w:val="00B42600"/>
    <w:rsid w:val="00B44178"/>
    <w:rsid w:val="00B47FE7"/>
    <w:rsid w:val="00B51110"/>
    <w:rsid w:val="00B66C79"/>
    <w:rsid w:val="00B67824"/>
    <w:rsid w:val="00BE15BA"/>
    <w:rsid w:val="00BE3DAB"/>
    <w:rsid w:val="00C20ED0"/>
    <w:rsid w:val="00C333EF"/>
    <w:rsid w:val="00C348A8"/>
    <w:rsid w:val="00C46111"/>
    <w:rsid w:val="00C54E09"/>
    <w:rsid w:val="00C54E50"/>
    <w:rsid w:val="00C83332"/>
    <w:rsid w:val="00C95E04"/>
    <w:rsid w:val="00C97C7A"/>
    <w:rsid w:val="00CA56B2"/>
    <w:rsid w:val="00CC0A8F"/>
    <w:rsid w:val="00CC24B6"/>
    <w:rsid w:val="00CD3A64"/>
    <w:rsid w:val="00CE08CD"/>
    <w:rsid w:val="00D05B4C"/>
    <w:rsid w:val="00D0664A"/>
    <w:rsid w:val="00D12C18"/>
    <w:rsid w:val="00D210FA"/>
    <w:rsid w:val="00D30F1D"/>
    <w:rsid w:val="00D33389"/>
    <w:rsid w:val="00D42AB0"/>
    <w:rsid w:val="00D57231"/>
    <w:rsid w:val="00D62DF6"/>
    <w:rsid w:val="00D703C4"/>
    <w:rsid w:val="00D87B48"/>
    <w:rsid w:val="00D91203"/>
    <w:rsid w:val="00D94FD1"/>
    <w:rsid w:val="00DB328F"/>
    <w:rsid w:val="00DC00BD"/>
    <w:rsid w:val="00DD21B5"/>
    <w:rsid w:val="00DD33C0"/>
    <w:rsid w:val="00DD6F63"/>
    <w:rsid w:val="00DF1B34"/>
    <w:rsid w:val="00E234E7"/>
    <w:rsid w:val="00E36E6D"/>
    <w:rsid w:val="00E37F7A"/>
    <w:rsid w:val="00E41692"/>
    <w:rsid w:val="00E55D74"/>
    <w:rsid w:val="00E81234"/>
    <w:rsid w:val="00E9037E"/>
    <w:rsid w:val="00E95CC8"/>
    <w:rsid w:val="00EA120D"/>
    <w:rsid w:val="00EA49C3"/>
    <w:rsid w:val="00EA5FAC"/>
    <w:rsid w:val="00EB5E14"/>
    <w:rsid w:val="00EB6F36"/>
    <w:rsid w:val="00ED1049"/>
    <w:rsid w:val="00EE19D9"/>
    <w:rsid w:val="00EF26FC"/>
    <w:rsid w:val="00F37523"/>
    <w:rsid w:val="00F50168"/>
    <w:rsid w:val="00F50D34"/>
    <w:rsid w:val="00F61360"/>
    <w:rsid w:val="00FB49B9"/>
    <w:rsid w:val="00FC538A"/>
    <w:rsid w:val="00FE2B9F"/>
    <w:rsid w:val="00FE7F17"/>
    <w:rsid w:val="00FF3CF0"/>
    <w:rsid w:val="010E830F"/>
    <w:rsid w:val="03029579"/>
    <w:rsid w:val="0D8DAB0A"/>
    <w:rsid w:val="1A6250DD"/>
    <w:rsid w:val="21054B5E"/>
    <w:rsid w:val="21C200D8"/>
    <w:rsid w:val="280E3ED0"/>
    <w:rsid w:val="313646C8"/>
    <w:rsid w:val="3563BF80"/>
    <w:rsid w:val="35972BD9"/>
    <w:rsid w:val="35F6AB05"/>
    <w:rsid w:val="371F80F2"/>
    <w:rsid w:val="3A86A450"/>
    <w:rsid w:val="3B0DAFEC"/>
    <w:rsid w:val="3F5D45FC"/>
    <w:rsid w:val="42CDFF9A"/>
    <w:rsid w:val="45BB678A"/>
    <w:rsid w:val="476FB6C4"/>
    <w:rsid w:val="5155DAF6"/>
    <w:rsid w:val="550B375E"/>
    <w:rsid w:val="5DEF9C56"/>
    <w:rsid w:val="62C6F9AC"/>
    <w:rsid w:val="64181578"/>
    <w:rsid w:val="75E7CCBF"/>
    <w:rsid w:val="7671CEA5"/>
    <w:rsid w:val="768C87CA"/>
    <w:rsid w:val="7B569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409867"/>
  <w14:defaultImageDpi w14:val="32767"/>
  <w15:chartTrackingRefBased/>
  <w15:docId w15:val="{01087E52-8A7C-4656-AE14-902483B8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hAnsi="Century Schoolbook" w:eastAsia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qFormat="1"/>
    <w:lsdException w:name="heading 4" w:uiPriority="0" w:semiHidden="1" w:unhideWhenUsed="1" w:qFormat="1"/>
    <w:lsdException w:name="heading 5" w:uiPriority="9" w:semiHidden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/>
    <w:lsdException w:name="Subtle Reference" w:uiPriority="31"/>
    <w:lsdException w:name="Intense Reference" w:uiPriority="32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  <w:rsid w:val="00177D10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styleId="TitleChar" w:customStyle="1">
    <w:name w:val="Title Char"/>
    <w:link w:val="Title"/>
    <w:uiPriority w:val="10"/>
    <w:rsid w:val="00990E76"/>
    <w:rPr>
      <w:rFonts w:ascii="Century Schoolbook" w:hAnsi="Century Schoolbook" w:eastAsia="MS Gothic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qFormat/>
    <w:rsid w:val="00967DAB"/>
    <w:rPr>
      <w:b/>
      <w:bCs/>
    </w:rPr>
  </w:style>
  <w:style w:type="character" w:styleId="Heading1Char" w:customStyle="1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color="4472C4" w:sz="4" w:space="10"/>
        <w:bottom w:val="single" w:color="4472C4" w:sz="4" w:space="10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styleId="IntenseQuoteChar" w:customStyle="1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styleId="Heading2Char" w:customStyle="1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styleId="NormalTextDarkBackground" w:customStyle="1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styleId="QuoteChar" w:customStyle="1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983E85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47E2E"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val="en-GB" w:eastAsia="en-GB"/>
    </w:rPr>
  </w:style>
  <w:style w:type="character" w:styleId="bzpyqfadein" w:customStyle="1">
    <w:name w:val="bz_pyq_fadein"/>
    <w:basedOn w:val="DefaultParagraphFont"/>
    <w:rsid w:val="00947E2E"/>
  </w:style>
  <w:style w:type="character" w:styleId="whitespace-normal" w:customStyle="1">
    <w:name w:val="whitespace-normal"/>
    <w:basedOn w:val="DefaultParagraphFont"/>
    <w:rsid w:val="00947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2.jpeg" Id="rId13" /><Relationship Type="http://schemas.openxmlformats.org/officeDocument/2006/relationships/hyperlink" Target="https://www.cqc.org.uk" TargetMode="External" Id="rId18" /><Relationship Type="http://schemas.openxmlformats.org/officeDocument/2006/relationships/customXml" Target="../customXml/item3.xml" Id="rId3" /><Relationship Type="http://schemas.openxmlformats.org/officeDocument/2006/relationships/hyperlink" Target="https://www.endocrinology.org" TargetMode="External" Id="rId21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openxmlformats.org/officeDocument/2006/relationships/hyperlink" Target="https://www.caremark.co.uk/franchise-opportunities/news/why-the-home-care-industry-is-a-smart-investment-in-2025-and-beyond-2/" TargetMode="External" Id="rId17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hyperlink" Target="https://www.ageuk.org.uk" TargetMode="External" Id="rId16" /><Relationship Type="http://schemas.openxmlformats.org/officeDocument/2006/relationships/hyperlink" Target="https://www.gov.uk" TargetMode="Externa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fontTable" Target="fontTable.xml" Id="rId24" /><Relationship Type="http://schemas.openxmlformats.org/officeDocument/2006/relationships/numbering" Target="numbering.xml" Id="rId5" /><Relationship Type="http://schemas.openxmlformats.org/officeDocument/2006/relationships/hyperlink" Target="https://www.ageuk.org.uk" TargetMode="External" Id="rId15" /><Relationship Type="http://schemas.openxmlformats.org/officeDocument/2006/relationships/header" Target="header2.xml" Id="rId23" /><Relationship Type="http://schemas.openxmlformats.org/officeDocument/2006/relationships/endnotes" Target="endnotes.xml" Id="rId10" /><Relationship Type="http://schemas.openxmlformats.org/officeDocument/2006/relationships/hyperlink" Target="https://ageing-better.org.uk/our-ageing-population-state-ageing-2023-4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3.jpeg" Id="rId14" /><Relationship Type="http://schemas.openxmlformats.org/officeDocument/2006/relationships/header" Target="header1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c5735cfd8ce9a7db78b6d31ecc3316e0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194a2d93db1270325b3a2c7f24098ed5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FC1B8B4-F88D-41CF-AE40-B638A9268E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BAAE67-DD8C-4983-92D6-F44186752C1C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Education brochure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laila surani</dc:creator>
  <keywords/>
  <dc:description/>
  <lastModifiedBy>Tasha Tamara Young (2316846)</lastModifiedBy>
  <revision>41</revision>
  <dcterms:created xsi:type="dcterms:W3CDTF">2026-03-13T19:01:00.0000000Z</dcterms:created>
  <dcterms:modified xsi:type="dcterms:W3CDTF">2026-03-20T22:14:43.0147622Z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  <property fmtid="{D5CDD505-2E9C-101B-9397-08002B2CF9AE}" pid="3" name="MediaServiceKeyPoints">
    <vt:lpwstr/>
  </property>
</Properties>
</file>