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themeColor="background1"/>
  <w:body>
    <w:p w:rsidR="00DB0E2B" w:rsidRPr="00A05C62" w:rsidRDefault="00DB0E2B" w:rsidP="00DB0E2B">
      <w:pPr>
        <w:jc w:val="center"/>
        <w:rPr>
          <w:rFonts w:ascii="Arial" w:hAnsi="Arial" w:cs="Arial"/>
          <w:b/>
          <w:sz w:val="28"/>
        </w:rPr>
      </w:pPr>
      <w:r w:rsidRPr="00A05C62">
        <w:rPr>
          <w:rFonts w:ascii="Arial" w:eastAsiaTheme="majorEastAsia" w:hAnsi="Arial" w:cs="Arial"/>
          <w:noProof/>
          <w:color w:val="17365D" w:themeColor="text2" w:themeShade="BF"/>
          <w:spacing w:val="5"/>
          <w:kern w:val="28"/>
          <w:sz w:val="52"/>
          <w:szCs w:val="52"/>
        </w:rPr>
        <w:drawing>
          <wp:inline distT="0" distB="0" distL="0" distR="0" wp14:anchorId="4208715F" wp14:editId="58F21E2E">
            <wp:extent cx="4517390" cy="100012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17390" cy="1000125"/>
                    </a:xfrm>
                    <a:prstGeom prst="rect">
                      <a:avLst/>
                    </a:prstGeom>
                    <a:noFill/>
                  </pic:spPr>
                </pic:pic>
              </a:graphicData>
            </a:graphic>
          </wp:inline>
        </w:drawing>
      </w:r>
    </w:p>
    <w:p w:rsidR="00DB0E2B" w:rsidRPr="00A05C62" w:rsidRDefault="00DB0E2B" w:rsidP="00DB0E2B">
      <w:pPr>
        <w:spacing w:after="0" w:line="360" w:lineRule="auto"/>
        <w:contextualSpacing/>
        <w:rPr>
          <w:rFonts w:ascii="Arial" w:hAnsi="Arial" w:cs="Arial"/>
          <w:b/>
          <w:sz w:val="28"/>
        </w:rPr>
      </w:pPr>
    </w:p>
    <w:p w:rsidR="00DB0E2B" w:rsidRPr="00A05C62" w:rsidRDefault="00DB0E2B" w:rsidP="00DB0E2B">
      <w:pPr>
        <w:spacing w:after="0" w:line="360" w:lineRule="auto"/>
        <w:contextualSpacing/>
        <w:rPr>
          <w:rFonts w:ascii="Arial" w:hAnsi="Arial" w:cs="Arial"/>
          <w:b/>
          <w:sz w:val="28"/>
        </w:rPr>
      </w:pPr>
    </w:p>
    <w:p w:rsidR="00DB0E2B" w:rsidRPr="00A05C62" w:rsidRDefault="00DB0E2B" w:rsidP="00DB0E2B">
      <w:pPr>
        <w:spacing w:after="0" w:line="360" w:lineRule="auto"/>
        <w:contextualSpacing/>
        <w:rPr>
          <w:rFonts w:ascii="Arial" w:hAnsi="Arial" w:cs="Arial"/>
          <w:b/>
          <w:sz w:val="28"/>
        </w:rPr>
      </w:pPr>
    </w:p>
    <w:p w:rsidR="00DB0E2B" w:rsidRPr="00A05C62" w:rsidRDefault="00DB0E2B" w:rsidP="00DB0E2B">
      <w:pPr>
        <w:spacing w:after="0" w:line="360" w:lineRule="auto"/>
        <w:contextualSpacing/>
        <w:rPr>
          <w:rFonts w:ascii="Arial" w:hAnsi="Arial" w:cs="Arial"/>
          <w:b/>
          <w:sz w:val="28"/>
        </w:rPr>
      </w:pPr>
    </w:p>
    <w:p w:rsidR="00DB0E2B" w:rsidRPr="00A05C62" w:rsidRDefault="00DB0E2B" w:rsidP="00DB0E2B">
      <w:pPr>
        <w:spacing w:after="0" w:line="360" w:lineRule="auto"/>
        <w:contextualSpacing/>
        <w:jc w:val="center"/>
        <w:rPr>
          <w:rFonts w:ascii="Arial" w:hAnsi="Arial" w:cs="Arial"/>
          <w:b/>
          <w:bCs/>
          <w:sz w:val="40"/>
          <w:szCs w:val="40"/>
        </w:rPr>
      </w:pPr>
      <w:r w:rsidRPr="00A05C62">
        <w:rPr>
          <w:rFonts w:ascii="Arial" w:hAnsi="Arial" w:cs="Arial"/>
          <w:b/>
          <w:bCs/>
          <w:sz w:val="40"/>
          <w:szCs w:val="40"/>
        </w:rPr>
        <w:t>Master of Business Administration</w:t>
      </w:r>
      <w:r w:rsidRPr="00A05C62">
        <w:rPr>
          <w:rFonts w:ascii="Arial" w:hAnsi="Arial" w:cs="Arial"/>
          <w:b/>
          <w:bCs/>
          <w:sz w:val="40"/>
          <w:szCs w:val="40"/>
        </w:rPr>
        <w:br/>
      </w:r>
      <w:r w:rsidRPr="00A05C62">
        <w:rPr>
          <w:rFonts w:ascii="Arial" w:hAnsi="Arial" w:cs="Arial"/>
          <w:b/>
          <w:bCs/>
          <w:sz w:val="40"/>
          <w:szCs w:val="40"/>
        </w:rPr>
        <w:br/>
      </w:r>
    </w:p>
    <w:p w:rsidR="00DB0E2B" w:rsidRPr="00A05C62" w:rsidRDefault="00DB0E2B" w:rsidP="00DB0E2B">
      <w:pPr>
        <w:spacing w:after="0" w:line="360" w:lineRule="auto"/>
        <w:contextualSpacing/>
        <w:jc w:val="center"/>
        <w:rPr>
          <w:rFonts w:ascii="Arial" w:hAnsi="Arial" w:cs="Arial"/>
          <w:bCs/>
          <w:sz w:val="32"/>
          <w:szCs w:val="32"/>
        </w:rPr>
      </w:pPr>
      <w:r w:rsidRPr="00A05C62">
        <w:rPr>
          <w:rFonts w:ascii="Arial" w:hAnsi="Arial" w:cs="Arial"/>
          <w:b/>
          <w:bCs/>
          <w:sz w:val="32"/>
          <w:szCs w:val="32"/>
        </w:rPr>
        <w:t>Student Name:</w:t>
      </w:r>
      <w:r w:rsidRPr="00A05C62">
        <w:rPr>
          <w:rFonts w:ascii="Arial" w:hAnsi="Arial" w:cs="Arial"/>
          <w:bCs/>
          <w:sz w:val="32"/>
          <w:szCs w:val="32"/>
        </w:rPr>
        <w:t xml:space="preserve"> Bansi Jigneshbhai Vadaliya</w:t>
      </w:r>
    </w:p>
    <w:p w:rsidR="00DB0E2B" w:rsidRPr="00A05C62" w:rsidRDefault="00DB0E2B" w:rsidP="00DB0E2B">
      <w:pPr>
        <w:spacing w:after="0" w:line="360" w:lineRule="auto"/>
        <w:contextualSpacing/>
        <w:jc w:val="center"/>
        <w:rPr>
          <w:rFonts w:ascii="Arial" w:hAnsi="Arial" w:cs="Arial"/>
          <w:bCs/>
          <w:sz w:val="32"/>
          <w:szCs w:val="32"/>
        </w:rPr>
      </w:pPr>
      <w:r w:rsidRPr="00A05C62">
        <w:rPr>
          <w:rFonts w:ascii="Arial" w:hAnsi="Arial" w:cs="Arial"/>
          <w:b/>
          <w:bCs/>
          <w:sz w:val="32"/>
          <w:szCs w:val="32"/>
        </w:rPr>
        <w:t>Student Number:</w:t>
      </w:r>
      <w:r w:rsidRPr="00A05C62">
        <w:rPr>
          <w:rFonts w:ascii="Arial" w:hAnsi="Arial" w:cs="Arial"/>
          <w:bCs/>
          <w:sz w:val="32"/>
          <w:szCs w:val="32"/>
        </w:rPr>
        <w:t xml:space="preserve"> 2427834</w:t>
      </w:r>
    </w:p>
    <w:p w:rsidR="00996684" w:rsidRDefault="0069133B" w:rsidP="0069133B">
      <w:pPr>
        <w:spacing w:after="0" w:line="360" w:lineRule="auto"/>
        <w:contextualSpacing/>
        <w:jc w:val="center"/>
        <w:rPr>
          <w:rStyle w:val="Strong"/>
          <w:rFonts w:ascii="Arial" w:hAnsi="Arial" w:cs="Arial"/>
          <w:b w:val="0"/>
          <w:color w:val="1D2125"/>
          <w:sz w:val="32"/>
          <w:szCs w:val="32"/>
          <w:shd w:val="clear" w:color="auto" w:fill="FFFFFF"/>
        </w:rPr>
      </w:pPr>
      <w:r w:rsidRPr="00A05C62">
        <w:rPr>
          <w:rFonts w:ascii="Arial" w:hAnsi="Arial" w:cs="Arial"/>
          <w:b/>
          <w:bCs/>
          <w:sz w:val="32"/>
          <w:szCs w:val="32"/>
        </w:rPr>
        <w:t>Module</w:t>
      </w:r>
      <w:r w:rsidRPr="00A05C62">
        <w:rPr>
          <w:rFonts w:ascii="Arial" w:hAnsi="Arial" w:cs="Arial"/>
          <w:bCs/>
          <w:sz w:val="32"/>
          <w:szCs w:val="32"/>
        </w:rPr>
        <w:t>: International Business Concepts</w:t>
      </w:r>
      <w:r w:rsidRPr="00A05C62">
        <w:rPr>
          <w:rFonts w:ascii="Arial" w:hAnsi="Arial" w:cs="Arial"/>
          <w:bCs/>
          <w:sz w:val="32"/>
          <w:szCs w:val="32"/>
        </w:rPr>
        <w:cr/>
      </w:r>
      <w:r w:rsidR="00DB0E2B" w:rsidRPr="00A05C62">
        <w:rPr>
          <w:rFonts w:ascii="Arial" w:hAnsi="Arial" w:cs="Arial"/>
          <w:b/>
          <w:bCs/>
          <w:sz w:val="32"/>
          <w:szCs w:val="32"/>
        </w:rPr>
        <w:t>Lecturer Name:</w:t>
      </w:r>
      <w:r w:rsidR="00DB0E2B" w:rsidRPr="00A05C62">
        <w:rPr>
          <w:rFonts w:ascii="Arial" w:hAnsi="Arial" w:cs="Arial"/>
          <w:bCs/>
          <w:sz w:val="32"/>
          <w:szCs w:val="32"/>
        </w:rPr>
        <w:t xml:space="preserve"> </w:t>
      </w:r>
      <w:r w:rsidRPr="00A05C62">
        <w:rPr>
          <w:rStyle w:val="Strong"/>
          <w:rFonts w:ascii="Arial" w:hAnsi="Arial" w:cs="Arial"/>
          <w:b w:val="0"/>
          <w:color w:val="1D2125"/>
          <w:sz w:val="32"/>
          <w:szCs w:val="32"/>
          <w:shd w:val="clear" w:color="auto" w:fill="FFFFFF"/>
        </w:rPr>
        <w:t>Hoang Dang Nguyen</w:t>
      </w:r>
    </w:p>
    <w:p w:rsidR="00996684" w:rsidRDefault="00996684" w:rsidP="0069133B">
      <w:pPr>
        <w:spacing w:after="0" w:line="360" w:lineRule="auto"/>
        <w:contextualSpacing/>
        <w:jc w:val="center"/>
        <w:rPr>
          <w:rStyle w:val="Strong"/>
          <w:rFonts w:ascii="Arial" w:hAnsi="Arial" w:cs="Arial"/>
          <w:b w:val="0"/>
          <w:color w:val="1D2125"/>
          <w:sz w:val="32"/>
          <w:szCs w:val="32"/>
          <w:shd w:val="clear" w:color="auto" w:fill="FFFFFF"/>
        </w:rPr>
      </w:pPr>
    </w:p>
    <w:p w:rsidR="00996684" w:rsidRDefault="00996684" w:rsidP="0069133B">
      <w:pPr>
        <w:spacing w:after="0" w:line="360" w:lineRule="auto"/>
        <w:contextualSpacing/>
        <w:jc w:val="center"/>
        <w:rPr>
          <w:rStyle w:val="Strong"/>
          <w:rFonts w:ascii="Arial" w:hAnsi="Arial" w:cs="Arial"/>
          <w:b w:val="0"/>
          <w:color w:val="1D2125"/>
          <w:sz w:val="32"/>
          <w:szCs w:val="32"/>
          <w:shd w:val="clear" w:color="auto" w:fill="FFFFFF"/>
        </w:rPr>
      </w:pPr>
    </w:p>
    <w:p w:rsidR="00996684" w:rsidRPr="00A21CE6" w:rsidRDefault="00996684" w:rsidP="00996684">
      <w:pPr>
        <w:jc w:val="center"/>
        <w:rPr>
          <w:b/>
          <w:bCs/>
          <w:sz w:val="32"/>
          <w:szCs w:val="32"/>
        </w:rPr>
      </w:pPr>
      <w:r w:rsidRPr="00A21CE6">
        <w:rPr>
          <w:b/>
          <w:bCs/>
          <w:sz w:val="32"/>
          <w:szCs w:val="32"/>
        </w:rPr>
        <w:t xml:space="preserve">International Business Consultancy Report of </w:t>
      </w:r>
      <w:r w:rsidRPr="00996684">
        <w:rPr>
          <w:b/>
          <w:bCs/>
          <w:sz w:val="32"/>
          <w:szCs w:val="32"/>
        </w:rPr>
        <w:t>Nestlé</w:t>
      </w:r>
    </w:p>
    <w:p w:rsidR="00DB0E2B" w:rsidRPr="00A05C62" w:rsidRDefault="00DB0E2B" w:rsidP="0069133B">
      <w:pPr>
        <w:spacing w:after="0" w:line="360" w:lineRule="auto"/>
        <w:contextualSpacing/>
        <w:jc w:val="center"/>
        <w:rPr>
          <w:rFonts w:ascii="Arial" w:hAnsi="Arial" w:cs="Arial"/>
          <w:bCs/>
          <w:color w:val="1D2125"/>
          <w:sz w:val="32"/>
          <w:szCs w:val="32"/>
          <w:shd w:val="clear" w:color="auto" w:fill="FFFFFF"/>
        </w:rPr>
      </w:pPr>
      <w:r w:rsidRPr="00A05C62">
        <w:rPr>
          <w:rFonts w:ascii="Arial" w:hAnsi="Arial" w:cs="Arial"/>
        </w:rPr>
        <w:br w:type="page"/>
      </w:r>
    </w:p>
    <w:sdt>
      <w:sdtPr>
        <w:rPr>
          <w:rFonts w:ascii="Arial" w:eastAsiaTheme="minorEastAsia" w:hAnsi="Arial" w:cs="Arial"/>
          <w:b w:val="0"/>
          <w:bCs w:val="0"/>
          <w:color w:val="auto"/>
          <w:sz w:val="32"/>
          <w:szCs w:val="32"/>
        </w:rPr>
        <w:id w:val="195814447"/>
        <w:docPartObj>
          <w:docPartGallery w:val="Table of Contents"/>
          <w:docPartUnique/>
        </w:docPartObj>
      </w:sdtPr>
      <w:sdtEndPr>
        <w:rPr>
          <w:noProof/>
          <w:sz w:val="22"/>
          <w:szCs w:val="22"/>
        </w:rPr>
      </w:sdtEndPr>
      <w:sdtContent>
        <w:p w:rsidR="0069133B" w:rsidRPr="00A05C62" w:rsidRDefault="0069133B" w:rsidP="0069133B">
          <w:pPr>
            <w:pStyle w:val="TOCHeading"/>
            <w:jc w:val="center"/>
            <w:rPr>
              <w:rFonts w:ascii="Arial" w:hAnsi="Arial" w:cs="Arial"/>
              <w:sz w:val="32"/>
              <w:szCs w:val="32"/>
            </w:rPr>
          </w:pPr>
          <w:r w:rsidRPr="00A05C62">
            <w:rPr>
              <w:rFonts w:ascii="Arial" w:hAnsi="Arial" w:cs="Arial"/>
              <w:sz w:val="32"/>
              <w:szCs w:val="32"/>
            </w:rPr>
            <w:t>Table of Contents</w:t>
          </w:r>
        </w:p>
        <w:p w:rsidR="0069133B" w:rsidRPr="00A05C62" w:rsidRDefault="0069133B" w:rsidP="0069133B">
          <w:pPr>
            <w:rPr>
              <w:rFonts w:ascii="Arial" w:hAnsi="Arial" w:cs="Arial"/>
            </w:rPr>
          </w:pPr>
        </w:p>
        <w:p w:rsidR="0069133B" w:rsidRPr="00A05C62" w:rsidRDefault="0069133B" w:rsidP="0069133B">
          <w:pPr>
            <w:rPr>
              <w:rFonts w:ascii="Arial" w:hAnsi="Arial" w:cs="Arial"/>
            </w:rPr>
          </w:pPr>
        </w:p>
        <w:p w:rsidR="007D4EE0" w:rsidRDefault="0069133B">
          <w:pPr>
            <w:pStyle w:val="TOC1"/>
            <w:tabs>
              <w:tab w:val="right" w:leader="dot" w:pos="9350"/>
            </w:tabs>
            <w:rPr>
              <w:noProof/>
            </w:rPr>
          </w:pPr>
          <w:r w:rsidRPr="00A05C62">
            <w:rPr>
              <w:rFonts w:ascii="Arial" w:hAnsi="Arial" w:cs="Arial"/>
            </w:rPr>
            <w:fldChar w:fldCharType="begin"/>
          </w:r>
          <w:r w:rsidRPr="00A05C62">
            <w:rPr>
              <w:rFonts w:ascii="Arial" w:hAnsi="Arial" w:cs="Arial"/>
            </w:rPr>
            <w:instrText xml:space="preserve"> TOC \o "1-3" \h \z \u </w:instrText>
          </w:r>
          <w:r w:rsidRPr="00A05C62">
            <w:rPr>
              <w:rFonts w:ascii="Arial" w:hAnsi="Arial" w:cs="Arial"/>
            </w:rPr>
            <w:fldChar w:fldCharType="separate"/>
          </w:r>
          <w:hyperlink w:anchor="_Toc216651412" w:history="1">
            <w:r w:rsidR="007D4EE0" w:rsidRPr="00AF488A">
              <w:rPr>
                <w:rStyle w:val="Hyperlink"/>
                <w:rFonts w:ascii="Arial" w:hAnsi="Arial" w:cs="Arial"/>
                <w:noProof/>
              </w:rPr>
              <w:t>NESTLÉ S.A.: INTERNATIONAL BUSINESS ANALYSIS AND INDIA MARKET ENTRY STRATEGY</w:t>
            </w:r>
            <w:r w:rsidR="007D4EE0">
              <w:rPr>
                <w:noProof/>
                <w:webHidden/>
              </w:rPr>
              <w:tab/>
            </w:r>
            <w:r w:rsidR="007D4EE0">
              <w:rPr>
                <w:noProof/>
                <w:webHidden/>
              </w:rPr>
              <w:fldChar w:fldCharType="begin"/>
            </w:r>
            <w:r w:rsidR="007D4EE0">
              <w:rPr>
                <w:noProof/>
                <w:webHidden/>
              </w:rPr>
              <w:instrText xml:space="preserve"> PAGEREF _Toc216651412 \h </w:instrText>
            </w:r>
            <w:r w:rsidR="007D4EE0">
              <w:rPr>
                <w:noProof/>
                <w:webHidden/>
              </w:rPr>
            </w:r>
            <w:r w:rsidR="007D4EE0">
              <w:rPr>
                <w:noProof/>
                <w:webHidden/>
              </w:rPr>
              <w:fldChar w:fldCharType="separate"/>
            </w:r>
            <w:r w:rsidR="007D4EE0">
              <w:rPr>
                <w:noProof/>
                <w:webHidden/>
              </w:rPr>
              <w:t>3</w:t>
            </w:r>
            <w:r w:rsidR="007D4EE0">
              <w:rPr>
                <w:noProof/>
                <w:webHidden/>
              </w:rPr>
              <w:fldChar w:fldCharType="end"/>
            </w:r>
          </w:hyperlink>
        </w:p>
        <w:p w:rsidR="007D4EE0" w:rsidRDefault="007D4EE0">
          <w:pPr>
            <w:pStyle w:val="TOC2"/>
            <w:tabs>
              <w:tab w:val="right" w:leader="dot" w:pos="9350"/>
            </w:tabs>
            <w:rPr>
              <w:noProof/>
            </w:rPr>
          </w:pPr>
          <w:hyperlink w:anchor="_Toc216651413" w:history="1">
            <w:r w:rsidRPr="00AF488A">
              <w:rPr>
                <w:rStyle w:val="Hyperlink"/>
                <w:rFonts w:ascii="Arial" w:hAnsi="Arial" w:cs="Arial"/>
                <w:noProof/>
              </w:rPr>
              <w:t>1. INTRODUCTION</w:t>
            </w:r>
            <w:r>
              <w:rPr>
                <w:noProof/>
                <w:webHidden/>
              </w:rPr>
              <w:tab/>
            </w:r>
            <w:r>
              <w:rPr>
                <w:noProof/>
                <w:webHidden/>
              </w:rPr>
              <w:fldChar w:fldCharType="begin"/>
            </w:r>
            <w:r>
              <w:rPr>
                <w:noProof/>
                <w:webHidden/>
              </w:rPr>
              <w:instrText xml:space="preserve"> PAGEREF _Toc216651413 \h </w:instrText>
            </w:r>
            <w:r>
              <w:rPr>
                <w:noProof/>
                <w:webHidden/>
              </w:rPr>
            </w:r>
            <w:r>
              <w:rPr>
                <w:noProof/>
                <w:webHidden/>
              </w:rPr>
              <w:fldChar w:fldCharType="separate"/>
            </w:r>
            <w:r>
              <w:rPr>
                <w:noProof/>
                <w:webHidden/>
              </w:rPr>
              <w:t>3</w:t>
            </w:r>
            <w:r>
              <w:rPr>
                <w:noProof/>
                <w:webHidden/>
              </w:rPr>
              <w:fldChar w:fldCharType="end"/>
            </w:r>
          </w:hyperlink>
        </w:p>
        <w:p w:rsidR="007D4EE0" w:rsidRDefault="007D4EE0">
          <w:pPr>
            <w:pStyle w:val="TOC2"/>
            <w:tabs>
              <w:tab w:val="right" w:leader="dot" w:pos="9350"/>
            </w:tabs>
            <w:rPr>
              <w:noProof/>
            </w:rPr>
          </w:pPr>
          <w:hyperlink w:anchor="_Toc216651414" w:history="1">
            <w:r w:rsidRPr="00AF488A">
              <w:rPr>
                <w:rStyle w:val="Hyperlink"/>
                <w:rFonts w:ascii="Arial" w:hAnsi="Arial" w:cs="Arial"/>
                <w:noProof/>
              </w:rPr>
              <w:t>What This Report Covers</w:t>
            </w:r>
            <w:r>
              <w:rPr>
                <w:noProof/>
                <w:webHidden/>
              </w:rPr>
              <w:tab/>
            </w:r>
            <w:r>
              <w:rPr>
                <w:noProof/>
                <w:webHidden/>
              </w:rPr>
              <w:fldChar w:fldCharType="begin"/>
            </w:r>
            <w:r>
              <w:rPr>
                <w:noProof/>
                <w:webHidden/>
              </w:rPr>
              <w:instrText xml:space="preserve"> PAGEREF _Toc216651414 \h </w:instrText>
            </w:r>
            <w:r>
              <w:rPr>
                <w:noProof/>
                <w:webHidden/>
              </w:rPr>
            </w:r>
            <w:r>
              <w:rPr>
                <w:noProof/>
                <w:webHidden/>
              </w:rPr>
              <w:fldChar w:fldCharType="separate"/>
            </w:r>
            <w:r>
              <w:rPr>
                <w:noProof/>
                <w:webHidden/>
              </w:rPr>
              <w:t>3</w:t>
            </w:r>
            <w:r>
              <w:rPr>
                <w:noProof/>
                <w:webHidden/>
              </w:rPr>
              <w:fldChar w:fldCharType="end"/>
            </w:r>
          </w:hyperlink>
        </w:p>
        <w:p w:rsidR="007D4EE0" w:rsidRDefault="007D4EE0">
          <w:pPr>
            <w:pStyle w:val="TOC2"/>
            <w:tabs>
              <w:tab w:val="right" w:leader="dot" w:pos="9350"/>
            </w:tabs>
            <w:rPr>
              <w:noProof/>
            </w:rPr>
          </w:pPr>
          <w:hyperlink w:anchor="_Toc216651415" w:history="1">
            <w:r w:rsidRPr="00AF488A">
              <w:rPr>
                <w:rStyle w:val="Hyperlink"/>
                <w:rFonts w:ascii="Arial" w:hAnsi="Arial" w:cs="Arial"/>
                <w:noProof/>
              </w:rPr>
              <w:t>The Company and Strategic Focus</w:t>
            </w:r>
            <w:r>
              <w:rPr>
                <w:noProof/>
                <w:webHidden/>
              </w:rPr>
              <w:tab/>
            </w:r>
            <w:r>
              <w:rPr>
                <w:noProof/>
                <w:webHidden/>
              </w:rPr>
              <w:fldChar w:fldCharType="begin"/>
            </w:r>
            <w:r>
              <w:rPr>
                <w:noProof/>
                <w:webHidden/>
              </w:rPr>
              <w:instrText xml:space="preserve"> PAGEREF _Toc216651415 \h </w:instrText>
            </w:r>
            <w:r>
              <w:rPr>
                <w:noProof/>
                <w:webHidden/>
              </w:rPr>
            </w:r>
            <w:r>
              <w:rPr>
                <w:noProof/>
                <w:webHidden/>
              </w:rPr>
              <w:fldChar w:fldCharType="separate"/>
            </w:r>
            <w:r>
              <w:rPr>
                <w:noProof/>
                <w:webHidden/>
              </w:rPr>
              <w:t>4</w:t>
            </w:r>
            <w:r>
              <w:rPr>
                <w:noProof/>
                <w:webHidden/>
              </w:rPr>
              <w:fldChar w:fldCharType="end"/>
            </w:r>
          </w:hyperlink>
        </w:p>
        <w:p w:rsidR="007D4EE0" w:rsidRDefault="007D4EE0">
          <w:pPr>
            <w:pStyle w:val="TOC1"/>
            <w:tabs>
              <w:tab w:val="right" w:leader="dot" w:pos="9350"/>
            </w:tabs>
            <w:rPr>
              <w:noProof/>
            </w:rPr>
          </w:pPr>
          <w:hyperlink w:anchor="_Toc216651416" w:history="1">
            <w:r w:rsidRPr="00AF488A">
              <w:rPr>
                <w:rStyle w:val="Hyperlink"/>
                <w:rFonts w:ascii="Arial" w:hAnsi="Arial" w:cs="Arial"/>
                <w:noProof/>
              </w:rPr>
              <w:t>2. MULTINATIONAL CORPORATIONS AND NESTLÉ'S GLOBAL STATUS</w:t>
            </w:r>
            <w:r>
              <w:rPr>
                <w:noProof/>
                <w:webHidden/>
              </w:rPr>
              <w:tab/>
            </w:r>
            <w:r>
              <w:rPr>
                <w:noProof/>
                <w:webHidden/>
              </w:rPr>
              <w:fldChar w:fldCharType="begin"/>
            </w:r>
            <w:r>
              <w:rPr>
                <w:noProof/>
                <w:webHidden/>
              </w:rPr>
              <w:instrText xml:space="preserve"> PAGEREF _Toc216651416 \h </w:instrText>
            </w:r>
            <w:r>
              <w:rPr>
                <w:noProof/>
                <w:webHidden/>
              </w:rPr>
            </w:r>
            <w:r>
              <w:rPr>
                <w:noProof/>
                <w:webHidden/>
              </w:rPr>
              <w:fldChar w:fldCharType="separate"/>
            </w:r>
            <w:r>
              <w:rPr>
                <w:noProof/>
                <w:webHidden/>
              </w:rPr>
              <w:t>5</w:t>
            </w:r>
            <w:r>
              <w:rPr>
                <w:noProof/>
                <w:webHidden/>
              </w:rPr>
              <w:fldChar w:fldCharType="end"/>
            </w:r>
          </w:hyperlink>
        </w:p>
        <w:p w:rsidR="007D4EE0" w:rsidRDefault="007D4EE0">
          <w:pPr>
            <w:pStyle w:val="TOC2"/>
            <w:tabs>
              <w:tab w:val="right" w:leader="dot" w:pos="9350"/>
            </w:tabs>
            <w:rPr>
              <w:noProof/>
            </w:rPr>
          </w:pPr>
          <w:hyperlink w:anchor="_Toc216651417" w:history="1">
            <w:r w:rsidRPr="00AF488A">
              <w:rPr>
                <w:rStyle w:val="Hyperlink"/>
                <w:rFonts w:ascii="Arial" w:hAnsi="Arial" w:cs="Arial"/>
                <w:noProof/>
              </w:rPr>
              <w:t>Understanding MNCs and TNCs</w:t>
            </w:r>
            <w:r>
              <w:rPr>
                <w:noProof/>
                <w:webHidden/>
              </w:rPr>
              <w:tab/>
            </w:r>
            <w:r>
              <w:rPr>
                <w:noProof/>
                <w:webHidden/>
              </w:rPr>
              <w:fldChar w:fldCharType="begin"/>
            </w:r>
            <w:r>
              <w:rPr>
                <w:noProof/>
                <w:webHidden/>
              </w:rPr>
              <w:instrText xml:space="preserve"> PAGEREF _Toc216651417 \h </w:instrText>
            </w:r>
            <w:r>
              <w:rPr>
                <w:noProof/>
                <w:webHidden/>
              </w:rPr>
            </w:r>
            <w:r>
              <w:rPr>
                <w:noProof/>
                <w:webHidden/>
              </w:rPr>
              <w:fldChar w:fldCharType="separate"/>
            </w:r>
            <w:r>
              <w:rPr>
                <w:noProof/>
                <w:webHidden/>
              </w:rPr>
              <w:t>5</w:t>
            </w:r>
            <w:r>
              <w:rPr>
                <w:noProof/>
                <w:webHidden/>
              </w:rPr>
              <w:fldChar w:fldCharType="end"/>
            </w:r>
          </w:hyperlink>
        </w:p>
        <w:p w:rsidR="007D4EE0" w:rsidRDefault="007D4EE0">
          <w:pPr>
            <w:pStyle w:val="TOC2"/>
            <w:tabs>
              <w:tab w:val="right" w:leader="dot" w:pos="9350"/>
            </w:tabs>
            <w:rPr>
              <w:noProof/>
            </w:rPr>
          </w:pPr>
          <w:hyperlink w:anchor="_Toc216651418" w:history="1">
            <w:r w:rsidRPr="00AF488A">
              <w:rPr>
                <w:rStyle w:val="Hyperlink"/>
                <w:rFonts w:ascii="Arial" w:hAnsi="Arial" w:cs="Arial"/>
                <w:noProof/>
              </w:rPr>
              <w:t>How Nestlé is both an MNC and a TNC</w:t>
            </w:r>
            <w:r>
              <w:rPr>
                <w:noProof/>
                <w:webHidden/>
              </w:rPr>
              <w:tab/>
            </w:r>
            <w:r>
              <w:rPr>
                <w:noProof/>
                <w:webHidden/>
              </w:rPr>
              <w:fldChar w:fldCharType="begin"/>
            </w:r>
            <w:r>
              <w:rPr>
                <w:noProof/>
                <w:webHidden/>
              </w:rPr>
              <w:instrText xml:space="preserve"> PAGEREF _Toc216651418 \h </w:instrText>
            </w:r>
            <w:r>
              <w:rPr>
                <w:noProof/>
                <w:webHidden/>
              </w:rPr>
            </w:r>
            <w:r>
              <w:rPr>
                <w:noProof/>
                <w:webHidden/>
              </w:rPr>
              <w:fldChar w:fldCharType="separate"/>
            </w:r>
            <w:r>
              <w:rPr>
                <w:noProof/>
                <w:webHidden/>
              </w:rPr>
              <w:t>5</w:t>
            </w:r>
            <w:r>
              <w:rPr>
                <w:noProof/>
                <w:webHidden/>
              </w:rPr>
              <w:fldChar w:fldCharType="end"/>
            </w:r>
          </w:hyperlink>
        </w:p>
        <w:p w:rsidR="007D4EE0" w:rsidRDefault="007D4EE0">
          <w:pPr>
            <w:pStyle w:val="TOC1"/>
            <w:tabs>
              <w:tab w:val="right" w:leader="dot" w:pos="9350"/>
            </w:tabs>
            <w:rPr>
              <w:noProof/>
            </w:rPr>
          </w:pPr>
          <w:hyperlink w:anchor="_Toc216651419" w:history="1">
            <w:r w:rsidRPr="00AF488A">
              <w:rPr>
                <w:rStyle w:val="Hyperlink"/>
                <w:rFonts w:ascii="Arial" w:hAnsi="Arial" w:cs="Arial"/>
                <w:noProof/>
              </w:rPr>
              <w:t>3. NESTLÉ'S GLOBAL VALUE CHAIN</w:t>
            </w:r>
            <w:r>
              <w:rPr>
                <w:noProof/>
                <w:webHidden/>
              </w:rPr>
              <w:tab/>
            </w:r>
            <w:r>
              <w:rPr>
                <w:noProof/>
                <w:webHidden/>
              </w:rPr>
              <w:fldChar w:fldCharType="begin"/>
            </w:r>
            <w:r>
              <w:rPr>
                <w:noProof/>
                <w:webHidden/>
              </w:rPr>
              <w:instrText xml:space="preserve"> PAGEREF _Toc216651419 \h </w:instrText>
            </w:r>
            <w:r>
              <w:rPr>
                <w:noProof/>
                <w:webHidden/>
              </w:rPr>
            </w:r>
            <w:r>
              <w:rPr>
                <w:noProof/>
                <w:webHidden/>
              </w:rPr>
              <w:fldChar w:fldCharType="separate"/>
            </w:r>
            <w:r>
              <w:rPr>
                <w:noProof/>
                <w:webHidden/>
              </w:rPr>
              <w:t>6</w:t>
            </w:r>
            <w:r>
              <w:rPr>
                <w:noProof/>
                <w:webHidden/>
              </w:rPr>
              <w:fldChar w:fldCharType="end"/>
            </w:r>
          </w:hyperlink>
        </w:p>
        <w:p w:rsidR="007D4EE0" w:rsidRDefault="007D4EE0">
          <w:pPr>
            <w:pStyle w:val="TOC2"/>
            <w:tabs>
              <w:tab w:val="right" w:leader="dot" w:pos="9350"/>
            </w:tabs>
            <w:rPr>
              <w:noProof/>
            </w:rPr>
          </w:pPr>
          <w:hyperlink w:anchor="_Toc216651420" w:history="1">
            <w:r w:rsidRPr="00AF488A">
              <w:rPr>
                <w:rStyle w:val="Hyperlink"/>
                <w:rFonts w:ascii="Arial" w:hAnsi="Arial" w:cs="Arial"/>
                <w:noProof/>
              </w:rPr>
              <w:t>Nestlé's Seven Value Chain Components</w:t>
            </w:r>
            <w:r>
              <w:rPr>
                <w:noProof/>
                <w:webHidden/>
              </w:rPr>
              <w:tab/>
            </w:r>
            <w:r>
              <w:rPr>
                <w:noProof/>
                <w:webHidden/>
              </w:rPr>
              <w:fldChar w:fldCharType="begin"/>
            </w:r>
            <w:r>
              <w:rPr>
                <w:noProof/>
                <w:webHidden/>
              </w:rPr>
              <w:instrText xml:space="preserve"> PAGEREF _Toc216651420 \h </w:instrText>
            </w:r>
            <w:r>
              <w:rPr>
                <w:noProof/>
                <w:webHidden/>
              </w:rPr>
            </w:r>
            <w:r>
              <w:rPr>
                <w:noProof/>
                <w:webHidden/>
              </w:rPr>
              <w:fldChar w:fldCharType="separate"/>
            </w:r>
            <w:r>
              <w:rPr>
                <w:noProof/>
                <w:webHidden/>
              </w:rPr>
              <w:t>6</w:t>
            </w:r>
            <w:r>
              <w:rPr>
                <w:noProof/>
                <w:webHidden/>
              </w:rPr>
              <w:fldChar w:fldCharType="end"/>
            </w:r>
          </w:hyperlink>
        </w:p>
        <w:p w:rsidR="007D4EE0" w:rsidRDefault="007D4EE0">
          <w:pPr>
            <w:pStyle w:val="TOC1"/>
            <w:tabs>
              <w:tab w:val="right" w:leader="dot" w:pos="9350"/>
            </w:tabs>
            <w:rPr>
              <w:noProof/>
            </w:rPr>
          </w:pPr>
          <w:hyperlink w:anchor="_Toc216651421" w:history="1">
            <w:r w:rsidRPr="00AF488A">
              <w:rPr>
                <w:rStyle w:val="Hyperlink"/>
                <w:rFonts w:ascii="Arial" w:hAnsi="Arial" w:cs="Arial"/>
                <w:noProof/>
              </w:rPr>
              <w:t>4. INTERNATIONAL ENTRY MODES AND MARKET STRATEGIES</w:t>
            </w:r>
            <w:r>
              <w:rPr>
                <w:noProof/>
                <w:webHidden/>
              </w:rPr>
              <w:tab/>
            </w:r>
            <w:r>
              <w:rPr>
                <w:noProof/>
                <w:webHidden/>
              </w:rPr>
              <w:fldChar w:fldCharType="begin"/>
            </w:r>
            <w:r>
              <w:rPr>
                <w:noProof/>
                <w:webHidden/>
              </w:rPr>
              <w:instrText xml:space="preserve"> PAGEREF _Toc216651421 \h </w:instrText>
            </w:r>
            <w:r>
              <w:rPr>
                <w:noProof/>
                <w:webHidden/>
              </w:rPr>
            </w:r>
            <w:r>
              <w:rPr>
                <w:noProof/>
                <w:webHidden/>
              </w:rPr>
              <w:fldChar w:fldCharType="separate"/>
            </w:r>
            <w:r>
              <w:rPr>
                <w:noProof/>
                <w:webHidden/>
              </w:rPr>
              <w:t>8</w:t>
            </w:r>
            <w:r>
              <w:rPr>
                <w:noProof/>
                <w:webHidden/>
              </w:rPr>
              <w:fldChar w:fldCharType="end"/>
            </w:r>
          </w:hyperlink>
        </w:p>
        <w:p w:rsidR="007D4EE0" w:rsidRDefault="007D4EE0">
          <w:pPr>
            <w:pStyle w:val="TOC2"/>
            <w:tabs>
              <w:tab w:val="right" w:leader="dot" w:pos="9350"/>
            </w:tabs>
            <w:rPr>
              <w:noProof/>
            </w:rPr>
          </w:pPr>
          <w:hyperlink w:anchor="_Toc216651422" w:history="1">
            <w:r w:rsidRPr="00AF488A">
              <w:rPr>
                <w:rStyle w:val="Hyperlink"/>
                <w:rFonts w:ascii="Arial" w:hAnsi="Arial" w:cs="Arial"/>
                <w:noProof/>
              </w:rPr>
              <w:t>How Nestlé Enters International Markets</w:t>
            </w:r>
            <w:r>
              <w:rPr>
                <w:noProof/>
                <w:webHidden/>
              </w:rPr>
              <w:tab/>
            </w:r>
            <w:r>
              <w:rPr>
                <w:noProof/>
                <w:webHidden/>
              </w:rPr>
              <w:fldChar w:fldCharType="begin"/>
            </w:r>
            <w:r>
              <w:rPr>
                <w:noProof/>
                <w:webHidden/>
              </w:rPr>
              <w:instrText xml:space="preserve"> PAGEREF _Toc216651422 \h </w:instrText>
            </w:r>
            <w:r>
              <w:rPr>
                <w:noProof/>
                <w:webHidden/>
              </w:rPr>
            </w:r>
            <w:r>
              <w:rPr>
                <w:noProof/>
                <w:webHidden/>
              </w:rPr>
              <w:fldChar w:fldCharType="separate"/>
            </w:r>
            <w:r>
              <w:rPr>
                <w:noProof/>
                <w:webHidden/>
              </w:rPr>
              <w:t>8</w:t>
            </w:r>
            <w:r>
              <w:rPr>
                <w:noProof/>
                <w:webHidden/>
              </w:rPr>
              <w:fldChar w:fldCharType="end"/>
            </w:r>
          </w:hyperlink>
        </w:p>
        <w:p w:rsidR="007D4EE0" w:rsidRDefault="007D4EE0">
          <w:pPr>
            <w:pStyle w:val="TOC2"/>
            <w:tabs>
              <w:tab w:val="right" w:leader="dot" w:pos="9350"/>
            </w:tabs>
            <w:rPr>
              <w:noProof/>
            </w:rPr>
          </w:pPr>
          <w:hyperlink w:anchor="_Toc216651423" w:history="1">
            <w:r w:rsidRPr="00AF488A">
              <w:rPr>
                <w:rStyle w:val="Hyperlink"/>
                <w:rFonts w:ascii="Arial" w:hAnsi="Arial" w:cs="Arial"/>
                <w:noProof/>
              </w:rPr>
              <w:t>Strategic Rationale for Entry Mode Selection</w:t>
            </w:r>
            <w:r>
              <w:rPr>
                <w:noProof/>
                <w:webHidden/>
              </w:rPr>
              <w:tab/>
            </w:r>
            <w:r>
              <w:rPr>
                <w:noProof/>
                <w:webHidden/>
              </w:rPr>
              <w:fldChar w:fldCharType="begin"/>
            </w:r>
            <w:r>
              <w:rPr>
                <w:noProof/>
                <w:webHidden/>
              </w:rPr>
              <w:instrText xml:space="preserve"> PAGEREF _Toc216651423 \h </w:instrText>
            </w:r>
            <w:r>
              <w:rPr>
                <w:noProof/>
                <w:webHidden/>
              </w:rPr>
            </w:r>
            <w:r>
              <w:rPr>
                <w:noProof/>
                <w:webHidden/>
              </w:rPr>
              <w:fldChar w:fldCharType="separate"/>
            </w:r>
            <w:r>
              <w:rPr>
                <w:noProof/>
                <w:webHidden/>
              </w:rPr>
              <w:t>9</w:t>
            </w:r>
            <w:r>
              <w:rPr>
                <w:noProof/>
                <w:webHidden/>
              </w:rPr>
              <w:fldChar w:fldCharType="end"/>
            </w:r>
          </w:hyperlink>
        </w:p>
        <w:p w:rsidR="007D4EE0" w:rsidRDefault="007D4EE0">
          <w:pPr>
            <w:pStyle w:val="TOC2"/>
            <w:tabs>
              <w:tab w:val="right" w:leader="dot" w:pos="9350"/>
            </w:tabs>
            <w:rPr>
              <w:noProof/>
            </w:rPr>
          </w:pPr>
          <w:hyperlink w:anchor="_Toc216651424" w:history="1">
            <w:r w:rsidRPr="00AF488A">
              <w:rPr>
                <w:rStyle w:val="Hyperlink"/>
                <w:rFonts w:ascii="Arial" w:hAnsi="Arial" w:cs="Arial"/>
                <w:noProof/>
              </w:rPr>
              <w:t>Key benefits from international operations</w:t>
            </w:r>
            <w:r>
              <w:rPr>
                <w:noProof/>
                <w:webHidden/>
              </w:rPr>
              <w:tab/>
            </w:r>
            <w:r>
              <w:rPr>
                <w:noProof/>
                <w:webHidden/>
              </w:rPr>
              <w:fldChar w:fldCharType="begin"/>
            </w:r>
            <w:r>
              <w:rPr>
                <w:noProof/>
                <w:webHidden/>
              </w:rPr>
              <w:instrText xml:space="preserve"> PAGEREF _Toc216651424 \h </w:instrText>
            </w:r>
            <w:r>
              <w:rPr>
                <w:noProof/>
                <w:webHidden/>
              </w:rPr>
            </w:r>
            <w:r>
              <w:rPr>
                <w:noProof/>
                <w:webHidden/>
              </w:rPr>
              <w:fldChar w:fldCharType="separate"/>
            </w:r>
            <w:r>
              <w:rPr>
                <w:noProof/>
                <w:webHidden/>
              </w:rPr>
              <w:t>9</w:t>
            </w:r>
            <w:r>
              <w:rPr>
                <w:noProof/>
                <w:webHidden/>
              </w:rPr>
              <w:fldChar w:fldCharType="end"/>
            </w:r>
          </w:hyperlink>
        </w:p>
        <w:p w:rsidR="007D4EE0" w:rsidRDefault="007D4EE0">
          <w:pPr>
            <w:pStyle w:val="TOC1"/>
            <w:tabs>
              <w:tab w:val="right" w:leader="dot" w:pos="9350"/>
            </w:tabs>
            <w:rPr>
              <w:noProof/>
            </w:rPr>
          </w:pPr>
          <w:hyperlink w:anchor="_Toc216651425" w:history="1">
            <w:r w:rsidRPr="00AF488A">
              <w:rPr>
                <w:rStyle w:val="Hyperlink"/>
                <w:rFonts w:ascii="Arial" w:hAnsi="Arial" w:cs="Arial"/>
                <w:noProof/>
              </w:rPr>
              <w:t>5. THE OLI FRAMEWORK: UNDERSTANDING NESTLÉ'S INTERNATIONAL STRATEGY</w:t>
            </w:r>
            <w:r>
              <w:rPr>
                <w:noProof/>
                <w:webHidden/>
              </w:rPr>
              <w:tab/>
            </w:r>
            <w:r>
              <w:rPr>
                <w:noProof/>
                <w:webHidden/>
              </w:rPr>
              <w:fldChar w:fldCharType="begin"/>
            </w:r>
            <w:r>
              <w:rPr>
                <w:noProof/>
                <w:webHidden/>
              </w:rPr>
              <w:instrText xml:space="preserve"> PAGEREF _Toc216651425 \h </w:instrText>
            </w:r>
            <w:r>
              <w:rPr>
                <w:noProof/>
                <w:webHidden/>
              </w:rPr>
            </w:r>
            <w:r>
              <w:rPr>
                <w:noProof/>
                <w:webHidden/>
              </w:rPr>
              <w:fldChar w:fldCharType="separate"/>
            </w:r>
            <w:r>
              <w:rPr>
                <w:noProof/>
                <w:webHidden/>
              </w:rPr>
              <w:t>12</w:t>
            </w:r>
            <w:r>
              <w:rPr>
                <w:noProof/>
                <w:webHidden/>
              </w:rPr>
              <w:fldChar w:fldCharType="end"/>
            </w:r>
          </w:hyperlink>
        </w:p>
        <w:p w:rsidR="007D4EE0" w:rsidRDefault="007D4EE0">
          <w:pPr>
            <w:pStyle w:val="TOC2"/>
            <w:tabs>
              <w:tab w:val="right" w:leader="dot" w:pos="9350"/>
            </w:tabs>
            <w:rPr>
              <w:noProof/>
            </w:rPr>
          </w:pPr>
          <w:hyperlink w:anchor="_Toc216651426" w:history="1">
            <w:r w:rsidRPr="00AF488A">
              <w:rPr>
                <w:rStyle w:val="Hyperlink"/>
                <w:rFonts w:ascii="Arial" w:hAnsi="Arial" w:cs="Arial"/>
                <w:noProof/>
              </w:rPr>
              <w:t>The Ownership-Location-Internalization Framework</w:t>
            </w:r>
            <w:r>
              <w:rPr>
                <w:noProof/>
                <w:webHidden/>
              </w:rPr>
              <w:tab/>
            </w:r>
            <w:r>
              <w:rPr>
                <w:noProof/>
                <w:webHidden/>
              </w:rPr>
              <w:fldChar w:fldCharType="begin"/>
            </w:r>
            <w:r>
              <w:rPr>
                <w:noProof/>
                <w:webHidden/>
              </w:rPr>
              <w:instrText xml:space="preserve"> PAGEREF _Toc216651426 \h </w:instrText>
            </w:r>
            <w:r>
              <w:rPr>
                <w:noProof/>
                <w:webHidden/>
              </w:rPr>
            </w:r>
            <w:r>
              <w:rPr>
                <w:noProof/>
                <w:webHidden/>
              </w:rPr>
              <w:fldChar w:fldCharType="separate"/>
            </w:r>
            <w:r>
              <w:rPr>
                <w:noProof/>
                <w:webHidden/>
              </w:rPr>
              <w:t>12</w:t>
            </w:r>
            <w:r>
              <w:rPr>
                <w:noProof/>
                <w:webHidden/>
              </w:rPr>
              <w:fldChar w:fldCharType="end"/>
            </w:r>
          </w:hyperlink>
        </w:p>
        <w:p w:rsidR="007D4EE0" w:rsidRDefault="007D4EE0">
          <w:pPr>
            <w:pStyle w:val="TOC1"/>
            <w:tabs>
              <w:tab w:val="right" w:leader="dot" w:pos="9350"/>
            </w:tabs>
            <w:rPr>
              <w:noProof/>
            </w:rPr>
          </w:pPr>
          <w:hyperlink w:anchor="_Toc216651427" w:history="1">
            <w:r w:rsidRPr="00AF488A">
              <w:rPr>
                <w:rStyle w:val="Hyperlink"/>
                <w:rFonts w:ascii="Arial" w:hAnsi="Arial" w:cs="Arial"/>
                <w:noProof/>
              </w:rPr>
              <w:t>6. CULTURAL DIFFERENCES AND MARKET ADAPTATION</w:t>
            </w:r>
            <w:r>
              <w:rPr>
                <w:noProof/>
                <w:webHidden/>
              </w:rPr>
              <w:tab/>
            </w:r>
            <w:r>
              <w:rPr>
                <w:noProof/>
                <w:webHidden/>
              </w:rPr>
              <w:fldChar w:fldCharType="begin"/>
            </w:r>
            <w:r>
              <w:rPr>
                <w:noProof/>
                <w:webHidden/>
              </w:rPr>
              <w:instrText xml:space="preserve"> PAGEREF _Toc216651427 \h </w:instrText>
            </w:r>
            <w:r>
              <w:rPr>
                <w:noProof/>
                <w:webHidden/>
              </w:rPr>
            </w:r>
            <w:r>
              <w:rPr>
                <w:noProof/>
                <w:webHidden/>
              </w:rPr>
              <w:fldChar w:fldCharType="separate"/>
            </w:r>
            <w:r>
              <w:rPr>
                <w:noProof/>
                <w:webHidden/>
              </w:rPr>
              <w:t>14</w:t>
            </w:r>
            <w:r>
              <w:rPr>
                <w:noProof/>
                <w:webHidden/>
              </w:rPr>
              <w:fldChar w:fldCharType="end"/>
            </w:r>
          </w:hyperlink>
        </w:p>
        <w:p w:rsidR="007D4EE0" w:rsidRDefault="007D4EE0">
          <w:pPr>
            <w:pStyle w:val="TOC2"/>
            <w:tabs>
              <w:tab w:val="right" w:leader="dot" w:pos="9350"/>
            </w:tabs>
            <w:rPr>
              <w:noProof/>
            </w:rPr>
          </w:pPr>
          <w:hyperlink w:anchor="_Toc216651428" w:history="1">
            <w:r w:rsidRPr="00AF488A">
              <w:rPr>
                <w:rStyle w:val="Hyperlink"/>
                <w:rFonts w:ascii="Arial" w:hAnsi="Arial" w:cs="Arial"/>
                <w:noProof/>
              </w:rPr>
              <w:t>The Importance of Cultural Understanding</w:t>
            </w:r>
            <w:r>
              <w:rPr>
                <w:noProof/>
                <w:webHidden/>
              </w:rPr>
              <w:tab/>
            </w:r>
            <w:r>
              <w:rPr>
                <w:noProof/>
                <w:webHidden/>
              </w:rPr>
              <w:fldChar w:fldCharType="begin"/>
            </w:r>
            <w:r>
              <w:rPr>
                <w:noProof/>
                <w:webHidden/>
              </w:rPr>
              <w:instrText xml:space="preserve"> PAGEREF _Toc216651428 \h </w:instrText>
            </w:r>
            <w:r>
              <w:rPr>
                <w:noProof/>
                <w:webHidden/>
              </w:rPr>
            </w:r>
            <w:r>
              <w:rPr>
                <w:noProof/>
                <w:webHidden/>
              </w:rPr>
              <w:fldChar w:fldCharType="separate"/>
            </w:r>
            <w:r>
              <w:rPr>
                <w:noProof/>
                <w:webHidden/>
              </w:rPr>
              <w:t>14</w:t>
            </w:r>
            <w:r>
              <w:rPr>
                <w:noProof/>
                <w:webHidden/>
              </w:rPr>
              <w:fldChar w:fldCharType="end"/>
            </w:r>
          </w:hyperlink>
        </w:p>
        <w:p w:rsidR="007D4EE0" w:rsidRDefault="007D4EE0">
          <w:pPr>
            <w:pStyle w:val="TOC2"/>
            <w:tabs>
              <w:tab w:val="right" w:leader="dot" w:pos="9350"/>
            </w:tabs>
            <w:rPr>
              <w:noProof/>
            </w:rPr>
          </w:pPr>
          <w:hyperlink w:anchor="_Toc216651429" w:history="1">
            <w:r w:rsidRPr="00AF488A">
              <w:rPr>
                <w:rStyle w:val="Hyperlink"/>
                <w:rFonts w:ascii="Arial" w:hAnsi="Arial" w:cs="Arial"/>
                <w:noProof/>
              </w:rPr>
              <w:t>Key Cultural Differences between Switzerland and India</w:t>
            </w:r>
            <w:r>
              <w:rPr>
                <w:noProof/>
                <w:webHidden/>
              </w:rPr>
              <w:tab/>
            </w:r>
            <w:r>
              <w:rPr>
                <w:noProof/>
                <w:webHidden/>
              </w:rPr>
              <w:fldChar w:fldCharType="begin"/>
            </w:r>
            <w:r>
              <w:rPr>
                <w:noProof/>
                <w:webHidden/>
              </w:rPr>
              <w:instrText xml:space="preserve"> PAGEREF _Toc216651429 \h </w:instrText>
            </w:r>
            <w:r>
              <w:rPr>
                <w:noProof/>
                <w:webHidden/>
              </w:rPr>
            </w:r>
            <w:r>
              <w:rPr>
                <w:noProof/>
                <w:webHidden/>
              </w:rPr>
              <w:fldChar w:fldCharType="separate"/>
            </w:r>
            <w:r>
              <w:rPr>
                <w:noProof/>
                <w:webHidden/>
              </w:rPr>
              <w:t>15</w:t>
            </w:r>
            <w:r>
              <w:rPr>
                <w:noProof/>
                <w:webHidden/>
              </w:rPr>
              <w:fldChar w:fldCharType="end"/>
            </w:r>
          </w:hyperlink>
        </w:p>
        <w:p w:rsidR="007D4EE0" w:rsidRDefault="007D4EE0">
          <w:pPr>
            <w:pStyle w:val="TOC2"/>
            <w:tabs>
              <w:tab w:val="right" w:leader="dot" w:pos="9350"/>
            </w:tabs>
            <w:rPr>
              <w:noProof/>
            </w:rPr>
          </w:pPr>
          <w:hyperlink w:anchor="_Toc216651430" w:history="1">
            <w:r w:rsidRPr="00AF488A">
              <w:rPr>
                <w:rStyle w:val="Hyperlink"/>
                <w:rFonts w:ascii="Arial" w:hAnsi="Arial" w:cs="Arial"/>
                <w:noProof/>
              </w:rPr>
              <w:t>Nestlé's Systematic Cultural Adaptation Strategy</w:t>
            </w:r>
            <w:r>
              <w:rPr>
                <w:noProof/>
                <w:webHidden/>
              </w:rPr>
              <w:tab/>
            </w:r>
            <w:r>
              <w:rPr>
                <w:noProof/>
                <w:webHidden/>
              </w:rPr>
              <w:fldChar w:fldCharType="begin"/>
            </w:r>
            <w:r>
              <w:rPr>
                <w:noProof/>
                <w:webHidden/>
              </w:rPr>
              <w:instrText xml:space="preserve"> PAGEREF _Toc216651430 \h </w:instrText>
            </w:r>
            <w:r>
              <w:rPr>
                <w:noProof/>
                <w:webHidden/>
              </w:rPr>
            </w:r>
            <w:r>
              <w:rPr>
                <w:noProof/>
                <w:webHidden/>
              </w:rPr>
              <w:fldChar w:fldCharType="separate"/>
            </w:r>
            <w:r>
              <w:rPr>
                <w:noProof/>
                <w:webHidden/>
              </w:rPr>
              <w:t>16</w:t>
            </w:r>
            <w:r>
              <w:rPr>
                <w:noProof/>
                <w:webHidden/>
              </w:rPr>
              <w:fldChar w:fldCharType="end"/>
            </w:r>
          </w:hyperlink>
        </w:p>
        <w:p w:rsidR="007D4EE0" w:rsidRDefault="007D4EE0">
          <w:pPr>
            <w:pStyle w:val="TOC1"/>
            <w:tabs>
              <w:tab w:val="right" w:leader="dot" w:pos="9350"/>
            </w:tabs>
            <w:rPr>
              <w:noProof/>
            </w:rPr>
          </w:pPr>
          <w:hyperlink w:anchor="_Toc216651431" w:history="1">
            <w:r w:rsidRPr="00AF488A">
              <w:rPr>
                <w:rStyle w:val="Hyperlink"/>
                <w:rFonts w:ascii="Arial" w:hAnsi="Arial" w:cs="Arial"/>
                <w:noProof/>
              </w:rPr>
              <w:t>7. NESTLÉ'S GLOBAL PERFORMANCE AND MARKET ACHIEVEMENTS</w:t>
            </w:r>
            <w:r>
              <w:rPr>
                <w:noProof/>
                <w:webHidden/>
              </w:rPr>
              <w:tab/>
            </w:r>
            <w:r>
              <w:rPr>
                <w:noProof/>
                <w:webHidden/>
              </w:rPr>
              <w:fldChar w:fldCharType="begin"/>
            </w:r>
            <w:r>
              <w:rPr>
                <w:noProof/>
                <w:webHidden/>
              </w:rPr>
              <w:instrText xml:space="preserve"> PAGEREF _Toc216651431 \h </w:instrText>
            </w:r>
            <w:r>
              <w:rPr>
                <w:noProof/>
                <w:webHidden/>
              </w:rPr>
            </w:r>
            <w:r>
              <w:rPr>
                <w:noProof/>
                <w:webHidden/>
              </w:rPr>
              <w:fldChar w:fldCharType="separate"/>
            </w:r>
            <w:r>
              <w:rPr>
                <w:noProof/>
                <w:webHidden/>
              </w:rPr>
              <w:t>17</w:t>
            </w:r>
            <w:r>
              <w:rPr>
                <w:noProof/>
                <w:webHidden/>
              </w:rPr>
              <w:fldChar w:fldCharType="end"/>
            </w:r>
          </w:hyperlink>
        </w:p>
        <w:p w:rsidR="007D4EE0" w:rsidRDefault="007D4EE0">
          <w:pPr>
            <w:pStyle w:val="TOC1"/>
            <w:tabs>
              <w:tab w:val="right" w:leader="dot" w:pos="9350"/>
            </w:tabs>
            <w:rPr>
              <w:noProof/>
            </w:rPr>
          </w:pPr>
          <w:hyperlink w:anchor="_Toc216651432" w:history="1">
            <w:r w:rsidRPr="00AF488A">
              <w:rPr>
                <w:rStyle w:val="Hyperlink"/>
                <w:rFonts w:ascii="Arial" w:hAnsi="Arial" w:cs="Arial"/>
                <w:noProof/>
              </w:rPr>
              <w:t>8. RECOMMENDATIONS FOR STRENGTHENING NESTLÉ'S INDIA OPERATIONS</w:t>
            </w:r>
            <w:r>
              <w:rPr>
                <w:noProof/>
                <w:webHidden/>
              </w:rPr>
              <w:tab/>
            </w:r>
            <w:r>
              <w:rPr>
                <w:noProof/>
                <w:webHidden/>
              </w:rPr>
              <w:fldChar w:fldCharType="begin"/>
            </w:r>
            <w:r>
              <w:rPr>
                <w:noProof/>
                <w:webHidden/>
              </w:rPr>
              <w:instrText xml:space="preserve"> PAGEREF _Toc216651432 \h </w:instrText>
            </w:r>
            <w:r>
              <w:rPr>
                <w:noProof/>
                <w:webHidden/>
              </w:rPr>
            </w:r>
            <w:r>
              <w:rPr>
                <w:noProof/>
                <w:webHidden/>
              </w:rPr>
              <w:fldChar w:fldCharType="separate"/>
            </w:r>
            <w:r>
              <w:rPr>
                <w:noProof/>
                <w:webHidden/>
              </w:rPr>
              <w:t>19</w:t>
            </w:r>
            <w:r>
              <w:rPr>
                <w:noProof/>
                <w:webHidden/>
              </w:rPr>
              <w:fldChar w:fldCharType="end"/>
            </w:r>
          </w:hyperlink>
        </w:p>
        <w:p w:rsidR="007D4EE0" w:rsidRDefault="007D4EE0">
          <w:pPr>
            <w:pStyle w:val="TOC1"/>
            <w:tabs>
              <w:tab w:val="right" w:leader="dot" w:pos="9350"/>
            </w:tabs>
            <w:rPr>
              <w:noProof/>
            </w:rPr>
          </w:pPr>
          <w:hyperlink w:anchor="_Toc216651433" w:history="1">
            <w:r w:rsidRPr="00AF488A">
              <w:rPr>
                <w:rStyle w:val="Hyperlink"/>
                <w:rFonts w:ascii="Arial" w:hAnsi="Arial" w:cs="Arial"/>
                <w:noProof/>
              </w:rPr>
              <w:t>9. CONCLUSION</w:t>
            </w:r>
            <w:r>
              <w:rPr>
                <w:noProof/>
                <w:webHidden/>
              </w:rPr>
              <w:tab/>
            </w:r>
            <w:r>
              <w:rPr>
                <w:noProof/>
                <w:webHidden/>
              </w:rPr>
              <w:fldChar w:fldCharType="begin"/>
            </w:r>
            <w:r>
              <w:rPr>
                <w:noProof/>
                <w:webHidden/>
              </w:rPr>
              <w:instrText xml:space="preserve"> PAGEREF _Toc216651433 \h </w:instrText>
            </w:r>
            <w:r>
              <w:rPr>
                <w:noProof/>
                <w:webHidden/>
              </w:rPr>
            </w:r>
            <w:r>
              <w:rPr>
                <w:noProof/>
                <w:webHidden/>
              </w:rPr>
              <w:fldChar w:fldCharType="separate"/>
            </w:r>
            <w:r>
              <w:rPr>
                <w:noProof/>
                <w:webHidden/>
              </w:rPr>
              <w:t>20</w:t>
            </w:r>
            <w:r>
              <w:rPr>
                <w:noProof/>
                <w:webHidden/>
              </w:rPr>
              <w:fldChar w:fldCharType="end"/>
            </w:r>
          </w:hyperlink>
        </w:p>
        <w:p w:rsidR="007D4EE0" w:rsidRDefault="007D4EE0">
          <w:pPr>
            <w:pStyle w:val="TOC1"/>
            <w:tabs>
              <w:tab w:val="right" w:leader="dot" w:pos="9350"/>
            </w:tabs>
            <w:rPr>
              <w:noProof/>
            </w:rPr>
          </w:pPr>
          <w:hyperlink w:anchor="_Toc216651434" w:history="1">
            <w:r w:rsidRPr="00AF488A">
              <w:rPr>
                <w:rStyle w:val="Hyperlink"/>
                <w:rFonts w:ascii="Arial" w:hAnsi="Arial" w:cs="Arial"/>
                <w:noProof/>
              </w:rPr>
              <w:t>REFERENCES LIST</w:t>
            </w:r>
            <w:r>
              <w:rPr>
                <w:noProof/>
                <w:webHidden/>
              </w:rPr>
              <w:tab/>
            </w:r>
            <w:r>
              <w:rPr>
                <w:noProof/>
                <w:webHidden/>
              </w:rPr>
              <w:fldChar w:fldCharType="begin"/>
            </w:r>
            <w:r>
              <w:rPr>
                <w:noProof/>
                <w:webHidden/>
              </w:rPr>
              <w:instrText xml:space="preserve"> PAGEREF _Toc216651434 \h </w:instrText>
            </w:r>
            <w:r>
              <w:rPr>
                <w:noProof/>
                <w:webHidden/>
              </w:rPr>
            </w:r>
            <w:r>
              <w:rPr>
                <w:noProof/>
                <w:webHidden/>
              </w:rPr>
              <w:fldChar w:fldCharType="separate"/>
            </w:r>
            <w:r>
              <w:rPr>
                <w:noProof/>
                <w:webHidden/>
              </w:rPr>
              <w:t>21</w:t>
            </w:r>
            <w:r>
              <w:rPr>
                <w:noProof/>
                <w:webHidden/>
              </w:rPr>
              <w:fldChar w:fldCharType="end"/>
            </w:r>
          </w:hyperlink>
        </w:p>
        <w:p w:rsidR="0069133B" w:rsidRPr="00A05C62" w:rsidRDefault="0069133B">
          <w:pPr>
            <w:rPr>
              <w:rFonts w:ascii="Arial" w:hAnsi="Arial" w:cs="Arial"/>
            </w:rPr>
          </w:pPr>
          <w:r w:rsidRPr="00A05C62">
            <w:rPr>
              <w:rFonts w:ascii="Arial" w:hAnsi="Arial" w:cs="Arial"/>
              <w:b/>
              <w:bCs/>
              <w:noProof/>
            </w:rPr>
            <w:fldChar w:fldCharType="end"/>
          </w:r>
        </w:p>
      </w:sdtContent>
    </w:sdt>
    <w:p w:rsidR="00DB0E2B" w:rsidRPr="00A05C62" w:rsidRDefault="00330B24" w:rsidP="00330B24">
      <w:pPr>
        <w:tabs>
          <w:tab w:val="left" w:pos="3276"/>
        </w:tabs>
        <w:jc w:val="both"/>
        <w:rPr>
          <w:rFonts w:ascii="Arial" w:hAnsi="Arial" w:cs="Arial"/>
          <w:b/>
          <w:sz w:val="28"/>
        </w:rPr>
      </w:pPr>
      <w:r>
        <w:rPr>
          <w:rFonts w:ascii="Arial" w:hAnsi="Arial" w:cs="Arial"/>
          <w:b/>
          <w:sz w:val="28"/>
        </w:rPr>
        <w:tab/>
      </w:r>
    </w:p>
    <w:p w:rsidR="00DB0E2B" w:rsidRPr="00A05C62" w:rsidRDefault="00DB0E2B">
      <w:pPr>
        <w:rPr>
          <w:rFonts w:ascii="Arial" w:hAnsi="Arial" w:cs="Arial"/>
          <w:b/>
          <w:sz w:val="28"/>
        </w:rPr>
      </w:pPr>
      <w:r w:rsidRPr="00A05C62">
        <w:rPr>
          <w:rFonts w:ascii="Arial" w:hAnsi="Arial" w:cs="Arial"/>
          <w:b/>
          <w:sz w:val="28"/>
        </w:rPr>
        <w:br w:type="page"/>
      </w:r>
    </w:p>
    <w:p w:rsidR="0028188C" w:rsidRPr="00A05C62" w:rsidRDefault="007C096F" w:rsidP="0069133B">
      <w:pPr>
        <w:pStyle w:val="Heading1"/>
        <w:rPr>
          <w:rFonts w:ascii="Arial" w:hAnsi="Arial" w:cs="Arial"/>
        </w:rPr>
      </w:pPr>
      <w:bookmarkStart w:id="0" w:name="_Toc216651412"/>
      <w:r w:rsidRPr="00A05C62">
        <w:rPr>
          <w:rFonts w:ascii="Arial" w:hAnsi="Arial" w:cs="Arial"/>
        </w:rPr>
        <w:lastRenderedPageBreak/>
        <w:t>NESTLÉ S.A.: INTERNATIONAL BUSINESS ANALYSIS AND INDIA MARKET ENTRY STRATEGY</w:t>
      </w:r>
      <w:bookmarkEnd w:id="0"/>
    </w:p>
    <w:p w:rsidR="0028188C" w:rsidRPr="00A05C62" w:rsidRDefault="0028188C" w:rsidP="00236EFD">
      <w:pPr>
        <w:jc w:val="both"/>
        <w:rPr>
          <w:rFonts w:ascii="Arial" w:hAnsi="Arial" w:cs="Arial"/>
        </w:rPr>
      </w:pPr>
    </w:p>
    <w:p w:rsidR="0028188C" w:rsidRPr="00A05C62" w:rsidRDefault="007C096F" w:rsidP="0069133B">
      <w:pPr>
        <w:pStyle w:val="Heading2"/>
        <w:rPr>
          <w:rFonts w:ascii="Arial" w:hAnsi="Arial" w:cs="Arial"/>
        </w:rPr>
      </w:pPr>
      <w:bookmarkStart w:id="1" w:name="_Toc216651413"/>
      <w:r w:rsidRPr="00A05C62">
        <w:rPr>
          <w:rFonts w:ascii="Arial" w:hAnsi="Arial" w:cs="Arial"/>
        </w:rPr>
        <w:t>1. INTRODUCTION</w:t>
      </w:r>
      <w:bookmarkEnd w:id="1"/>
    </w:p>
    <w:p w:rsidR="0028188C" w:rsidRPr="00BD39D1" w:rsidRDefault="007C096F" w:rsidP="00236EFD">
      <w:pPr>
        <w:jc w:val="both"/>
        <w:rPr>
          <w:rFonts w:ascii="Arial" w:hAnsi="Arial" w:cs="Arial"/>
          <w:sz w:val="24"/>
        </w:rPr>
      </w:pPr>
      <w:r w:rsidRPr="00BD39D1">
        <w:rPr>
          <w:rFonts w:ascii="Arial" w:hAnsi="Arial" w:cs="Arial"/>
          <w:sz w:val="24"/>
        </w:rPr>
        <w:t>This report examines Nestlé S.A., one of the world's largest multinational food and beverage companies, with particular attention to how it operates globally and enters emerging markets like India. Understanding how major corporations expand internationally offers valuable lessons for business students, professionals, and policymakers alike (Nestle, 2024a).</w:t>
      </w:r>
    </w:p>
    <w:p w:rsidR="0028188C" w:rsidRPr="00BD39D1" w:rsidRDefault="007C096F" w:rsidP="00236EFD">
      <w:pPr>
        <w:jc w:val="both"/>
        <w:rPr>
          <w:rFonts w:ascii="Arial" w:hAnsi="Arial" w:cs="Arial"/>
          <w:sz w:val="24"/>
        </w:rPr>
      </w:pPr>
      <w:r w:rsidRPr="00BD39D1">
        <w:rPr>
          <w:rFonts w:ascii="Arial" w:hAnsi="Arial" w:cs="Arial"/>
          <w:sz w:val="24"/>
        </w:rPr>
        <w:t>Nestlé operates in more than 185 countries and manages a portfolio of over 2,000 brands—from Nescafé coffee to KitKat chocolate to Maggi noodles. The company also runs approximately 337 manufacturing facilities across 75 countries (Nestle, 2024a). This scale makes Nestlé an ideal case study for exploring how large multinational enterprises balance global consistency with local adaptation, a challenge known as 'glocalization.'</w:t>
      </w:r>
    </w:p>
    <w:p w:rsidR="00F91AC2" w:rsidRPr="00BD39D1" w:rsidRDefault="00F91AC2" w:rsidP="00236EFD">
      <w:pPr>
        <w:jc w:val="both"/>
        <w:rPr>
          <w:rFonts w:ascii="Arial" w:hAnsi="Arial" w:cs="Arial"/>
          <w:sz w:val="24"/>
        </w:rPr>
      </w:pPr>
    </w:p>
    <w:p w:rsidR="00F91AC2" w:rsidRPr="00A05C62" w:rsidRDefault="00F91AC2" w:rsidP="00431EDD">
      <w:pPr>
        <w:jc w:val="center"/>
        <w:rPr>
          <w:rFonts w:ascii="Arial" w:hAnsi="Arial" w:cs="Arial"/>
        </w:rPr>
      </w:pPr>
      <w:r w:rsidRPr="00A05C62">
        <w:rPr>
          <w:rFonts w:ascii="Arial" w:hAnsi="Arial" w:cs="Arial"/>
          <w:noProof/>
        </w:rPr>
        <w:drawing>
          <wp:inline distT="0" distB="0" distL="0" distR="0">
            <wp:extent cx="2636520" cy="17907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NESTLElogo-Alternative-with-wordmark-signature-oak-978x800px-RGB.png"/>
                    <pic:cNvPicPr/>
                  </pic:nvPicPr>
                  <pic:blipFill rotWithShape="1">
                    <a:blip r:embed="rId9">
                      <a:extLst>
                        <a:ext uri="{28A0092B-C50C-407E-A947-70E740481C1C}">
                          <a14:useLocalDpi xmlns:a14="http://schemas.microsoft.com/office/drawing/2010/main" val="0"/>
                        </a:ext>
                      </a:extLst>
                    </a:blip>
                    <a:srcRect r="6760" b="22587"/>
                    <a:stretch/>
                  </pic:blipFill>
                  <pic:spPr bwMode="auto">
                    <a:xfrm>
                      <a:off x="0" y="0"/>
                      <a:ext cx="2689693" cy="1826815"/>
                    </a:xfrm>
                    <a:prstGeom prst="rect">
                      <a:avLst/>
                    </a:prstGeom>
                    <a:ln>
                      <a:noFill/>
                    </a:ln>
                    <a:extLst>
                      <a:ext uri="{53640926-AAD7-44D8-BBD7-CCE9431645EC}">
                        <a14:shadowObscured xmlns:a14="http://schemas.microsoft.com/office/drawing/2010/main"/>
                      </a:ext>
                    </a:extLst>
                  </pic:spPr>
                </pic:pic>
              </a:graphicData>
            </a:graphic>
          </wp:inline>
        </w:drawing>
      </w:r>
    </w:p>
    <w:p w:rsidR="00B071EB" w:rsidRPr="00A05C62" w:rsidRDefault="00B071EB" w:rsidP="00B071EB">
      <w:pPr>
        <w:jc w:val="center"/>
        <w:rPr>
          <w:rFonts w:ascii="Arial" w:hAnsi="Arial" w:cs="Arial"/>
        </w:rPr>
      </w:pPr>
      <w:r w:rsidRPr="00A05C62">
        <w:rPr>
          <w:rFonts w:ascii="Arial" w:hAnsi="Arial" w:cs="Arial"/>
        </w:rPr>
        <w:t>(Source: Nestle (2023) the evolution of the Nestlé logo, Nestlé Global.)</w:t>
      </w:r>
    </w:p>
    <w:p w:rsidR="00B071EB" w:rsidRPr="00A05C62" w:rsidRDefault="00B071EB" w:rsidP="00B071EB">
      <w:pPr>
        <w:jc w:val="center"/>
        <w:rPr>
          <w:rFonts w:ascii="Arial" w:hAnsi="Arial" w:cs="Arial"/>
        </w:rPr>
      </w:pPr>
      <w:r w:rsidRPr="00A05C62">
        <w:rPr>
          <w:rFonts w:ascii="Arial" w:hAnsi="Arial" w:cs="Arial"/>
        </w:rPr>
        <w:t xml:space="preserve">Available at: </w:t>
      </w:r>
      <w:hyperlink r:id="rId10" w:history="1">
        <w:r w:rsidRPr="00A05C62">
          <w:rPr>
            <w:rStyle w:val="Hyperlink"/>
            <w:rFonts w:ascii="Arial" w:hAnsi="Arial" w:cs="Arial"/>
          </w:rPr>
          <w:t>https://www.nestle.com/about/history/logo-evolution</w:t>
        </w:r>
      </w:hyperlink>
    </w:p>
    <w:p w:rsidR="00F91AC2" w:rsidRPr="00A05C62" w:rsidRDefault="00F91AC2" w:rsidP="00B071EB">
      <w:pPr>
        <w:rPr>
          <w:rFonts w:ascii="Arial" w:hAnsi="Arial" w:cs="Arial"/>
        </w:rPr>
      </w:pPr>
    </w:p>
    <w:p w:rsidR="0028188C" w:rsidRPr="00A05C62" w:rsidRDefault="007C096F" w:rsidP="0069133B">
      <w:pPr>
        <w:pStyle w:val="Heading2"/>
        <w:rPr>
          <w:rFonts w:ascii="Arial" w:hAnsi="Arial" w:cs="Arial"/>
        </w:rPr>
      </w:pPr>
      <w:bookmarkStart w:id="2" w:name="_Toc216651414"/>
      <w:r w:rsidRPr="00A05C62">
        <w:rPr>
          <w:rFonts w:ascii="Arial" w:hAnsi="Arial" w:cs="Arial"/>
        </w:rPr>
        <w:t>What This Report Covers</w:t>
      </w:r>
      <w:bookmarkEnd w:id="2"/>
    </w:p>
    <w:p w:rsidR="0028188C" w:rsidRPr="00BD39D1" w:rsidRDefault="007C096F" w:rsidP="00236EFD">
      <w:pPr>
        <w:jc w:val="both"/>
        <w:rPr>
          <w:rFonts w:ascii="Arial" w:hAnsi="Arial" w:cs="Arial"/>
          <w:sz w:val="24"/>
        </w:rPr>
      </w:pPr>
      <w:r w:rsidRPr="00BD39D1">
        <w:rPr>
          <w:rFonts w:ascii="Arial" w:hAnsi="Arial" w:cs="Arial"/>
          <w:sz w:val="24"/>
        </w:rPr>
        <w:t xml:space="preserve">The analysis unfolds in eight stages. First, it examines what defines a multinational corporation and demonstrates how Nestlé qualifies as both an MNC and a transnational corporation. Understanding these distinctions is crucial because they shape how companies structure international operations and manage global coordination. Second, it explores Nestlé's global value chain—the interconnected activities that create and deliver products worldwide. The value chain concept reveals where competitive </w:t>
      </w:r>
      <w:r w:rsidRPr="00BD39D1">
        <w:rPr>
          <w:rFonts w:ascii="Arial" w:hAnsi="Arial" w:cs="Arial"/>
          <w:sz w:val="24"/>
        </w:rPr>
        <w:lastRenderedPageBreak/>
        <w:t>advantage originates and how companies optimize operations across continents. Third, it reviews the different strategies Nestlé uses to enter foreign markets, comparing advantages and disadvantages of each approach. Fourth, it applies the OLI (Ownership-Location-Internalization) framework, a key theoretical model for understanding why companies invest internationally, where they invest, and how they structure those investments. Fifth, it examines Nestlé's global performance and market achievements across diverse regions. Sixth, it explores how cultural differences shape Nestlé's approach in India, recognizing that successful international operations require cultural adaptation beyond simply exporting existing products. Seventh, it offers practical recommendations for strengthening Nestlé's operations in the Indian market. Finally, it draws conclusions about international business strategy based on analysis and theoretical frameworks (Dunning, 1988).</w:t>
      </w:r>
    </w:p>
    <w:p w:rsidR="0028188C" w:rsidRPr="00A05C62" w:rsidRDefault="007C096F" w:rsidP="0069133B">
      <w:pPr>
        <w:pStyle w:val="Heading2"/>
        <w:rPr>
          <w:rFonts w:ascii="Arial" w:hAnsi="Arial" w:cs="Arial"/>
        </w:rPr>
      </w:pPr>
      <w:bookmarkStart w:id="3" w:name="_Toc216651415"/>
      <w:r w:rsidRPr="00A05C62">
        <w:rPr>
          <w:rFonts w:ascii="Arial" w:hAnsi="Arial" w:cs="Arial"/>
        </w:rPr>
        <w:t xml:space="preserve">The Company and Strategic </w:t>
      </w:r>
      <w:r w:rsidR="00E82787" w:rsidRPr="00A05C62">
        <w:rPr>
          <w:rFonts w:ascii="Arial" w:hAnsi="Arial" w:cs="Arial"/>
        </w:rPr>
        <w:t>Focus</w:t>
      </w:r>
      <w:bookmarkEnd w:id="3"/>
    </w:p>
    <w:p w:rsidR="0028188C" w:rsidRPr="00BD39D1" w:rsidRDefault="007C096F" w:rsidP="00236EFD">
      <w:pPr>
        <w:jc w:val="both"/>
        <w:rPr>
          <w:rFonts w:ascii="Arial" w:hAnsi="Arial" w:cs="Arial"/>
          <w:sz w:val="24"/>
        </w:rPr>
      </w:pPr>
      <w:r w:rsidRPr="00BD39D1">
        <w:rPr>
          <w:rFonts w:ascii="Arial" w:hAnsi="Arial" w:cs="Arial"/>
          <w:sz w:val="24"/>
        </w:rPr>
        <w:t>Nestlé was founded in 1866 and is headquartered in Vevey, Switzerland. Today it operates across multiple business areas including beverages, nutrition, pet care, and prepared foods. The company has grown from a small Swiss milk food manufacturer into a global food and beverage giant through a combination of organic growth, product innovation, and strategic acquisitions spanning more than a century. India serves as an important focus for this analysis because Nestlé has operated there since 1912 and continues expanding significantly in this large, dynamic emerging market (Nestle India Ltd., 2025). With over 1.4 billion people, rapidly rising incomes, and growing demand for branded packaged foods, India represents one of the most important growth markets for Nestlé's future expansion and strategic development.</w:t>
      </w:r>
    </w:p>
    <w:p w:rsidR="0028188C" w:rsidRPr="00BD39D1" w:rsidRDefault="0028188C" w:rsidP="00236EFD">
      <w:pPr>
        <w:jc w:val="both"/>
        <w:rPr>
          <w:rFonts w:ascii="Arial" w:hAnsi="Arial" w:cs="Arial"/>
          <w:sz w:val="24"/>
        </w:rPr>
      </w:pPr>
    </w:p>
    <w:p w:rsidR="00DE63C9" w:rsidRPr="00BD39D1" w:rsidRDefault="00DE63C9" w:rsidP="00236EFD">
      <w:pPr>
        <w:jc w:val="both"/>
        <w:rPr>
          <w:rFonts w:ascii="Arial" w:hAnsi="Arial" w:cs="Arial"/>
          <w:sz w:val="24"/>
        </w:rPr>
      </w:pPr>
    </w:p>
    <w:p w:rsidR="00DE63C9" w:rsidRPr="00A05C62" w:rsidRDefault="00DE63C9" w:rsidP="00236EFD">
      <w:pPr>
        <w:jc w:val="both"/>
        <w:rPr>
          <w:rFonts w:ascii="Arial" w:hAnsi="Arial" w:cs="Arial"/>
        </w:rPr>
      </w:pPr>
    </w:p>
    <w:p w:rsidR="00DE63C9" w:rsidRPr="00A05C62" w:rsidRDefault="00DE63C9" w:rsidP="00236EFD">
      <w:pPr>
        <w:jc w:val="both"/>
        <w:rPr>
          <w:rFonts w:ascii="Arial" w:hAnsi="Arial" w:cs="Arial"/>
        </w:rPr>
      </w:pPr>
    </w:p>
    <w:p w:rsidR="00DE63C9" w:rsidRPr="00A05C62" w:rsidRDefault="00DE63C9" w:rsidP="00236EFD">
      <w:pPr>
        <w:jc w:val="both"/>
        <w:rPr>
          <w:rFonts w:ascii="Arial" w:hAnsi="Arial" w:cs="Arial"/>
        </w:rPr>
      </w:pPr>
    </w:p>
    <w:p w:rsidR="00DE63C9" w:rsidRPr="00A05C62" w:rsidRDefault="00DE63C9" w:rsidP="00236EFD">
      <w:pPr>
        <w:jc w:val="both"/>
        <w:rPr>
          <w:rFonts w:ascii="Arial" w:hAnsi="Arial" w:cs="Arial"/>
        </w:rPr>
      </w:pPr>
    </w:p>
    <w:p w:rsidR="00DE63C9" w:rsidRPr="00A05C62" w:rsidRDefault="00DE63C9" w:rsidP="00236EFD">
      <w:pPr>
        <w:jc w:val="both"/>
        <w:rPr>
          <w:rFonts w:ascii="Arial" w:hAnsi="Arial" w:cs="Arial"/>
        </w:rPr>
      </w:pPr>
    </w:p>
    <w:p w:rsidR="00DE63C9" w:rsidRPr="00A05C62" w:rsidRDefault="00DE63C9" w:rsidP="00236EFD">
      <w:pPr>
        <w:jc w:val="both"/>
        <w:rPr>
          <w:rFonts w:ascii="Arial" w:hAnsi="Arial" w:cs="Arial"/>
        </w:rPr>
      </w:pPr>
    </w:p>
    <w:p w:rsidR="00DE63C9" w:rsidRPr="00A05C62" w:rsidRDefault="00DE63C9" w:rsidP="00236EFD">
      <w:pPr>
        <w:jc w:val="both"/>
        <w:rPr>
          <w:rFonts w:ascii="Arial" w:hAnsi="Arial" w:cs="Arial"/>
        </w:rPr>
      </w:pPr>
    </w:p>
    <w:p w:rsidR="00DE63C9" w:rsidRPr="00A05C62" w:rsidRDefault="00DE63C9" w:rsidP="00236EFD">
      <w:pPr>
        <w:jc w:val="both"/>
        <w:rPr>
          <w:rFonts w:ascii="Arial" w:hAnsi="Arial" w:cs="Arial"/>
        </w:rPr>
      </w:pPr>
    </w:p>
    <w:p w:rsidR="00DE63C9" w:rsidRPr="00A05C62" w:rsidRDefault="00DE63C9" w:rsidP="00236EFD">
      <w:pPr>
        <w:jc w:val="both"/>
        <w:rPr>
          <w:rFonts w:ascii="Arial" w:hAnsi="Arial" w:cs="Arial"/>
        </w:rPr>
      </w:pPr>
    </w:p>
    <w:p w:rsidR="0028188C" w:rsidRPr="00A05C62" w:rsidRDefault="007C096F" w:rsidP="0069133B">
      <w:pPr>
        <w:pStyle w:val="Heading1"/>
        <w:rPr>
          <w:rFonts w:ascii="Arial" w:hAnsi="Arial" w:cs="Arial"/>
        </w:rPr>
      </w:pPr>
      <w:bookmarkStart w:id="4" w:name="_Toc216651416"/>
      <w:r w:rsidRPr="00A05C62">
        <w:rPr>
          <w:rFonts w:ascii="Arial" w:hAnsi="Arial" w:cs="Arial"/>
        </w:rPr>
        <w:lastRenderedPageBreak/>
        <w:t>2. MULTINATIONAL CORPORATIONS AND NESTLÉ'S GLOBAL STATUS</w:t>
      </w:r>
      <w:bookmarkEnd w:id="4"/>
    </w:p>
    <w:p w:rsidR="0069133B" w:rsidRPr="00A05C62" w:rsidRDefault="0069133B" w:rsidP="0069133B">
      <w:pPr>
        <w:rPr>
          <w:rFonts w:ascii="Arial" w:hAnsi="Arial" w:cs="Arial"/>
        </w:rPr>
      </w:pPr>
    </w:p>
    <w:p w:rsidR="00E10E0F" w:rsidRPr="00A05C62" w:rsidRDefault="00E10E0F" w:rsidP="00E10E0F">
      <w:pPr>
        <w:pStyle w:val="Heading2"/>
        <w:rPr>
          <w:rFonts w:ascii="Arial" w:hAnsi="Arial" w:cs="Arial"/>
        </w:rPr>
      </w:pPr>
      <w:bookmarkStart w:id="5" w:name="_Toc216651417"/>
      <w:r w:rsidRPr="00A05C62">
        <w:rPr>
          <w:rFonts w:ascii="Arial" w:hAnsi="Arial" w:cs="Arial"/>
        </w:rPr>
        <w:t>Understanding MNCs and TNCs</w:t>
      </w:r>
      <w:bookmarkEnd w:id="5"/>
    </w:p>
    <w:p w:rsidR="00E10E0F" w:rsidRPr="000B35D1" w:rsidRDefault="00E10E0F" w:rsidP="00E10E0F">
      <w:pPr>
        <w:jc w:val="both"/>
        <w:rPr>
          <w:rFonts w:ascii="Arial" w:hAnsi="Arial" w:cs="Arial"/>
          <w:sz w:val="24"/>
        </w:rPr>
      </w:pPr>
      <w:r w:rsidRPr="000B35D1">
        <w:rPr>
          <w:rFonts w:ascii="Arial" w:hAnsi="Arial" w:cs="Arial"/>
          <w:sz w:val="24"/>
        </w:rPr>
        <w:t>A multinational corporation (MNC) or multinational enterprise (MNE) is a firm that owns or directly controls production or service activities in at least two countries, not just export relationships or licensing deals (Dunning, 1988). This means it runs assets such as factories, research centres and distribution networks abroad and keeps some level of ownership and management control over them (Dunning, 1988).</w:t>
      </w:r>
    </w:p>
    <w:p w:rsidR="00E10E0F" w:rsidRPr="000B35D1" w:rsidRDefault="00E10E0F" w:rsidP="00E10E0F">
      <w:pPr>
        <w:jc w:val="both"/>
        <w:rPr>
          <w:rFonts w:ascii="Arial" w:hAnsi="Arial" w:cs="Arial"/>
          <w:sz w:val="24"/>
        </w:rPr>
      </w:pPr>
      <w:r w:rsidRPr="000B35D1">
        <w:rPr>
          <w:rFonts w:ascii="Arial" w:hAnsi="Arial" w:cs="Arial"/>
          <w:sz w:val="24"/>
        </w:rPr>
        <w:t>Transnational corporations (TNCs) go further by integrating their operations and strategies across countries and often making decisions from several regional hubs instead of one home</w:t>
      </w:r>
      <w:r w:rsidRPr="000B35D1">
        <w:rPr>
          <w:rFonts w:ascii="Cambria Math" w:hAnsi="Cambria Math" w:cs="Cambria Math"/>
          <w:sz w:val="24"/>
        </w:rPr>
        <w:t>‑</w:t>
      </w:r>
      <w:r w:rsidRPr="000B35D1">
        <w:rPr>
          <w:rFonts w:ascii="Arial" w:hAnsi="Arial" w:cs="Arial"/>
          <w:sz w:val="24"/>
        </w:rPr>
        <w:t xml:space="preserve">country </w:t>
      </w:r>
      <w:r w:rsidR="00157932" w:rsidRPr="000B35D1">
        <w:rPr>
          <w:rFonts w:ascii="Arial" w:hAnsi="Arial" w:cs="Arial"/>
          <w:sz w:val="24"/>
        </w:rPr>
        <w:t>center</w:t>
      </w:r>
      <w:r w:rsidRPr="000B35D1">
        <w:rPr>
          <w:rFonts w:ascii="Arial" w:hAnsi="Arial" w:cs="Arial"/>
          <w:sz w:val="24"/>
        </w:rPr>
        <w:t xml:space="preserve"> (Perlmutter, 1969). They follow a ‘geocentric’ mindset, treating the world as one integrated market and trying to combine global efficiency with the ability to adapt to local needs, which researchers see as a key capability for modern multinational firms (Bartlett and Ghoshal, 1989).</w:t>
      </w:r>
    </w:p>
    <w:p w:rsidR="00E10E0F" w:rsidRPr="00A05C62" w:rsidRDefault="00E10E0F" w:rsidP="00E10E0F">
      <w:pPr>
        <w:pStyle w:val="Heading2"/>
        <w:rPr>
          <w:rFonts w:ascii="Arial" w:hAnsi="Arial" w:cs="Arial"/>
        </w:rPr>
      </w:pPr>
      <w:bookmarkStart w:id="6" w:name="_Toc216651418"/>
      <w:r w:rsidRPr="00A05C62">
        <w:rPr>
          <w:rFonts w:ascii="Arial" w:hAnsi="Arial" w:cs="Arial"/>
        </w:rPr>
        <w:t>How Nestlé is both an MNC and a TNC</w:t>
      </w:r>
      <w:bookmarkEnd w:id="6"/>
    </w:p>
    <w:p w:rsidR="00DD2110" w:rsidRPr="00DD2110" w:rsidRDefault="00DD2110" w:rsidP="00DD2110">
      <w:pPr>
        <w:jc w:val="both"/>
        <w:rPr>
          <w:rFonts w:ascii="Arial" w:hAnsi="Arial" w:cs="Arial"/>
          <w:sz w:val="24"/>
        </w:rPr>
      </w:pPr>
      <w:r w:rsidRPr="00DD2110">
        <w:rPr>
          <w:rFonts w:ascii="Arial" w:hAnsi="Arial" w:cs="Arial"/>
          <w:sz w:val="24"/>
        </w:rPr>
        <w:t>Nestlé is an MNC because it operates in over 185 countries and owns 337 factories across 75 of them, giving it direct control instead of depending mainly on exports or licenses (Nestle, 2024a). These factories are part of global supply chains but still focus on meeting loca</w:t>
      </w:r>
      <w:r w:rsidRPr="00DD2110">
        <w:rPr>
          <w:rFonts w:ascii="Arial" w:hAnsi="Arial" w:cs="Arial"/>
          <w:sz w:val="24"/>
        </w:rPr>
        <w:t>l market needs (Nestle, 2024a).</w:t>
      </w:r>
    </w:p>
    <w:p w:rsidR="00DD2110" w:rsidRPr="00DD2110" w:rsidRDefault="00DD2110" w:rsidP="00DD2110">
      <w:pPr>
        <w:jc w:val="both"/>
        <w:rPr>
          <w:rFonts w:ascii="Arial" w:hAnsi="Arial" w:cs="Arial"/>
          <w:sz w:val="24"/>
        </w:rPr>
      </w:pPr>
      <w:r w:rsidRPr="00DD2110">
        <w:rPr>
          <w:rFonts w:ascii="Arial" w:hAnsi="Arial" w:cs="Arial"/>
          <w:sz w:val="24"/>
        </w:rPr>
        <w:t>The company also works like a TNC by using locally managed subsidiaries. For example, Nestlé India, in which Nestlé S.A. holds a majority share, runs its own production, research, and distribution while following the parent company’s strategic direction (Nestle India Ltd., 2025). This setup helps local managers respond to local consumer prefere</w:t>
      </w:r>
      <w:r>
        <w:rPr>
          <w:rFonts w:ascii="Arial" w:hAnsi="Arial" w:cs="Arial"/>
          <w:sz w:val="24"/>
        </w:rPr>
        <w:t>nces (Nestle India Ltd., 2025).</w:t>
      </w:r>
    </w:p>
    <w:p w:rsidR="00A05C62" w:rsidRPr="009C59E9" w:rsidRDefault="009C59E9" w:rsidP="00236EFD">
      <w:pPr>
        <w:jc w:val="both"/>
        <w:rPr>
          <w:rFonts w:ascii="Arial" w:hAnsi="Arial" w:cs="Arial"/>
          <w:sz w:val="24"/>
        </w:rPr>
      </w:pPr>
      <w:r w:rsidRPr="009C59E9">
        <w:rPr>
          <w:rFonts w:ascii="Arial" w:hAnsi="Arial" w:cs="Arial"/>
          <w:sz w:val="24"/>
        </w:rPr>
        <w:t>Nestlé manages over 2,000 brands like KitKat, Nescafé, Maggi, and Purina that are sold worldwide but adapted to local tastes and regulations (Nestle, 2024a). For instance, Maggi noodles in India are spicier than those in Switzerland but still keep the same global identity (Nestle, 2024a). The company spends about CHF 1.7 billion each year on R&amp;D through 22 global centers, where international teams work on core innovations while local centers design products that match local diets and needs (Nestle, 2024a). Nestlé also oversees its entire value chain—from sourcing to delivery—to ensure quality and sustainability (Nestle, 2024a). In India, its dairy programme helps farmers improve milk quality and maintain reliable supply (Nestle India Ltd., 2025). Operating in many countries, Nestlé follows different food laws and labeling rules while upholding consistent global standards, showing its strong multinational and transna</w:t>
      </w:r>
      <w:r>
        <w:rPr>
          <w:rFonts w:ascii="Arial" w:hAnsi="Arial" w:cs="Arial"/>
          <w:sz w:val="24"/>
        </w:rPr>
        <w:t>tional approach (Nestle, 2024b).</w:t>
      </w:r>
    </w:p>
    <w:p w:rsidR="0069133B" w:rsidRPr="00A05C62" w:rsidRDefault="007C096F" w:rsidP="0069133B">
      <w:pPr>
        <w:pStyle w:val="Heading1"/>
        <w:rPr>
          <w:rFonts w:ascii="Arial" w:hAnsi="Arial" w:cs="Arial"/>
        </w:rPr>
      </w:pPr>
      <w:bookmarkStart w:id="7" w:name="_Toc216651419"/>
      <w:r w:rsidRPr="00A05C62">
        <w:rPr>
          <w:rFonts w:ascii="Arial" w:hAnsi="Arial" w:cs="Arial"/>
        </w:rPr>
        <w:lastRenderedPageBreak/>
        <w:t>3. NESTLÉ'S GLOBAL VALUE CHAIN</w:t>
      </w:r>
      <w:bookmarkEnd w:id="7"/>
    </w:p>
    <w:p w:rsidR="00A05C62" w:rsidRPr="00BD39D1" w:rsidRDefault="00A05C62" w:rsidP="00A05C62">
      <w:pPr>
        <w:rPr>
          <w:rFonts w:ascii="Arial" w:hAnsi="Arial" w:cs="Arial"/>
          <w:sz w:val="24"/>
        </w:rPr>
      </w:pPr>
    </w:p>
    <w:p w:rsidR="00A05C62" w:rsidRPr="00BD39D1" w:rsidRDefault="00A05C62" w:rsidP="00A05C62">
      <w:pPr>
        <w:jc w:val="both"/>
        <w:rPr>
          <w:rFonts w:ascii="Arial" w:hAnsi="Arial" w:cs="Arial"/>
          <w:sz w:val="24"/>
        </w:rPr>
      </w:pPr>
      <w:r w:rsidRPr="00BD39D1">
        <w:rPr>
          <w:rFonts w:ascii="Arial" w:hAnsi="Arial" w:cs="Arial"/>
          <w:sz w:val="24"/>
        </w:rPr>
        <w:t>A value chain is the set of linked activities a business carries out to turn inputs into products and services that customers find valuable, starting from raw materials and ending with delivery and after</w:t>
      </w:r>
      <w:r w:rsidRPr="00BD39D1">
        <w:rPr>
          <w:rFonts w:ascii="Cambria Math" w:hAnsi="Cambria Math" w:cs="Cambria Math"/>
          <w:sz w:val="24"/>
        </w:rPr>
        <w:t>‑</w:t>
      </w:r>
      <w:r w:rsidRPr="00BD39D1">
        <w:rPr>
          <w:rFonts w:ascii="Arial" w:hAnsi="Arial" w:cs="Arial"/>
          <w:sz w:val="24"/>
        </w:rPr>
        <w:t>sales support (Porter, 1985). In this framework, primary activities are those directly involved in making and delivering the product, while support activities provide the systems, resources and infrastructure that help those primary activities run well (Porter, 1985). Using the value chain idea helps firms see where value is added, where processes are weak and where they can improve or stand out from competitors (Porter, 1985). By examining each stage, managers can identify cost savings, quality improvements or opportunities to differentiate their offerings.</w:t>
      </w:r>
    </w:p>
    <w:p w:rsidR="0073424C" w:rsidRPr="00BD39D1" w:rsidRDefault="00A05C62" w:rsidP="00BD39D1">
      <w:pPr>
        <w:jc w:val="both"/>
        <w:rPr>
          <w:rFonts w:ascii="Arial" w:hAnsi="Arial" w:cs="Arial"/>
          <w:sz w:val="24"/>
        </w:rPr>
      </w:pPr>
      <w:r w:rsidRPr="00BD39D1">
        <w:rPr>
          <w:rFonts w:ascii="Arial" w:hAnsi="Arial" w:cs="Arial"/>
          <w:sz w:val="24"/>
        </w:rPr>
        <w:t>For multinational companies, the value chain is spread across many countries rather than being located in just one place (Gereffi et al., 2005). Different stages such as R&amp;D, sourcing, manufacturing, assembly and distribution are placed in locations that offer specific advantages, such as cheaper labor, better access to raw materials, specialist skills or closeness to key markets (Gereffi et al., 2005). Managing these global value chains effectively has become a major source of competitive advantage in international business (Ponte and Sturgeon, 2014). When done well, it allows firms to combine cost efficiency with the flexibility to serve very different customer needs across regions and continents (Ponte and Sturgeon, 2014).</w:t>
      </w:r>
    </w:p>
    <w:p w:rsidR="00A05C62" w:rsidRDefault="007C096F" w:rsidP="0073424C">
      <w:pPr>
        <w:pStyle w:val="Heading2"/>
        <w:rPr>
          <w:rFonts w:ascii="Arial" w:hAnsi="Arial" w:cs="Arial"/>
        </w:rPr>
      </w:pPr>
      <w:bookmarkStart w:id="8" w:name="_Toc216651420"/>
      <w:r w:rsidRPr="00A05C62">
        <w:rPr>
          <w:rFonts w:ascii="Arial" w:hAnsi="Arial" w:cs="Arial"/>
        </w:rPr>
        <w:t>Nestlé's Seven Value Chain Components</w:t>
      </w:r>
      <w:bookmarkEnd w:id="8"/>
    </w:p>
    <w:p w:rsidR="0073424C" w:rsidRPr="0073424C" w:rsidRDefault="0073424C" w:rsidP="0073424C">
      <w:pPr>
        <w:rPr>
          <w:rFonts w:ascii="Arial" w:hAnsi="Arial" w:cs="Arial"/>
          <w:sz w:val="24"/>
          <w:szCs w:val="24"/>
        </w:rPr>
      </w:pPr>
      <w:r w:rsidRPr="0073424C">
        <w:rPr>
          <w:rFonts w:ascii="Arial" w:hAnsi="Arial" w:cs="Arial"/>
          <w:sz w:val="24"/>
          <w:szCs w:val="24"/>
        </w:rPr>
        <w:t>Nestlé’s competitive strength comes from how effectively it coordinates seven linked activities across its global value chain:</w:t>
      </w:r>
    </w:p>
    <w:p w:rsidR="00A05C62" w:rsidRPr="0073424C" w:rsidRDefault="00A05C62" w:rsidP="00A05C62">
      <w:pPr>
        <w:jc w:val="both"/>
        <w:rPr>
          <w:rFonts w:ascii="Arial" w:hAnsi="Arial" w:cs="Arial"/>
          <w:b/>
          <w:sz w:val="24"/>
          <w:szCs w:val="24"/>
        </w:rPr>
      </w:pPr>
      <w:r w:rsidRPr="0073424C">
        <w:rPr>
          <w:rFonts w:ascii="Arial" w:hAnsi="Arial" w:cs="Arial"/>
          <w:b/>
          <w:sz w:val="24"/>
          <w:szCs w:val="24"/>
        </w:rPr>
        <w:t>Research and innovation</w:t>
      </w:r>
    </w:p>
    <w:p w:rsidR="00A05C62" w:rsidRPr="0073424C" w:rsidRDefault="00A05C62" w:rsidP="00A05C62">
      <w:pPr>
        <w:jc w:val="both"/>
        <w:rPr>
          <w:rFonts w:ascii="Arial" w:hAnsi="Arial" w:cs="Arial"/>
          <w:sz w:val="24"/>
          <w:szCs w:val="24"/>
        </w:rPr>
      </w:pPr>
      <w:r w:rsidRPr="0073424C">
        <w:rPr>
          <w:rFonts w:ascii="Arial" w:hAnsi="Arial" w:cs="Arial"/>
          <w:sz w:val="24"/>
          <w:szCs w:val="24"/>
        </w:rPr>
        <w:t>Nestlé invests about CHF 1.7 billion a year in R&amp;D across 22 centres, mixing global technology development with local product tweaks (Nestle, 2024a). Global teams work on new processes, nutrition science, farming solutions and digital tools, while regional centres adapt recipes to local tastes and dietary needs (Nestle, 2024a).</w:t>
      </w:r>
    </w:p>
    <w:p w:rsidR="00A05C62" w:rsidRPr="0073424C" w:rsidRDefault="00A05C62" w:rsidP="00A05C62">
      <w:pPr>
        <w:jc w:val="both"/>
        <w:rPr>
          <w:rFonts w:ascii="Arial" w:hAnsi="Arial" w:cs="Arial"/>
          <w:b/>
          <w:sz w:val="24"/>
          <w:szCs w:val="24"/>
        </w:rPr>
      </w:pPr>
      <w:r w:rsidRPr="0073424C">
        <w:rPr>
          <w:rFonts w:ascii="Arial" w:hAnsi="Arial" w:cs="Arial"/>
          <w:b/>
          <w:sz w:val="24"/>
          <w:szCs w:val="24"/>
        </w:rPr>
        <w:t>Raw materials sourcing</w:t>
      </w:r>
    </w:p>
    <w:p w:rsidR="00A05C62" w:rsidRPr="0073424C" w:rsidRDefault="00A05C62" w:rsidP="00A05C62">
      <w:pPr>
        <w:jc w:val="both"/>
        <w:rPr>
          <w:rFonts w:ascii="Arial" w:hAnsi="Arial" w:cs="Arial"/>
          <w:sz w:val="24"/>
          <w:szCs w:val="24"/>
        </w:rPr>
      </w:pPr>
      <w:r w:rsidRPr="0073424C">
        <w:rPr>
          <w:rFonts w:ascii="Arial" w:hAnsi="Arial" w:cs="Arial"/>
          <w:sz w:val="24"/>
          <w:szCs w:val="24"/>
        </w:rPr>
        <w:t>The company manages cost, reliability, quality and sustainability by working directly with suppliers (Nestle India Ltd., 2025). In India, it supports tens of thousands of dairy farmers with training, quality improvements and stable pricing, which secures good</w:t>
      </w:r>
      <w:r w:rsidRPr="0073424C">
        <w:rPr>
          <w:rFonts w:ascii="Cambria Math" w:hAnsi="Cambria Math" w:cs="Cambria Math"/>
          <w:sz w:val="24"/>
          <w:szCs w:val="24"/>
        </w:rPr>
        <w:t>‑</w:t>
      </w:r>
      <w:r w:rsidRPr="0073424C">
        <w:rPr>
          <w:rFonts w:ascii="Arial" w:hAnsi="Arial" w:cs="Arial"/>
          <w:sz w:val="24"/>
          <w:szCs w:val="24"/>
        </w:rPr>
        <w:t>quality milk and supports rural incomes (Nestle India Ltd., 2025).</w:t>
      </w:r>
    </w:p>
    <w:p w:rsidR="0073424C" w:rsidRDefault="0073424C" w:rsidP="00A05C62">
      <w:pPr>
        <w:jc w:val="both"/>
        <w:rPr>
          <w:rFonts w:ascii="Arial" w:hAnsi="Arial" w:cs="Arial"/>
          <w:b/>
          <w:sz w:val="24"/>
          <w:szCs w:val="24"/>
        </w:rPr>
      </w:pPr>
    </w:p>
    <w:p w:rsidR="0073424C" w:rsidRDefault="0073424C" w:rsidP="00A05C62">
      <w:pPr>
        <w:jc w:val="both"/>
        <w:rPr>
          <w:rFonts w:ascii="Arial" w:hAnsi="Arial" w:cs="Arial"/>
          <w:b/>
          <w:sz w:val="24"/>
          <w:szCs w:val="24"/>
        </w:rPr>
      </w:pPr>
    </w:p>
    <w:p w:rsidR="00A05C62" w:rsidRPr="0073424C" w:rsidRDefault="00A05C62" w:rsidP="00A05C62">
      <w:pPr>
        <w:jc w:val="both"/>
        <w:rPr>
          <w:rFonts w:ascii="Arial" w:hAnsi="Arial" w:cs="Arial"/>
          <w:b/>
          <w:sz w:val="24"/>
          <w:szCs w:val="24"/>
        </w:rPr>
      </w:pPr>
      <w:r w:rsidRPr="0073424C">
        <w:rPr>
          <w:rFonts w:ascii="Arial" w:hAnsi="Arial" w:cs="Arial"/>
          <w:b/>
          <w:sz w:val="24"/>
          <w:szCs w:val="24"/>
        </w:rPr>
        <w:lastRenderedPageBreak/>
        <w:t>Manufacturing</w:t>
      </w:r>
    </w:p>
    <w:p w:rsidR="00A05C62" w:rsidRPr="0073424C" w:rsidRDefault="00A05C62" w:rsidP="00A05C62">
      <w:pPr>
        <w:jc w:val="both"/>
        <w:rPr>
          <w:rFonts w:ascii="Arial" w:hAnsi="Arial" w:cs="Arial"/>
          <w:sz w:val="24"/>
          <w:szCs w:val="24"/>
        </w:rPr>
      </w:pPr>
      <w:r w:rsidRPr="0073424C">
        <w:rPr>
          <w:rFonts w:ascii="Arial" w:hAnsi="Arial" w:cs="Arial"/>
          <w:sz w:val="24"/>
          <w:szCs w:val="24"/>
        </w:rPr>
        <w:t>Nestlé’s factories are set up around the world for specific product lines and local demand patterns (Nestle India Ltd., 2025). In India, plants produce Maggi, Nescafé, dairy, confectionery and nutrition items while using energy</w:t>
      </w:r>
      <w:r w:rsidRPr="0073424C">
        <w:rPr>
          <w:rFonts w:ascii="Cambria Math" w:hAnsi="Cambria Math" w:cs="Cambria Math"/>
          <w:sz w:val="24"/>
          <w:szCs w:val="24"/>
        </w:rPr>
        <w:t>‑</w:t>
      </w:r>
      <w:r w:rsidRPr="0073424C">
        <w:rPr>
          <w:rFonts w:ascii="Arial" w:hAnsi="Arial" w:cs="Arial"/>
          <w:sz w:val="24"/>
          <w:szCs w:val="24"/>
        </w:rPr>
        <w:t xml:space="preserve"> and water</w:t>
      </w:r>
      <w:r w:rsidRPr="0073424C">
        <w:rPr>
          <w:rFonts w:ascii="Cambria Math" w:hAnsi="Cambria Math" w:cs="Cambria Math"/>
          <w:sz w:val="24"/>
          <w:szCs w:val="24"/>
        </w:rPr>
        <w:t>‑</w:t>
      </w:r>
      <w:r w:rsidRPr="0073424C">
        <w:rPr>
          <w:rFonts w:ascii="Arial" w:hAnsi="Arial" w:cs="Arial"/>
          <w:sz w:val="24"/>
          <w:szCs w:val="24"/>
        </w:rPr>
        <w:t>saving technologies, more sustainable packaging and digital tools like automated warehouses (Nestle India Ltd., 2025).</w:t>
      </w:r>
    </w:p>
    <w:p w:rsidR="00A05C62" w:rsidRPr="0073424C" w:rsidRDefault="00A05C62" w:rsidP="00A05C62">
      <w:pPr>
        <w:jc w:val="both"/>
        <w:rPr>
          <w:rFonts w:ascii="Arial" w:hAnsi="Arial" w:cs="Arial"/>
          <w:b/>
          <w:sz w:val="24"/>
          <w:szCs w:val="24"/>
        </w:rPr>
      </w:pPr>
      <w:r w:rsidRPr="0073424C">
        <w:rPr>
          <w:rFonts w:ascii="Arial" w:hAnsi="Arial" w:cs="Arial"/>
          <w:b/>
          <w:sz w:val="24"/>
          <w:szCs w:val="24"/>
        </w:rPr>
        <w:t>Logistics and distribution</w:t>
      </w:r>
    </w:p>
    <w:p w:rsidR="00A05C62" w:rsidRPr="0073424C" w:rsidRDefault="00A05C62" w:rsidP="00A05C62">
      <w:pPr>
        <w:jc w:val="both"/>
        <w:rPr>
          <w:rFonts w:ascii="Arial" w:hAnsi="Arial" w:cs="Arial"/>
          <w:sz w:val="24"/>
          <w:szCs w:val="24"/>
        </w:rPr>
      </w:pPr>
      <w:r w:rsidRPr="0073424C">
        <w:rPr>
          <w:rFonts w:ascii="Arial" w:hAnsi="Arial" w:cs="Arial"/>
          <w:sz w:val="24"/>
          <w:szCs w:val="24"/>
        </w:rPr>
        <w:t>The firm tailors its distribution to each market’s retail system (Nestle India Ltd., 2025). In developed countries it mainly supplies supermarkets, while in India it serves small shops, wholesalers and fast</w:t>
      </w:r>
      <w:r w:rsidRPr="0073424C">
        <w:rPr>
          <w:rFonts w:ascii="Cambria Math" w:hAnsi="Cambria Math" w:cs="Cambria Math"/>
          <w:sz w:val="24"/>
          <w:szCs w:val="24"/>
        </w:rPr>
        <w:t>‑</w:t>
      </w:r>
      <w:r w:rsidRPr="0073424C">
        <w:rPr>
          <w:rFonts w:ascii="Arial" w:hAnsi="Arial" w:cs="Arial"/>
          <w:sz w:val="24"/>
          <w:szCs w:val="24"/>
        </w:rPr>
        <w:t>growing e</w:t>
      </w:r>
      <w:r w:rsidRPr="0073424C">
        <w:rPr>
          <w:rFonts w:ascii="Cambria Math" w:hAnsi="Cambria Math" w:cs="Cambria Math"/>
          <w:sz w:val="24"/>
          <w:szCs w:val="24"/>
        </w:rPr>
        <w:t>‑</w:t>
      </w:r>
      <w:r w:rsidRPr="0073424C">
        <w:rPr>
          <w:rFonts w:ascii="Arial" w:hAnsi="Arial" w:cs="Arial"/>
          <w:sz w:val="24"/>
          <w:szCs w:val="24"/>
        </w:rPr>
        <w:t xml:space="preserve">commerce channels via regional distributors and increasingly digital, </w:t>
      </w:r>
      <w:r w:rsidR="0073424C" w:rsidRPr="0073424C">
        <w:rPr>
          <w:rFonts w:ascii="Arial" w:hAnsi="Arial" w:cs="Arial"/>
          <w:sz w:val="24"/>
          <w:szCs w:val="24"/>
        </w:rPr>
        <w:t>optimized</w:t>
      </w:r>
      <w:r w:rsidRPr="0073424C">
        <w:rPr>
          <w:rFonts w:ascii="Arial" w:hAnsi="Arial" w:cs="Arial"/>
          <w:sz w:val="24"/>
          <w:szCs w:val="24"/>
        </w:rPr>
        <w:t xml:space="preserve"> warehousing (Nestle India Ltd., 2025).</w:t>
      </w:r>
    </w:p>
    <w:p w:rsidR="00A05C62" w:rsidRPr="0073424C" w:rsidRDefault="00A05C62" w:rsidP="00A05C62">
      <w:pPr>
        <w:jc w:val="both"/>
        <w:rPr>
          <w:rFonts w:ascii="Arial" w:hAnsi="Arial" w:cs="Arial"/>
          <w:b/>
          <w:sz w:val="24"/>
          <w:szCs w:val="24"/>
        </w:rPr>
      </w:pPr>
      <w:r w:rsidRPr="0073424C">
        <w:rPr>
          <w:rFonts w:ascii="Arial" w:hAnsi="Arial" w:cs="Arial"/>
          <w:b/>
          <w:sz w:val="24"/>
          <w:szCs w:val="24"/>
        </w:rPr>
        <w:t>Marketing and branding</w:t>
      </w:r>
    </w:p>
    <w:p w:rsidR="00A05C62" w:rsidRPr="0073424C" w:rsidRDefault="00A05C62" w:rsidP="00A05C62">
      <w:pPr>
        <w:jc w:val="both"/>
        <w:rPr>
          <w:rFonts w:ascii="Arial" w:hAnsi="Arial" w:cs="Arial"/>
          <w:sz w:val="24"/>
          <w:szCs w:val="24"/>
        </w:rPr>
      </w:pPr>
      <w:r w:rsidRPr="0073424C">
        <w:rPr>
          <w:rFonts w:ascii="Arial" w:hAnsi="Arial" w:cs="Arial"/>
          <w:sz w:val="24"/>
          <w:szCs w:val="24"/>
        </w:rPr>
        <w:t>Local marketing teams use local languages and cultural insight to design campaigns that fit each market. Their work covers advertising, digital content, online sales, consumer research and long</w:t>
      </w:r>
      <w:r w:rsidRPr="0073424C">
        <w:rPr>
          <w:rFonts w:ascii="Cambria Math" w:hAnsi="Cambria Math" w:cs="Cambria Math"/>
          <w:sz w:val="24"/>
          <w:szCs w:val="24"/>
        </w:rPr>
        <w:t>‑</w:t>
      </w:r>
      <w:r w:rsidRPr="0073424C">
        <w:rPr>
          <w:rFonts w:ascii="Arial" w:hAnsi="Arial" w:cs="Arial"/>
          <w:sz w:val="24"/>
          <w:szCs w:val="24"/>
        </w:rPr>
        <w:t>term brand building rather than one</w:t>
      </w:r>
      <w:r w:rsidRPr="0073424C">
        <w:rPr>
          <w:rFonts w:ascii="Cambria Math" w:hAnsi="Cambria Math" w:cs="Cambria Math"/>
          <w:sz w:val="24"/>
          <w:szCs w:val="24"/>
        </w:rPr>
        <w:t>‑</w:t>
      </w:r>
      <w:r w:rsidRPr="0073424C">
        <w:rPr>
          <w:rFonts w:ascii="Arial" w:hAnsi="Arial" w:cs="Arial"/>
          <w:sz w:val="24"/>
          <w:szCs w:val="24"/>
        </w:rPr>
        <w:t>off promotions.</w:t>
      </w:r>
    </w:p>
    <w:p w:rsidR="00A05C62" w:rsidRPr="0073424C" w:rsidRDefault="00A05C62" w:rsidP="00A05C62">
      <w:pPr>
        <w:jc w:val="both"/>
        <w:rPr>
          <w:rFonts w:ascii="Arial" w:hAnsi="Arial" w:cs="Arial"/>
          <w:b/>
          <w:sz w:val="24"/>
          <w:szCs w:val="24"/>
        </w:rPr>
      </w:pPr>
      <w:r w:rsidRPr="0073424C">
        <w:rPr>
          <w:rFonts w:ascii="Arial" w:hAnsi="Arial" w:cs="Arial"/>
          <w:b/>
          <w:sz w:val="24"/>
          <w:szCs w:val="24"/>
        </w:rPr>
        <w:t>Financial management</w:t>
      </w:r>
    </w:p>
    <w:p w:rsidR="00A05C62" w:rsidRPr="0073424C" w:rsidRDefault="00A05C62" w:rsidP="00A05C62">
      <w:pPr>
        <w:jc w:val="both"/>
        <w:rPr>
          <w:rFonts w:ascii="Arial" w:hAnsi="Arial" w:cs="Arial"/>
          <w:sz w:val="24"/>
          <w:szCs w:val="24"/>
        </w:rPr>
      </w:pPr>
      <w:r w:rsidRPr="0073424C">
        <w:rPr>
          <w:rFonts w:ascii="Arial" w:hAnsi="Arial" w:cs="Arial"/>
          <w:sz w:val="24"/>
          <w:szCs w:val="24"/>
        </w:rPr>
        <w:t>Running in many countries requires tight financial control over different currencies, tax systems and regulations (Nestle, 2024b). Strong and diversified cash flows help Nestlé keep investing in innovation, high</w:t>
      </w:r>
      <w:r w:rsidRPr="0073424C">
        <w:rPr>
          <w:rFonts w:ascii="Cambria Math" w:hAnsi="Cambria Math" w:cs="Cambria Math"/>
          <w:sz w:val="24"/>
          <w:szCs w:val="24"/>
        </w:rPr>
        <w:t>‑</w:t>
      </w:r>
      <w:r w:rsidRPr="0073424C">
        <w:rPr>
          <w:rFonts w:ascii="Arial" w:hAnsi="Arial" w:cs="Arial"/>
          <w:sz w:val="24"/>
          <w:szCs w:val="24"/>
        </w:rPr>
        <w:t>growth markets and long</w:t>
      </w:r>
      <w:r w:rsidRPr="0073424C">
        <w:rPr>
          <w:rFonts w:ascii="Cambria Math" w:hAnsi="Cambria Math" w:cs="Cambria Math"/>
          <w:sz w:val="24"/>
          <w:szCs w:val="24"/>
        </w:rPr>
        <w:t>‑</w:t>
      </w:r>
      <w:r w:rsidRPr="0073424C">
        <w:rPr>
          <w:rFonts w:ascii="Arial" w:hAnsi="Arial" w:cs="Arial"/>
          <w:sz w:val="24"/>
          <w:szCs w:val="24"/>
        </w:rPr>
        <w:t>term sustainability projects (Nestle, 2024b).</w:t>
      </w:r>
    </w:p>
    <w:p w:rsidR="00A05C62" w:rsidRPr="0073424C" w:rsidRDefault="00A05C62" w:rsidP="00A05C62">
      <w:pPr>
        <w:jc w:val="both"/>
        <w:rPr>
          <w:rFonts w:ascii="Arial" w:hAnsi="Arial" w:cs="Arial"/>
          <w:b/>
          <w:sz w:val="24"/>
          <w:szCs w:val="24"/>
        </w:rPr>
      </w:pPr>
      <w:r w:rsidRPr="0073424C">
        <w:rPr>
          <w:rFonts w:ascii="Arial" w:hAnsi="Arial" w:cs="Arial"/>
          <w:b/>
          <w:sz w:val="24"/>
          <w:szCs w:val="24"/>
        </w:rPr>
        <w:t>Sustainability and quality</w:t>
      </w:r>
    </w:p>
    <w:p w:rsidR="0028188C" w:rsidRPr="0073424C" w:rsidRDefault="00A05C62" w:rsidP="00A05C62">
      <w:pPr>
        <w:jc w:val="both"/>
        <w:rPr>
          <w:rFonts w:ascii="Arial" w:hAnsi="Arial" w:cs="Arial"/>
          <w:sz w:val="24"/>
          <w:szCs w:val="24"/>
        </w:rPr>
      </w:pPr>
      <w:r w:rsidRPr="0073424C">
        <w:rPr>
          <w:rFonts w:ascii="Arial" w:hAnsi="Arial" w:cs="Arial"/>
          <w:sz w:val="24"/>
          <w:szCs w:val="24"/>
        </w:rPr>
        <w:t>Sustainability is built into each stage of the value chain, with a goal of net</w:t>
      </w:r>
      <w:r w:rsidRPr="0073424C">
        <w:rPr>
          <w:rFonts w:ascii="Cambria Math" w:hAnsi="Cambria Math" w:cs="Cambria Math"/>
          <w:sz w:val="24"/>
          <w:szCs w:val="24"/>
        </w:rPr>
        <w:t>‑</w:t>
      </w:r>
      <w:r w:rsidRPr="0073424C">
        <w:rPr>
          <w:rFonts w:ascii="Arial" w:hAnsi="Arial" w:cs="Arial"/>
          <w:sz w:val="24"/>
          <w:szCs w:val="24"/>
        </w:rPr>
        <w:t>zero emissions by 2050 and nearer</w:t>
      </w:r>
      <w:r w:rsidRPr="0073424C">
        <w:rPr>
          <w:rFonts w:ascii="Cambria Math" w:hAnsi="Cambria Math" w:cs="Cambria Math"/>
          <w:sz w:val="24"/>
          <w:szCs w:val="24"/>
        </w:rPr>
        <w:t>‑</w:t>
      </w:r>
      <w:r w:rsidRPr="0073424C">
        <w:rPr>
          <w:rFonts w:ascii="Arial" w:hAnsi="Arial" w:cs="Arial"/>
          <w:sz w:val="24"/>
          <w:szCs w:val="24"/>
        </w:rPr>
        <w:t>term milestones for 2025 and 2030 (Nestle, 2024b). Actions include responsible sourcing, cutting water use and waste in factories, improving packaging and funding local community initiatives (Nestle, 2024b; Nestle India Ltd., 2025).</w:t>
      </w:r>
    </w:p>
    <w:p w:rsidR="00DB0E2B" w:rsidRPr="00A05C62" w:rsidRDefault="00DB0E2B" w:rsidP="00236EFD">
      <w:pPr>
        <w:jc w:val="both"/>
        <w:rPr>
          <w:rFonts w:ascii="Arial" w:hAnsi="Arial" w:cs="Arial"/>
          <w:b/>
          <w:sz w:val="24"/>
        </w:rPr>
      </w:pPr>
    </w:p>
    <w:p w:rsidR="00DB0E2B" w:rsidRPr="00A05C62" w:rsidRDefault="00DB0E2B" w:rsidP="00236EFD">
      <w:pPr>
        <w:jc w:val="both"/>
        <w:rPr>
          <w:rFonts w:ascii="Arial" w:hAnsi="Arial" w:cs="Arial"/>
          <w:b/>
          <w:sz w:val="24"/>
        </w:rPr>
      </w:pPr>
    </w:p>
    <w:p w:rsidR="00DB0E2B" w:rsidRPr="00A05C62" w:rsidRDefault="00DB0E2B" w:rsidP="00236EFD">
      <w:pPr>
        <w:jc w:val="both"/>
        <w:rPr>
          <w:rFonts w:ascii="Arial" w:hAnsi="Arial" w:cs="Arial"/>
          <w:b/>
          <w:sz w:val="24"/>
        </w:rPr>
      </w:pPr>
    </w:p>
    <w:p w:rsidR="00DB0E2B" w:rsidRDefault="00DB0E2B" w:rsidP="00236EFD">
      <w:pPr>
        <w:jc w:val="both"/>
        <w:rPr>
          <w:rFonts w:ascii="Arial" w:hAnsi="Arial" w:cs="Arial"/>
          <w:b/>
          <w:sz w:val="24"/>
        </w:rPr>
      </w:pPr>
    </w:p>
    <w:p w:rsidR="00A05C62" w:rsidRPr="00A05C62" w:rsidRDefault="00A05C62" w:rsidP="00236EFD">
      <w:pPr>
        <w:jc w:val="both"/>
        <w:rPr>
          <w:rFonts w:ascii="Arial" w:hAnsi="Arial" w:cs="Arial"/>
          <w:b/>
          <w:sz w:val="24"/>
        </w:rPr>
      </w:pPr>
    </w:p>
    <w:p w:rsidR="0028188C" w:rsidRPr="00A05C62" w:rsidRDefault="007C096F" w:rsidP="0069133B">
      <w:pPr>
        <w:pStyle w:val="Heading1"/>
        <w:rPr>
          <w:rFonts w:ascii="Arial" w:hAnsi="Arial" w:cs="Arial"/>
        </w:rPr>
      </w:pPr>
      <w:bookmarkStart w:id="9" w:name="_Toc216651421"/>
      <w:r w:rsidRPr="00A05C62">
        <w:rPr>
          <w:rFonts w:ascii="Arial" w:hAnsi="Arial" w:cs="Arial"/>
        </w:rPr>
        <w:lastRenderedPageBreak/>
        <w:t>4. INTERNATIONAL ENTRY MODES AND MARKET STRATEGIES</w:t>
      </w:r>
      <w:bookmarkEnd w:id="9"/>
    </w:p>
    <w:p w:rsidR="0069133B" w:rsidRPr="00A05C62" w:rsidRDefault="0069133B" w:rsidP="0069133B">
      <w:pPr>
        <w:rPr>
          <w:rFonts w:ascii="Arial" w:hAnsi="Arial" w:cs="Arial"/>
        </w:rPr>
      </w:pPr>
    </w:p>
    <w:p w:rsidR="0028188C" w:rsidRPr="00A05C62" w:rsidRDefault="007C096F" w:rsidP="0069133B">
      <w:pPr>
        <w:pStyle w:val="Heading2"/>
        <w:rPr>
          <w:rFonts w:ascii="Arial" w:hAnsi="Arial" w:cs="Arial"/>
        </w:rPr>
      </w:pPr>
      <w:bookmarkStart w:id="10" w:name="_Toc216651422"/>
      <w:r w:rsidRPr="00A05C62">
        <w:rPr>
          <w:rFonts w:ascii="Arial" w:hAnsi="Arial" w:cs="Arial"/>
        </w:rPr>
        <w:t>How Nestlé Enters International Markets</w:t>
      </w:r>
      <w:bookmarkEnd w:id="10"/>
    </w:p>
    <w:p w:rsidR="00E75D28" w:rsidRPr="0073424C" w:rsidRDefault="007C096F" w:rsidP="00236EFD">
      <w:pPr>
        <w:jc w:val="both"/>
        <w:rPr>
          <w:rFonts w:ascii="Arial" w:hAnsi="Arial" w:cs="Arial"/>
          <w:sz w:val="24"/>
          <w:szCs w:val="24"/>
        </w:rPr>
      </w:pPr>
      <w:r w:rsidRPr="0073424C">
        <w:rPr>
          <w:rFonts w:ascii="Arial" w:hAnsi="Arial" w:cs="Arial"/>
          <w:sz w:val="24"/>
          <w:szCs w:val="24"/>
        </w:rPr>
        <w:t>Nestlé employs multiple entry strategies, deliberately selecting different approaches for different markets and circumstances. This portfolio approach to international market entry reflects sophisticated understanding that different markets, industries, and company capabilities require differentiated entry strategies based on market conditions, competitive situations, and strategic objectives.</w:t>
      </w:r>
    </w:p>
    <w:p w:rsidR="0028188C" w:rsidRPr="0073424C" w:rsidRDefault="007C096F" w:rsidP="00236EFD">
      <w:pPr>
        <w:jc w:val="both"/>
        <w:rPr>
          <w:rFonts w:ascii="Arial" w:hAnsi="Arial" w:cs="Arial"/>
          <w:sz w:val="24"/>
          <w:szCs w:val="24"/>
        </w:rPr>
      </w:pPr>
      <w:r w:rsidRPr="0073424C">
        <w:rPr>
          <w:rFonts w:ascii="Arial" w:hAnsi="Arial" w:cs="Arial"/>
          <w:b/>
          <w:sz w:val="24"/>
          <w:szCs w:val="24"/>
        </w:rPr>
        <w:t xml:space="preserve">Wholly owned subsidiaries: </w:t>
      </w:r>
      <w:r w:rsidRPr="0073424C">
        <w:rPr>
          <w:rFonts w:ascii="Arial" w:hAnsi="Arial" w:cs="Arial"/>
          <w:sz w:val="24"/>
          <w:szCs w:val="24"/>
        </w:rPr>
        <w:t xml:space="preserve">Nestlé's dominant approach for large, strategically important markets involves establishing or acquiring companies while maintaining majority control. This approach enables complete control over quality, brand representation, intellectual property, supply chain integrity, and sustainability standards implementation. However, it requires substantial capital investment and exposes Nestlé to greater operational risks in foreign markets (Nestle, 2024a). Nestlé India </w:t>
      </w:r>
      <w:r w:rsidR="0027579C" w:rsidRPr="0073424C">
        <w:rPr>
          <w:rFonts w:ascii="Arial" w:hAnsi="Arial" w:cs="Arial"/>
          <w:sz w:val="24"/>
          <w:szCs w:val="24"/>
        </w:rPr>
        <w:t>exemplifies</w:t>
      </w:r>
      <w:r w:rsidRPr="0073424C">
        <w:rPr>
          <w:rFonts w:ascii="Arial" w:hAnsi="Arial" w:cs="Arial"/>
          <w:sz w:val="24"/>
          <w:szCs w:val="24"/>
        </w:rPr>
        <w:t xml:space="preserve"> this mode. Operating as a publicly listed subsidiary with Nestlé S.A. holding majority ownership, the company controls manufacturing facilities, research operations, and distribution networks, enabling consistent application of global standards while adapting to Indian market conditions (Nestle India Ltd., 2025).</w:t>
      </w:r>
    </w:p>
    <w:p w:rsidR="0028188C" w:rsidRPr="0073424C" w:rsidRDefault="007C096F" w:rsidP="00236EFD">
      <w:pPr>
        <w:jc w:val="both"/>
        <w:rPr>
          <w:rFonts w:ascii="Arial" w:hAnsi="Arial" w:cs="Arial"/>
          <w:sz w:val="24"/>
          <w:szCs w:val="24"/>
        </w:rPr>
      </w:pPr>
      <w:r w:rsidRPr="0073424C">
        <w:rPr>
          <w:rFonts w:ascii="Arial" w:hAnsi="Arial" w:cs="Arial"/>
          <w:b/>
          <w:sz w:val="24"/>
          <w:szCs w:val="24"/>
        </w:rPr>
        <w:t xml:space="preserve">Joint ventures and partnerships: </w:t>
      </w:r>
      <w:r w:rsidRPr="0073424C">
        <w:rPr>
          <w:rFonts w:ascii="Arial" w:hAnsi="Arial" w:cs="Arial"/>
          <w:sz w:val="24"/>
          <w:szCs w:val="24"/>
        </w:rPr>
        <w:t>In some circumstances, Nestlé partners with local companies. Rather than owning dairy farms directly, Nestlé works through collaborative programmes with tens of thousands of dairy farmers, providing technical training, quality improvement support, and pricing stability while farmers maintain operational independence (Nestle India Ltd., 2025). Joint ventures enable cost and risk sharing while leveraging local partners' regulatory knowledge and market relationships. However, joint ventures require negotiating governance arrangements and may slow strategic decision-making.</w:t>
      </w:r>
    </w:p>
    <w:p w:rsidR="0028188C" w:rsidRPr="0073424C" w:rsidRDefault="007C096F" w:rsidP="00236EFD">
      <w:pPr>
        <w:jc w:val="both"/>
        <w:rPr>
          <w:rFonts w:ascii="Arial" w:hAnsi="Arial" w:cs="Arial"/>
          <w:sz w:val="24"/>
          <w:szCs w:val="24"/>
        </w:rPr>
      </w:pPr>
      <w:r w:rsidRPr="0073424C">
        <w:rPr>
          <w:rFonts w:ascii="Arial" w:hAnsi="Arial" w:cs="Arial"/>
          <w:b/>
          <w:sz w:val="24"/>
          <w:szCs w:val="24"/>
        </w:rPr>
        <w:t xml:space="preserve">Contract manufacturing: </w:t>
      </w:r>
      <w:r w:rsidRPr="0073424C">
        <w:rPr>
          <w:rFonts w:ascii="Arial" w:hAnsi="Arial" w:cs="Arial"/>
          <w:sz w:val="24"/>
          <w:szCs w:val="24"/>
        </w:rPr>
        <w:t>Nestlé supplements its owned manufacturing with third-party manufacturers producing under Nestlé's specifications and brand names. This approach provides operational flexibility, avoids large fixed capital investments, and enables rapid capacity scaling. In India, contract manufacturing allows Nestlé to respond to demand fluctuations without investing in additional wholly owned plants. The tradeoff is that quality control becomes more complex when production occurs outside Nestlé's direct management.</w:t>
      </w:r>
    </w:p>
    <w:p w:rsidR="0073424C" w:rsidRDefault="0073424C" w:rsidP="00236EFD">
      <w:pPr>
        <w:jc w:val="both"/>
        <w:rPr>
          <w:rFonts w:ascii="Arial" w:hAnsi="Arial" w:cs="Arial"/>
          <w:b/>
          <w:sz w:val="24"/>
          <w:szCs w:val="24"/>
        </w:rPr>
      </w:pPr>
    </w:p>
    <w:p w:rsidR="0073424C" w:rsidRDefault="0073424C" w:rsidP="00236EFD">
      <w:pPr>
        <w:jc w:val="both"/>
        <w:rPr>
          <w:rFonts w:ascii="Arial" w:hAnsi="Arial" w:cs="Arial"/>
          <w:b/>
          <w:sz w:val="24"/>
          <w:szCs w:val="24"/>
        </w:rPr>
      </w:pPr>
    </w:p>
    <w:p w:rsidR="0028188C" w:rsidRPr="0073424C" w:rsidRDefault="007C096F" w:rsidP="00236EFD">
      <w:pPr>
        <w:jc w:val="both"/>
        <w:rPr>
          <w:rFonts w:ascii="Arial" w:hAnsi="Arial" w:cs="Arial"/>
          <w:sz w:val="24"/>
          <w:szCs w:val="24"/>
        </w:rPr>
      </w:pPr>
      <w:r w:rsidRPr="0073424C">
        <w:rPr>
          <w:rFonts w:ascii="Arial" w:hAnsi="Arial" w:cs="Arial"/>
          <w:b/>
          <w:sz w:val="24"/>
          <w:szCs w:val="24"/>
        </w:rPr>
        <w:lastRenderedPageBreak/>
        <w:t xml:space="preserve">Acquisitions: </w:t>
      </w:r>
      <w:r w:rsidRPr="0073424C">
        <w:rPr>
          <w:rFonts w:ascii="Arial" w:hAnsi="Arial" w:cs="Arial"/>
          <w:sz w:val="24"/>
          <w:szCs w:val="24"/>
        </w:rPr>
        <w:t>Nestlé has historically expanded through acquiring established food and beverage companies with recognized brands, market positions, manufacturing facilities, and distribution networks. This provides immediate market access and existing customer relationships, but requires substantial capital and involves integration challenges.</w:t>
      </w:r>
    </w:p>
    <w:p w:rsidR="00DB0E2B" w:rsidRPr="0073424C" w:rsidRDefault="007C096F" w:rsidP="00236EFD">
      <w:pPr>
        <w:jc w:val="both"/>
        <w:rPr>
          <w:rFonts w:ascii="Arial" w:hAnsi="Arial" w:cs="Arial"/>
          <w:sz w:val="24"/>
          <w:szCs w:val="24"/>
        </w:rPr>
      </w:pPr>
      <w:r w:rsidRPr="0073424C">
        <w:rPr>
          <w:rFonts w:ascii="Arial" w:hAnsi="Arial" w:cs="Arial"/>
          <w:b/>
          <w:sz w:val="24"/>
          <w:szCs w:val="24"/>
        </w:rPr>
        <w:t xml:space="preserve">Exporting: </w:t>
      </w:r>
      <w:r w:rsidRPr="0073424C">
        <w:rPr>
          <w:rFonts w:ascii="Arial" w:hAnsi="Arial" w:cs="Arial"/>
          <w:sz w:val="24"/>
          <w:szCs w:val="24"/>
        </w:rPr>
        <w:t>For products where local production hasn't been established, Nestlé manufactures in Switzerland or established locations and exports through international distribution networks. This minimizes capital investment but incurs higher transportation costs and is less cost-effective for bulky products like food and beverages.</w:t>
      </w:r>
    </w:p>
    <w:p w:rsidR="00B071EB" w:rsidRDefault="007C096F" w:rsidP="00ED78AE">
      <w:pPr>
        <w:pStyle w:val="Heading2"/>
        <w:rPr>
          <w:rFonts w:ascii="Arial" w:hAnsi="Arial" w:cs="Arial"/>
          <w:sz w:val="24"/>
          <w:szCs w:val="28"/>
        </w:rPr>
      </w:pPr>
      <w:bookmarkStart w:id="11" w:name="_Toc216651423"/>
      <w:r w:rsidRPr="0027579C">
        <w:rPr>
          <w:rFonts w:ascii="Arial" w:hAnsi="Arial" w:cs="Arial"/>
          <w:sz w:val="24"/>
          <w:szCs w:val="28"/>
        </w:rPr>
        <w:t>Strategic Rationale for Entry Mode Selection</w:t>
      </w:r>
      <w:bookmarkEnd w:id="11"/>
    </w:p>
    <w:p w:rsidR="00E75D28" w:rsidRPr="00E75D28" w:rsidRDefault="00E75D28" w:rsidP="00E75D28">
      <w:pPr>
        <w:jc w:val="both"/>
        <w:rPr>
          <w:rFonts w:ascii="Arial" w:hAnsi="Arial" w:cs="Arial"/>
          <w:sz w:val="24"/>
        </w:rPr>
      </w:pPr>
      <w:r w:rsidRPr="00E75D28">
        <w:rPr>
          <w:rFonts w:ascii="Arial" w:hAnsi="Arial" w:cs="Arial"/>
          <w:sz w:val="24"/>
        </w:rPr>
        <w:t>Nestlé mainly enters foreign markets through wholly owned subsidiaries and foreign direct investment, supported by joint ventures and contract manufacturing. This strategy is driven by practical business needs. In the food and beverage industry, strong brand reputation, consistent quality, and food safety are vital, and these are easier to manage when the company has full control over its operations. Nestlé also relies heavily on technology, unique production methods, and intellectual property protection, which are better safeguarded through ownership-based entry modes (Dunning, 1988). By keeping control over these key areas, Nestlé reduces risks to its global brand image and ensures that its products meet the same quality standards everywhere.</w:t>
      </w:r>
    </w:p>
    <w:p w:rsidR="00ED78AE" w:rsidRPr="0027579C" w:rsidRDefault="00ED78AE" w:rsidP="00ED78AE">
      <w:pPr>
        <w:pStyle w:val="Heading2"/>
        <w:rPr>
          <w:rFonts w:ascii="Arial" w:hAnsi="Arial" w:cs="Arial"/>
          <w:sz w:val="24"/>
        </w:rPr>
      </w:pPr>
      <w:bookmarkStart w:id="12" w:name="_Toc216651424"/>
      <w:r w:rsidRPr="0027579C">
        <w:rPr>
          <w:rFonts w:ascii="Arial" w:hAnsi="Arial" w:cs="Arial"/>
          <w:sz w:val="24"/>
        </w:rPr>
        <w:t>Key benefits from international operations</w:t>
      </w:r>
      <w:bookmarkEnd w:id="12"/>
    </w:p>
    <w:p w:rsidR="00ED78AE" w:rsidRPr="00A05C62" w:rsidRDefault="00ED78AE" w:rsidP="00E10E0F">
      <w:pPr>
        <w:jc w:val="both"/>
        <w:rPr>
          <w:rFonts w:ascii="Arial" w:hAnsi="Arial" w:cs="Arial"/>
          <w:sz w:val="24"/>
          <w:szCs w:val="24"/>
        </w:rPr>
      </w:pPr>
      <w:r w:rsidRPr="00A05C62">
        <w:rPr>
          <w:rFonts w:ascii="Arial" w:hAnsi="Arial" w:cs="Arial"/>
          <w:sz w:val="24"/>
          <w:szCs w:val="24"/>
        </w:rPr>
        <w:t>Nestlé’s international operations bring several important advantages that help the company grow, control costs and spread its risks across many countries (Nestlé, 2024a; Nestlé, 2024b). These benefits also support its preference for ownership</w:t>
      </w:r>
      <w:r w:rsidRPr="00A05C62">
        <w:rPr>
          <w:rFonts w:ascii="Cambria Math" w:hAnsi="Cambria Math" w:cs="Cambria Math"/>
          <w:sz w:val="24"/>
          <w:szCs w:val="24"/>
        </w:rPr>
        <w:t>‑</w:t>
      </w:r>
      <w:r w:rsidRPr="00A05C62">
        <w:rPr>
          <w:rFonts w:ascii="Arial" w:hAnsi="Arial" w:cs="Arial"/>
          <w:sz w:val="24"/>
          <w:szCs w:val="24"/>
        </w:rPr>
        <w:t>based entry modes such as wholly owned subsidiaries and acquisitions in key markets (Dunning, 1988; Nestlé, 2023a).</w:t>
      </w:r>
    </w:p>
    <w:p w:rsidR="0073424C" w:rsidRPr="00E75D28" w:rsidRDefault="00ED78AE" w:rsidP="00E10E0F">
      <w:pPr>
        <w:jc w:val="both"/>
        <w:rPr>
          <w:rFonts w:ascii="Arial" w:hAnsi="Arial" w:cs="Arial"/>
          <w:sz w:val="24"/>
          <w:szCs w:val="24"/>
        </w:rPr>
      </w:pPr>
      <w:r w:rsidRPr="00A05C62">
        <w:rPr>
          <w:rFonts w:ascii="Arial" w:hAnsi="Arial" w:cs="Arial"/>
          <w:sz w:val="24"/>
          <w:szCs w:val="24"/>
        </w:rPr>
        <w:t>Being present in many countries allows Nestlé to reach a huge number of consumers and generate high overall sales, with contributions from regions such as Europe, North America, Asia, Latin America and Africa (Nestlé, 2023a; Nestlé, 2023b). This wide footprint means the company can grow in fast</w:t>
      </w:r>
      <w:r w:rsidRPr="00A05C62">
        <w:rPr>
          <w:rFonts w:ascii="Cambria Math" w:hAnsi="Cambria Math" w:cs="Cambria Math"/>
          <w:sz w:val="24"/>
          <w:szCs w:val="24"/>
        </w:rPr>
        <w:t>‑</w:t>
      </w:r>
      <w:r w:rsidRPr="00A05C62">
        <w:rPr>
          <w:rFonts w:ascii="Arial" w:hAnsi="Arial" w:cs="Arial"/>
          <w:sz w:val="24"/>
          <w:szCs w:val="24"/>
        </w:rPr>
        <w:t>developing markets while still earning steady income from more mature economies (Nestlé, 2024a).</w:t>
      </w:r>
    </w:p>
    <w:p w:rsidR="00E10E0F" w:rsidRPr="00A05C62" w:rsidRDefault="00E10E0F" w:rsidP="00E10E0F">
      <w:pPr>
        <w:jc w:val="both"/>
        <w:rPr>
          <w:rFonts w:ascii="Arial" w:hAnsi="Arial" w:cs="Arial"/>
          <w:b/>
          <w:sz w:val="24"/>
          <w:szCs w:val="24"/>
        </w:rPr>
      </w:pPr>
      <w:r w:rsidRPr="00A05C62">
        <w:rPr>
          <w:rFonts w:ascii="Arial" w:hAnsi="Arial" w:cs="Arial"/>
          <w:b/>
          <w:sz w:val="24"/>
          <w:szCs w:val="24"/>
        </w:rPr>
        <w:t>Economies of scale (cost advantages)</w:t>
      </w:r>
    </w:p>
    <w:p w:rsidR="00E10E0F" w:rsidRPr="00A05C62" w:rsidRDefault="00E10E0F" w:rsidP="00E10E0F">
      <w:pPr>
        <w:jc w:val="both"/>
        <w:rPr>
          <w:rFonts w:ascii="Arial" w:hAnsi="Arial" w:cs="Arial"/>
          <w:sz w:val="24"/>
          <w:szCs w:val="24"/>
        </w:rPr>
      </w:pPr>
      <w:r w:rsidRPr="00A05C62">
        <w:rPr>
          <w:rFonts w:ascii="Arial" w:hAnsi="Arial" w:cs="Arial"/>
          <w:sz w:val="24"/>
          <w:szCs w:val="24"/>
        </w:rPr>
        <w:t xml:space="preserve">Nestlé gets scale benefits because it runs a large global network of factories and supply chains, so it can purchase inputs in bigger volumes and </w:t>
      </w:r>
      <w:r w:rsidR="0073424C" w:rsidRPr="00A05C62">
        <w:rPr>
          <w:rFonts w:ascii="Arial" w:hAnsi="Arial" w:cs="Arial"/>
          <w:sz w:val="24"/>
          <w:szCs w:val="24"/>
        </w:rPr>
        <w:t>standardize</w:t>
      </w:r>
      <w:r w:rsidRPr="00A05C62">
        <w:rPr>
          <w:rFonts w:ascii="Arial" w:hAnsi="Arial" w:cs="Arial"/>
          <w:sz w:val="24"/>
          <w:szCs w:val="24"/>
        </w:rPr>
        <w:t xml:space="preserve"> many processes across countries (Nestlé, 2023a).</w:t>
      </w:r>
      <w:r w:rsidR="002805D9">
        <w:rPr>
          <w:rFonts w:ascii="Arial" w:hAnsi="Arial" w:cs="Arial"/>
          <w:sz w:val="24"/>
          <w:szCs w:val="24"/>
        </w:rPr>
        <w:t xml:space="preserve"> </w:t>
      </w:r>
      <w:r w:rsidRPr="00A05C62">
        <w:rPr>
          <w:rFonts w:ascii="Arial" w:hAnsi="Arial" w:cs="Arial"/>
          <w:sz w:val="24"/>
          <w:szCs w:val="24"/>
        </w:rPr>
        <w:t>This global scale supports lower average costs per unit over time and helps the company stay competitive on price while still protecting product quality and food safety controls (Nestlé, 2023a; Nestlé, 2023b).</w:t>
      </w:r>
    </w:p>
    <w:p w:rsidR="00E10E0F" w:rsidRPr="00A05C62" w:rsidRDefault="00E10E0F" w:rsidP="00E10E0F">
      <w:pPr>
        <w:jc w:val="both"/>
        <w:rPr>
          <w:rFonts w:ascii="Arial" w:hAnsi="Arial" w:cs="Arial"/>
          <w:b/>
          <w:sz w:val="24"/>
          <w:szCs w:val="24"/>
        </w:rPr>
      </w:pPr>
      <w:r w:rsidRPr="00A05C62">
        <w:rPr>
          <w:rFonts w:ascii="Arial" w:hAnsi="Arial" w:cs="Arial"/>
          <w:b/>
          <w:sz w:val="24"/>
          <w:szCs w:val="24"/>
        </w:rPr>
        <w:lastRenderedPageBreak/>
        <w:t>Stronger global brands (marketing and growth benefits)</w:t>
      </w:r>
    </w:p>
    <w:p w:rsidR="00E10E0F" w:rsidRPr="00A05C62" w:rsidRDefault="00E10E0F" w:rsidP="00E10E0F">
      <w:pPr>
        <w:jc w:val="both"/>
        <w:rPr>
          <w:rFonts w:ascii="Arial" w:hAnsi="Arial" w:cs="Arial"/>
          <w:sz w:val="24"/>
          <w:szCs w:val="24"/>
        </w:rPr>
      </w:pPr>
      <w:r w:rsidRPr="00A05C62">
        <w:rPr>
          <w:rFonts w:ascii="Arial" w:hAnsi="Arial" w:cs="Arial"/>
          <w:sz w:val="24"/>
          <w:szCs w:val="24"/>
        </w:rPr>
        <w:t>Operating internationally strengthens Nestlé’s brand portfolio because major brands can be marketed consistently across many countries, which builds familiarity and t</w:t>
      </w:r>
      <w:r w:rsidR="002805D9">
        <w:rPr>
          <w:rFonts w:ascii="Arial" w:hAnsi="Arial" w:cs="Arial"/>
          <w:sz w:val="24"/>
          <w:szCs w:val="24"/>
        </w:rPr>
        <w:t xml:space="preserve">rust over time (Nestlé, 2024a). </w:t>
      </w:r>
      <w:r w:rsidRPr="00A05C62">
        <w:rPr>
          <w:rFonts w:ascii="Arial" w:hAnsi="Arial" w:cs="Arial"/>
          <w:sz w:val="24"/>
          <w:szCs w:val="24"/>
        </w:rPr>
        <w:t>At the same time, the company can adjust flavours, formats and pack sizes for local needs, which helps brands stay relevant in different cultures and shopping habits (Nestlé, 2023a).</w:t>
      </w:r>
    </w:p>
    <w:p w:rsidR="00E10E0F" w:rsidRPr="00A05C62" w:rsidRDefault="00E10E0F" w:rsidP="00E10E0F">
      <w:pPr>
        <w:jc w:val="both"/>
        <w:rPr>
          <w:rFonts w:ascii="Arial" w:hAnsi="Arial" w:cs="Arial"/>
          <w:b/>
          <w:sz w:val="24"/>
          <w:szCs w:val="24"/>
        </w:rPr>
      </w:pPr>
      <w:r w:rsidRPr="00A05C62">
        <w:rPr>
          <w:rFonts w:ascii="Arial" w:hAnsi="Arial" w:cs="Arial"/>
          <w:b/>
          <w:sz w:val="24"/>
          <w:szCs w:val="24"/>
        </w:rPr>
        <w:t>Diversification (risk-reduction benefits)</w:t>
      </w:r>
    </w:p>
    <w:p w:rsidR="00E10E0F" w:rsidRPr="00A05C62" w:rsidRDefault="00E10E0F" w:rsidP="00E10E0F">
      <w:pPr>
        <w:jc w:val="both"/>
        <w:rPr>
          <w:rFonts w:ascii="Arial" w:hAnsi="Arial" w:cs="Arial"/>
          <w:sz w:val="24"/>
          <w:szCs w:val="24"/>
        </w:rPr>
      </w:pPr>
      <w:r w:rsidRPr="00A05C62">
        <w:rPr>
          <w:rFonts w:ascii="Arial" w:hAnsi="Arial" w:cs="Arial"/>
          <w:sz w:val="24"/>
          <w:szCs w:val="24"/>
        </w:rPr>
        <w:t>Spreading sales across regions reduces reliance on any single country, so weaker performance in one market can be balanced by stronger results elsewhere (Dunning, 1988; Nestlé, 2023a).</w:t>
      </w:r>
      <w:r w:rsidR="002805D9">
        <w:rPr>
          <w:rFonts w:ascii="Arial" w:hAnsi="Arial" w:cs="Arial"/>
          <w:sz w:val="24"/>
          <w:szCs w:val="24"/>
        </w:rPr>
        <w:t xml:space="preserve"> </w:t>
      </w:r>
      <w:r w:rsidRPr="00A05C62">
        <w:rPr>
          <w:rFonts w:ascii="Arial" w:hAnsi="Arial" w:cs="Arial"/>
          <w:sz w:val="24"/>
          <w:szCs w:val="24"/>
        </w:rPr>
        <w:t>This diversification can make cash flows more stable and supports continued spending on R&amp;D, product upgrades and sustainability programmes even when conditions are difficult in certain markets (Nestlé, 2023a).</w:t>
      </w:r>
    </w:p>
    <w:p w:rsidR="00E10E0F" w:rsidRPr="00A05C62" w:rsidRDefault="00E10E0F" w:rsidP="00E10E0F">
      <w:pPr>
        <w:jc w:val="both"/>
        <w:rPr>
          <w:rFonts w:ascii="Arial" w:hAnsi="Arial" w:cs="Arial"/>
          <w:b/>
          <w:sz w:val="24"/>
          <w:szCs w:val="24"/>
        </w:rPr>
      </w:pPr>
      <w:r w:rsidRPr="00A05C62">
        <w:rPr>
          <w:rFonts w:ascii="Arial" w:hAnsi="Arial" w:cs="Arial"/>
          <w:b/>
          <w:sz w:val="24"/>
          <w:szCs w:val="24"/>
        </w:rPr>
        <w:t>Revenue, cost and risk (benefits + trade-offs)</w:t>
      </w:r>
    </w:p>
    <w:p w:rsidR="00E10E0F" w:rsidRPr="00A05C62" w:rsidRDefault="00E10E0F" w:rsidP="00E10E0F">
      <w:pPr>
        <w:jc w:val="both"/>
        <w:rPr>
          <w:rFonts w:ascii="Arial" w:hAnsi="Arial" w:cs="Arial"/>
          <w:sz w:val="24"/>
          <w:szCs w:val="24"/>
        </w:rPr>
      </w:pPr>
      <w:r w:rsidRPr="00A05C62">
        <w:rPr>
          <w:rFonts w:ascii="Arial" w:hAnsi="Arial" w:cs="Arial"/>
          <w:sz w:val="24"/>
          <w:szCs w:val="24"/>
        </w:rPr>
        <w:t>Revenue</w:t>
      </w:r>
    </w:p>
    <w:p w:rsidR="00E10E0F" w:rsidRPr="00A05C62" w:rsidRDefault="00E10E0F" w:rsidP="00E10E0F">
      <w:pPr>
        <w:jc w:val="both"/>
        <w:rPr>
          <w:rFonts w:ascii="Arial" w:hAnsi="Arial" w:cs="Arial"/>
          <w:sz w:val="24"/>
          <w:szCs w:val="24"/>
        </w:rPr>
      </w:pPr>
      <w:r w:rsidRPr="00A05C62">
        <w:rPr>
          <w:rFonts w:ascii="Arial" w:hAnsi="Arial" w:cs="Arial"/>
          <w:sz w:val="24"/>
          <w:szCs w:val="24"/>
        </w:rPr>
        <w:t>Nestlé’s global scale supports very high sales, with total revenue of CHF 93.0 billion in 2023, showing how international operations drive overall income (Nestlé, 2023b). Organic growth of 7.2% in 2023, spread across regions and product categories, highlights the benefit of being diversified across many markets (Nestlé, 2023b).</w:t>
      </w:r>
    </w:p>
    <w:p w:rsidR="00E10E0F" w:rsidRPr="00A05C62" w:rsidRDefault="00E10E0F" w:rsidP="00E10E0F">
      <w:pPr>
        <w:jc w:val="both"/>
        <w:rPr>
          <w:rFonts w:ascii="Arial" w:hAnsi="Arial" w:cs="Arial"/>
          <w:sz w:val="24"/>
          <w:szCs w:val="24"/>
        </w:rPr>
      </w:pPr>
      <w:r w:rsidRPr="00A05C62">
        <w:rPr>
          <w:rFonts w:ascii="Arial" w:hAnsi="Arial" w:cs="Arial"/>
          <w:sz w:val="24"/>
          <w:szCs w:val="24"/>
        </w:rPr>
        <w:t>Costs</w:t>
      </w:r>
    </w:p>
    <w:p w:rsidR="002805D9" w:rsidRDefault="00E10E0F" w:rsidP="00E10E0F">
      <w:pPr>
        <w:jc w:val="both"/>
        <w:rPr>
          <w:rFonts w:ascii="Arial" w:hAnsi="Arial" w:cs="Arial"/>
          <w:sz w:val="24"/>
          <w:szCs w:val="24"/>
        </w:rPr>
      </w:pPr>
      <w:r w:rsidRPr="00A05C62">
        <w:rPr>
          <w:rFonts w:ascii="Arial" w:hAnsi="Arial" w:cs="Arial"/>
          <w:sz w:val="24"/>
          <w:szCs w:val="24"/>
        </w:rPr>
        <w:t>Operating worldwide can lower costs through joint purchasing, shared know</w:t>
      </w:r>
      <w:r w:rsidRPr="00A05C62">
        <w:rPr>
          <w:rFonts w:ascii="Cambria Math" w:hAnsi="Cambria Math" w:cs="Cambria Math"/>
          <w:sz w:val="24"/>
          <w:szCs w:val="24"/>
        </w:rPr>
        <w:t>‑</w:t>
      </w:r>
      <w:r w:rsidRPr="00A05C62">
        <w:rPr>
          <w:rFonts w:ascii="Arial" w:hAnsi="Arial" w:cs="Arial"/>
          <w:sz w:val="24"/>
          <w:szCs w:val="24"/>
        </w:rPr>
        <w:t>how and efficient factory locations in different regions (Nestlé, 2023a). At the same time, international activities increase exposure to rising input prices and more complex supply chains, so Nestlé must constantly improve efficiency to protect its profit margins (Nestlé, 2023b).</w:t>
      </w:r>
    </w:p>
    <w:p w:rsidR="00E10E0F" w:rsidRPr="00A05C62" w:rsidRDefault="00E10E0F" w:rsidP="00E10E0F">
      <w:pPr>
        <w:jc w:val="both"/>
        <w:rPr>
          <w:rFonts w:ascii="Arial" w:hAnsi="Arial" w:cs="Arial"/>
          <w:sz w:val="24"/>
          <w:szCs w:val="24"/>
        </w:rPr>
      </w:pPr>
      <w:r w:rsidRPr="00A05C62">
        <w:rPr>
          <w:rFonts w:ascii="Arial" w:hAnsi="Arial" w:cs="Arial"/>
          <w:sz w:val="24"/>
          <w:szCs w:val="24"/>
        </w:rPr>
        <w:t>Risks</w:t>
      </w:r>
    </w:p>
    <w:p w:rsidR="00E10E0F" w:rsidRPr="00A05C62" w:rsidRDefault="00E10E0F" w:rsidP="00236EFD">
      <w:pPr>
        <w:jc w:val="both"/>
        <w:rPr>
          <w:rFonts w:ascii="Arial" w:hAnsi="Arial" w:cs="Arial"/>
          <w:sz w:val="24"/>
          <w:szCs w:val="24"/>
        </w:rPr>
      </w:pPr>
      <w:r w:rsidRPr="00A05C62">
        <w:rPr>
          <w:rFonts w:ascii="Arial" w:hAnsi="Arial" w:cs="Arial"/>
          <w:sz w:val="24"/>
          <w:szCs w:val="24"/>
        </w:rPr>
        <w:t>Expanding internationally reduces reliance on any single country, but it also raises exposure to currency movements; in 2023, foreign exchange effects reduced reported sales (Nestlé, 2023b). Global reach further increases vulnerability to political and regulatory changes and trade disruptions, which makes strong governance and local market expertise vital to limiting operational and compliance risks (Dunning, 1988; Nestlé, 2023a).Achievements in international market</w:t>
      </w:r>
    </w:p>
    <w:p w:rsidR="00E10E0F" w:rsidRDefault="00E10E0F" w:rsidP="0069133B">
      <w:pPr>
        <w:pStyle w:val="Heading1"/>
        <w:rPr>
          <w:rFonts w:ascii="Arial" w:hAnsi="Arial" w:cs="Arial"/>
        </w:rPr>
      </w:pPr>
    </w:p>
    <w:p w:rsidR="00BD39D1" w:rsidRDefault="00BD39D1" w:rsidP="00BD39D1"/>
    <w:p w:rsidR="00BD39D1" w:rsidRDefault="00E5023A" w:rsidP="00BD39D1">
      <w:r>
        <w:rPr>
          <w:noProof/>
        </w:rPr>
        <w:lastRenderedPageBreak/>
        <w:drawing>
          <wp:inline distT="0" distB="0" distL="0" distR="0" wp14:anchorId="58EAB631" wp14:editId="3F5C4B4B">
            <wp:extent cx="6073140" cy="3776980"/>
            <wp:effectExtent l="0" t="0" r="3810" b="1397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843EBC" w:rsidRPr="0026765B" w:rsidRDefault="00843EBC" w:rsidP="00BD39D1">
      <w:pPr>
        <w:rPr>
          <w:rFonts w:ascii="Arial" w:hAnsi="Arial" w:cs="Arial"/>
          <w:sz w:val="24"/>
        </w:rPr>
      </w:pPr>
      <w:r w:rsidRPr="0026765B">
        <w:rPr>
          <w:rFonts w:ascii="Arial" w:hAnsi="Arial" w:cs="Arial"/>
          <w:sz w:val="24"/>
        </w:rPr>
        <w:t xml:space="preserve">Source: </w:t>
      </w:r>
      <w:r w:rsidR="00E306F6" w:rsidRPr="0026765B">
        <w:rPr>
          <w:rFonts w:ascii="Arial" w:hAnsi="Arial" w:cs="Arial"/>
          <w:sz w:val="24"/>
        </w:rPr>
        <w:t xml:space="preserve">Nestlé (2019–2024) Annual reviews 2019–2023. </w:t>
      </w:r>
    </w:p>
    <w:p w:rsidR="00783B44" w:rsidRPr="0026765B" w:rsidRDefault="00E306F6" w:rsidP="00783B44">
      <w:pPr>
        <w:rPr>
          <w:rFonts w:ascii="Arial" w:hAnsi="Arial" w:cs="Arial"/>
          <w:sz w:val="24"/>
        </w:rPr>
      </w:pPr>
      <w:r w:rsidRPr="0026765B">
        <w:rPr>
          <w:rFonts w:ascii="Arial" w:hAnsi="Arial" w:cs="Arial"/>
          <w:sz w:val="24"/>
        </w:rPr>
        <w:t xml:space="preserve">Vevey: Nestlé S.A. Available at: </w:t>
      </w:r>
      <w:hyperlink r:id="rId12" w:history="1">
        <w:r w:rsidR="00843EBC" w:rsidRPr="0026765B">
          <w:rPr>
            <w:rStyle w:val="Hyperlink"/>
            <w:rFonts w:ascii="Arial" w:hAnsi="Arial" w:cs="Arial"/>
            <w:sz w:val="24"/>
          </w:rPr>
          <w:t>https://www.nestle.com/</w:t>
        </w:r>
      </w:hyperlink>
    </w:p>
    <w:p w:rsidR="00783B44" w:rsidRDefault="00783B44" w:rsidP="00783B44"/>
    <w:p w:rsidR="00783B44" w:rsidRDefault="00783B44" w:rsidP="00783B44"/>
    <w:p w:rsidR="0026765B" w:rsidRDefault="0026765B" w:rsidP="00783B44"/>
    <w:p w:rsidR="0026765B" w:rsidRDefault="0026765B" w:rsidP="00783B44"/>
    <w:p w:rsidR="0026765B" w:rsidRDefault="0026765B" w:rsidP="00783B44"/>
    <w:p w:rsidR="0026765B" w:rsidRDefault="0026765B" w:rsidP="00783B44"/>
    <w:p w:rsidR="0026765B" w:rsidRDefault="0026765B" w:rsidP="00783B44"/>
    <w:p w:rsidR="0026765B" w:rsidRDefault="0026765B" w:rsidP="00783B44"/>
    <w:p w:rsidR="0026765B" w:rsidRPr="00783B44" w:rsidRDefault="0026765B" w:rsidP="00783B44"/>
    <w:p w:rsidR="0028188C" w:rsidRPr="00A05C62" w:rsidRDefault="007C096F" w:rsidP="0069133B">
      <w:pPr>
        <w:pStyle w:val="Heading1"/>
        <w:rPr>
          <w:rFonts w:ascii="Arial" w:hAnsi="Arial" w:cs="Arial"/>
        </w:rPr>
      </w:pPr>
      <w:bookmarkStart w:id="13" w:name="_Toc216651425"/>
      <w:r w:rsidRPr="00A05C62">
        <w:rPr>
          <w:rFonts w:ascii="Arial" w:hAnsi="Arial" w:cs="Arial"/>
        </w:rPr>
        <w:lastRenderedPageBreak/>
        <w:t>5. THE OLI FRAMEWORK: UNDERSTANDING NESTLÉ'S INTERNATIONAL STRATEGY</w:t>
      </w:r>
      <w:bookmarkEnd w:id="13"/>
    </w:p>
    <w:p w:rsidR="0069133B" w:rsidRPr="00A05C62" w:rsidRDefault="0069133B" w:rsidP="0069133B">
      <w:pPr>
        <w:rPr>
          <w:rFonts w:ascii="Arial" w:hAnsi="Arial" w:cs="Arial"/>
        </w:rPr>
      </w:pPr>
    </w:p>
    <w:p w:rsidR="0028188C" w:rsidRDefault="007C096F" w:rsidP="0069133B">
      <w:pPr>
        <w:pStyle w:val="Heading2"/>
        <w:rPr>
          <w:rFonts w:ascii="Arial" w:hAnsi="Arial" w:cs="Arial"/>
        </w:rPr>
      </w:pPr>
      <w:bookmarkStart w:id="14" w:name="_Toc216651426"/>
      <w:r w:rsidRPr="00A05C62">
        <w:rPr>
          <w:rFonts w:ascii="Arial" w:hAnsi="Arial" w:cs="Arial"/>
        </w:rPr>
        <w:t>The Ownership-Location-Internalization Framework</w:t>
      </w:r>
      <w:bookmarkEnd w:id="14"/>
    </w:p>
    <w:p w:rsidR="006F0F6F" w:rsidRPr="006F0F6F" w:rsidRDefault="006F0F6F" w:rsidP="006F0F6F">
      <w:pPr>
        <w:jc w:val="both"/>
        <w:rPr>
          <w:rFonts w:ascii="Arial" w:hAnsi="Arial" w:cs="Arial"/>
          <w:sz w:val="24"/>
        </w:rPr>
      </w:pPr>
      <w:r w:rsidRPr="006F0F6F">
        <w:rPr>
          <w:rFonts w:ascii="Arial" w:hAnsi="Arial" w:cs="Arial"/>
          <w:sz w:val="24"/>
        </w:rPr>
        <w:t>The Ownership-Location-Internalization (OLI) framework, also known as the eclectic paradigm, is a major theory used to explain how multinational companies expand internationally (Dunning, 1988). It outlines why firms invest abroad, where they choose to operate, and how they structure those investments by combining insights from economics and management research.</w:t>
      </w:r>
    </w:p>
    <w:p w:rsidR="00B071EB" w:rsidRPr="006F0F6F" w:rsidRDefault="006F0F6F" w:rsidP="006F0F6F">
      <w:pPr>
        <w:jc w:val="both"/>
        <w:rPr>
          <w:rFonts w:ascii="Arial" w:hAnsi="Arial" w:cs="Arial"/>
          <w:sz w:val="24"/>
        </w:rPr>
      </w:pPr>
      <w:r w:rsidRPr="006F0F6F">
        <w:rPr>
          <w:rFonts w:ascii="Arial" w:hAnsi="Arial" w:cs="Arial"/>
          <w:sz w:val="24"/>
        </w:rPr>
        <w:t>According to this model, firms choose foreign direct investment when they have advantages in ownership (unique resources or skills), location (benefits of a specific country), and internalization (the need to control operations themselves). If a company lacks one or more of these, it may prefer exporting or licensing instead (Rugman, 2010). Understanding these factors helps explain differences in international strategies, market choices, and success across industries (Sharmiladevi, 2017).</w:t>
      </w:r>
    </w:p>
    <w:p w:rsidR="0028188C" w:rsidRDefault="007C096F" w:rsidP="00236EFD">
      <w:pPr>
        <w:jc w:val="both"/>
        <w:rPr>
          <w:rFonts w:ascii="Arial" w:hAnsi="Arial" w:cs="Arial"/>
          <w:b/>
        </w:rPr>
      </w:pPr>
      <w:r w:rsidRPr="00A05C62">
        <w:rPr>
          <w:rFonts w:ascii="Arial" w:hAnsi="Arial" w:cs="Arial"/>
          <w:b/>
        </w:rPr>
        <w:t>Nestlé's Ownership Advantages</w:t>
      </w:r>
    </w:p>
    <w:p w:rsidR="006F0F6F" w:rsidRDefault="006F0F6F" w:rsidP="006F0F6F">
      <w:pPr>
        <w:jc w:val="both"/>
        <w:rPr>
          <w:rFonts w:ascii="Arial" w:hAnsi="Arial" w:cs="Arial"/>
          <w:sz w:val="24"/>
        </w:rPr>
      </w:pPr>
      <w:r w:rsidRPr="006F0F6F">
        <w:rPr>
          <w:rFonts w:ascii="Arial" w:hAnsi="Arial" w:cs="Arial"/>
          <w:sz w:val="24"/>
        </w:rPr>
        <w:t>Ownership advantages refer to the unique strengths that allow a company to compete more effectively in foreign markets than local firms (Dunning, 1988). These often come from intangible assets such as knowledge, innovation, and experience that are difficult to copy (Rugman, 2010). For Nestlé, strong global brand equity is a key advantage. Brands like Nescafé, KitKat, and Maggi have built customer trust and loyalty over decades through consistent quality and marketing, giving Nestlé a cle</w:t>
      </w:r>
      <w:r>
        <w:rPr>
          <w:rFonts w:ascii="Arial" w:hAnsi="Arial" w:cs="Arial"/>
          <w:sz w:val="24"/>
        </w:rPr>
        <w:t>ar edge over local competitors.</w:t>
      </w:r>
    </w:p>
    <w:p w:rsidR="006F0F6F" w:rsidRPr="006F0F6F" w:rsidRDefault="006F0F6F" w:rsidP="006F0F6F">
      <w:pPr>
        <w:jc w:val="both"/>
        <w:rPr>
          <w:rFonts w:ascii="Arial" w:hAnsi="Arial" w:cs="Arial"/>
          <w:sz w:val="24"/>
        </w:rPr>
      </w:pPr>
      <w:r w:rsidRPr="006F0F6F">
        <w:rPr>
          <w:rFonts w:ascii="Arial" w:hAnsi="Arial" w:cs="Arial"/>
          <w:sz w:val="24"/>
        </w:rPr>
        <w:t>Nestlé also benefits from advanced technology, efficient production processes, and a deep focus on nutritional research developed through ongoing R&amp;D investment (Nestle, 2024a; Rugman, 2010). Its strong organizational capabilities help manage global supply chains, maintain quality standards, and adapt products to local markets (Nestle, 2024a). Additionally, Nestlé’s solid financial resources allow it to invest in new markets and fund long-term sustainability projects that smaller companies cannot match (Nestle, 2024b).</w:t>
      </w:r>
    </w:p>
    <w:p w:rsidR="0028188C" w:rsidRPr="00BD6DF3" w:rsidRDefault="007C096F" w:rsidP="00236EFD">
      <w:pPr>
        <w:jc w:val="both"/>
        <w:rPr>
          <w:rFonts w:ascii="Arial" w:hAnsi="Arial" w:cs="Arial"/>
          <w:sz w:val="24"/>
        </w:rPr>
      </w:pPr>
      <w:r w:rsidRPr="00BD6DF3">
        <w:rPr>
          <w:rFonts w:ascii="Arial" w:hAnsi="Arial" w:cs="Arial"/>
          <w:b/>
          <w:sz w:val="24"/>
        </w:rPr>
        <w:t>India's Location Advantages</w:t>
      </w:r>
    </w:p>
    <w:p w:rsidR="006F0F6F" w:rsidRPr="006F0F6F" w:rsidRDefault="006F0F6F" w:rsidP="006F0F6F">
      <w:pPr>
        <w:jc w:val="both"/>
        <w:rPr>
          <w:rFonts w:ascii="Arial" w:hAnsi="Arial" w:cs="Arial"/>
          <w:sz w:val="24"/>
        </w:rPr>
      </w:pPr>
      <w:r w:rsidRPr="006F0F6F">
        <w:rPr>
          <w:rFonts w:ascii="Arial" w:hAnsi="Arial" w:cs="Arial"/>
          <w:sz w:val="24"/>
        </w:rPr>
        <w:t>Location advantages are country-specific features that make some nations more attractive for investment than others (Dunning, 1988). India’s large population of over 1.4 billion and its fast-growing middle class create strong demand for packaged foods, beverages, and nutrition products, offering major opportunities for Nestlé (Nestle India Ltd., 2025). The country also provides abundant agricultural resources such as milk, coffee, spices, and grains, giving Nestlé access to key ingredients at competitive prices.</w:t>
      </w:r>
    </w:p>
    <w:p w:rsidR="0069133B" w:rsidRPr="006F0F6F" w:rsidRDefault="006F0F6F" w:rsidP="006F0F6F">
      <w:pPr>
        <w:jc w:val="both"/>
        <w:rPr>
          <w:rFonts w:ascii="Arial" w:hAnsi="Arial" w:cs="Arial"/>
          <w:sz w:val="24"/>
        </w:rPr>
      </w:pPr>
      <w:r w:rsidRPr="006F0F6F">
        <w:rPr>
          <w:rFonts w:ascii="Arial" w:hAnsi="Arial" w:cs="Arial"/>
          <w:sz w:val="24"/>
        </w:rPr>
        <w:lastRenderedPageBreak/>
        <w:t>India’s labor market is another advantage, providing skilled and semi-skilled workers at much lower costs than in developed countries. Its improving regulatory framework, now closely aligned with global food safety standards, allows Nestlé to maintain consistent quality while operating flexibly (Nestle India Ltd., 2025). Strategically, India also serves as a gateway to the wider South Asian market, reinforcing its importance for Nestlé’s long-term global growth (Nestle India Ltd., 2025).</w:t>
      </w:r>
    </w:p>
    <w:p w:rsidR="0028188C" w:rsidRPr="00BD6DF3" w:rsidRDefault="007C096F" w:rsidP="00236EFD">
      <w:pPr>
        <w:jc w:val="both"/>
        <w:rPr>
          <w:rFonts w:ascii="Arial" w:hAnsi="Arial" w:cs="Arial"/>
          <w:sz w:val="24"/>
        </w:rPr>
      </w:pPr>
      <w:r w:rsidRPr="00BD6DF3">
        <w:rPr>
          <w:rFonts w:ascii="Arial" w:hAnsi="Arial" w:cs="Arial"/>
          <w:b/>
          <w:sz w:val="24"/>
        </w:rPr>
        <w:t>Internalization Advantages</w:t>
      </w:r>
    </w:p>
    <w:p w:rsidR="006F0F6F" w:rsidRPr="002F63D8" w:rsidRDefault="006F0F6F" w:rsidP="006F0F6F">
      <w:pPr>
        <w:jc w:val="both"/>
        <w:rPr>
          <w:rFonts w:ascii="Arial" w:hAnsi="Arial" w:cs="Arial"/>
          <w:sz w:val="24"/>
        </w:rPr>
      </w:pPr>
      <w:r w:rsidRPr="002F63D8">
        <w:rPr>
          <w:rFonts w:ascii="Arial" w:hAnsi="Arial" w:cs="Arial"/>
          <w:sz w:val="24"/>
        </w:rPr>
        <w:t>Internalization advantages are the benefits a company gains by keeping control of its activities instead of licensing or outsourcing them to others (Dunning, 1988). In the food and beverage industry, maintaining control helps ensure consistent quality and food safety across all operations. For Nestlé, wholly owned subsidiaries allow strict monitoring of production standards, protecting the brand from quality issues that could harm its reputation. This structure also safeguards Nestlé’s proprietary processes, formulas, and technologies, keeping sensitiv</w:t>
      </w:r>
      <w:r w:rsidR="002F63D8">
        <w:rPr>
          <w:rFonts w:ascii="Arial" w:hAnsi="Arial" w:cs="Arial"/>
          <w:sz w:val="24"/>
        </w:rPr>
        <w:t>e knowledge within the company.</w:t>
      </w:r>
    </w:p>
    <w:p w:rsidR="0028188C" w:rsidRPr="002F63D8" w:rsidRDefault="006F0F6F" w:rsidP="006F0F6F">
      <w:pPr>
        <w:jc w:val="both"/>
        <w:rPr>
          <w:rFonts w:ascii="Arial" w:hAnsi="Arial" w:cs="Arial"/>
          <w:sz w:val="24"/>
        </w:rPr>
      </w:pPr>
      <w:r w:rsidRPr="002F63D8">
        <w:rPr>
          <w:rFonts w:ascii="Arial" w:hAnsi="Arial" w:cs="Arial"/>
          <w:sz w:val="24"/>
        </w:rPr>
        <w:t>By managing its own manufacturing and supply chains, Nestlé can maintain consistency in product quality, safety, and sustainability practices worldwide. Full ownership also makes it easier to share expertise, best practices, and innovations across markets, helping newer subsidiaries grow faster. Finally, direct control allows Nestlé to adapt its products to local tastes while preserving global brand identity and trust (Dunning, 1988).</w:t>
      </w:r>
    </w:p>
    <w:p w:rsidR="00066599" w:rsidRPr="002F63D8" w:rsidRDefault="00066599" w:rsidP="00236EFD">
      <w:pPr>
        <w:jc w:val="both"/>
        <w:rPr>
          <w:rFonts w:ascii="Arial" w:hAnsi="Arial" w:cs="Arial"/>
        </w:rPr>
      </w:pPr>
    </w:p>
    <w:p w:rsidR="00066599" w:rsidRPr="00A05C62" w:rsidRDefault="00066599" w:rsidP="00236EFD">
      <w:pPr>
        <w:jc w:val="both"/>
        <w:rPr>
          <w:rFonts w:ascii="Arial" w:hAnsi="Arial" w:cs="Arial"/>
        </w:rPr>
      </w:pPr>
    </w:p>
    <w:p w:rsidR="00066599" w:rsidRPr="00A05C62" w:rsidRDefault="00066599" w:rsidP="00236EFD">
      <w:pPr>
        <w:jc w:val="both"/>
        <w:rPr>
          <w:rFonts w:ascii="Arial" w:hAnsi="Arial" w:cs="Arial"/>
        </w:rPr>
      </w:pPr>
    </w:p>
    <w:p w:rsidR="00066599" w:rsidRPr="00A05C62" w:rsidRDefault="00066599" w:rsidP="00236EFD">
      <w:pPr>
        <w:jc w:val="both"/>
        <w:rPr>
          <w:rFonts w:ascii="Arial" w:hAnsi="Arial" w:cs="Arial"/>
        </w:rPr>
      </w:pPr>
    </w:p>
    <w:p w:rsidR="00066599" w:rsidRPr="00A05C62" w:rsidRDefault="00066599" w:rsidP="00236EFD">
      <w:pPr>
        <w:jc w:val="both"/>
        <w:rPr>
          <w:rFonts w:ascii="Arial" w:hAnsi="Arial" w:cs="Arial"/>
        </w:rPr>
      </w:pPr>
    </w:p>
    <w:p w:rsidR="00066599" w:rsidRPr="00A05C62" w:rsidRDefault="00066599" w:rsidP="00236EFD">
      <w:pPr>
        <w:jc w:val="both"/>
        <w:rPr>
          <w:rFonts w:ascii="Arial" w:hAnsi="Arial" w:cs="Arial"/>
        </w:rPr>
      </w:pPr>
    </w:p>
    <w:p w:rsidR="00066599" w:rsidRPr="00A05C62" w:rsidRDefault="00066599" w:rsidP="00236EFD">
      <w:pPr>
        <w:jc w:val="both"/>
        <w:rPr>
          <w:rFonts w:ascii="Arial" w:hAnsi="Arial" w:cs="Arial"/>
        </w:rPr>
      </w:pPr>
    </w:p>
    <w:p w:rsidR="00066599" w:rsidRPr="00A05C62" w:rsidRDefault="00066599" w:rsidP="00236EFD">
      <w:pPr>
        <w:jc w:val="both"/>
        <w:rPr>
          <w:rFonts w:ascii="Arial" w:hAnsi="Arial" w:cs="Arial"/>
        </w:rPr>
      </w:pPr>
    </w:p>
    <w:p w:rsidR="00066599" w:rsidRPr="00A05C62" w:rsidRDefault="00066599" w:rsidP="00236EFD">
      <w:pPr>
        <w:jc w:val="both"/>
        <w:rPr>
          <w:rFonts w:ascii="Arial" w:hAnsi="Arial" w:cs="Arial"/>
        </w:rPr>
      </w:pPr>
    </w:p>
    <w:p w:rsidR="00066599" w:rsidRDefault="00066599" w:rsidP="00236EFD">
      <w:pPr>
        <w:jc w:val="both"/>
        <w:rPr>
          <w:rFonts w:ascii="Arial" w:hAnsi="Arial" w:cs="Arial"/>
        </w:rPr>
      </w:pPr>
    </w:p>
    <w:p w:rsidR="002F63D8" w:rsidRPr="00A05C62" w:rsidRDefault="002F63D8" w:rsidP="00236EFD">
      <w:pPr>
        <w:jc w:val="both"/>
        <w:rPr>
          <w:rFonts w:ascii="Arial" w:hAnsi="Arial" w:cs="Arial"/>
        </w:rPr>
      </w:pPr>
    </w:p>
    <w:p w:rsidR="0028188C" w:rsidRPr="00A05C62" w:rsidRDefault="007C096F" w:rsidP="0069133B">
      <w:pPr>
        <w:pStyle w:val="Heading1"/>
        <w:rPr>
          <w:rFonts w:ascii="Arial" w:hAnsi="Arial" w:cs="Arial"/>
        </w:rPr>
      </w:pPr>
      <w:bookmarkStart w:id="15" w:name="_Toc216651427"/>
      <w:r w:rsidRPr="00A05C62">
        <w:rPr>
          <w:rFonts w:ascii="Arial" w:hAnsi="Arial" w:cs="Arial"/>
        </w:rPr>
        <w:lastRenderedPageBreak/>
        <w:t>6. CULTURAL DIFFERENCES AND MARKET ADAPTATION</w:t>
      </w:r>
      <w:bookmarkEnd w:id="15"/>
    </w:p>
    <w:p w:rsidR="0069133B" w:rsidRPr="00A05C62" w:rsidRDefault="0069133B" w:rsidP="0069133B">
      <w:pPr>
        <w:rPr>
          <w:rFonts w:ascii="Arial" w:hAnsi="Arial" w:cs="Arial"/>
        </w:rPr>
      </w:pPr>
    </w:p>
    <w:p w:rsidR="0028188C" w:rsidRPr="00A05C62" w:rsidRDefault="007C096F" w:rsidP="0069133B">
      <w:pPr>
        <w:pStyle w:val="Heading2"/>
        <w:rPr>
          <w:rFonts w:ascii="Arial" w:hAnsi="Arial" w:cs="Arial"/>
        </w:rPr>
      </w:pPr>
      <w:bookmarkStart w:id="16" w:name="_Toc216651428"/>
      <w:r w:rsidRPr="00A05C62">
        <w:rPr>
          <w:rFonts w:ascii="Arial" w:hAnsi="Arial" w:cs="Arial"/>
        </w:rPr>
        <w:t>The Importance of Cultural Understanding</w:t>
      </w:r>
      <w:bookmarkEnd w:id="16"/>
    </w:p>
    <w:p w:rsidR="00E71438" w:rsidRDefault="007C096F" w:rsidP="00236EFD">
      <w:pPr>
        <w:jc w:val="both"/>
        <w:rPr>
          <w:rFonts w:ascii="Arial" w:hAnsi="Arial" w:cs="Arial"/>
          <w:sz w:val="24"/>
        </w:rPr>
      </w:pPr>
      <w:r w:rsidRPr="00BD6DF3">
        <w:rPr>
          <w:rFonts w:ascii="Arial" w:hAnsi="Arial" w:cs="Arial"/>
          <w:sz w:val="24"/>
        </w:rPr>
        <w:t>Culture—the shared beliefs, values, customs, and behavioral norms of communities—fundamentally shapes consumer preferences, business practices, regulatory expectations, and organizational effectiveness (Hofstede, 2011). Companies failing to understand and adapt to cultural differences frequently struggle in international markets, despite possessing strong products and operational capabilities. Conversely, companies that respect cultural differences and adapt appropriately build stronger market positions and customer relationships. For Nestlé operating in India, cultural understanding shapes decisions about product formulation, marketing approaches, organizational practices, distribution strategies, and community engagement.</w:t>
      </w:r>
    </w:p>
    <w:p w:rsidR="0047096B" w:rsidRDefault="0047096B" w:rsidP="00236EFD">
      <w:pPr>
        <w:jc w:val="both"/>
        <w:rPr>
          <w:rFonts w:ascii="Arial" w:hAnsi="Arial" w:cs="Arial"/>
          <w:sz w:val="24"/>
        </w:rPr>
      </w:pPr>
    </w:p>
    <w:p w:rsidR="00E71438" w:rsidRDefault="00E71438" w:rsidP="00236EFD">
      <w:pPr>
        <w:jc w:val="both"/>
        <w:rPr>
          <w:rFonts w:ascii="Arial" w:hAnsi="Arial" w:cs="Arial"/>
          <w:sz w:val="24"/>
        </w:rPr>
      </w:pPr>
      <w:r w:rsidRPr="00E71438">
        <w:rPr>
          <w:rFonts w:ascii="Arial" w:hAnsi="Arial" w:cs="Arial"/>
          <w:sz w:val="24"/>
        </w:rPr>
        <w:drawing>
          <wp:inline distT="0" distB="0" distL="0" distR="0" wp14:anchorId="53CEC4FA" wp14:editId="630EBBA4">
            <wp:extent cx="5988690" cy="326068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988690" cy="3260686"/>
                    </a:xfrm>
                    <a:prstGeom prst="rect">
                      <a:avLst/>
                    </a:prstGeom>
                  </pic:spPr>
                </pic:pic>
              </a:graphicData>
            </a:graphic>
          </wp:inline>
        </w:drawing>
      </w:r>
    </w:p>
    <w:p w:rsidR="00E71438" w:rsidRDefault="00E71438" w:rsidP="00236EFD">
      <w:pPr>
        <w:jc w:val="both"/>
        <w:rPr>
          <w:rFonts w:ascii="Arial" w:hAnsi="Arial" w:cs="Arial"/>
          <w:sz w:val="24"/>
        </w:rPr>
      </w:pPr>
    </w:p>
    <w:p w:rsidR="00E71438" w:rsidRDefault="00E71438" w:rsidP="00236EFD">
      <w:pPr>
        <w:jc w:val="both"/>
        <w:rPr>
          <w:rFonts w:ascii="Arial" w:hAnsi="Arial" w:cs="Arial"/>
          <w:sz w:val="24"/>
        </w:rPr>
      </w:pPr>
      <w:r>
        <w:rPr>
          <w:rFonts w:ascii="Arial" w:hAnsi="Arial" w:cs="Arial"/>
          <w:sz w:val="24"/>
        </w:rPr>
        <w:t xml:space="preserve">Source: </w:t>
      </w:r>
      <w:r w:rsidRPr="00E71438">
        <w:rPr>
          <w:rFonts w:ascii="Arial" w:hAnsi="Arial" w:cs="Arial"/>
          <w:sz w:val="24"/>
        </w:rPr>
        <w:t>(The Culture Factor, 2020)</w:t>
      </w:r>
    </w:p>
    <w:p w:rsidR="00E71438" w:rsidRDefault="00E71438" w:rsidP="00E71438">
      <w:pPr>
        <w:rPr>
          <w:rFonts w:ascii="Arial" w:hAnsi="Arial" w:cs="Arial"/>
          <w:sz w:val="24"/>
        </w:rPr>
      </w:pPr>
      <w:r w:rsidRPr="00E71438">
        <w:rPr>
          <w:rFonts w:ascii="Arial" w:hAnsi="Arial" w:cs="Arial"/>
          <w:sz w:val="24"/>
        </w:rPr>
        <w:t>Available at:</w:t>
      </w:r>
      <w:r>
        <w:rPr>
          <w:rFonts w:ascii="Arial" w:hAnsi="Arial" w:cs="Arial"/>
          <w:sz w:val="24"/>
        </w:rPr>
        <w:t xml:space="preserve"> </w:t>
      </w:r>
      <w:hyperlink r:id="rId14" w:history="1">
        <w:r w:rsidRPr="00445D9A">
          <w:rPr>
            <w:rStyle w:val="Hyperlink"/>
            <w:rFonts w:ascii="Arial" w:hAnsi="Arial" w:cs="Arial"/>
            <w:sz w:val="24"/>
          </w:rPr>
          <w:t>https://www.theculturefactor.com/country-comparison-tool?countries=india%2Cswitzerland</w:t>
        </w:r>
      </w:hyperlink>
    </w:p>
    <w:p w:rsidR="00E71438" w:rsidRDefault="00E71438" w:rsidP="00236EFD">
      <w:pPr>
        <w:jc w:val="both"/>
        <w:rPr>
          <w:rFonts w:ascii="Arial" w:hAnsi="Arial" w:cs="Arial"/>
          <w:sz w:val="24"/>
        </w:rPr>
      </w:pPr>
    </w:p>
    <w:p w:rsidR="00E71438" w:rsidRPr="00BD6DF3" w:rsidRDefault="00E71438" w:rsidP="00236EFD">
      <w:pPr>
        <w:jc w:val="both"/>
        <w:rPr>
          <w:rFonts w:ascii="Arial" w:hAnsi="Arial" w:cs="Arial"/>
          <w:sz w:val="24"/>
        </w:rPr>
      </w:pPr>
    </w:p>
    <w:p w:rsidR="0028188C" w:rsidRPr="00A05C62" w:rsidRDefault="007C096F" w:rsidP="0069133B">
      <w:pPr>
        <w:pStyle w:val="Heading2"/>
        <w:rPr>
          <w:rFonts w:ascii="Arial" w:hAnsi="Arial" w:cs="Arial"/>
        </w:rPr>
      </w:pPr>
      <w:bookmarkStart w:id="17" w:name="_Toc216651429"/>
      <w:r w:rsidRPr="00A05C62">
        <w:rPr>
          <w:rFonts w:ascii="Arial" w:hAnsi="Arial" w:cs="Arial"/>
        </w:rPr>
        <w:lastRenderedPageBreak/>
        <w:t xml:space="preserve">Key Cultural Differences </w:t>
      </w:r>
      <w:r w:rsidR="00BD6DF3" w:rsidRPr="00A05C62">
        <w:rPr>
          <w:rFonts w:ascii="Arial" w:hAnsi="Arial" w:cs="Arial"/>
        </w:rPr>
        <w:t>between</w:t>
      </w:r>
      <w:r w:rsidRPr="00A05C62">
        <w:rPr>
          <w:rFonts w:ascii="Arial" w:hAnsi="Arial" w:cs="Arial"/>
        </w:rPr>
        <w:t xml:space="preserve"> Switzerland and India</w:t>
      </w:r>
      <w:bookmarkEnd w:id="17"/>
    </w:p>
    <w:p w:rsidR="0028188C" w:rsidRPr="00BD6DF3" w:rsidRDefault="007C096F" w:rsidP="00236EFD">
      <w:pPr>
        <w:jc w:val="both"/>
        <w:rPr>
          <w:rFonts w:ascii="Arial" w:hAnsi="Arial" w:cs="Arial"/>
          <w:sz w:val="24"/>
        </w:rPr>
      </w:pPr>
      <w:r w:rsidRPr="00BD6DF3">
        <w:rPr>
          <w:rFonts w:ascii="Arial" w:hAnsi="Arial" w:cs="Arial"/>
          <w:sz w:val="24"/>
        </w:rPr>
        <w:t>India's cultural context differs significantly from Switzerland's across multiple dimensions requiring systematic adaptation:</w:t>
      </w:r>
    </w:p>
    <w:p w:rsidR="0028188C" w:rsidRPr="00BD6DF3" w:rsidRDefault="007C096F" w:rsidP="00236EFD">
      <w:pPr>
        <w:jc w:val="both"/>
        <w:rPr>
          <w:rFonts w:ascii="Arial" w:hAnsi="Arial" w:cs="Arial"/>
          <w:sz w:val="24"/>
        </w:rPr>
      </w:pPr>
      <w:r w:rsidRPr="00BD6DF3">
        <w:rPr>
          <w:rFonts w:ascii="Arial" w:hAnsi="Arial" w:cs="Arial"/>
          <w:b/>
          <w:sz w:val="24"/>
        </w:rPr>
        <w:t xml:space="preserve">Food traditions and preferences: </w:t>
      </w:r>
      <w:r w:rsidRPr="00BD6DF3">
        <w:rPr>
          <w:rFonts w:ascii="Arial" w:hAnsi="Arial" w:cs="Arial"/>
          <w:sz w:val="24"/>
        </w:rPr>
        <w:t>Switzerland's food culture reflects Central European traditions emphasizing cheese, chocolate, and precision-engineered confectionery. India's food culture encompasses diverse regional traditions emphasizing spices, vegetarian options, and traditional preparation methods. Nestlé products for India must reflect these preferences. Maggi noodles sold in India offer masala and regional spice flavors unavailable in Swiss products. Nestlé India's dairy products reflect Indian preferences for milk-based products consumed in chai tea and traditional sweets.</w:t>
      </w:r>
    </w:p>
    <w:p w:rsidR="0028188C" w:rsidRPr="00BD6DF3" w:rsidRDefault="007C096F" w:rsidP="00236EFD">
      <w:pPr>
        <w:jc w:val="both"/>
        <w:rPr>
          <w:rFonts w:ascii="Arial" w:hAnsi="Arial" w:cs="Arial"/>
          <w:sz w:val="24"/>
        </w:rPr>
      </w:pPr>
      <w:r w:rsidRPr="00BD6DF3">
        <w:rPr>
          <w:rFonts w:ascii="Arial" w:hAnsi="Arial" w:cs="Arial"/>
          <w:b/>
          <w:sz w:val="24"/>
        </w:rPr>
        <w:t xml:space="preserve">Consumer income and purchasing patterns: </w:t>
      </w:r>
      <w:r w:rsidRPr="00BD6DF3">
        <w:rPr>
          <w:rFonts w:ascii="Arial" w:hAnsi="Arial" w:cs="Arial"/>
          <w:sz w:val="24"/>
        </w:rPr>
        <w:t>Switzerland's high-income population routinely purchases packaged foods. India's income distribution is far more uneven, with substantial populations having limited purchasing power. Nestlé India adapted by offering smaller package sizes and lower price points than Swiss market products, enabling lower-income consumers to access Nestlé brands.</w:t>
      </w:r>
    </w:p>
    <w:p w:rsidR="0028188C" w:rsidRPr="00BD6DF3" w:rsidRDefault="007C096F" w:rsidP="00236EFD">
      <w:pPr>
        <w:jc w:val="both"/>
        <w:rPr>
          <w:rFonts w:ascii="Arial" w:hAnsi="Arial" w:cs="Arial"/>
          <w:sz w:val="24"/>
        </w:rPr>
      </w:pPr>
      <w:r w:rsidRPr="00BD6DF3">
        <w:rPr>
          <w:rFonts w:ascii="Arial" w:hAnsi="Arial" w:cs="Arial"/>
          <w:b/>
          <w:sz w:val="24"/>
        </w:rPr>
        <w:t xml:space="preserve">Retail infrastructure: </w:t>
      </w:r>
      <w:r w:rsidRPr="00BD6DF3">
        <w:rPr>
          <w:rFonts w:ascii="Arial" w:hAnsi="Arial" w:cs="Arial"/>
          <w:sz w:val="24"/>
        </w:rPr>
        <w:t>Switzerland features modern supermarkets and efficient distribution systems. India's retail landscape remains highly fragmented, with most consumers shopping at small independent grocery stores. Nestlé India adapted by establishing extensive distribution networks through small wholesalers and retailers, investing in technology to support informal retail channels.</w:t>
      </w:r>
    </w:p>
    <w:p w:rsidR="0028188C" w:rsidRPr="00BD6DF3" w:rsidRDefault="007C096F" w:rsidP="00236EFD">
      <w:pPr>
        <w:jc w:val="both"/>
        <w:rPr>
          <w:rFonts w:ascii="Arial" w:hAnsi="Arial" w:cs="Arial"/>
          <w:sz w:val="24"/>
        </w:rPr>
      </w:pPr>
      <w:r w:rsidRPr="00BD6DF3">
        <w:rPr>
          <w:rFonts w:ascii="Arial" w:hAnsi="Arial" w:cs="Arial"/>
          <w:b/>
          <w:sz w:val="24"/>
        </w:rPr>
        <w:t xml:space="preserve">Organizational culture expectations: </w:t>
      </w:r>
      <w:r w:rsidRPr="00BD6DF3">
        <w:rPr>
          <w:rFonts w:ascii="Arial" w:hAnsi="Arial" w:cs="Arial"/>
          <w:sz w:val="24"/>
        </w:rPr>
        <w:t>Switzerland's business culture emphasizes egalitarianism, direct communication, and individualism. Indian business culture places greater emphasis on hierarchy, relationship-building, and collective group identity. Nestlé India adapted its organizational culture, management styles, and HR practices to align with Indian business norms while maintaining core Nestlé values.</w:t>
      </w:r>
    </w:p>
    <w:p w:rsidR="0028188C" w:rsidRPr="00BD6DF3" w:rsidRDefault="007C096F" w:rsidP="00236EFD">
      <w:pPr>
        <w:jc w:val="both"/>
        <w:rPr>
          <w:rFonts w:ascii="Arial" w:hAnsi="Arial" w:cs="Arial"/>
          <w:sz w:val="24"/>
        </w:rPr>
      </w:pPr>
      <w:r w:rsidRPr="00BD6DF3">
        <w:rPr>
          <w:rFonts w:ascii="Arial" w:hAnsi="Arial" w:cs="Arial"/>
          <w:b/>
          <w:sz w:val="24"/>
        </w:rPr>
        <w:t xml:space="preserve">Religious and dietary requirements: </w:t>
      </w:r>
      <w:r w:rsidRPr="00BD6DF3">
        <w:rPr>
          <w:rFonts w:ascii="Arial" w:hAnsi="Arial" w:cs="Arial"/>
          <w:sz w:val="24"/>
        </w:rPr>
        <w:t>Hinduism, Islam, and other religions practiced in India create specific dietary requirements and restrictions. Nestlé India ensures product compliance with religious dietary laws and offers vegetarian options widely popular in India. The company also respects religious festivals and cultural occasions in marketing and community engagement.</w:t>
      </w:r>
    </w:p>
    <w:p w:rsidR="0028188C" w:rsidRPr="00BD6DF3" w:rsidRDefault="007C096F" w:rsidP="00236EFD">
      <w:pPr>
        <w:jc w:val="both"/>
        <w:rPr>
          <w:rFonts w:ascii="Arial" w:hAnsi="Arial" w:cs="Arial"/>
          <w:sz w:val="24"/>
        </w:rPr>
      </w:pPr>
      <w:r w:rsidRPr="00BD6DF3">
        <w:rPr>
          <w:rFonts w:ascii="Arial" w:hAnsi="Arial" w:cs="Arial"/>
          <w:b/>
          <w:sz w:val="24"/>
        </w:rPr>
        <w:t xml:space="preserve">Environmental consciousness: </w:t>
      </w:r>
      <w:r w:rsidRPr="00BD6DF3">
        <w:rPr>
          <w:rFonts w:ascii="Arial" w:hAnsi="Arial" w:cs="Arial"/>
          <w:sz w:val="24"/>
        </w:rPr>
        <w:t>India faces significant environmental challenges including water scarcity, air pollution, and waste management issues. Consumer and regulatory expectations increasingly emphasize environmental responsibility. Nestlé India invested in water conservation, sustainable sourcing, and waste reduction programmes, aligning with growing environmental consciousness (Nestle India Ltd., 2025).</w:t>
      </w:r>
    </w:p>
    <w:p w:rsidR="0028188C" w:rsidRPr="00A05C62" w:rsidRDefault="007C096F" w:rsidP="0069133B">
      <w:pPr>
        <w:pStyle w:val="Heading2"/>
        <w:rPr>
          <w:rFonts w:ascii="Arial" w:hAnsi="Arial" w:cs="Arial"/>
        </w:rPr>
      </w:pPr>
      <w:bookmarkStart w:id="18" w:name="_Toc216651430"/>
      <w:r w:rsidRPr="00A05C62">
        <w:rPr>
          <w:rFonts w:ascii="Arial" w:hAnsi="Arial" w:cs="Arial"/>
        </w:rPr>
        <w:lastRenderedPageBreak/>
        <w:t>Nestlé's Systematic Cultural Adaptation Strategy</w:t>
      </w:r>
      <w:bookmarkEnd w:id="18"/>
    </w:p>
    <w:p w:rsidR="0028188C" w:rsidRPr="00BD6DF3" w:rsidRDefault="007C096F" w:rsidP="00236EFD">
      <w:pPr>
        <w:jc w:val="both"/>
        <w:rPr>
          <w:rFonts w:ascii="Arial" w:hAnsi="Arial" w:cs="Arial"/>
          <w:sz w:val="24"/>
        </w:rPr>
      </w:pPr>
      <w:r w:rsidRPr="00BD6DF3">
        <w:rPr>
          <w:rFonts w:ascii="Arial" w:hAnsi="Arial" w:cs="Arial"/>
          <w:sz w:val="24"/>
        </w:rPr>
        <w:t>Nestlé's success in India reflects systematic cultural adaptation across all business functions:</w:t>
      </w:r>
    </w:p>
    <w:p w:rsidR="0028188C" w:rsidRPr="00BD6DF3" w:rsidRDefault="007C096F" w:rsidP="00236EFD">
      <w:pPr>
        <w:jc w:val="both"/>
        <w:rPr>
          <w:rFonts w:ascii="Arial" w:hAnsi="Arial" w:cs="Arial"/>
          <w:sz w:val="24"/>
        </w:rPr>
      </w:pPr>
      <w:r w:rsidRPr="00BD6DF3">
        <w:rPr>
          <w:rFonts w:ascii="Arial" w:hAnsi="Arial" w:cs="Arial"/>
          <w:b/>
          <w:sz w:val="24"/>
        </w:rPr>
        <w:t xml:space="preserve">Product adaptation: </w:t>
      </w:r>
      <w:r w:rsidRPr="00BD6DF3">
        <w:rPr>
          <w:rFonts w:ascii="Arial" w:hAnsi="Arial" w:cs="Arial"/>
          <w:sz w:val="24"/>
        </w:rPr>
        <w:t>Rather than selling identical Swiss products, Nestlé India customized its entire portfolio. Maggi noodles offer Indian spice flavors. Dairy products reflect Indian preferences. Coffee products include options for preparation methods common in India. Confectionery products incorporate flavors popular in Indian consumers.</w:t>
      </w:r>
    </w:p>
    <w:p w:rsidR="0028188C" w:rsidRPr="00BD6DF3" w:rsidRDefault="007C096F" w:rsidP="00236EFD">
      <w:pPr>
        <w:jc w:val="both"/>
        <w:rPr>
          <w:rFonts w:ascii="Arial" w:hAnsi="Arial" w:cs="Arial"/>
          <w:sz w:val="24"/>
        </w:rPr>
      </w:pPr>
      <w:r w:rsidRPr="00BD6DF3">
        <w:rPr>
          <w:rFonts w:ascii="Arial" w:hAnsi="Arial" w:cs="Arial"/>
          <w:b/>
          <w:sz w:val="24"/>
        </w:rPr>
        <w:t xml:space="preserve">Pricing strategy: </w:t>
      </w:r>
      <w:r w:rsidRPr="00BD6DF3">
        <w:rPr>
          <w:rFonts w:ascii="Arial" w:hAnsi="Arial" w:cs="Arial"/>
          <w:sz w:val="24"/>
        </w:rPr>
        <w:t>Nestlé India offers smaller package sizes and lower price points than developed market products, enabling access for price-sensitive consumers while maintaining profitability through volume sales.</w:t>
      </w:r>
    </w:p>
    <w:p w:rsidR="0028188C" w:rsidRPr="00BD6DF3" w:rsidRDefault="007C096F" w:rsidP="00236EFD">
      <w:pPr>
        <w:jc w:val="both"/>
        <w:rPr>
          <w:rFonts w:ascii="Arial" w:hAnsi="Arial" w:cs="Arial"/>
          <w:sz w:val="24"/>
        </w:rPr>
      </w:pPr>
      <w:r w:rsidRPr="00BD6DF3">
        <w:rPr>
          <w:rFonts w:ascii="Arial" w:hAnsi="Arial" w:cs="Arial"/>
          <w:b/>
          <w:sz w:val="24"/>
        </w:rPr>
        <w:t xml:space="preserve">Distribution strategy: </w:t>
      </w:r>
      <w:r w:rsidRPr="00BD6DF3">
        <w:rPr>
          <w:rFonts w:ascii="Arial" w:hAnsi="Arial" w:cs="Arial"/>
          <w:sz w:val="24"/>
        </w:rPr>
        <w:t>Rather than relying on supermarkets, Nestlé India invested in direct relationships with small retailers, wholesalers, and distributors, building distribution networks suited to India's retail structure.</w:t>
      </w:r>
    </w:p>
    <w:p w:rsidR="0028188C" w:rsidRPr="00BD6DF3" w:rsidRDefault="007C096F" w:rsidP="00236EFD">
      <w:pPr>
        <w:jc w:val="both"/>
        <w:rPr>
          <w:rFonts w:ascii="Arial" w:hAnsi="Arial" w:cs="Arial"/>
          <w:sz w:val="24"/>
        </w:rPr>
      </w:pPr>
      <w:r w:rsidRPr="00BD6DF3">
        <w:rPr>
          <w:rFonts w:ascii="Arial" w:hAnsi="Arial" w:cs="Arial"/>
          <w:b/>
          <w:sz w:val="24"/>
        </w:rPr>
        <w:t xml:space="preserve">Marketing and communication: </w:t>
      </w:r>
      <w:r w:rsidRPr="00BD6DF3">
        <w:rPr>
          <w:rFonts w:ascii="Arial" w:hAnsi="Arial" w:cs="Arial"/>
          <w:sz w:val="24"/>
        </w:rPr>
        <w:t>Nestlé India's marketing employs local languages, references local cultural values, and partners with local celebrities and influencers. Marketing campaigns reflect Indian contexts, celebrations, and consumer aspirations.</w:t>
      </w:r>
    </w:p>
    <w:p w:rsidR="0028188C" w:rsidRPr="00BD6DF3" w:rsidRDefault="007C096F" w:rsidP="00236EFD">
      <w:pPr>
        <w:jc w:val="both"/>
        <w:rPr>
          <w:rFonts w:ascii="Arial" w:hAnsi="Arial" w:cs="Arial"/>
          <w:sz w:val="24"/>
        </w:rPr>
      </w:pPr>
      <w:r w:rsidRPr="00BD6DF3">
        <w:rPr>
          <w:rFonts w:ascii="Arial" w:hAnsi="Arial" w:cs="Arial"/>
          <w:b/>
          <w:sz w:val="24"/>
        </w:rPr>
        <w:t xml:space="preserve">Supply chain engagement: </w:t>
      </w:r>
      <w:r w:rsidRPr="00BD6DF3">
        <w:rPr>
          <w:rFonts w:ascii="Arial" w:hAnsi="Arial" w:cs="Arial"/>
          <w:sz w:val="24"/>
        </w:rPr>
        <w:t>Rather than importing all inputs from Switzerland, Nestlé sources extensively from Indian suppliers and farmers, supporting local agricultural communities while reducing costs and improving supply security.</w:t>
      </w:r>
    </w:p>
    <w:p w:rsidR="0028188C" w:rsidRPr="00BD6DF3" w:rsidRDefault="007C096F" w:rsidP="00236EFD">
      <w:pPr>
        <w:jc w:val="both"/>
        <w:rPr>
          <w:rFonts w:ascii="Arial" w:hAnsi="Arial" w:cs="Arial"/>
          <w:sz w:val="24"/>
        </w:rPr>
      </w:pPr>
      <w:r w:rsidRPr="00BD6DF3">
        <w:rPr>
          <w:rFonts w:ascii="Arial" w:hAnsi="Arial" w:cs="Arial"/>
          <w:b/>
          <w:sz w:val="24"/>
        </w:rPr>
        <w:t xml:space="preserve">Community engagement: </w:t>
      </w:r>
      <w:r w:rsidRPr="00BD6DF3">
        <w:rPr>
          <w:rFonts w:ascii="Arial" w:hAnsi="Arial" w:cs="Arial"/>
          <w:sz w:val="24"/>
        </w:rPr>
        <w:t>Nestlé India invests in community programmes addressing education, health, nutrition, and environmental concerns important to Indian communities, building social legitimacy and brand affinity.</w:t>
      </w:r>
    </w:p>
    <w:p w:rsidR="0028188C" w:rsidRPr="00BD6DF3" w:rsidRDefault="007C096F" w:rsidP="00236EFD">
      <w:pPr>
        <w:jc w:val="both"/>
        <w:rPr>
          <w:rFonts w:ascii="Arial" w:hAnsi="Arial" w:cs="Arial"/>
          <w:sz w:val="24"/>
        </w:rPr>
      </w:pPr>
      <w:r w:rsidRPr="00BD6DF3">
        <w:rPr>
          <w:rFonts w:ascii="Arial" w:hAnsi="Arial" w:cs="Arial"/>
          <w:b/>
          <w:sz w:val="24"/>
        </w:rPr>
        <w:t xml:space="preserve">Organizational practices: </w:t>
      </w:r>
      <w:r w:rsidRPr="00BD6DF3">
        <w:rPr>
          <w:rFonts w:ascii="Arial" w:hAnsi="Arial" w:cs="Arial"/>
          <w:sz w:val="24"/>
        </w:rPr>
        <w:t>Nestlé India employs thousands of Indian nationals in management, technical, and operational roles, adapting HR practices, management styles, and organizational culture to Indian business norms.</w:t>
      </w:r>
    </w:p>
    <w:p w:rsidR="00066599" w:rsidRDefault="00066599" w:rsidP="00236EFD">
      <w:pPr>
        <w:jc w:val="both"/>
        <w:rPr>
          <w:rFonts w:ascii="Arial" w:hAnsi="Arial" w:cs="Arial"/>
          <w:b/>
          <w:sz w:val="24"/>
        </w:rPr>
      </w:pPr>
    </w:p>
    <w:p w:rsidR="00BD6DF3" w:rsidRDefault="00BD6DF3" w:rsidP="00236EFD">
      <w:pPr>
        <w:jc w:val="both"/>
        <w:rPr>
          <w:rFonts w:ascii="Arial" w:hAnsi="Arial" w:cs="Arial"/>
          <w:b/>
          <w:sz w:val="24"/>
        </w:rPr>
      </w:pPr>
    </w:p>
    <w:p w:rsidR="00BD6DF3" w:rsidRDefault="00BD6DF3" w:rsidP="00236EFD">
      <w:pPr>
        <w:jc w:val="both"/>
        <w:rPr>
          <w:rFonts w:ascii="Arial" w:hAnsi="Arial" w:cs="Arial"/>
          <w:b/>
          <w:sz w:val="24"/>
        </w:rPr>
      </w:pPr>
    </w:p>
    <w:p w:rsidR="00BD6DF3" w:rsidRDefault="00BD6DF3" w:rsidP="00236EFD">
      <w:pPr>
        <w:jc w:val="both"/>
        <w:rPr>
          <w:rFonts w:ascii="Arial" w:hAnsi="Arial" w:cs="Arial"/>
          <w:b/>
          <w:sz w:val="24"/>
        </w:rPr>
      </w:pPr>
    </w:p>
    <w:p w:rsidR="00BD6DF3" w:rsidRDefault="00BD6DF3" w:rsidP="00236EFD">
      <w:pPr>
        <w:jc w:val="both"/>
        <w:rPr>
          <w:rFonts w:ascii="Arial" w:hAnsi="Arial" w:cs="Arial"/>
          <w:b/>
          <w:sz w:val="24"/>
        </w:rPr>
      </w:pPr>
    </w:p>
    <w:p w:rsidR="0028188C" w:rsidRPr="00A05C62" w:rsidRDefault="007C096F" w:rsidP="0069133B">
      <w:pPr>
        <w:pStyle w:val="Heading1"/>
        <w:rPr>
          <w:rFonts w:ascii="Arial" w:hAnsi="Arial" w:cs="Arial"/>
        </w:rPr>
      </w:pPr>
      <w:bookmarkStart w:id="19" w:name="_Toc216651431"/>
      <w:r w:rsidRPr="00A05C62">
        <w:rPr>
          <w:rFonts w:ascii="Arial" w:hAnsi="Arial" w:cs="Arial"/>
        </w:rPr>
        <w:lastRenderedPageBreak/>
        <w:t>7. NESTLÉ'S GLOBAL PERFORMANCE AND MARKET ACHIEVEMENTS</w:t>
      </w:r>
      <w:bookmarkEnd w:id="19"/>
    </w:p>
    <w:p w:rsidR="0069133B" w:rsidRPr="00A05C62" w:rsidRDefault="0069133B" w:rsidP="0069133B">
      <w:pPr>
        <w:rPr>
          <w:rFonts w:ascii="Arial" w:hAnsi="Arial" w:cs="Arial"/>
        </w:rPr>
      </w:pPr>
    </w:p>
    <w:p w:rsidR="0028188C" w:rsidRPr="00BD6DF3" w:rsidRDefault="007C096F" w:rsidP="00236EFD">
      <w:pPr>
        <w:jc w:val="both"/>
        <w:rPr>
          <w:rFonts w:ascii="Arial" w:hAnsi="Arial" w:cs="Arial"/>
          <w:sz w:val="24"/>
        </w:rPr>
      </w:pPr>
      <w:r w:rsidRPr="00BD6DF3">
        <w:rPr>
          <w:rFonts w:ascii="Arial" w:hAnsi="Arial" w:cs="Arial"/>
          <w:sz w:val="24"/>
        </w:rPr>
        <w:t>Nestlé's international operations generate substantial financial returns and market presence across diverse geographies. In 2024, Nestlé reported total sales of approximately CHF 93.6 billion (Swiss Francs), with organic growth of approximately 2.2% (Nestle, 2024b). This modest growth reflects challenging global market conditions, yet demonstrates resilience across diverse geographies and product categories. Understanding Nestlé's performance reveals how multinational enterprises leverage global scale while navigating complex market dynamics.</w:t>
      </w:r>
    </w:p>
    <w:p w:rsidR="0028188C" w:rsidRPr="00BD6DF3" w:rsidRDefault="007C096F" w:rsidP="00236EFD">
      <w:pPr>
        <w:jc w:val="both"/>
        <w:rPr>
          <w:rFonts w:ascii="Arial" w:hAnsi="Arial" w:cs="Arial"/>
          <w:sz w:val="24"/>
        </w:rPr>
      </w:pPr>
      <w:r w:rsidRPr="00BD6DF3">
        <w:rPr>
          <w:rFonts w:ascii="Arial" w:hAnsi="Arial" w:cs="Arial"/>
          <w:sz w:val="24"/>
        </w:rPr>
        <w:t>Revenue generation reflects geographic diversification across three primary zones. Zone Americas, following 2025 reorganization, contributed significant revenues, with Latin American markets like Brazil and Mexico demonstrating particular strength, though smaller markets showed more uneven performance. Zone Europe represents a mature, established market with generally stable performance, though competitive pressures in some categories affected market share. Zone Asia, Oceania and Africa represents Nestlé's highest-growth region, with strong contributions from emerging markets including India, Philippines, Central and West Africa, and South Asia, despite challenges in Greater China where the company is actively restructuring its business model (Nestle, 2024b). This geographical diversification insulates Nestlé from dependence upon any single market. When developed markets experience stagnation or recession, growth in emerging markets sustains overall corporate performance.</w:t>
      </w:r>
    </w:p>
    <w:p w:rsidR="0028188C" w:rsidRPr="00BD6DF3" w:rsidRDefault="007C096F" w:rsidP="00236EFD">
      <w:pPr>
        <w:jc w:val="both"/>
        <w:rPr>
          <w:rFonts w:ascii="Arial" w:hAnsi="Arial" w:cs="Arial"/>
          <w:sz w:val="24"/>
        </w:rPr>
      </w:pPr>
      <w:r w:rsidRPr="00BD6DF3">
        <w:rPr>
          <w:rFonts w:ascii="Arial" w:hAnsi="Arial" w:cs="Arial"/>
          <w:sz w:val="24"/>
        </w:rPr>
        <w:t xml:space="preserve">Nestlé's international operations generate significant cost efficiencies through several mechanisms. Global scale enables economies of scale in procurement, with the company's massive purchasing volume providing leverage in raw material sourcing. Manufacturing </w:t>
      </w:r>
      <w:r w:rsidR="00D506CF" w:rsidRPr="00BD6DF3">
        <w:rPr>
          <w:rFonts w:ascii="Arial" w:hAnsi="Arial" w:cs="Arial"/>
          <w:sz w:val="24"/>
        </w:rPr>
        <w:t>standardization</w:t>
      </w:r>
      <w:r w:rsidRPr="00BD6DF3">
        <w:rPr>
          <w:rFonts w:ascii="Arial" w:hAnsi="Arial" w:cs="Arial"/>
          <w:sz w:val="24"/>
        </w:rPr>
        <w:t xml:space="preserve"> permits reduction of per-unit production costs through process efficiency and automation. Global supply chain coordination optimises transportation and logistics. Despite these efficiencies, Nestlé faces ongoing pressures on margins from rising input costs, labour inflation in developed markets, and increased marketing investments required to compete effectively in emerging markets. Recent results show operating profit margins of approximately 20-21% across core business segments, with variations reflecting different market characteristics and product category profitability (Nestle, 2024b).</w:t>
      </w:r>
    </w:p>
    <w:p w:rsidR="0028188C" w:rsidRPr="00BD6DF3" w:rsidRDefault="007C096F" w:rsidP="00236EFD">
      <w:pPr>
        <w:jc w:val="both"/>
        <w:rPr>
          <w:rFonts w:ascii="Arial" w:hAnsi="Arial" w:cs="Arial"/>
          <w:sz w:val="24"/>
        </w:rPr>
      </w:pPr>
      <w:r w:rsidRPr="00BD6DF3">
        <w:rPr>
          <w:rFonts w:ascii="Arial" w:hAnsi="Arial" w:cs="Arial"/>
          <w:sz w:val="24"/>
        </w:rPr>
        <w:t xml:space="preserve">Operating across 185 countries and diverse product categories provides Nestlé with substantial portfolio-level risk diversification. Risks present in specific markets or categories are offset by stability in other geographies or product areas. For example, economic slowdown in Europe is partially offset by growth in emerging Asia. Regulatory challenges in one country do not affect operations across the entire portfolio. </w:t>
      </w:r>
      <w:r w:rsidRPr="00BD6DF3">
        <w:rPr>
          <w:rFonts w:ascii="Arial" w:hAnsi="Arial" w:cs="Arial"/>
          <w:sz w:val="24"/>
        </w:rPr>
        <w:lastRenderedPageBreak/>
        <w:t>Additionally, product category diversification ensures that while some categories like confectionery face competitive pressures, others like medical nutrition and premium beverages demonstrate strong growth. This risk diversification contributes significantly to Nestlé's ability to maintain shareholder returns and fund long-term investments even during periods of regional economic weakness.</w:t>
      </w:r>
    </w:p>
    <w:p w:rsidR="0028188C" w:rsidRPr="00BD6DF3" w:rsidRDefault="007C096F" w:rsidP="00236EFD">
      <w:pPr>
        <w:jc w:val="both"/>
        <w:rPr>
          <w:rFonts w:ascii="Arial" w:hAnsi="Arial" w:cs="Arial"/>
          <w:sz w:val="24"/>
        </w:rPr>
      </w:pPr>
      <w:r w:rsidRPr="00BD6DF3">
        <w:rPr>
          <w:rFonts w:ascii="Arial" w:hAnsi="Arial" w:cs="Arial"/>
          <w:sz w:val="24"/>
        </w:rPr>
        <w:t>Beyond financial metrics, Nestlé has achieved considerable recognition for sustainability leadership and responsible business practices. The company's commitment to net-zero emissions by 2050, responsible sourcing standards implemented globally, supply chain transparency initiatives, and investments in regenerative agriculture position Nestlé as an environmental leader within the food and beverage industry. These sustainability achievements create tangible business advantages. Increasingly, consumers and institutional purchasers prefer suppliers demonstrating environmental and social responsibility. Nestlé's sustainability credentials enable premium positioning, access to institutional customers with sustainability requirements, and risk mitigation regarding future regulatory restrictions on carbon-intensive operations. In India specifically, Nestlé's investments in responsible sourcing programmes, water conservation, and sustainable packaging align with India's growing environmental consciousness and regulatory focus (Nestle India Ltd., 2025).</w:t>
      </w:r>
    </w:p>
    <w:p w:rsidR="0028188C" w:rsidRPr="00A05C62" w:rsidRDefault="007C096F" w:rsidP="00236EFD">
      <w:pPr>
        <w:jc w:val="both"/>
        <w:rPr>
          <w:rFonts w:ascii="Arial" w:hAnsi="Arial" w:cs="Arial"/>
        </w:rPr>
      </w:pPr>
      <w:r w:rsidRPr="00BD6DF3">
        <w:rPr>
          <w:rFonts w:ascii="Arial" w:hAnsi="Arial" w:cs="Arial"/>
          <w:sz w:val="24"/>
        </w:rPr>
        <w:t>Nestlé's international operations represent a living laboratory for knowledge transfer, innovation, and capability development. Best practices developed in one region transfer to others. Innovations emerging from regional R&amp;D centres—such as new formulations adapted to local preferences—can subsequently be adapted for other markets. Management talent develops through exposure to diverse international contexts. This knowledge transfer process strengthens the entire organization, as learning flows not only from headquarters to subsidiaries, but also from subsidiaries back to headquarters and between regional operations. Over time, this creates an increasingly sophisticated global organization capable of responding effectively to diverse market conditions while maintaining operational consistency.</w:t>
      </w:r>
    </w:p>
    <w:p w:rsidR="0028188C" w:rsidRPr="00A05C62" w:rsidRDefault="0028188C" w:rsidP="00236EFD">
      <w:pPr>
        <w:jc w:val="both"/>
        <w:rPr>
          <w:rFonts w:ascii="Arial" w:hAnsi="Arial" w:cs="Arial"/>
        </w:rPr>
      </w:pPr>
    </w:p>
    <w:p w:rsidR="007A4009" w:rsidRPr="00A05C62" w:rsidRDefault="007A4009" w:rsidP="00236EFD">
      <w:pPr>
        <w:jc w:val="both"/>
        <w:rPr>
          <w:rFonts w:ascii="Arial" w:hAnsi="Arial" w:cs="Arial"/>
          <w:b/>
          <w:sz w:val="24"/>
        </w:rPr>
      </w:pPr>
    </w:p>
    <w:p w:rsidR="007A4009" w:rsidRPr="00A05C62" w:rsidRDefault="007A4009" w:rsidP="00236EFD">
      <w:pPr>
        <w:jc w:val="both"/>
        <w:rPr>
          <w:rFonts w:ascii="Arial" w:hAnsi="Arial" w:cs="Arial"/>
          <w:b/>
          <w:sz w:val="24"/>
        </w:rPr>
      </w:pPr>
    </w:p>
    <w:p w:rsidR="007A4009" w:rsidRPr="00A05C62" w:rsidRDefault="007A4009" w:rsidP="00236EFD">
      <w:pPr>
        <w:jc w:val="both"/>
        <w:rPr>
          <w:rFonts w:ascii="Arial" w:hAnsi="Arial" w:cs="Arial"/>
          <w:b/>
          <w:sz w:val="24"/>
        </w:rPr>
      </w:pPr>
    </w:p>
    <w:p w:rsidR="007A4009" w:rsidRPr="00A05C62" w:rsidRDefault="007A4009" w:rsidP="00236EFD">
      <w:pPr>
        <w:jc w:val="both"/>
        <w:rPr>
          <w:rFonts w:ascii="Arial" w:hAnsi="Arial" w:cs="Arial"/>
          <w:b/>
          <w:sz w:val="24"/>
        </w:rPr>
      </w:pPr>
    </w:p>
    <w:p w:rsidR="007A4009" w:rsidRPr="00A05C62" w:rsidRDefault="007A4009" w:rsidP="00236EFD">
      <w:pPr>
        <w:jc w:val="both"/>
        <w:rPr>
          <w:rFonts w:ascii="Arial" w:hAnsi="Arial" w:cs="Arial"/>
          <w:b/>
          <w:sz w:val="24"/>
        </w:rPr>
      </w:pPr>
    </w:p>
    <w:p w:rsidR="007A4009" w:rsidRPr="00A05C62" w:rsidRDefault="007A4009" w:rsidP="00236EFD">
      <w:pPr>
        <w:jc w:val="both"/>
        <w:rPr>
          <w:rFonts w:ascii="Arial" w:hAnsi="Arial" w:cs="Arial"/>
          <w:b/>
          <w:sz w:val="24"/>
        </w:rPr>
      </w:pPr>
    </w:p>
    <w:p w:rsidR="0028188C" w:rsidRPr="00A05C62" w:rsidRDefault="007C096F" w:rsidP="0069133B">
      <w:pPr>
        <w:pStyle w:val="Heading1"/>
        <w:rPr>
          <w:rFonts w:ascii="Arial" w:hAnsi="Arial" w:cs="Arial"/>
        </w:rPr>
      </w:pPr>
      <w:bookmarkStart w:id="20" w:name="_Toc216651432"/>
      <w:r w:rsidRPr="00A05C62">
        <w:rPr>
          <w:rFonts w:ascii="Arial" w:hAnsi="Arial" w:cs="Arial"/>
        </w:rPr>
        <w:lastRenderedPageBreak/>
        <w:t>8. RECOMMENDATIONS FOR STRENGTHENING NESTLÉ'S INDIA OPERATIONS</w:t>
      </w:r>
      <w:bookmarkEnd w:id="20"/>
    </w:p>
    <w:p w:rsidR="000F39C6" w:rsidRPr="000F39C6" w:rsidRDefault="000F39C6" w:rsidP="000F39C6">
      <w:pPr>
        <w:jc w:val="both"/>
        <w:rPr>
          <w:rFonts w:ascii="Arial" w:hAnsi="Arial" w:cs="Arial"/>
          <w:sz w:val="24"/>
        </w:rPr>
      </w:pPr>
      <w:r w:rsidRPr="000F39C6">
        <w:rPr>
          <w:rFonts w:ascii="Arial" w:hAnsi="Arial" w:cs="Arial"/>
          <w:sz w:val="24"/>
        </w:rPr>
        <w:t xml:space="preserve">Based on the analysis above, several recommendations would strengthen Nestlé's continued expansion </w:t>
      </w:r>
      <w:r w:rsidRPr="000F39C6">
        <w:rPr>
          <w:rFonts w:ascii="Arial" w:hAnsi="Arial" w:cs="Arial"/>
          <w:sz w:val="24"/>
        </w:rPr>
        <w:t>and long-term success in India:</w:t>
      </w:r>
    </w:p>
    <w:p w:rsidR="000F39C6" w:rsidRPr="000F39C6" w:rsidRDefault="000F39C6" w:rsidP="000F39C6">
      <w:pPr>
        <w:pStyle w:val="ListParagraph"/>
        <w:numPr>
          <w:ilvl w:val="0"/>
          <w:numId w:val="10"/>
        </w:numPr>
        <w:jc w:val="both"/>
        <w:rPr>
          <w:rFonts w:ascii="Arial" w:hAnsi="Arial" w:cs="Arial"/>
          <w:sz w:val="24"/>
        </w:rPr>
      </w:pPr>
      <w:r w:rsidRPr="000F39C6">
        <w:rPr>
          <w:rFonts w:ascii="Arial" w:hAnsi="Arial" w:cs="Arial"/>
          <w:sz w:val="24"/>
        </w:rPr>
        <w:t>Expand rural market penetration by deepening distribution in small towns and villages, tailoring products and pricing to rural consumers, and building stronger rural retail partnerships (Nestlé India Ltd.</w:t>
      </w:r>
      <w:r w:rsidRPr="000F39C6">
        <w:rPr>
          <w:rFonts w:ascii="Arial" w:hAnsi="Arial" w:cs="Arial"/>
          <w:sz w:val="24"/>
        </w:rPr>
        <w:t>, 2025; Economic Times, 2025).​</w:t>
      </w:r>
    </w:p>
    <w:p w:rsidR="000F39C6" w:rsidRPr="000F39C6" w:rsidRDefault="000F39C6" w:rsidP="000F39C6">
      <w:pPr>
        <w:pStyle w:val="ListParagraph"/>
        <w:numPr>
          <w:ilvl w:val="0"/>
          <w:numId w:val="10"/>
        </w:numPr>
        <w:jc w:val="both"/>
        <w:rPr>
          <w:rFonts w:ascii="Arial" w:hAnsi="Arial" w:cs="Arial"/>
          <w:sz w:val="24"/>
        </w:rPr>
      </w:pPr>
      <w:r w:rsidRPr="000F39C6">
        <w:rPr>
          <w:rFonts w:ascii="Arial" w:hAnsi="Arial" w:cs="Arial"/>
          <w:sz w:val="24"/>
        </w:rPr>
        <w:t>Strengthen sustainability leadership through expanded initiatives in water conservation, regenerative agriculture, sustainable sourcing, and waste reduction to build trust with environmentally conscious consumers (Nestlé, 2</w:t>
      </w:r>
      <w:r w:rsidRPr="000F39C6">
        <w:rPr>
          <w:rFonts w:ascii="Arial" w:hAnsi="Arial" w:cs="Arial"/>
          <w:sz w:val="24"/>
        </w:rPr>
        <w:t>022; Nestlé India Ltd., 2024).​</w:t>
      </w:r>
    </w:p>
    <w:p w:rsidR="000F39C6" w:rsidRDefault="000F39C6" w:rsidP="000F39C6">
      <w:pPr>
        <w:pStyle w:val="ListParagraph"/>
        <w:numPr>
          <w:ilvl w:val="0"/>
          <w:numId w:val="10"/>
        </w:numPr>
        <w:jc w:val="both"/>
        <w:rPr>
          <w:rFonts w:ascii="Arial" w:hAnsi="Arial" w:cs="Arial"/>
          <w:sz w:val="24"/>
        </w:rPr>
      </w:pPr>
      <w:r w:rsidRPr="000F39C6">
        <w:rPr>
          <w:rFonts w:ascii="Arial" w:hAnsi="Arial" w:cs="Arial"/>
          <w:sz w:val="24"/>
        </w:rPr>
        <w:t xml:space="preserve">Develop health and wellness products that focus on nutrition, functional benefits, and local health concerns such as digestion and immunity, while reflecting Indian preferences and traditions </w:t>
      </w:r>
      <w:r w:rsidRPr="000F39C6">
        <w:rPr>
          <w:rFonts w:ascii="Arial" w:hAnsi="Arial" w:cs="Arial"/>
          <w:sz w:val="24"/>
        </w:rPr>
        <w:t>(Nestlé Health Science, 2023).​</w:t>
      </w:r>
    </w:p>
    <w:p w:rsidR="000F39C6" w:rsidRDefault="000F39C6" w:rsidP="000F39C6">
      <w:pPr>
        <w:pStyle w:val="ListParagraph"/>
        <w:numPr>
          <w:ilvl w:val="0"/>
          <w:numId w:val="10"/>
        </w:numPr>
        <w:jc w:val="both"/>
        <w:rPr>
          <w:rFonts w:ascii="Arial" w:hAnsi="Arial" w:cs="Arial"/>
          <w:sz w:val="24"/>
        </w:rPr>
      </w:pPr>
      <w:r w:rsidRPr="000F39C6">
        <w:rPr>
          <w:rFonts w:ascii="Arial" w:hAnsi="Arial" w:cs="Arial"/>
          <w:sz w:val="24"/>
        </w:rPr>
        <w:t>Enhance digital capabilities by investing in e-commerce, direct-to-consumer platforms, and data-driven marketing to reach India’s growing base of online shopp</w:t>
      </w:r>
      <w:r>
        <w:rPr>
          <w:rFonts w:ascii="Arial" w:hAnsi="Arial" w:cs="Arial"/>
          <w:sz w:val="24"/>
        </w:rPr>
        <w:t>ers (Business Standard, 2022).</w:t>
      </w:r>
    </w:p>
    <w:p w:rsidR="000F39C6" w:rsidRDefault="000F39C6" w:rsidP="000F39C6">
      <w:pPr>
        <w:pStyle w:val="ListParagraph"/>
        <w:numPr>
          <w:ilvl w:val="0"/>
          <w:numId w:val="10"/>
        </w:numPr>
        <w:jc w:val="both"/>
        <w:rPr>
          <w:rFonts w:ascii="Arial" w:hAnsi="Arial" w:cs="Arial"/>
          <w:sz w:val="24"/>
        </w:rPr>
      </w:pPr>
      <w:r w:rsidRPr="000F39C6">
        <w:rPr>
          <w:rFonts w:ascii="Arial" w:hAnsi="Arial" w:cs="Arial"/>
          <w:sz w:val="24"/>
        </w:rPr>
        <w:t>Develop local innovation in India-based R&amp;D centres, creating India-origin products—such as millet-based or locally inspired foods—that can succeed both domestically and in global mark</w:t>
      </w:r>
      <w:r w:rsidRPr="000F39C6">
        <w:rPr>
          <w:rFonts w:ascii="Arial" w:hAnsi="Arial" w:cs="Arial"/>
          <w:sz w:val="24"/>
        </w:rPr>
        <w:t>ets (Nestlé India Ltd., 2023).​</w:t>
      </w:r>
    </w:p>
    <w:p w:rsidR="000F39C6" w:rsidRDefault="000F39C6" w:rsidP="000F39C6">
      <w:pPr>
        <w:pStyle w:val="ListParagraph"/>
        <w:numPr>
          <w:ilvl w:val="0"/>
          <w:numId w:val="10"/>
        </w:numPr>
        <w:jc w:val="both"/>
        <w:rPr>
          <w:rFonts w:ascii="Arial" w:hAnsi="Arial" w:cs="Arial"/>
          <w:sz w:val="24"/>
        </w:rPr>
      </w:pPr>
      <w:r w:rsidRPr="000F39C6">
        <w:rPr>
          <w:rFonts w:ascii="Arial" w:hAnsi="Arial" w:cs="Arial"/>
          <w:sz w:val="24"/>
        </w:rPr>
        <w:t xml:space="preserve">Build strategic partnerships with Indian firms, farmer organisations, and community groups to improve market reach, strengthen supply chains, and enhance social impact (CSRBox, </w:t>
      </w:r>
      <w:r w:rsidRPr="000F39C6">
        <w:rPr>
          <w:rFonts w:ascii="Arial" w:hAnsi="Arial" w:cs="Arial"/>
          <w:sz w:val="24"/>
        </w:rPr>
        <w:t>2024; The CSR Universe, 2025).​</w:t>
      </w:r>
    </w:p>
    <w:p w:rsidR="0069133B" w:rsidRPr="000F39C6" w:rsidRDefault="000F39C6" w:rsidP="000F39C6">
      <w:pPr>
        <w:pStyle w:val="ListParagraph"/>
        <w:numPr>
          <w:ilvl w:val="0"/>
          <w:numId w:val="10"/>
        </w:numPr>
        <w:jc w:val="both"/>
        <w:rPr>
          <w:rFonts w:ascii="Arial" w:hAnsi="Arial" w:cs="Arial"/>
          <w:sz w:val="24"/>
        </w:rPr>
      </w:pPr>
      <w:r w:rsidRPr="000F39C6">
        <w:rPr>
          <w:rFonts w:ascii="Arial" w:hAnsi="Arial" w:cs="Arial"/>
          <w:sz w:val="24"/>
        </w:rPr>
        <w:t>Invest in employee development through management, technical, and leadership training for Indian employees to build strong local capabilities and reduce reliance on expatriate managers (Nestlé, 2022; Nestlé India, 2024).</w:t>
      </w:r>
    </w:p>
    <w:p w:rsidR="000F39C6" w:rsidRDefault="000F39C6" w:rsidP="000F39C6">
      <w:pPr>
        <w:jc w:val="both"/>
        <w:rPr>
          <w:rFonts w:ascii="Arial" w:hAnsi="Arial" w:cs="Arial"/>
          <w:sz w:val="24"/>
        </w:rPr>
      </w:pPr>
    </w:p>
    <w:p w:rsidR="000F39C6" w:rsidRDefault="000F39C6" w:rsidP="000F39C6">
      <w:pPr>
        <w:jc w:val="both"/>
        <w:rPr>
          <w:rFonts w:ascii="Arial" w:hAnsi="Arial" w:cs="Arial"/>
          <w:sz w:val="24"/>
        </w:rPr>
      </w:pPr>
    </w:p>
    <w:p w:rsidR="000F39C6" w:rsidRDefault="000F39C6" w:rsidP="000F39C6">
      <w:pPr>
        <w:jc w:val="both"/>
        <w:rPr>
          <w:rFonts w:ascii="Arial" w:hAnsi="Arial" w:cs="Arial"/>
          <w:sz w:val="24"/>
        </w:rPr>
      </w:pPr>
    </w:p>
    <w:p w:rsidR="000F39C6" w:rsidRDefault="000F39C6" w:rsidP="000F39C6">
      <w:pPr>
        <w:jc w:val="both"/>
        <w:rPr>
          <w:rFonts w:ascii="Arial" w:hAnsi="Arial" w:cs="Arial"/>
          <w:sz w:val="24"/>
        </w:rPr>
      </w:pPr>
    </w:p>
    <w:p w:rsidR="000F39C6" w:rsidRDefault="000F39C6" w:rsidP="000F39C6">
      <w:pPr>
        <w:jc w:val="both"/>
        <w:rPr>
          <w:rFonts w:ascii="Arial" w:hAnsi="Arial" w:cs="Arial"/>
        </w:rPr>
      </w:pPr>
    </w:p>
    <w:p w:rsidR="000F39C6" w:rsidRDefault="000F39C6" w:rsidP="000F39C6">
      <w:pPr>
        <w:jc w:val="both"/>
        <w:rPr>
          <w:rFonts w:ascii="Arial" w:hAnsi="Arial" w:cs="Arial"/>
        </w:rPr>
      </w:pPr>
    </w:p>
    <w:p w:rsidR="000F39C6" w:rsidRPr="00A05C62" w:rsidRDefault="000F39C6" w:rsidP="000F39C6">
      <w:pPr>
        <w:jc w:val="both"/>
        <w:rPr>
          <w:rFonts w:ascii="Arial" w:hAnsi="Arial" w:cs="Arial"/>
        </w:rPr>
      </w:pPr>
    </w:p>
    <w:p w:rsidR="0028188C" w:rsidRPr="00A05C62" w:rsidRDefault="007C096F" w:rsidP="0069133B">
      <w:pPr>
        <w:pStyle w:val="Heading1"/>
        <w:rPr>
          <w:rFonts w:ascii="Arial" w:hAnsi="Arial" w:cs="Arial"/>
        </w:rPr>
      </w:pPr>
      <w:bookmarkStart w:id="21" w:name="_Toc216651433"/>
      <w:r w:rsidRPr="00A05C62">
        <w:rPr>
          <w:rFonts w:ascii="Arial" w:hAnsi="Arial" w:cs="Arial"/>
        </w:rPr>
        <w:lastRenderedPageBreak/>
        <w:t>9. CONCLUSION</w:t>
      </w:r>
      <w:bookmarkEnd w:id="21"/>
    </w:p>
    <w:p w:rsidR="0069133B" w:rsidRPr="00A05C62" w:rsidRDefault="0069133B" w:rsidP="0069133B">
      <w:pPr>
        <w:rPr>
          <w:rFonts w:ascii="Arial" w:hAnsi="Arial" w:cs="Arial"/>
        </w:rPr>
      </w:pPr>
    </w:p>
    <w:p w:rsidR="0028188C" w:rsidRPr="00BD6DF3" w:rsidRDefault="007C096F" w:rsidP="00236EFD">
      <w:pPr>
        <w:jc w:val="both"/>
        <w:rPr>
          <w:rFonts w:ascii="Arial" w:hAnsi="Arial" w:cs="Arial"/>
          <w:sz w:val="24"/>
        </w:rPr>
      </w:pPr>
      <w:r w:rsidRPr="00BD6DF3">
        <w:rPr>
          <w:rFonts w:ascii="Arial" w:hAnsi="Arial" w:cs="Arial"/>
          <w:sz w:val="24"/>
        </w:rPr>
        <w:t>Nestlé's international operations, examined through the lens of multinational corporation theory, value chain analysis, entry mode strategy, and the OLI framework, demonstrate how modern corporations build sustainable global competitive advantage. Nestlé qualifies as both a multinational corporation and transnational corporation, operating across 185 countries with integrated yet locally adapted value chains. The company's scale, organizational capability, and commitment to balancing global consistency with local adaptation exemplify world-class multinational enterprise management.</w:t>
      </w:r>
    </w:p>
    <w:p w:rsidR="0028188C" w:rsidRPr="00BD6DF3" w:rsidRDefault="007C096F" w:rsidP="00236EFD">
      <w:pPr>
        <w:jc w:val="both"/>
        <w:rPr>
          <w:rFonts w:ascii="Arial" w:hAnsi="Arial" w:cs="Arial"/>
          <w:sz w:val="24"/>
        </w:rPr>
      </w:pPr>
      <w:r w:rsidRPr="00BD6DF3">
        <w:rPr>
          <w:rFonts w:ascii="Arial" w:hAnsi="Arial" w:cs="Arial"/>
          <w:sz w:val="24"/>
        </w:rPr>
        <w:t>India represents a strategically important market for Nestlé, offering substantial market opportunities, access to raw materials, competitive labour costs, and a growing middle-class consumer base with rising purchasing power. Nestlé's India operations, established through wholly owned subsidiaries and strategic partnerships, exemplify how multinational enterprises balance global operational standards with cultural adaptation and local responsiveness.</w:t>
      </w:r>
    </w:p>
    <w:p w:rsidR="0028188C" w:rsidRPr="00BD6DF3" w:rsidRDefault="007C096F" w:rsidP="00236EFD">
      <w:pPr>
        <w:jc w:val="both"/>
        <w:rPr>
          <w:rFonts w:ascii="Arial" w:hAnsi="Arial" w:cs="Arial"/>
          <w:sz w:val="24"/>
        </w:rPr>
      </w:pPr>
      <w:r w:rsidRPr="00BD6DF3">
        <w:rPr>
          <w:rFonts w:ascii="Arial" w:hAnsi="Arial" w:cs="Arial"/>
          <w:sz w:val="24"/>
        </w:rPr>
        <w:t>The company's success in India reflects understanding of cultural differences, commitment to local adaptation, investment in distribution infrastructure suited to Indian retail structures, and community engagement aligned with Indian values and expectations. Nestlé's continued investment in innovation, sustainability, and rural market penetration positions the company well for long-term growth in India, one of the world's most dynamic emerging markets.</w:t>
      </w:r>
    </w:p>
    <w:p w:rsidR="0028188C" w:rsidRPr="00BD6DF3" w:rsidRDefault="007C096F" w:rsidP="00236EFD">
      <w:pPr>
        <w:jc w:val="both"/>
        <w:rPr>
          <w:rFonts w:ascii="Arial" w:hAnsi="Arial" w:cs="Arial"/>
          <w:sz w:val="24"/>
        </w:rPr>
      </w:pPr>
      <w:r w:rsidRPr="00BD6DF3">
        <w:rPr>
          <w:rFonts w:ascii="Arial" w:hAnsi="Arial" w:cs="Arial"/>
          <w:sz w:val="24"/>
        </w:rPr>
        <w:t>For business practitioners and students, Nestlé's international strategy offers valuable lessons in how global corporations navigate complex international business environments, balance efficiency with adaptation, manage risks across diverse geographies, and build sustainable competitive advantage in emerging markets. As India continues its economic development and consumer incomes rise, companies like Nestlé that combine global scale with cultural sensitivity and local responsiveness will be best positioned for continued growth and long-term success in the marketplace.</w:t>
      </w:r>
    </w:p>
    <w:p w:rsidR="0028188C" w:rsidRPr="00BD6DF3" w:rsidRDefault="0028188C" w:rsidP="00236EFD">
      <w:pPr>
        <w:jc w:val="both"/>
        <w:rPr>
          <w:rFonts w:ascii="Arial" w:hAnsi="Arial" w:cs="Arial"/>
          <w:sz w:val="24"/>
        </w:rPr>
      </w:pPr>
    </w:p>
    <w:p w:rsidR="007A4009" w:rsidRPr="00BD6DF3" w:rsidRDefault="007A4009" w:rsidP="00236EFD">
      <w:pPr>
        <w:jc w:val="both"/>
        <w:rPr>
          <w:rFonts w:ascii="Arial" w:hAnsi="Arial" w:cs="Arial"/>
          <w:sz w:val="24"/>
        </w:rPr>
      </w:pPr>
    </w:p>
    <w:p w:rsidR="007A4009" w:rsidRPr="00BD6DF3" w:rsidRDefault="007A4009" w:rsidP="00236EFD">
      <w:pPr>
        <w:jc w:val="both"/>
        <w:rPr>
          <w:rFonts w:ascii="Arial" w:hAnsi="Arial" w:cs="Arial"/>
          <w:sz w:val="24"/>
        </w:rPr>
      </w:pPr>
    </w:p>
    <w:p w:rsidR="007A4009" w:rsidRPr="00BD6DF3" w:rsidRDefault="007A4009" w:rsidP="00236EFD">
      <w:pPr>
        <w:jc w:val="both"/>
        <w:rPr>
          <w:rFonts w:ascii="Arial" w:hAnsi="Arial" w:cs="Arial"/>
          <w:sz w:val="24"/>
        </w:rPr>
      </w:pPr>
    </w:p>
    <w:p w:rsidR="007A4009" w:rsidRPr="00BD6DF3" w:rsidRDefault="007A4009" w:rsidP="00236EFD">
      <w:pPr>
        <w:jc w:val="both"/>
        <w:rPr>
          <w:rFonts w:ascii="Arial" w:hAnsi="Arial" w:cs="Arial"/>
          <w:sz w:val="24"/>
        </w:rPr>
      </w:pPr>
    </w:p>
    <w:p w:rsidR="007A4009" w:rsidRPr="00BD6DF3" w:rsidRDefault="007A4009" w:rsidP="00236EFD">
      <w:pPr>
        <w:jc w:val="both"/>
        <w:rPr>
          <w:rFonts w:ascii="Arial" w:hAnsi="Arial" w:cs="Arial"/>
          <w:sz w:val="24"/>
        </w:rPr>
      </w:pPr>
    </w:p>
    <w:p w:rsidR="0028188C" w:rsidRPr="00A05C62" w:rsidRDefault="007C096F" w:rsidP="0069133B">
      <w:pPr>
        <w:pStyle w:val="Heading1"/>
        <w:rPr>
          <w:rFonts w:ascii="Arial" w:hAnsi="Arial" w:cs="Arial"/>
        </w:rPr>
      </w:pPr>
      <w:bookmarkStart w:id="22" w:name="_Toc216651434"/>
      <w:r w:rsidRPr="00A05C62">
        <w:rPr>
          <w:rFonts w:ascii="Arial" w:hAnsi="Arial" w:cs="Arial"/>
        </w:rPr>
        <w:lastRenderedPageBreak/>
        <w:t>REFERENCES</w:t>
      </w:r>
      <w:r w:rsidR="009269E1">
        <w:rPr>
          <w:rFonts w:ascii="Arial" w:hAnsi="Arial" w:cs="Arial"/>
        </w:rPr>
        <w:t xml:space="preserve"> LIST</w:t>
      </w:r>
      <w:bookmarkEnd w:id="22"/>
    </w:p>
    <w:p w:rsidR="0069133B" w:rsidRPr="00A05C62" w:rsidRDefault="0069133B" w:rsidP="0069133B">
      <w:pPr>
        <w:rPr>
          <w:rFonts w:ascii="Arial" w:hAnsi="Arial" w:cs="Arial"/>
        </w:rPr>
      </w:pPr>
    </w:p>
    <w:p w:rsidR="0028188C" w:rsidRPr="00AA3C1A" w:rsidRDefault="007C096F" w:rsidP="00236EFD">
      <w:pPr>
        <w:pStyle w:val="ListBullet"/>
        <w:ind w:left="720" w:hanging="720"/>
        <w:jc w:val="both"/>
        <w:rPr>
          <w:rFonts w:ascii="Arial" w:hAnsi="Arial" w:cs="Arial"/>
          <w:sz w:val="24"/>
        </w:rPr>
      </w:pPr>
      <w:r w:rsidRPr="00AA3C1A">
        <w:rPr>
          <w:rFonts w:ascii="Arial" w:hAnsi="Arial" w:cs="Arial"/>
          <w:sz w:val="24"/>
        </w:rPr>
        <w:t>Bartlett, C.A. and Ghoshal, S. (1989). Managing Across Borders: The Transnational Solution. Harvard Business School Press.</w:t>
      </w:r>
    </w:p>
    <w:p w:rsidR="0028188C" w:rsidRPr="00AA3C1A" w:rsidRDefault="007C096F" w:rsidP="00236EFD">
      <w:pPr>
        <w:pStyle w:val="ListBullet"/>
        <w:ind w:left="720" w:hanging="720"/>
        <w:jc w:val="both"/>
        <w:rPr>
          <w:rFonts w:ascii="Arial" w:hAnsi="Arial" w:cs="Arial"/>
          <w:sz w:val="24"/>
        </w:rPr>
      </w:pPr>
      <w:r w:rsidRPr="00AA3C1A">
        <w:rPr>
          <w:rFonts w:ascii="Arial" w:hAnsi="Arial" w:cs="Arial"/>
          <w:sz w:val="24"/>
        </w:rPr>
        <w:t>Dunning, J.H. (1988). Explaining international production. Unwin Hyman.</w:t>
      </w:r>
    </w:p>
    <w:p w:rsidR="0028188C" w:rsidRPr="00AA3C1A" w:rsidRDefault="007C096F" w:rsidP="00236EFD">
      <w:pPr>
        <w:pStyle w:val="ListBullet"/>
        <w:ind w:left="720" w:hanging="720"/>
        <w:jc w:val="both"/>
        <w:rPr>
          <w:rFonts w:ascii="Arial" w:hAnsi="Arial" w:cs="Arial"/>
          <w:sz w:val="24"/>
        </w:rPr>
      </w:pPr>
      <w:r w:rsidRPr="00AA3C1A">
        <w:rPr>
          <w:rFonts w:ascii="Arial" w:hAnsi="Arial" w:cs="Arial"/>
          <w:sz w:val="24"/>
        </w:rPr>
        <w:t>Dunning, J.H. (2000). The eclectic paradigm as an envelope for economic and business theories of MNE activity. International Business Review, 9(2), 163-190.</w:t>
      </w:r>
    </w:p>
    <w:p w:rsidR="0028188C" w:rsidRPr="00AA3C1A" w:rsidRDefault="007C096F" w:rsidP="00236EFD">
      <w:pPr>
        <w:pStyle w:val="ListBullet"/>
        <w:ind w:left="720" w:hanging="720"/>
        <w:jc w:val="both"/>
        <w:rPr>
          <w:rFonts w:ascii="Arial" w:hAnsi="Arial" w:cs="Arial"/>
          <w:sz w:val="24"/>
        </w:rPr>
      </w:pPr>
      <w:r w:rsidRPr="00AA3C1A">
        <w:rPr>
          <w:rFonts w:ascii="Arial" w:hAnsi="Arial" w:cs="Arial"/>
          <w:sz w:val="24"/>
        </w:rPr>
        <w:t>Dunning, J.H. (2008). Multinational enterprises and the global economy (2nd ed.). Edward Elgar Publishing.</w:t>
      </w:r>
    </w:p>
    <w:p w:rsidR="0028188C" w:rsidRPr="00AA3C1A" w:rsidRDefault="007C096F" w:rsidP="00236EFD">
      <w:pPr>
        <w:pStyle w:val="ListBullet"/>
        <w:ind w:left="720" w:hanging="720"/>
        <w:jc w:val="both"/>
        <w:rPr>
          <w:rFonts w:ascii="Arial" w:hAnsi="Arial" w:cs="Arial"/>
          <w:sz w:val="24"/>
        </w:rPr>
      </w:pPr>
      <w:r w:rsidRPr="00AA3C1A">
        <w:rPr>
          <w:rFonts w:ascii="Arial" w:hAnsi="Arial" w:cs="Arial"/>
          <w:sz w:val="24"/>
        </w:rPr>
        <w:t>Dunning, J.H. and Lundan, S.M. (2008). Multinational Enterprises and the Global Economy (2nd ed.). Edward Elgar Publishing.</w:t>
      </w:r>
    </w:p>
    <w:p w:rsidR="0028188C" w:rsidRPr="00AA3C1A" w:rsidRDefault="007C096F" w:rsidP="00236EFD">
      <w:pPr>
        <w:pStyle w:val="ListBullet"/>
        <w:ind w:left="720" w:hanging="720"/>
        <w:jc w:val="both"/>
        <w:rPr>
          <w:rFonts w:ascii="Arial" w:hAnsi="Arial" w:cs="Arial"/>
          <w:sz w:val="24"/>
        </w:rPr>
      </w:pPr>
      <w:r w:rsidRPr="00AA3C1A">
        <w:rPr>
          <w:rFonts w:ascii="Arial" w:hAnsi="Arial" w:cs="Arial"/>
          <w:sz w:val="24"/>
        </w:rPr>
        <w:t>Gereffi, G., Humphrey, J. and Sturgeon, T. (2005). The governance of global value chains. Review of International Political Economy, 12(1), 78-104.</w:t>
      </w:r>
    </w:p>
    <w:p w:rsidR="0028188C" w:rsidRPr="00AA3C1A" w:rsidRDefault="007C096F" w:rsidP="00236EFD">
      <w:pPr>
        <w:pStyle w:val="ListBullet"/>
        <w:ind w:left="720" w:hanging="720"/>
        <w:jc w:val="both"/>
        <w:rPr>
          <w:rFonts w:ascii="Arial" w:hAnsi="Arial" w:cs="Arial"/>
          <w:sz w:val="24"/>
        </w:rPr>
      </w:pPr>
      <w:r w:rsidRPr="00AA3C1A">
        <w:rPr>
          <w:rFonts w:ascii="Arial" w:hAnsi="Arial" w:cs="Arial"/>
          <w:sz w:val="24"/>
        </w:rPr>
        <w:t>Hall, R. (2007). Organisational capability and competitive advantage. Journal of General Management, 18(4), 4-21.</w:t>
      </w:r>
    </w:p>
    <w:p w:rsidR="0028188C" w:rsidRPr="00AA3C1A" w:rsidRDefault="007C096F" w:rsidP="00236EFD">
      <w:pPr>
        <w:pStyle w:val="ListBullet"/>
        <w:ind w:left="720" w:hanging="720"/>
        <w:jc w:val="both"/>
        <w:rPr>
          <w:rFonts w:ascii="Arial" w:hAnsi="Arial" w:cs="Arial"/>
          <w:sz w:val="24"/>
        </w:rPr>
      </w:pPr>
      <w:r w:rsidRPr="00AA3C1A">
        <w:rPr>
          <w:rFonts w:ascii="Arial" w:hAnsi="Arial" w:cs="Arial"/>
          <w:sz w:val="24"/>
        </w:rPr>
        <w:t>Hennart, J.F. (2012). Emerging market multinationals and the theory of the multinational enterprise. Global Strategy Journal, 2(3), 168-187.</w:t>
      </w:r>
    </w:p>
    <w:p w:rsidR="0028188C" w:rsidRPr="00AA3C1A" w:rsidRDefault="007C096F" w:rsidP="00236EFD">
      <w:pPr>
        <w:pStyle w:val="ListBullet"/>
        <w:ind w:left="720" w:hanging="720"/>
        <w:jc w:val="both"/>
        <w:rPr>
          <w:rFonts w:ascii="Arial" w:hAnsi="Arial" w:cs="Arial"/>
          <w:sz w:val="24"/>
        </w:rPr>
      </w:pPr>
      <w:r w:rsidRPr="00AA3C1A">
        <w:rPr>
          <w:rFonts w:ascii="Arial" w:hAnsi="Arial" w:cs="Arial"/>
          <w:sz w:val="24"/>
        </w:rPr>
        <w:t>Hofstede, G. (2011). Dimensionalizing cultures: The Hofstede model in context. Online Readings in Psychology and Culture, 2(1).</w:t>
      </w:r>
    </w:p>
    <w:p w:rsidR="0028188C" w:rsidRPr="00AA3C1A" w:rsidRDefault="007C096F" w:rsidP="00236EFD">
      <w:pPr>
        <w:pStyle w:val="ListBullet"/>
        <w:ind w:left="720" w:hanging="720"/>
        <w:jc w:val="both"/>
        <w:rPr>
          <w:rFonts w:ascii="Arial" w:hAnsi="Arial" w:cs="Arial"/>
          <w:sz w:val="24"/>
        </w:rPr>
      </w:pPr>
      <w:r w:rsidRPr="00AA3C1A">
        <w:rPr>
          <w:rFonts w:ascii="Arial" w:hAnsi="Arial" w:cs="Arial"/>
          <w:sz w:val="24"/>
        </w:rPr>
        <w:t>McKinsey and Company (2019). Globalization's new wave: How companies can adapt and thrive. McKinsey Global Institute.</w:t>
      </w:r>
    </w:p>
    <w:p w:rsidR="00E93AB7" w:rsidRDefault="00E93AB7" w:rsidP="00E93AB7">
      <w:pPr>
        <w:pStyle w:val="ListBullet"/>
        <w:rPr>
          <w:rFonts w:ascii="Arial" w:hAnsi="Arial" w:cs="Arial"/>
          <w:sz w:val="24"/>
        </w:rPr>
      </w:pPr>
      <w:r w:rsidRPr="00E93AB7">
        <w:rPr>
          <w:rFonts w:ascii="Arial" w:hAnsi="Arial" w:cs="Arial"/>
          <w:sz w:val="24"/>
        </w:rPr>
        <w:t>Nestle (2024a; 2024b) Nestlé Global Operations Report 2024 and Annual Report 2024. Nestlé S.A.</w:t>
      </w:r>
    </w:p>
    <w:p w:rsidR="000F39C6" w:rsidRDefault="000F39C6" w:rsidP="00E93AB7">
      <w:pPr>
        <w:pStyle w:val="ListBullet"/>
        <w:rPr>
          <w:rFonts w:ascii="Arial" w:hAnsi="Arial" w:cs="Arial"/>
          <w:sz w:val="24"/>
        </w:rPr>
      </w:pPr>
      <w:r w:rsidRPr="000F39C6">
        <w:rPr>
          <w:rFonts w:ascii="Arial" w:hAnsi="Arial" w:cs="Arial"/>
          <w:sz w:val="24"/>
        </w:rPr>
        <w:t>Nestlé India Ltd. (2025) India could be among top 5 global markets in coming years.</w:t>
      </w:r>
    </w:p>
    <w:p w:rsidR="000F39C6" w:rsidRPr="000F39C6" w:rsidRDefault="000F39C6" w:rsidP="00F82423">
      <w:pPr>
        <w:pStyle w:val="ListBullet"/>
        <w:rPr>
          <w:rFonts w:ascii="Arial" w:hAnsi="Arial" w:cs="Arial"/>
          <w:sz w:val="24"/>
        </w:rPr>
      </w:pPr>
      <w:r w:rsidRPr="000F39C6">
        <w:rPr>
          <w:rFonts w:ascii="Arial" w:hAnsi="Arial" w:cs="Arial"/>
          <w:sz w:val="24"/>
        </w:rPr>
        <w:t>Nestlé Health Science (2023) Digestive health: our products. Nestlé Health Science. Economic Times (2025) Nestlé India eyes massive rural growth, premiumisation in cities. The Economic Times, 10 December.</w:t>
      </w:r>
    </w:p>
    <w:p w:rsidR="0028188C" w:rsidRDefault="007C096F" w:rsidP="00236EFD">
      <w:pPr>
        <w:pStyle w:val="ListBullet"/>
        <w:ind w:left="720" w:hanging="720"/>
        <w:jc w:val="both"/>
        <w:rPr>
          <w:rFonts w:ascii="Arial" w:hAnsi="Arial" w:cs="Arial"/>
          <w:sz w:val="24"/>
        </w:rPr>
      </w:pPr>
      <w:r w:rsidRPr="00AA3C1A">
        <w:rPr>
          <w:rFonts w:ascii="Arial" w:hAnsi="Arial" w:cs="Arial"/>
          <w:sz w:val="24"/>
        </w:rPr>
        <w:t>Nestle India Ltd. (2025). Nestlé India: Business Overview and Operations. Nestlé India Limited.</w:t>
      </w:r>
    </w:p>
    <w:p w:rsidR="000F39C6" w:rsidRDefault="000F39C6" w:rsidP="000F39C6">
      <w:pPr>
        <w:pStyle w:val="ListBullet"/>
        <w:rPr>
          <w:rFonts w:ascii="Arial" w:hAnsi="Arial" w:cs="Arial"/>
          <w:sz w:val="24"/>
        </w:rPr>
      </w:pPr>
      <w:r w:rsidRPr="000F39C6">
        <w:rPr>
          <w:rFonts w:ascii="Arial" w:hAnsi="Arial" w:cs="Arial"/>
          <w:sz w:val="24"/>
        </w:rPr>
        <w:t>Business Standard (2022) FMCG major Nestlé enters into D2C space, launches online platform.</w:t>
      </w:r>
    </w:p>
    <w:p w:rsidR="000F39C6" w:rsidRDefault="000F39C6" w:rsidP="000F39C6">
      <w:pPr>
        <w:pStyle w:val="ListBullet"/>
        <w:rPr>
          <w:rFonts w:ascii="Arial" w:hAnsi="Arial" w:cs="Arial"/>
          <w:sz w:val="24"/>
        </w:rPr>
      </w:pPr>
      <w:r w:rsidRPr="000F39C6">
        <w:rPr>
          <w:rFonts w:ascii="Arial" w:hAnsi="Arial" w:cs="Arial"/>
          <w:sz w:val="24"/>
        </w:rPr>
        <w:t>CSRBox (2024) Nestlé India to adopt village under Project Vriddhi.</w:t>
      </w:r>
    </w:p>
    <w:p w:rsidR="000F39C6" w:rsidRDefault="000F39C6" w:rsidP="000F39C6">
      <w:pPr>
        <w:pStyle w:val="ListBullet"/>
        <w:rPr>
          <w:rFonts w:ascii="Arial" w:hAnsi="Arial" w:cs="Arial"/>
          <w:sz w:val="24"/>
        </w:rPr>
      </w:pPr>
      <w:r w:rsidRPr="000F39C6">
        <w:rPr>
          <w:rFonts w:ascii="Arial" w:hAnsi="Arial" w:cs="Arial"/>
          <w:sz w:val="24"/>
        </w:rPr>
        <w:t>The CSR Universe (2025) Nestlé India expands ‘Project Vriddhi’ to UP; initiative to positively impact rural communities.</w:t>
      </w:r>
    </w:p>
    <w:p w:rsidR="00E93AB7" w:rsidRPr="00AA3C1A" w:rsidRDefault="00E93AB7" w:rsidP="00E93AB7">
      <w:pPr>
        <w:pStyle w:val="ListBullet"/>
        <w:rPr>
          <w:rFonts w:ascii="Arial" w:hAnsi="Arial" w:cs="Arial"/>
          <w:sz w:val="24"/>
        </w:rPr>
      </w:pPr>
      <w:r w:rsidRPr="00E93AB7">
        <w:rPr>
          <w:rFonts w:ascii="Arial" w:hAnsi="Arial" w:cs="Arial"/>
          <w:sz w:val="24"/>
        </w:rPr>
        <w:t>Nestlé (2022) Regenerative agriculture; How Nestlé personalises leadership development for 30,000 leaders; and Nestlé India Ltd. (2024) Rural development – ensuring thriving farmers and communities. Nestlé Global / Nestlé India.</w:t>
      </w:r>
    </w:p>
    <w:p w:rsidR="0028188C" w:rsidRPr="00AA3C1A" w:rsidRDefault="007C096F" w:rsidP="00236EFD">
      <w:pPr>
        <w:pStyle w:val="ListBullet"/>
        <w:ind w:left="720" w:hanging="720"/>
        <w:jc w:val="both"/>
        <w:rPr>
          <w:rFonts w:ascii="Arial" w:hAnsi="Arial" w:cs="Arial"/>
          <w:sz w:val="24"/>
        </w:rPr>
      </w:pPr>
      <w:r w:rsidRPr="00AA3C1A">
        <w:rPr>
          <w:rFonts w:ascii="Arial" w:hAnsi="Arial" w:cs="Arial"/>
          <w:sz w:val="24"/>
        </w:rPr>
        <w:t>Perlmutter, H.V. (1969). The tortuous evolution of the multinational corporation. Columbia Journal of World Business, 4(1), 9-18.</w:t>
      </w:r>
    </w:p>
    <w:p w:rsidR="0028188C" w:rsidRPr="00AA3C1A" w:rsidRDefault="007C096F" w:rsidP="00236EFD">
      <w:pPr>
        <w:pStyle w:val="ListBullet"/>
        <w:ind w:left="720" w:hanging="720"/>
        <w:jc w:val="both"/>
        <w:rPr>
          <w:rFonts w:ascii="Arial" w:hAnsi="Arial" w:cs="Arial"/>
          <w:sz w:val="24"/>
        </w:rPr>
      </w:pPr>
      <w:r w:rsidRPr="00AA3C1A">
        <w:rPr>
          <w:rFonts w:ascii="Arial" w:hAnsi="Arial" w:cs="Arial"/>
          <w:sz w:val="24"/>
        </w:rPr>
        <w:lastRenderedPageBreak/>
        <w:t>Porter, M.E. (1985). Competitive Advantage: Creating and Sustaining Superior Performance. Free Press.</w:t>
      </w:r>
    </w:p>
    <w:p w:rsidR="0028188C" w:rsidRPr="00AA3C1A" w:rsidRDefault="007C096F" w:rsidP="00236EFD">
      <w:pPr>
        <w:pStyle w:val="ListBullet"/>
        <w:ind w:left="720" w:hanging="720"/>
        <w:jc w:val="both"/>
        <w:rPr>
          <w:rFonts w:ascii="Arial" w:hAnsi="Arial" w:cs="Arial"/>
          <w:sz w:val="24"/>
        </w:rPr>
      </w:pPr>
      <w:r w:rsidRPr="00AA3C1A">
        <w:rPr>
          <w:rFonts w:ascii="Arial" w:hAnsi="Arial" w:cs="Arial"/>
          <w:sz w:val="24"/>
        </w:rPr>
        <w:t>Ponte, S. and Sturgeon, T. (2014). Explaining governance in global value chains. Review of International Political Economy, 21(1), 195-225.</w:t>
      </w:r>
    </w:p>
    <w:p w:rsidR="0028188C" w:rsidRPr="00AA3C1A" w:rsidRDefault="007C096F" w:rsidP="00236EFD">
      <w:pPr>
        <w:pStyle w:val="ListBullet"/>
        <w:ind w:left="720" w:hanging="720"/>
        <w:jc w:val="both"/>
        <w:rPr>
          <w:rFonts w:ascii="Arial" w:hAnsi="Arial" w:cs="Arial"/>
          <w:sz w:val="24"/>
        </w:rPr>
      </w:pPr>
      <w:r w:rsidRPr="00AA3C1A">
        <w:rPr>
          <w:rFonts w:ascii="Arial" w:hAnsi="Arial" w:cs="Arial"/>
          <w:sz w:val="24"/>
        </w:rPr>
        <w:t>Rugman, A.M. (2010). Multinational enterprises and the theory of the firm. World Scientific Handbooks in Business, 1, 145-177.</w:t>
      </w:r>
    </w:p>
    <w:p w:rsidR="0028188C" w:rsidRPr="00AA3C1A" w:rsidRDefault="007C096F" w:rsidP="00236EFD">
      <w:pPr>
        <w:pStyle w:val="ListBullet"/>
        <w:ind w:left="720" w:hanging="720"/>
        <w:jc w:val="both"/>
        <w:rPr>
          <w:rFonts w:ascii="Arial" w:hAnsi="Arial" w:cs="Arial"/>
          <w:sz w:val="24"/>
        </w:rPr>
      </w:pPr>
      <w:r w:rsidRPr="00AA3C1A">
        <w:rPr>
          <w:rFonts w:ascii="Arial" w:hAnsi="Arial" w:cs="Arial"/>
          <w:sz w:val="24"/>
        </w:rPr>
        <w:t>Sharmiladevi, S. (2017). OLI paradigm and international business strategy: A critical analysis. International Journal of Research in Commerce and Management, 8(5), 45-52.</w:t>
      </w:r>
    </w:p>
    <w:p w:rsidR="0028188C" w:rsidRPr="00AA3C1A" w:rsidRDefault="007C096F" w:rsidP="00236EFD">
      <w:pPr>
        <w:pStyle w:val="ListBullet"/>
        <w:ind w:left="720" w:hanging="720"/>
        <w:jc w:val="both"/>
        <w:rPr>
          <w:rFonts w:ascii="Arial" w:hAnsi="Arial" w:cs="Arial"/>
          <w:sz w:val="24"/>
        </w:rPr>
      </w:pPr>
      <w:r w:rsidRPr="00AA3C1A">
        <w:rPr>
          <w:rFonts w:ascii="Arial" w:hAnsi="Arial" w:cs="Arial"/>
          <w:sz w:val="24"/>
        </w:rPr>
        <w:t>Teece, D.J. (2007). Explicating dynamic capabilities: The nature and micro-foundations of (sustainable) enterprise performance. Strategic Management Journal, 28(13), 1319-1350.</w:t>
      </w:r>
      <w:bookmarkStart w:id="23" w:name="_GoBack"/>
      <w:bookmarkEnd w:id="23"/>
    </w:p>
    <w:sectPr w:rsidR="0028188C" w:rsidRPr="00AA3C1A" w:rsidSect="00DD2110">
      <w:footerReference w:type="default" r:id="rId15"/>
      <w:pgSz w:w="12240" w:h="15840"/>
      <w:pgMar w:top="1440" w:right="1440" w:bottom="1440" w:left="1440" w:header="720" w:footer="720" w:gutter="0"/>
      <w:pgBorders w:display="firstPage" w:offsetFrom="page">
        <w:top w:val="single" w:sz="12" w:space="24" w:color="auto"/>
        <w:left w:val="single" w:sz="12" w:space="24" w:color="auto"/>
        <w:bottom w:val="single" w:sz="12" w:space="24" w:color="auto"/>
        <w:right w:val="single" w:sz="12"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A2271" w:rsidRDefault="00DA2271" w:rsidP="00DB0E2B">
      <w:pPr>
        <w:spacing w:after="0" w:line="240" w:lineRule="auto"/>
      </w:pPr>
      <w:r>
        <w:separator/>
      </w:r>
    </w:p>
  </w:endnote>
  <w:endnote w:type="continuationSeparator" w:id="0">
    <w:p w:rsidR="00DA2271" w:rsidRDefault="00DA2271" w:rsidP="00DB0E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E0002AFF" w:usb1="4000ACFF" w:usb2="00000001"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82818243"/>
      <w:docPartObj>
        <w:docPartGallery w:val="Page Numbers (Bottom of Page)"/>
        <w:docPartUnique/>
      </w:docPartObj>
    </w:sdtPr>
    <w:sdtEndPr>
      <w:rPr>
        <w:noProof/>
      </w:rPr>
    </w:sdtEndPr>
    <w:sdtContent>
      <w:p w:rsidR="00DB0E2B" w:rsidRDefault="00DB0E2B">
        <w:pPr>
          <w:pStyle w:val="Footer"/>
          <w:jc w:val="right"/>
        </w:pPr>
        <w:r>
          <w:fldChar w:fldCharType="begin"/>
        </w:r>
        <w:r>
          <w:instrText xml:space="preserve"> PAGE   \* MERGEFORMAT </w:instrText>
        </w:r>
        <w:r>
          <w:fldChar w:fldCharType="separate"/>
        </w:r>
        <w:r w:rsidR="007D4EE0">
          <w:rPr>
            <w:noProof/>
          </w:rPr>
          <w:t>22</w:t>
        </w:r>
        <w:r>
          <w:rPr>
            <w:noProof/>
          </w:rPr>
          <w:fldChar w:fldCharType="end"/>
        </w:r>
      </w:p>
    </w:sdtContent>
  </w:sdt>
  <w:p w:rsidR="00DB0E2B" w:rsidRDefault="00DB0E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A2271" w:rsidRDefault="00DA2271" w:rsidP="00DB0E2B">
      <w:pPr>
        <w:spacing w:after="0" w:line="240" w:lineRule="auto"/>
      </w:pPr>
      <w:r>
        <w:separator/>
      </w:r>
    </w:p>
  </w:footnote>
  <w:footnote w:type="continuationSeparator" w:id="0">
    <w:p w:rsidR="00DA2271" w:rsidRDefault="00DA2271" w:rsidP="00DB0E2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B6B030A0"/>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699D7132"/>
    <w:multiLevelType w:val="hybridMultilevel"/>
    <w:tmpl w:val="97226E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013A8"/>
    <w:rsid w:val="000131EE"/>
    <w:rsid w:val="000335F6"/>
    <w:rsid w:val="00034616"/>
    <w:rsid w:val="00044B1E"/>
    <w:rsid w:val="00057E8D"/>
    <w:rsid w:val="0006063C"/>
    <w:rsid w:val="00066599"/>
    <w:rsid w:val="000B35D1"/>
    <w:rsid w:val="000E5158"/>
    <w:rsid w:val="000F39C6"/>
    <w:rsid w:val="00117F53"/>
    <w:rsid w:val="00134677"/>
    <w:rsid w:val="0015074B"/>
    <w:rsid w:val="00157932"/>
    <w:rsid w:val="0017485F"/>
    <w:rsid w:val="00236EFD"/>
    <w:rsid w:val="00263225"/>
    <w:rsid w:val="0026765B"/>
    <w:rsid w:val="0027579C"/>
    <w:rsid w:val="002805D9"/>
    <w:rsid w:val="0028188C"/>
    <w:rsid w:val="0029639D"/>
    <w:rsid w:val="002C69CC"/>
    <w:rsid w:val="002E4D9B"/>
    <w:rsid w:val="002F63D8"/>
    <w:rsid w:val="00326F90"/>
    <w:rsid w:val="00330B24"/>
    <w:rsid w:val="003F6A4F"/>
    <w:rsid w:val="00431EDD"/>
    <w:rsid w:val="0047096B"/>
    <w:rsid w:val="004C7EAE"/>
    <w:rsid w:val="0054650A"/>
    <w:rsid w:val="00593C19"/>
    <w:rsid w:val="005D223D"/>
    <w:rsid w:val="005E1BC7"/>
    <w:rsid w:val="0064360B"/>
    <w:rsid w:val="0069133B"/>
    <w:rsid w:val="006F0F6F"/>
    <w:rsid w:val="00713593"/>
    <w:rsid w:val="00724F61"/>
    <w:rsid w:val="0073424C"/>
    <w:rsid w:val="00744479"/>
    <w:rsid w:val="00783B44"/>
    <w:rsid w:val="007A4009"/>
    <w:rsid w:val="007C096F"/>
    <w:rsid w:val="007D3F34"/>
    <w:rsid w:val="007D4EE0"/>
    <w:rsid w:val="00803750"/>
    <w:rsid w:val="00843EBC"/>
    <w:rsid w:val="008E6270"/>
    <w:rsid w:val="008F4DCD"/>
    <w:rsid w:val="009253E8"/>
    <w:rsid w:val="009269E1"/>
    <w:rsid w:val="009333BC"/>
    <w:rsid w:val="00996684"/>
    <w:rsid w:val="009C59E9"/>
    <w:rsid w:val="009D69F4"/>
    <w:rsid w:val="00A05C62"/>
    <w:rsid w:val="00A53A3E"/>
    <w:rsid w:val="00A613A2"/>
    <w:rsid w:val="00A7202C"/>
    <w:rsid w:val="00AA1D8D"/>
    <w:rsid w:val="00AA3C1A"/>
    <w:rsid w:val="00B071EB"/>
    <w:rsid w:val="00B31B3C"/>
    <w:rsid w:val="00B47730"/>
    <w:rsid w:val="00BB118E"/>
    <w:rsid w:val="00BD39D1"/>
    <w:rsid w:val="00BD6DF3"/>
    <w:rsid w:val="00C55FC5"/>
    <w:rsid w:val="00C6360C"/>
    <w:rsid w:val="00C85D36"/>
    <w:rsid w:val="00CB0664"/>
    <w:rsid w:val="00CC1DC4"/>
    <w:rsid w:val="00D222F2"/>
    <w:rsid w:val="00D47738"/>
    <w:rsid w:val="00D506CF"/>
    <w:rsid w:val="00DA2271"/>
    <w:rsid w:val="00DB0E2B"/>
    <w:rsid w:val="00DD2110"/>
    <w:rsid w:val="00DE63C9"/>
    <w:rsid w:val="00E07D8C"/>
    <w:rsid w:val="00E10E0F"/>
    <w:rsid w:val="00E306F6"/>
    <w:rsid w:val="00E5023A"/>
    <w:rsid w:val="00E71438"/>
    <w:rsid w:val="00E75D28"/>
    <w:rsid w:val="00E82787"/>
    <w:rsid w:val="00E92FA2"/>
    <w:rsid w:val="00E93AB7"/>
    <w:rsid w:val="00E9757F"/>
    <w:rsid w:val="00EB4D89"/>
    <w:rsid w:val="00ED78AE"/>
    <w:rsid w:val="00F52ACA"/>
    <w:rsid w:val="00F91AC2"/>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187CD0B"/>
  <w14:defaultImageDpi w14:val="300"/>
  <w15:docId w15:val="{BE02C047-8B29-43ED-B6FE-8C3DA6319C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TOC1">
    <w:name w:val="toc 1"/>
    <w:basedOn w:val="Normal"/>
    <w:next w:val="Normal"/>
    <w:autoRedefine/>
    <w:uiPriority w:val="39"/>
    <w:unhideWhenUsed/>
    <w:rsid w:val="0069133B"/>
    <w:pPr>
      <w:spacing w:after="100"/>
    </w:pPr>
  </w:style>
  <w:style w:type="paragraph" w:styleId="TOC2">
    <w:name w:val="toc 2"/>
    <w:basedOn w:val="Normal"/>
    <w:next w:val="Normal"/>
    <w:autoRedefine/>
    <w:uiPriority w:val="39"/>
    <w:unhideWhenUsed/>
    <w:rsid w:val="0069133B"/>
    <w:pPr>
      <w:spacing w:after="100"/>
      <w:ind w:left="220"/>
    </w:pPr>
  </w:style>
  <w:style w:type="character" w:styleId="Hyperlink">
    <w:name w:val="Hyperlink"/>
    <w:basedOn w:val="DefaultParagraphFont"/>
    <w:uiPriority w:val="99"/>
    <w:unhideWhenUsed/>
    <w:rsid w:val="0069133B"/>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2998124">
      <w:bodyDiv w:val="1"/>
      <w:marLeft w:val="0"/>
      <w:marRight w:val="0"/>
      <w:marTop w:val="0"/>
      <w:marBottom w:val="0"/>
      <w:divBdr>
        <w:top w:val="none" w:sz="0" w:space="0" w:color="auto"/>
        <w:left w:val="none" w:sz="0" w:space="0" w:color="auto"/>
        <w:bottom w:val="none" w:sz="0" w:space="0" w:color="auto"/>
        <w:right w:val="none" w:sz="0" w:space="0" w:color="auto"/>
      </w:divBdr>
    </w:div>
    <w:div w:id="85004287">
      <w:bodyDiv w:val="1"/>
      <w:marLeft w:val="0"/>
      <w:marRight w:val="0"/>
      <w:marTop w:val="0"/>
      <w:marBottom w:val="0"/>
      <w:divBdr>
        <w:top w:val="none" w:sz="0" w:space="0" w:color="auto"/>
        <w:left w:val="none" w:sz="0" w:space="0" w:color="auto"/>
        <w:bottom w:val="none" w:sz="0" w:space="0" w:color="auto"/>
        <w:right w:val="none" w:sz="0" w:space="0" w:color="auto"/>
      </w:divBdr>
    </w:div>
    <w:div w:id="117916746">
      <w:bodyDiv w:val="1"/>
      <w:marLeft w:val="0"/>
      <w:marRight w:val="0"/>
      <w:marTop w:val="0"/>
      <w:marBottom w:val="0"/>
      <w:divBdr>
        <w:top w:val="none" w:sz="0" w:space="0" w:color="auto"/>
        <w:left w:val="none" w:sz="0" w:space="0" w:color="auto"/>
        <w:bottom w:val="none" w:sz="0" w:space="0" w:color="auto"/>
        <w:right w:val="none" w:sz="0" w:space="0" w:color="auto"/>
      </w:divBdr>
    </w:div>
    <w:div w:id="140123628">
      <w:bodyDiv w:val="1"/>
      <w:marLeft w:val="0"/>
      <w:marRight w:val="0"/>
      <w:marTop w:val="0"/>
      <w:marBottom w:val="0"/>
      <w:divBdr>
        <w:top w:val="none" w:sz="0" w:space="0" w:color="auto"/>
        <w:left w:val="none" w:sz="0" w:space="0" w:color="auto"/>
        <w:bottom w:val="none" w:sz="0" w:space="0" w:color="auto"/>
        <w:right w:val="none" w:sz="0" w:space="0" w:color="auto"/>
      </w:divBdr>
    </w:div>
    <w:div w:id="664015390">
      <w:bodyDiv w:val="1"/>
      <w:marLeft w:val="0"/>
      <w:marRight w:val="0"/>
      <w:marTop w:val="0"/>
      <w:marBottom w:val="0"/>
      <w:divBdr>
        <w:top w:val="none" w:sz="0" w:space="0" w:color="auto"/>
        <w:left w:val="none" w:sz="0" w:space="0" w:color="auto"/>
        <w:bottom w:val="none" w:sz="0" w:space="0" w:color="auto"/>
        <w:right w:val="none" w:sz="0" w:space="0" w:color="auto"/>
      </w:divBdr>
    </w:div>
    <w:div w:id="688798518">
      <w:bodyDiv w:val="1"/>
      <w:marLeft w:val="0"/>
      <w:marRight w:val="0"/>
      <w:marTop w:val="0"/>
      <w:marBottom w:val="0"/>
      <w:divBdr>
        <w:top w:val="none" w:sz="0" w:space="0" w:color="auto"/>
        <w:left w:val="none" w:sz="0" w:space="0" w:color="auto"/>
        <w:bottom w:val="none" w:sz="0" w:space="0" w:color="auto"/>
        <w:right w:val="none" w:sz="0" w:space="0" w:color="auto"/>
      </w:divBdr>
    </w:div>
    <w:div w:id="711151103">
      <w:bodyDiv w:val="1"/>
      <w:marLeft w:val="0"/>
      <w:marRight w:val="0"/>
      <w:marTop w:val="0"/>
      <w:marBottom w:val="0"/>
      <w:divBdr>
        <w:top w:val="none" w:sz="0" w:space="0" w:color="auto"/>
        <w:left w:val="none" w:sz="0" w:space="0" w:color="auto"/>
        <w:bottom w:val="none" w:sz="0" w:space="0" w:color="auto"/>
        <w:right w:val="none" w:sz="0" w:space="0" w:color="auto"/>
      </w:divBdr>
    </w:div>
    <w:div w:id="879365164">
      <w:bodyDiv w:val="1"/>
      <w:marLeft w:val="0"/>
      <w:marRight w:val="0"/>
      <w:marTop w:val="0"/>
      <w:marBottom w:val="0"/>
      <w:divBdr>
        <w:top w:val="none" w:sz="0" w:space="0" w:color="auto"/>
        <w:left w:val="none" w:sz="0" w:space="0" w:color="auto"/>
        <w:bottom w:val="none" w:sz="0" w:space="0" w:color="auto"/>
        <w:right w:val="none" w:sz="0" w:space="0" w:color="auto"/>
      </w:divBdr>
    </w:div>
    <w:div w:id="936793230">
      <w:bodyDiv w:val="1"/>
      <w:marLeft w:val="0"/>
      <w:marRight w:val="0"/>
      <w:marTop w:val="0"/>
      <w:marBottom w:val="0"/>
      <w:divBdr>
        <w:top w:val="none" w:sz="0" w:space="0" w:color="auto"/>
        <w:left w:val="none" w:sz="0" w:space="0" w:color="auto"/>
        <w:bottom w:val="none" w:sz="0" w:space="0" w:color="auto"/>
        <w:right w:val="none" w:sz="0" w:space="0" w:color="auto"/>
      </w:divBdr>
    </w:div>
    <w:div w:id="1079326262">
      <w:bodyDiv w:val="1"/>
      <w:marLeft w:val="0"/>
      <w:marRight w:val="0"/>
      <w:marTop w:val="0"/>
      <w:marBottom w:val="0"/>
      <w:divBdr>
        <w:top w:val="none" w:sz="0" w:space="0" w:color="auto"/>
        <w:left w:val="none" w:sz="0" w:space="0" w:color="auto"/>
        <w:bottom w:val="none" w:sz="0" w:space="0" w:color="auto"/>
        <w:right w:val="none" w:sz="0" w:space="0" w:color="auto"/>
      </w:divBdr>
    </w:div>
    <w:div w:id="1128595794">
      <w:bodyDiv w:val="1"/>
      <w:marLeft w:val="0"/>
      <w:marRight w:val="0"/>
      <w:marTop w:val="0"/>
      <w:marBottom w:val="0"/>
      <w:divBdr>
        <w:top w:val="none" w:sz="0" w:space="0" w:color="auto"/>
        <w:left w:val="none" w:sz="0" w:space="0" w:color="auto"/>
        <w:bottom w:val="none" w:sz="0" w:space="0" w:color="auto"/>
        <w:right w:val="none" w:sz="0" w:space="0" w:color="auto"/>
      </w:divBdr>
      <w:divsChild>
        <w:div w:id="481583042">
          <w:marLeft w:val="0"/>
          <w:marRight w:val="0"/>
          <w:marTop w:val="0"/>
          <w:marBottom w:val="0"/>
          <w:divBdr>
            <w:top w:val="none" w:sz="0" w:space="0" w:color="auto"/>
            <w:left w:val="none" w:sz="0" w:space="0" w:color="auto"/>
            <w:bottom w:val="none" w:sz="0" w:space="0" w:color="auto"/>
            <w:right w:val="none" w:sz="0" w:space="0" w:color="auto"/>
          </w:divBdr>
        </w:div>
      </w:divsChild>
    </w:div>
    <w:div w:id="1162157256">
      <w:bodyDiv w:val="1"/>
      <w:marLeft w:val="0"/>
      <w:marRight w:val="0"/>
      <w:marTop w:val="0"/>
      <w:marBottom w:val="0"/>
      <w:divBdr>
        <w:top w:val="none" w:sz="0" w:space="0" w:color="auto"/>
        <w:left w:val="none" w:sz="0" w:space="0" w:color="auto"/>
        <w:bottom w:val="none" w:sz="0" w:space="0" w:color="auto"/>
        <w:right w:val="none" w:sz="0" w:space="0" w:color="auto"/>
      </w:divBdr>
    </w:div>
    <w:div w:id="1343625835">
      <w:bodyDiv w:val="1"/>
      <w:marLeft w:val="0"/>
      <w:marRight w:val="0"/>
      <w:marTop w:val="0"/>
      <w:marBottom w:val="0"/>
      <w:divBdr>
        <w:top w:val="none" w:sz="0" w:space="0" w:color="auto"/>
        <w:left w:val="none" w:sz="0" w:space="0" w:color="auto"/>
        <w:bottom w:val="none" w:sz="0" w:space="0" w:color="auto"/>
        <w:right w:val="none" w:sz="0" w:space="0" w:color="auto"/>
      </w:divBdr>
    </w:div>
    <w:div w:id="1380057600">
      <w:bodyDiv w:val="1"/>
      <w:marLeft w:val="0"/>
      <w:marRight w:val="0"/>
      <w:marTop w:val="0"/>
      <w:marBottom w:val="0"/>
      <w:divBdr>
        <w:top w:val="none" w:sz="0" w:space="0" w:color="auto"/>
        <w:left w:val="none" w:sz="0" w:space="0" w:color="auto"/>
        <w:bottom w:val="none" w:sz="0" w:space="0" w:color="auto"/>
        <w:right w:val="none" w:sz="0" w:space="0" w:color="auto"/>
      </w:divBdr>
    </w:div>
    <w:div w:id="162307823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nestle.com/"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nestle.com/about/history/logo-evolution"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theculturefactor.com/country-comparison-tool?countries=india%2Cswitzerland"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ln>
                  <a:noFill/>
                </a:ln>
                <a:solidFill>
                  <a:schemeClr val="tx1">
                    <a:lumMod val="65000"/>
                    <a:lumOff val="35000"/>
                  </a:schemeClr>
                </a:solidFill>
                <a:latin typeface="+mn-lt"/>
                <a:ea typeface="+mn-ea"/>
                <a:cs typeface="+mn-cs"/>
              </a:defRPr>
            </a:pPr>
            <a:r>
              <a:rPr lang="en-US" b="1">
                <a:latin typeface="Arial" panose="020B0604020202020204" pitchFamily="34" charset="0"/>
                <a:cs typeface="Arial" panose="020B0604020202020204" pitchFamily="34" charset="0"/>
              </a:rPr>
              <a:t>Nestlé’s total reported sales 2019-2023</a:t>
            </a:r>
            <a:br>
              <a:rPr lang="en-US" b="1">
                <a:latin typeface="Arial" panose="020B0604020202020204" pitchFamily="34" charset="0"/>
                <a:cs typeface="Arial" panose="020B0604020202020204" pitchFamily="34" charset="0"/>
              </a:rPr>
            </a:br>
            <a:r>
              <a:rPr lang="en-US" sz="1200" b="0">
                <a:latin typeface="Arial" panose="020B0604020202020204" pitchFamily="34" charset="0"/>
                <a:cs typeface="Arial" panose="020B0604020202020204" pitchFamily="34" charset="0"/>
              </a:rPr>
              <a:t>Sales peaked in 2022 before declining slightly</a:t>
            </a:r>
            <a:endParaRPr lang="en-US" b="0">
              <a:latin typeface="Arial" panose="020B0604020202020204" pitchFamily="34" charset="0"/>
              <a:cs typeface="Arial" panose="020B0604020202020204" pitchFamily="34" charset="0"/>
            </a:endParaRPr>
          </a:p>
        </c:rich>
      </c:tx>
      <c:layout>
        <c:manualLayout>
          <c:xMode val="edge"/>
          <c:yMode val="edge"/>
          <c:x val="0.19243741166969514"/>
          <c:y val="1.5103650335608608E-2"/>
        </c:manualLayout>
      </c:layout>
      <c:overlay val="0"/>
      <c:spPr>
        <a:noFill/>
        <a:ln>
          <a:noFill/>
        </a:ln>
        <a:effectLst/>
      </c:spPr>
      <c:txPr>
        <a:bodyPr rot="0" spcFirstLastPara="1" vertOverflow="ellipsis" vert="horz" wrap="square" anchor="ctr" anchorCtr="1"/>
        <a:lstStyle/>
        <a:p>
          <a:pPr>
            <a:defRPr sz="1400" b="0" i="0" u="none" strike="noStrike" kern="1200" spc="0" baseline="0">
              <a:ln>
                <a:noFill/>
              </a:ln>
              <a:solidFill>
                <a:schemeClr val="tx1">
                  <a:lumMod val="65000"/>
                  <a:lumOff val="35000"/>
                </a:schemeClr>
              </a:solidFill>
              <a:latin typeface="+mn-lt"/>
              <a:ea typeface="+mn-ea"/>
              <a:cs typeface="+mn-cs"/>
            </a:defRPr>
          </a:pPr>
          <a:endParaRPr lang="en-US"/>
        </a:p>
      </c:txPr>
    </c:title>
    <c:autoTitleDeleted val="0"/>
    <c:plotArea>
      <c:layout/>
      <c:barChart>
        <c:barDir val="col"/>
        <c:grouping val="stacked"/>
        <c:varyColors val="0"/>
        <c:ser>
          <c:idx val="0"/>
          <c:order val="0"/>
          <c:tx>
            <c:strRef>
              <c:f>Sheet1!$B$1</c:f>
              <c:strCache>
                <c:ptCount val="1"/>
                <c:pt idx="0">
                  <c:v>Series 1</c:v>
                </c:pt>
              </c:strCache>
            </c:strRef>
          </c:tx>
          <c:spPr>
            <a:solidFill>
              <a:schemeClr val="accent1"/>
            </a:solidFill>
            <a:ln>
              <a:noFill/>
            </a:ln>
            <a:effectLst/>
          </c:spPr>
          <c:invertIfNegative val="0"/>
          <c:dLbls>
            <c:spPr>
              <a:noFill/>
              <a:ln>
                <a:noFill/>
              </a:ln>
              <a:effectLst/>
            </c:spPr>
            <c:txPr>
              <a:bodyPr rot="0" spcFirstLastPara="1" vertOverflow="ellipsis" vert="horz" wrap="square" anchor="ctr" anchorCtr="1"/>
              <a:lstStyle/>
              <a:p>
                <a:pPr>
                  <a:defRPr sz="900" b="0" i="0" u="none" strike="noStrike" kern="1200" baseline="0">
                    <a:ln>
                      <a:noFill/>
                    </a:ln>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Sheet1!$A$2:$A$6</c:f>
              <c:numCache>
                <c:formatCode>General</c:formatCode>
                <c:ptCount val="5"/>
                <c:pt idx="0">
                  <c:v>2019</c:v>
                </c:pt>
                <c:pt idx="1">
                  <c:v>2020</c:v>
                </c:pt>
                <c:pt idx="2">
                  <c:v>2021</c:v>
                </c:pt>
                <c:pt idx="3">
                  <c:v>2022</c:v>
                </c:pt>
                <c:pt idx="4">
                  <c:v>2023</c:v>
                </c:pt>
              </c:numCache>
            </c:numRef>
          </c:cat>
          <c:val>
            <c:numRef>
              <c:f>Sheet1!$B$2:$B$6</c:f>
              <c:numCache>
                <c:formatCode>General</c:formatCode>
                <c:ptCount val="5"/>
                <c:pt idx="0">
                  <c:v>92.6</c:v>
                </c:pt>
                <c:pt idx="1">
                  <c:v>84.3</c:v>
                </c:pt>
                <c:pt idx="2">
                  <c:v>87.1</c:v>
                </c:pt>
                <c:pt idx="3">
                  <c:v>94.4</c:v>
                </c:pt>
                <c:pt idx="4">
                  <c:v>93</c:v>
                </c:pt>
              </c:numCache>
            </c:numRef>
          </c:val>
          <c:extLst>
            <c:ext xmlns:c16="http://schemas.microsoft.com/office/drawing/2014/chart" uri="{C3380CC4-5D6E-409C-BE32-E72D297353CC}">
              <c16:uniqueId val="{00000000-8D27-4D46-86CA-E0622BAA85CB}"/>
            </c:ext>
          </c:extLst>
        </c:ser>
        <c:ser>
          <c:idx val="1"/>
          <c:order val="1"/>
          <c:tx>
            <c:strRef>
              <c:f>Sheet1!$C$1</c:f>
              <c:strCache>
                <c:ptCount val="1"/>
                <c:pt idx="0">
                  <c:v>Column1</c:v>
                </c:pt>
              </c:strCache>
            </c:strRef>
          </c:tx>
          <c:spPr>
            <a:solidFill>
              <a:schemeClr val="accent2"/>
            </a:solidFill>
            <a:ln>
              <a:noFill/>
            </a:ln>
            <a:effectLst/>
          </c:spPr>
          <c:invertIfNegative val="0"/>
          <c:dLbls>
            <c:spPr>
              <a:noFill/>
              <a:ln>
                <a:noFill/>
              </a:ln>
              <a:effectLst/>
            </c:spPr>
            <c:txPr>
              <a:bodyPr rot="0" spcFirstLastPara="1" vertOverflow="ellipsis" vert="horz" wrap="square" anchor="ctr" anchorCtr="1"/>
              <a:lstStyle/>
              <a:p>
                <a:pPr>
                  <a:defRPr sz="900" b="0" i="0" u="none" strike="noStrike" kern="1200" baseline="0">
                    <a:ln>
                      <a:noFill/>
                    </a:ln>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Sheet1!$A$2:$A$6</c:f>
              <c:numCache>
                <c:formatCode>General</c:formatCode>
                <c:ptCount val="5"/>
                <c:pt idx="0">
                  <c:v>2019</c:v>
                </c:pt>
                <c:pt idx="1">
                  <c:v>2020</c:v>
                </c:pt>
                <c:pt idx="2">
                  <c:v>2021</c:v>
                </c:pt>
                <c:pt idx="3">
                  <c:v>2022</c:v>
                </c:pt>
                <c:pt idx="4">
                  <c:v>2023</c:v>
                </c:pt>
              </c:numCache>
            </c:numRef>
          </c:cat>
          <c:val>
            <c:numRef>
              <c:f>Sheet1!$C$2:$C$6</c:f>
              <c:numCache>
                <c:formatCode>General</c:formatCode>
                <c:ptCount val="5"/>
              </c:numCache>
            </c:numRef>
          </c:val>
          <c:extLst>
            <c:ext xmlns:c16="http://schemas.microsoft.com/office/drawing/2014/chart" uri="{C3380CC4-5D6E-409C-BE32-E72D297353CC}">
              <c16:uniqueId val="{00000001-8D27-4D46-86CA-E0622BAA85CB}"/>
            </c:ext>
          </c:extLst>
        </c:ser>
        <c:ser>
          <c:idx val="2"/>
          <c:order val="2"/>
          <c:tx>
            <c:strRef>
              <c:f>Sheet1!$D$1</c:f>
              <c:strCache>
                <c:ptCount val="1"/>
                <c:pt idx="0">
                  <c:v>Column2</c:v>
                </c:pt>
              </c:strCache>
            </c:strRef>
          </c:tx>
          <c:spPr>
            <a:solidFill>
              <a:schemeClr val="accent3"/>
            </a:solidFill>
            <a:ln>
              <a:noFill/>
            </a:ln>
            <a:effectLst/>
          </c:spPr>
          <c:invertIfNegative val="0"/>
          <c:dLbls>
            <c:spPr>
              <a:noFill/>
              <a:ln>
                <a:noFill/>
              </a:ln>
              <a:effectLst/>
            </c:spPr>
            <c:txPr>
              <a:bodyPr rot="0" spcFirstLastPara="1" vertOverflow="ellipsis" vert="horz" wrap="square" anchor="ctr" anchorCtr="1"/>
              <a:lstStyle/>
              <a:p>
                <a:pPr>
                  <a:defRPr sz="900" b="0" i="0" u="none" strike="noStrike" kern="1200" baseline="0">
                    <a:ln>
                      <a:noFill/>
                    </a:ln>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Sheet1!$A$2:$A$6</c:f>
              <c:numCache>
                <c:formatCode>General</c:formatCode>
                <c:ptCount val="5"/>
                <c:pt idx="0">
                  <c:v>2019</c:v>
                </c:pt>
                <c:pt idx="1">
                  <c:v>2020</c:v>
                </c:pt>
                <c:pt idx="2">
                  <c:v>2021</c:v>
                </c:pt>
                <c:pt idx="3">
                  <c:v>2022</c:v>
                </c:pt>
                <c:pt idx="4">
                  <c:v>2023</c:v>
                </c:pt>
              </c:numCache>
            </c:numRef>
          </c:cat>
          <c:val>
            <c:numRef>
              <c:f>Sheet1!$D$2:$D$6</c:f>
              <c:numCache>
                <c:formatCode>General</c:formatCode>
                <c:ptCount val="5"/>
              </c:numCache>
            </c:numRef>
          </c:val>
          <c:extLst>
            <c:ext xmlns:c16="http://schemas.microsoft.com/office/drawing/2014/chart" uri="{C3380CC4-5D6E-409C-BE32-E72D297353CC}">
              <c16:uniqueId val="{00000002-8D27-4D46-86CA-E0622BAA85CB}"/>
            </c:ext>
          </c:extLst>
        </c:ser>
        <c:dLbls>
          <c:dLblPos val="ctr"/>
          <c:showLegendKey val="0"/>
          <c:showVal val="1"/>
          <c:showCatName val="0"/>
          <c:showSerName val="0"/>
          <c:showPercent val="0"/>
          <c:showBubbleSize val="0"/>
        </c:dLbls>
        <c:gapWidth val="219"/>
        <c:overlap val="100"/>
        <c:axId val="1945207808"/>
        <c:axId val="1945207392"/>
      </c:barChart>
      <c:catAx>
        <c:axId val="1945207808"/>
        <c:scaling>
          <c:orientation val="minMax"/>
        </c:scaling>
        <c:delete val="0"/>
        <c:axPos val="b"/>
        <c:title>
          <c:tx>
            <c:rich>
              <a:bodyPr rot="0" spcFirstLastPara="1" vertOverflow="ellipsis" vert="horz" wrap="square" anchor="ctr" anchorCtr="1"/>
              <a:lstStyle/>
              <a:p>
                <a:pPr>
                  <a:defRPr sz="1000" b="0" i="0" u="none" strike="noStrike" kern="1200" baseline="0">
                    <a:ln>
                      <a:noFill/>
                    </a:ln>
                    <a:solidFill>
                      <a:schemeClr val="tx1">
                        <a:lumMod val="65000"/>
                        <a:lumOff val="35000"/>
                      </a:schemeClr>
                    </a:solidFill>
                    <a:latin typeface="+mn-lt"/>
                    <a:ea typeface="+mn-ea"/>
                    <a:cs typeface="+mn-cs"/>
                  </a:defRPr>
                </a:pPr>
                <a:r>
                  <a:rPr lang="en-US" sz="1200" b="1">
                    <a:latin typeface="Arial" panose="020B0604020202020204" pitchFamily="34" charset="0"/>
                    <a:cs typeface="Arial" panose="020B0604020202020204" pitchFamily="34" charset="0"/>
                  </a:rPr>
                  <a:t>Year</a:t>
                </a:r>
                <a:endParaRPr lang="en-US" b="1">
                  <a:latin typeface="Arial" panose="020B0604020202020204" pitchFamily="34" charset="0"/>
                  <a:cs typeface="Arial" panose="020B0604020202020204" pitchFamily="34" charset="0"/>
                </a:endParaRPr>
              </a:p>
            </c:rich>
          </c:tx>
          <c:layout>
            <c:manualLayout>
              <c:xMode val="edge"/>
              <c:yMode val="edge"/>
              <c:x val="0.50289538326939898"/>
              <c:y val="0.92093023255813955"/>
            </c:manualLayout>
          </c:layout>
          <c:overlay val="0"/>
          <c:spPr>
            <a:noFill/>
            <a:ln>
              <a:noFill/>
            </a:ln>
            <a:effectLst/>
          </c:spPr>
          <c:txPr>
            <a:bodyPr rot="0" spcFirstLastPara="1" vertOverflow="ellipsis" vert="horz" wrap="square" anchor="ctr" anchorCtr="1"/>
            <a:lstStyle/>
            <a:p>
              <a:pPr>
                <a:defRPr sz="1000" b="0" i="0" u="none" strike="noStrike" kern="1200" baseline="0">
                  <a:ln>
                    <a:noFill/>
                  </a:ln>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ln>
                  <a:noFill/>
                </a:ln>
                <a:solidFill>
                  <a:schemeClr val="tx1">
                    <a:lumMod val="65000"/>
                    <a:lumOff val="35000"/>
                  </a:schemeClr>
                </a:solidFill>
                <a:latin typeface="+mn-lt"/>
                <a:ea typeface="+mn-ea"/>
                <a:cs typeface="+mn-cs"/>
              </a:defRPr>
            </a:pPr>
            <a:endParaRPr lang="en-US"/>
          </a:p>
        </c:txPr>
        <c:crossAx val="1945207392"/>
        <c:crosses val="autoZero"/>
        <c:auto val="1"/>
        <c:lblAlgn val="ctr"/>
        <c:lblOffset val="100"/>
        <c:noMultiLvlLbl val="0"/>
      </c:catAx>
      <c:valAx>
        <c:axId val="194520739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ln>
                      <a:noFill/>
                    </a:ln>
                    <a:solidFill>
                      <a:schemeClr val="tx1">
                        <a:lumMod val="65000"/>
                        <a:lumOff val="35000"/>
                      </a:schemeClr>
                    </a:solidFill>
                    <a:latin typeface="+mn-lt"/>
                    <a:ea typeface="+mn-ea"/>
                    <a:cs typeface="+mn-cs"/>
                  </a:defRPr>
                </a:pPr>
                <a:r>
                  <a:rPr lang="en-US" sz="1200" b="1">
                    <a:latin typeface="Arial" panose="020B0604020202020204" pitchFamily="34" charset="0"/>
                    <a:cs typeface="Arial" panose="020B0604020202020204" pitchFamily="34" charset="0"/>
                  </a:rPr>
                  <a:t>Sales (CHF bn)</a:t>
                </a:r>
              </a:p>
            </c:rich>
          </c:tx>
          <c:layout>
            <c:manualLayout>
              <c:xMode val="edge"/>
              <c:yMode val="edge"/>
              <c:x val="1.0455876202425763E-2"/>
              <c:y val="0.35523700305810407"/>
            </c:manualLayout>
          </c:layout>
          <c:overlay val="0"/>
          <c:spPr>
            <a:noFill/>
            <a:ln>
              <a:noFill/>
            </a:ln>
            <a:effectLst/>
          </c:spPr>
          <c:txPr>
            <a:bodyPr rot="-5400000" spcFirstLastPara="1" vertOverflow="ellipsis" vert="horz" wrap="square" anchor="ctr" anchorCtr="1"/>
            <a:lstStyle/>
            <a:p>
              <a:pPr>
                <a:defRPr sz="1000" b="0" i="0" u="none" strike="noStrike" kern="1200" baseline="0">
                  <a:ln>
                    <a:noFill/>
                  </a:ln>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ln>
                  <a:noFill/>
                </a:ln>
                <a:solidFill>
                  <a:schemeClr val="tx1">
                    <a:lumMod val="65000"/>
                    <a:lumOff val="35000"/>
                  </a:schemeClr>
                </a:solidFill>
                <a:latin typeface="+mn-lt"/>
                <a:ea typeface="+mn-ea"/>
                <a:cs typeface="+mn-cs"/>
              </a:defRPr>
            </a:pPr>
            <a:endParaRPr lang="en-US"/>
          </a:p>
        </c:txPr>
        <c:crossAx val="194520780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ln>
            <a:noFill/>
          </a:ln>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0311D5-A1E6-4044-A080-75F00AB777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225</TotalTime>
  <Pages>22</Pages>
  <Words>6322</Words>
  <Characters>36040</Characters>
  <Application>Microsoft Office Word</Application>
  <DocSecurity>0</DocSecurity>
  <Lines>300</Lines>
  <Paragraphs>84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42278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Karan Chavda</cp:lastModifiedBy>
  <cp:revision>103</cp:revision>
  <dcterms:created xsi:type="dcterms:W3CDTF">2013-12-23T23:15:00Z</dcterms:created>
  <dcterms:modified xsi:type="dcterms:W3CDTF">2025-12-15T00:37:00Z</dcterms:modified>
  <cp:category/>
</cp:coreProperties>
</file>