
<file path=[Content_Types].xml><?xml version="1.0" encoding="utf-8"?>
<Types xmlns="http://schemas.openxmlformats.org/package/2006/content-types">
  <Default Extension="1"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61684668"/>
        <w:docPartObj>
          <w:docPartGallery w:val="Cover Pages"/>
          <w:docPartUnique/>
        </w:docPartObj>
      </w:sdtPr>
      <w:sdtContent>
        <w:p w14:paraId="1DBBF30C" w14:textId="30E76E82" w:rsidR="00B50BAC" w:rsidRDefault="008B4280" w:rsidP="00E01400">
          <w:pPr>
            <w:spacing w:before="0" w:after="160" w:line="259" w:lineRule="auto"/>
          </w:pPr>
          <w:r w:rsidRPr="008B4280">
            <w:rPr>
              <w:rFonts w:ascii="Times New Roman" w:eastAsia="Calibri" w:hAnsi="Times New Roman" w:cs="Arial"/>
              <w:noProof/>
              <w:szCs w:val="22"/>
            </w:rPr>
            <w:drawing>
              <wp:inline distT="0" distB="0" distL="0" distR="0" wp14:anchorId="6AD3843B" wp14:editId="4D27A2D8">
                <wp:extent cx="1813560" cy="739140"/>
                <wp:effectExtent l="0" t="0" r="0" b="0"/>
                <wp:docPr id="6" name="Picture 3" descr="Discover University of Wales Trinity Saint Davi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scover University of Wales Trinity Saint David, Pic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3560" cy="739140"/>
                        </a:xfrm>
                        <a:prstGeom prst="rect">
                          <a:avLst/>
                        </a:prstGeom>
                        <a:noFill/>
                        <a:ln>
                          <a:noFill/>
                        </a:ln>
                      </pic:spPr>
                    </pic:pic>
                  </a:graphicData>
                </a:graphic>
              </wp:inline>
            </w:drawing>
          </w:r>
          <w:r w:rsidR="003C268B">
            <w:rPr>
              <w:noProof/>
            </w:rPr>
            <mc:AlternateContent>
              <mc:Choice Requires="wps">
                <w:drawing>
                  <wp:anchor distT="0" distB="0" distL="114300" distR="114300" simplePos="0" relativeHeight="251659264" behindDoc="0" locked="0" layoutInCell="1" allowOverlap="1" wp14:anchorId="08B452A5" wp14:editId="1C0FE84B">
                    <wp:simplePos x="0" y="0"/>
                    <wp:positionH relativeFrom="margin">
                      <wp:align>center</wp:align>
                    </wp:positionH>
                    <wp:positionV relativeFrom="margin">
                      <wp:align>bottom</wp:align>
                    </wp:positionV>
                    <wp:extent cx="6918960" cy="5029200"/>
                    <wp:effectExtent l="0" t="0" r="0" b="0"/>
                    <wp:wrapNone/>
                    <wp:docPr id="132829820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18960" cy="50292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99"/>
                                  <w:gridCol w:w="5302"/>
                                </w:tblGrid>
                                <w:tr w:rsidR="00CA10DB" w14:paraId="7EEA32F0" w14:textId="77777777">
                                  <w:trPr>
                                    <w:jc w:val="center"/>
                                  </w:trPr>
                                  <w:tc>
                                    <w:tcPr>
                                      <w:tcW w:w="2568" w:type="pct"/>
                                      <w:vAlign w:val="center"/>
                                    </w:tcPr>
                                    <w:p w14:paraId="26E32E30" w14:textId="2BD632C5" w:rsidR="00CA10DB" w:rsidRDefault="00CA10DB">
                                      <w:pPr>
                                        <w:jc w:val="right"/>
                                      </w:pPr>
                                    </w:p>
                                    <w:sdt>
                                      <w:sdtPr>
                                        <w:rPr>
                                          <w:rFonts w:ascii="Arial" w:hAnsi="Arial" w:cs="Arial"/>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46FA759" w14:textId="6A3F64E8" w:rsidR="00CA10DB" w:rsidRPr="0091587F" w:rsidRDefault="0079177E">
                                          <w:pPr>
                                            <w:pStyle w:val="NoSpacing"/>
                                            <w:spacing w:line="312" w:lineRule="auto"/>
                                            <w:jc w:val="right"/>
                                            <w:rPr>
                                              <w:caps/>
                                              <w:color w:val="191919" w:themeColor="text1" w:themeTint="E6"/>
                                              <w:sz w:val="52"/>
                                              <w:szCs w:val="52"/>
                                            </w:rPr>
                                          </w:pPr>
                                          <w:r w:rsidRPr="0091587F">
                                            <w:rPr>
                                              <w:rFonts w:ascii="Arial" w:hAnsi="Arial" w:cs="Arial"/>
                                              <w:caps/>
                                              <w:color w:val="191919" w:themeColor="text1" w:themeTint="E6"/>
                                              <w:sz w:val="52"/>
                                              <w:szCs w:val="52"/>
                                            </w:rPr>
                                            <w:t>Health, Wellbeing and Sustainable Development</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A73FF35" w14:textId="2BD632C5" w:rsidR="00CA10DB" w:rsidRDefault="0091587F">
                                          <w:pPr>
                                            <w:jc w:val="right"/>
                                            <w:rPr>
                                              <w:szCs w:val="24"/>
                                            </w:rPr>
                                          </w:pPr>
                                          <w:r w:rsidRPr="0091587F">
                                            <w:rPr>
                                              <w:color w:val="000000" w:themeColor="text1"/>
                                              <w:szCs w:val="24"/>
                                            </w:rPr>
                                            <w:t>A CRITICAL EVALUATION OF GLOBAL, NATIONAL AND LOCAL POLICIES AND INITIATIVES</w:t>
                                          </w:r>
                                        </w:p>
                                      </w:sdtContent>
                                    </w:sdt>
                                  </w:tc>
                                  <w:tc>
                                    <w:tcPr>
                                      <w:tcW w:w="2432" w:type="pct"/>
                                      <w:vAlign w:val="center"/>
                                    </w:tcPr>
                                    <w:p w14:paraId="17BC13E8" w14:textId="07DCD37A" w:rsidR="00CA10DB" w:rsidRPr="000D7774" w:rsidRDefault="00CA10DB" w:rsidP="000D7774">
                                      <w:pPr>
                                        <w:pStyle w:val="NoSpacing"/>
                                        <w:rPr>
                                          <w:caps/>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55474DD" w14:textId="5F2D3E22" w:rsidR="00CA10DB" w:rsidRDefault="00F26CC6">
                                          <w:pPr>
                                            <w:pStyle w:val="NoSpacing"/>
                                            <w:rPr>
                                              <w:color w:val="E97132" w:themeColor="accent2"/>
                                              <w:sz w:val="26"/>
                                              <w:szCs w:val="26"/>
                                            </w:rPr>
                                          </w:pPr>
                                          <w:r>
                                            <w:rPr>
                                              <w:color w:val="E97132" w:themeColor="accent2"/>
                                              <w:sz w:val="26"/>
                                              <w:szCs w:val="26"/>
                                            </w:rPr>
                                            <w:t>Lecturer</w:t>
                                          </w:r>
                                          <w:r w:rsidR="00DA02B7">
                                            <w:rPr>
                                              <w:color w:val="E97132" w:themeColor="accent2"/>
                                              <w:sz w:val="26"/>
                                              <w:szCs w:val="26"/>
                                            </w:rPr>
                                            <w:t xml:space="preserve">: </w:t>
                                          </w:r>
                                          <w:r w:rsidR="009E0689">
                                            <w:rPr>
                                              <w:color w:val="E97132" w:themeColor="accent2"/>
                                              <w:sz w:val="26"/>
                                              <w:szCs w:val="26"/>
                                            </w:rPr>
                                            <w:t xml:space="preserve">Dr </w:t>
                                          </w:r>
                                          <w:r w:rsidR="00DA02B7">
                                            <w:rPr>
                                              <w:color w:val="E97132" w:themeColor="accent2"/>
                                              <w:sz w:val="26"/>
                                              <w:szCs w:val="26"/>
                                            </w:rPr>
                                            <w:t xml:space="preserve">Itse  </w:t>
                                          </w:r>
                                          <w:r w:rsidR="00F210EF">
                                            <w:rPr>
                                              <w:color w:val="E97132" w:themeColor="accent2"/>
                                              <w:sz w:val="26"/>
                                              <w:szCs w:val="26"/>
                                            </w:rPr>
                                            <w:t xml:space="preserve">Olaoye                          Student: </w:t>
                                          </w:r>
                                          <w:r w:rsidR="00CA10DB">
                                            <w:rPr>
                                              <w:color w:val="E97132" w:themeColor="accent2"/>
                                              <w:sz w:val="26"/>
                                              <w:szCs w:val="26"/>
                                            </w:rPr>
                                            <w:t>Monica Ana Oprea (2315596)</w:t>
                                          </w:r>
                                        </w:p>
                                      </w:sdtContent>
                                    </w:sdt>
                                    <w:p w14:paraId="629BDD2B" w14:textId="094A9591" w:rsidR="0030490D" w:rsidRPr="0030490D" w:rsidRDefault="00000000" w:rsidP="0030490D">
                                      <w:pPr>
                                        <w:pStyle w:val="NoSpacing"/>
                                        <w:rPr>
                                          <w:b/>
                                          <w:bCs/>
                                          <w:color w:val="0E2841" w:themeColor="text2"/>
                                        </w:rPr>
                                      </w:pPr>
                                      <w:sdt>
                                        <w:sdtPr>
                                          <w:rPr>
                                            <w:b/>
                                            <w:bCs/>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210EF" w:rsidRPr="00F210EF">
                                            <w:rPr>
                                              <w:b/>
                                              <w:bCs/>
                                              <w:color w:val="0E2841" w:themeColor="text2"/>
                                            </w:rPr>
                                            <w:t xml:space="preserve">Module: </w:t>
                                          </w:r>
                                        </w:sdtContent>
                                      </w:sdt>
                                      <w:r w:rsidR="0030490D" w:rsidRPr="0030490D">
                                        <w:rPr>
                                          <w:b/>
                                          <w:bCs/>
                                          <w:color w:val="0E2841" w:themeColor="text2"/>
                                        </w:rPr>
                                        <w:t>Health, Wellbeing and Sustainable Development (BMHP6030_LON)</w:t>
                                      </w:r>
                                    </w:p>
                                    <w:p w14:paraId="34140400" w14:textId="1080ACE4" w:rsidR="00CA10DB" w:rsidRDefault="00CA10DB">
                                      <w:pPr>
                                        <w:pStyle w:val="NoSpacing"/>
                                      </w:pPr>
                                    </w:p>
                                  </w:tc>
                                </w:tr>
                              </w:tbl>
                              <w:p w14:paraId="79B11134" w14:textId="77777777" w:rsidR="00CA10DB" w:rsidRDefault="00CA10D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8B452A5" id="_x0000_t202" coordsize="21600,21600" o:spt="202" path="m,l,21600r21600,l21600,xe">
                    <v:stroke joinstyle="miter"/>
                    <v:path gradientshapeok="t" o:connecttype="rect"/>
                  </v:shapetype>
                  <v:shape id="Text Box 1" o:spid="_x0000_s1026" type="#_x0000_t202" style="position:absolute;margin-left:0;margin-top:0;width:544.8pt;height:396pt;z-index:251659264;visibility:visible;mso-wrap-style:square;mso-width-percent:0;mso-height-percent:0;mso-wrap-distance-left:9pt;mso-wrap-distance-top:0;mso-wrap-distance-right:9pt;mso-wrap-distance-bottom:0;mso-position-horizontal:center;mso-position-horizontal-relative:margin;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99"/>
                            <w:gridCol w:w="5302"/>
                          </w:tblGrid>
                          <w:tr w:rsidR="00CA10DB" w14:paraId="7EEA32F0" w14:textId="77777777">
                            <w:trPr>
                              <w:jc w:val="center"/>
                            </w:trPr>
                            <w:tc>
                              <w:tcPr>
                                <w:tcW w:w="2568" w:type="pct"/>
                                <w:vAlign w:val="center"/>
                              </w:tcPr>
                              <w:p w14:paraId="26E32E30" w14:textId="2BD632C5" w:rsidR="00CA10DB" w:rsidRDefault="00CA10DB">
                                <w:pPr>
                                  <w:jc w:val="right"/>
                                </w:pPr>
                              </w:p>
                              <w:sdt>
                                <w:sdtPr>
                                  <w:rPr>
                                    <w:rFonts w:ascii="Arial" w:hAnsi="Arial" w:cs="Arial"/>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46FA759" w14:textId="6A3F64E8" w:rsidR="00CA10DB" w:rsidRPr="0091587F" w:rsidRDefault="0079177E">
                                    <w:pPr>
                                      <w:pStyle w:val="NoSpacing"/>
                                      <w:spacing w:line="312" w:lineRule="auto"/>
                                      <w:jc w:val="right"/>
                                      <w:rPr>
                                        <w:caps/>
                                        <w:color w:val="191919" w:themeColor="text1" w:themeTint="E6"/>
                                        <w:sz w:val="52"/>
                                        <w:szCs w:val="52"/>
                                      </w:rPr>
                                    </w:pPr>
                                    <w:r w:rsidRPr="0091587F">
                                      <w:rPr>
                                        <w:rFonts w:ascii="Arial" w:hAnsi="Arial" w:cs="Arial"/>
                                        <w:caps/>
                                        <w:color w:val="191919" w:themeColor="text1" w:themeTint="E6"/>
                                        <w:sz w:val="52"/>
                                        <w:szCs w:val="52"/>
                                      </w:rPr>
                                      <w:t>Health, Wellbeing and Sustainable Development</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A73FF35" w14:textId="2BD632C5" w:rsidR="00CA10DB" w:rsidRDefault="0091587F">
                                    <w:pPr>
                                      <w:jc w:val="right"/>
                                      <w:rPr>
                                        <w:szCs w:val="24"/>
                                      </w:rPr>
                                    </w:pPr>
                                    <w:r w:rsidRPr="0091587F">
                                      <w:rPr>
                                        <w:color w:val="000000" w:themeColor="text1"/>
                                        <w:szCs w:val="24"/>
                                      </w:rPr>
                                      <w:t>A CRITICAL EVALUATION OF GLOBAL, NATIONAL AND LOCAL POLICIES AND INITIATIVES</w:t>
                                    </w:r>
                                  </w:p>
                                </w:sdtContent>
                              </w:sdt>
                            </w:tc>
                            <w:tc>
                              <w:tcPr>
                                <w:tcW w:w="2432" w:type="pct"/>
                                <w:vAlign w:val="center"/>
                              </w:tcPr>
                              <w:p w14:paraId="17BC13E8" w14:textId="07DCD37A" w:rsidR="00CA10DB" w:rsidRPr="000D7774" w:rsidRDefault="00CA10DB" w:rsidP="000D7774">
                                <w:pPr>
                                  <w:pStyle w:val="NoSpacing"/>
                                  <w:rPr>
                                    <w:caps/>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55474DD" w14:textId="5F2D3E22" w:rsidR="00CA10DB" w:rsidRDefault="00F26CC6">
                                    <w:pPr>
                                      <w:pStyle w:val="NoSpacing"/>
                                      <w:rPr>
                                        <w:color w:val="E97132" w:themeColor="accent2"/>
                                        <w:sz w:val="26"/>
                                        <w:szCs w:val="26"/>
                                      </w:rPr>
                                    </w:pPr>
                                    <w:r>
                                      <w:rPr>
                                        <w:color w:val="E97132" w:themeColor="accent2"/>
                                        <w:sz w:val="26"/>
                                        <w:szCs w:val="26"/>
                                      </w:rPr>
                                      <w:t>Lecturer</w:t>
                                    </w:r>
                                    <w:r w:rsidR="00DA02B7">
                                      <w:rPr>
                                        <w:color w:val="E97132" w:themeColor="accent2"/>
                                        <w:sz w:val="26"/>
                                        <w:szCs w:val="26"/>
                                      </w:rPr>
                                      <w:t xml:space="preserve">: </w:t>
                                    </w:r>
                                    <w:r w:rsidR="009E0689">
                                      <w:rPr>
                                        <w:color w:val="E97132" w:themeColor="accent2"/>
                                        <w:sz w:val="26"/>
                                        <w:szCs w:val="26"/>
                                      </w:rPr>
                                      <w:t xml:space="preserve">Dr </w:t>
                                    </w:r>
                                    <w:r w:rsidR="00DA02B7">
                                      <w:rPr>
                                        <w:color w:val="E97132" w:themeColor="accent2"/>
                                        <w:sz w:val="26"/>
                                        <w:szCs w:val="26"/>
                                      </w:rPr>
                                      <w:t xml:space="preserve">Itse  </w:t>
                                    </w:r>
                                    <w:r w:rsidR="00F210EF">
                                      <w:rPr>
                                        <w:color w:val="E97132" w:themeColor="accent2"/>
                                        <w:sz w:val="26"/>
                                        <w:szCs w:val="26"/>
                                      </w:rPr>
                                      <w:t xml:space="preserve">Olaoye                          Student: </w:t>
                                    </w:r>
                                    <w:r w:rsidR="00CA10DB">
                                      <w:rPr>
                                        <w:color w:val="E97132" w:themeColor="accent2"/>
                                        <w:sz w:val="26"/>
                                        <w:szCs w:val="26"/>
                                      </w:rPr>
                                      <w:t>Monica Ana Oprea (2315596)</w:t>
                                    </w:r>
                                  </w:p>
                                </w:sdtContent>
                              </w:sdt>
                              <w:p w14:paraId="629BDD2B" w14:textId="094A9591" w:rsidR="0030490D" w:rsidRPr="0030490D" w:rsidRDefault="00000000" w:rsidP="0030490D">
                                <w:pPr>
                                  <w:pStyle w:val="NoSpacing"/>
                                  <w:rPr>
                                    <w:b/>
                                    <w:bCs/>
                                    <w:color w:val="0E2841" w:themeColor="text2"/>
                                  </w:rPr>
                                </w:pPr>
                                <w:sdt>
                                  <w:sdtPr>
                                    <w:rPr>
                                      <w:b/>
                                      <w:bCs/>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210EF" w:rsidRPr="00F210EF">
                                      <w:rPr>
                                        <w:b/>
                                        <w:bCs/>
                                        <w:color w:val="0E2841" w:themeColor="text2"/>
                                      </w:rPr>
                                      <w:t xml:space="preserve">Module: </w:t>
                                    </w:r>
                                  </w:sdtContent>
                                </w:sdt>
                                <w:r w:rsidR="0030490D" w:rsidRPr="0030490D">
                                  <w:rPr>
                                    <w:b/>
                                    <w:bCs/>
                                    <w:color w:val="0E2841" w:themeColor="text2"/>
                                  </w:rPr>
                                  <w:t>Health, Wellbeing and Sustainable Development (BMHP6030_LON)</w:t>
                                </w:r>
                              </w:p>
                              <w:p w14:paraId="34140400" w14:textId="1080ACE4" w:rsidR="00CA10DB" w:rsidRDefault="00CA10DB">
                                <w:pPr>
                                  <w:pStyle w:val="NoSpacing"/>
                                </w:pPr>
                              </w:p>
                            </w:tc>
                          </w:tr>
                        </w:tbl>
                        <w:p w14:paraId="79B11134" w14:textId="77777777" w:rsidR="00CA10DB" w:rsidRDefault="00CA10DB"/>
                      </w:txbxContent>
                    </v:textbox>
                    <w10:wrap anchorx="margin" anchory="margin"/>
                  </v:shape>
                </w:pict>
              </mc:Fallback>
            </mc:AlternateContent>
          </w:r>
          <w:r w:rsidR="003C268B">
            <w:rPr>
              <w:noProof/>
              <w14:ligatures w14:val="standardContextual"/>
            </w:rPr>
            <w:drawing>
              <wp:inline distT="0" distB="0" distL="0" distR="0" wp14:anchorId="7FA518A5" wp14:editId="63B68A89">
                <wp:extent cx="5920740" cy="2333625"/>
                <wp:effectExtent l="0" t="0" r="3810" b="9525"/>
                <wp:docPr id="11873981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968297" cy="2352369"/>
                        </a:xfrm>
                        <a:prstGeom prst="rect">
                          <a:avLst/>
                        </a:prstGeom>
                      </pic:spPr>
                    </pic:pic>
                  </a:graphicData>
                </a:graphic>
              </wp:inline>
            </w:drawing>
          </w:r>
          <w:r w:rsidR="00CA10DB">
            <w:br w:type="page"/>
          </w:r>
        </w:p>
      </w:sdtContent>
    </w:sdt>
    <w:p w14:paraId="218B9963" w14:textId="44999235" w:rsidR="00CA10DB" w:rsidRDefault="00CA10DB" w:rsidP="0091587F">
      <w:pPr>
        <w:pStyle w:val="Heading1"/>
        <w:jc w:val="both"/>
        <w:rPr>
          <w:rFonts w:ascii="Arial" w:hAnsi="Arial" w:cs="Arial"/>
          <w:sz w:val="32"/>
          <w:szCs w:val="32"/>
        </w:rPr>
      </w:pPr>
      <w:r w:rsidRPr="00AA6EB0">
        <w:rPr>
          <w:rFonts w:ascii="Arial" w:hAnsi="Arial" w:cs="Arial"/>
          <w:sz w:val="32"/>
          <w:szCs w:val="32"/>
        </w:rPr>
        <w:lastRenderedPageBreak/>
        <w:t>Introduction</w:t>
      </w:r>
    </w:p>
    <w:p w14:paraId="2BD5914A" w14:textId="5F90FC40" w:rsidR="004A4B7A" w:rsidRPr="002F5589" w:rsidRDefault="004A4B7A" w:rsidP="004A4B7A">
      <w:pPr>
        <w:spacing w:line="360" w:lineRule="auto"/>
        <w:jc w:val="both"/>
        <w:rPr>
          <w:sz w:val="22"/>
          <w:szCs w:val="22"/>
        </w:rPr>
      </w:pPr>
      <w:r w:rsidRPr="002F5589">
        <w:rPr>
          <w:sz w:val="22"/>
          <w:szCs w:val="22"/>
        </w:rPr>
        <w:t>Health, wellbeing and sustainable development are closely interconnected and fundamental to improving population health and reducing inequalities</w:t>
      </w:r>
      <w:r w:rsidR="00887DBC">
        <w:rPr>
          <w:sz w:val="22"/>
          <w:szCs w:val="22"/>
        </w:rPr>
        <w:t xml:space="preserve"> (Cerf</w:t>
      </w:r>
      <w:r w:rsidR="00E5455C">
        <w:rPr>
          <w:sz w:val="22"/>
          <w:szCs w:val="22"/>
        </w:rPr>
        <w:t>, 2019)</w:t>
      </w:r>
      <w:r w:rsidRPr="002F5589">
        <w:rPr>
          <w:sz w:val="22"/>
          <w:szCs w:val="22"/>
        </w:rPr>
        <w:t>. The United Nations Sustainable Development Goals (SDGs), particularly SDG 3: Good Health and Well-being and SDG 12: Responsible Consumption and Production, provide a global framework for promoting healthier populations through equitable healthcare, sustainable resource use and environmental protection (United Nations, 2015</w:t>
      </w:r>
      <w:r w:rsidR="00704D43">
        <w:rPr>
          <w:sz w:val="22"/>
          <w:szCs w:val="22"/>
        </w:rPr>
        <w:t>; Smith et al., 2023</w:t>
      </w:r>
      <w:r w:rsidRPr="002F5589">
        <w:rPr>
          <w:sz w:val="22"/>
          <w:szCs w:val="22"/>
        </w:rPr>
        <w:t>). In the United Kingdom, these priorities are reflected in national policies such as the NHS Long Term Plan and the Delivering a Net Zero National Health Service Strategy, which seek to improve health outcomes while addressing health inequalities and promoting environmentally sustainable healthcare (NHS England, 2019; NHS England, 2022). This report critically evaluates the influence of SDG 3 and SDG 12 on health and wellbeing at global, national and local levels, assesses the effectiveness of current UK and London initiatives, and proposes evidence-based recommendations to strengthen future policy and practice.</w:t>
      </w:r>
    </w:p>
    <w:p w14:paraId="658435AE" w14:textId="6C26C32C" w:rsidR="00E57A04" w:rsidRPr="00A507CC" w:rsidRDefault="00CA10DB" w:rsidP="00A507CC">
      <w:pPr>
        <w:pStyle w:val="Heading2"/>
        <w:jc w:val="both"/>
        <w:rPr>
          <w:rFonts w:ascii="Arial" w:hAnsi="Arial" w:cs="Arial"/>
          <w:b/>
          <w:bCs/>
          <w:color w:val="3A7C22" w:themeColor="accent6" w:themeShade="BF"/>
          <w:sz w:val="24"/>
          <w:szCs w:val="24"/>
        </w:rPr>
      </w:pPr>
      <w:r w:rsidRPr="00C65A44">
        <w:rPr>
          <w:rFonts w:ascii="Arial" w:hAnsi="Arial" w:cs="Arial"/>
          <w:b/>
          <w:bCs/>
          <w:color w:val="3A7C22" w:themeColor="accent6" w:themeShade="BF"/>
          <w:sz w:val="24"/>
          <w:szCs w:val="24"/>
        </w:rPr>
        <w:t>1. Sustainable Development Goal 3 (SDG 3): Good Health and Well-being</w:t>
      </w:r>
    </w:p>
    <w:p w14:paraId="279D1836" w14:textId="55E4673E" w:rsidR="00E57A04" w:rsidRPr="00A507CC" w:rsidRDefault="00E57A04" w:rsidP="00E57A04">
      <w:pPr>
        <w:spacing w:line="360" w:lineRule="auto"/>
        <w:jc w:val="both"/>
        <w:rPr>
          <w:sz w:val="22"/>
          <w:szCs w:val="22"/>
        </w:rPr>
      </w:pPr>
      <w:r w:rsidRPr="00A507CC">
        <w:rPr>
          <w:sz w:val="22"/>
          <w:szCs w:val="22"/>
        </w:rPr>
        <w:t>The United Nations Sustainable Development Goal (SDG) 3 aims to ensure healthy lives and promote wellbeing for all by improving access to quality healthcare, reducing preventable mortality, strengthening health systems, and addressing communicable and non-communicable diseases (United Nations, 2015). It recognises health as a fundamental human right and a prerequisite for sustainable social and economic development (Acharya</w:t>
      </w:r>
      <w:r w:rsidR="001E4250">
        <w:rPr>
          <w:sz w:val="22"/>
          <w:szCs w:val="22"/>
        </w:rPr>
        <w:t xml:space="preserve"> et al.</w:t>
      </w:r>
      <w:r w:rsidRPr="00A507CC">
        <w:rPr>
          <w:sz w:val="22"/>
          <w:szCs w:val="22"/>
        </w:rPr>
        <w:t>, 2018;</w:t>
      </w:r>
      <w:r w:rsidR="001E4250">
        <w:rPr>
          <w:sz w:val="22"/>
          <w:szCs w:val="22"/>
        </w:rPr>
        <w:t xml:space="preserve"> </w:t>
      </w:r>
      <w:r w:rsidR="001E4250" w:rsidRPr="001E4250">
        <w:rPr>
          <w:sz w:val="22"/>
          <w:szCs w:val="22"/>
        </w:rPr>
        <w:t>Viliani and Winkler, 2020</w:t>
      </w:r>
      <w:r w:rsidR="001E4250">
        <w:rPr>
          <w:sz w:val="22"/>
          <w:szCs w:val="22"/>
        </w:rPr>
        <w:t>;</w:t>
      </w:r>
      <w:r w:rsidRPr="00A507CC">
        <w:rPr>
          <w:sz w:val="22"/>
          <w:szCs w:val="22"/>
        </w:rPr>
        <w:t xml:space="preserve"> World Health Organization (WHO), 2024). Despite notable progress since the introduction of the SDGs, substantial inequalities in health outcomes continue to affect populations worldwide.</w:t>
      </w:r>
    </w:p>
    <w:p w14:paraId="50B6AA94" w14:textId="1E26C22C" w:rsidR="00E57A04" w:rsidRPr="00A507CC" w:rsidRDefault="00E57A04" w:rsidP="00E57A04">
      <w:pPr>
        <w:spacing w:line="360" w:lineRule="auto"/>
        <w:jc w:val="both"/>
        <w:rPr>
          <w:sz w:val="22"/>
          <w:szCs w:val="22"/>
        </w:rPr>
      </w:pPr>
      <w:r w:rsidRPr="00A507CC">
        <w:rPr>
          <w:sz w:val="22"/>
          <w:szCs w:val="22"/>
        </w:rPr>
        <w:t>Globally, SDG 3 has contributed to improvements in maternal and child health, immunisation programmes and access to essential healthcare services</w:t>
      </w:r>
      <w:r w:rsidR="00805271">
        <w:rPr>
          <w:sz w:val="22"/>
          <w:szCs w:val="22"/>
        </w:rPr>
        <w:t xml:space="preserve"> </w:t>
      </w:r>
      <w:r w:rsidR="00805271" w:rsidRPr="00805271">
        <w:rPr>
          <w:sz w:val="22"/>
          <w:szCs w:val="22"/>
        </w:rPr>
        <w:t>(Aftab et al., 2020</w:t>
      </w:r>
      <w:r w:rsidR="00B02FE3">
        <w:rPr>
          <w:sz w:val="22"/>
          <w:szCs w:val="22"/>
        </w:rPr>
        <w:t xml:space="preserve">; </w:t>
      </w:r>
      <w:r w:rsidR="00B02FE3" w:rsidRPr="00B02FE3">
        <w:rPr>
          <w:sz w:val="22"/>
          <w:szCs w:val="22"/>
        </w:rPr>
        <w:t>Manandhar et al., 2018</w:t>
      </w:r>
      <w:r w:rsidR="00805271" w:rsidRPr="00805271">
        <w:rPr>
          <w:sz w:val="22"/>
          <w:szCs w:val="22"/>
        </w:rPr>
        <w:t>)</w:t>
      </w:r>
      <w:r w:rsidRPr="00A507CC">
        <w:rPr>
          <w:sz w:val="22"/>
          <w:szCs w:val="22"/>
        </w:rPr>
        <w:t>. However, the World Health Organization (2024) reports that many SDG 3 targets remain off track due to the long-term effects of the COVID-19 pandemic, population ageing, climate change and the increasing burden of non-communicable diseases (NCDs)</w:t>
      </w:r>
      <w:r w:rsidR="00FA7F99">
        <w:rPr>
          <w:sz w:val="22"/>
          <w:szCs w:val="22"/>
        </w:rPr>
        <w:t xml:space="preserve"> </w:t>
      </w:r>
      <w:r w:rsidR="00FA7F99" w:rsidRPr="00FA7F99">
        <w:rPr>
          <w:sz w:val="22"/>
          <w:szCs w:val="22"/>
        </w:rPr>
        <w:t>(Nugent et al., 2018)</w:t>
      </w:r>
      <w:r w:rsidRPr="00A507CC">
        <w:rPr>
          <w:sz w:val="22"/>
          <w:szCs w:val="22"/>
        </w:rPr>
        <w:t>. Cardiovascular disease, cancer, diabetes and chronic respiratory diseases continue to account for approximately 74% of global deaths (WHO, 2024</w:t>
      </w:r>
      <w:r w:rsidR="00FA7F99">
        <w:rPr>
          <w:sz w:val="22"/>
          <w:szCs w:val="22"/>
        </w:rPr>
        <w:t xml:space="preserve">; </w:t>
      </w:r>
      <w:r w:rsidR="00BC1140">
        <w:rPr>
          <w:sz w:val="22"/>
          <w:szCs w:val="22"/>
        </w:rPr>
        <w:t>Thakur et al., 2021</w:t>
      </w:r>
      <w:r w:rsidRPr="00A507CC">
        <w:rPr>
          <w:sz w:val="22"/>
          <w:szCs w:val="22"/>
        </w:rPr>
        <w:t>), while mental health disorders, particularly depression and anxiety, remain major contributors to disability and reduced quality of life (WHO, 2024; Thakur</w:t>
      </w:r>
      <w:r w:rsidR="0035516F">
        <w:rPr>
          <w:sz w:val="22"/>
          <w:szCs w:val="22"/>
        </w:rPr>
        <w:t xml:space="preserve"> et al.</w:t>
      </w:r>
      <w:r w:rsidRPr="00A507CC">
        <w:rPr>
          <w:sz w:val="22"/>
          <w:szCs w:val="22"/>
        </w:rPr>
        <w:t>, 2021).</w:t>
      </w:r>
    </w:p>
    <w:p w14:paraId="0ABADD3D" w14:textId="77777777" w:rsidR="00E57A04" w:rsidRPr="00A507CC" w:rsidRDefault="00E57A04" w:rsidP="00E57A04">
      <w:pPr>
        <w:spacing w:line="360" w:lineRule="auto"/>
        <w:jc w:val="both"/>
        <w:rPr>
          <w:sz w:val="22"/>
          <w:szCs w:val="22"/>
        </w:rPr>
      </w:pPr>
      <w:r w:rsidRPr="00A507CC">
        <w:rPr>
          <w:sz w:val="22"/>
          <w:szCs w:val="22"/>
        </w:rPr>
        <w:t xml:space="preserve">Within the United Kingdom, SDG 3 has significantly influenced healthcare policy through the NHS Long Term Plan, which prioritises prevention, early intervention, personalised care and </w:t>
      </w:r>
      <w:r w:rsidRPr="00A507CC">
        <w:rPr>
          <w:sz w:val="22"/>
          <w:szCs w:val="22"/>
        </w:rPr>
        <w:lastRenderedPageBreak/>
        <w:t>reducing health inequalities (NHS England, 2019). The strategy focuses on improving long-term condition management, expanding mental health services and strengthening integrated health and social care. The Core20PLUS5 approach further supports these objectives by targeting the most deprived communities and reducing inequalities in healthcare access and outcomes (NHS England, 2021).</w:t>
      </w:r>
    </w:p>
    <w:p w14:paraId="3DC62F19" w14:textId="278F773C" w:rsidR="00E57A04" w:rsidRPr="00A507CC" w:rsidRDefault="00E57A04" w:rsidP="00E57A04">
      <w:pPr>
        <w:spacing w:line="360" w:lineRule="auto"/>
        <w:jc w:val="both"/>
        <w:rPr>
          <w:sz w:val="22"/>
          <w:szCs w:val="22"/>
        </w:rPr>
      </w:pPr>
      <w:r w:rsidRPr="00A507CC">
        <w:rPr>
          <w:sz w:val="22"/>
          <w:szCs w:val="22"/>
        </w:rPr>
        <w:t>Despite these policy developments, health inequalities remain substantial</w:t>
      </w:r>
      <w:r w:rsidR="00846548">
        <w:rPr>
          <w:sz w:val="22"/>
          <w:szCs w:val="22"/>
        </w:rPr>
        <w:t xml:space="preserve"> (</w:t>
      </w:r>
      <w:r w:rsidR="00C07541">
        <w:rPr>
          <w:sz w:val="22"/>
          <w:szCs w:val="22"/>
        </w:rPr>
        <w:t>Sekhon et al., 2025)</w:t>
      </w:r>
      <w:r w:rsidRPr="00A507CC">
        <w:rPr>
          <w:sz w:val="22"/>
          <w:szCs w:val="22"/>
        </w:rPr>
        <w:t>. The Office for National Statistics (2024) reports that people living in deprived areas experience lower healthy life expectancy, earlier onset of chronic illness and poorer overall health than those in more affluent communities (ONS, 2024). Marmot (2020) argues that these inequalities are largely driven by the wider social determinants of health, including income, education, housing, employment and environmental conditions, demonstrating that healthcare services alone cannot eliminate health disparities (Marmot, 2020; Spencer, Watermeyer and Rogers, 2021</w:t>
      </w:r>
      <w:r w:rsidR="009E009A">
        <w:rPr>
          <w:sz w:val="22"/>
          <w:szCs w:val="22"/>
        </w:rPr>
        <w:t>; Donkin et al., 2017</w:t>
      </w:r>
      <w:r w:rsidRPr="00A507CC">
        <w:rPr>
          <w:sz w:val="22"/>
          <w:szCs w:val="22"/>
        </w:rPr>
        <w:t>).</w:t>
      </w:r>
    </w:p>
    <w:p w14:paraId="7709A5EC" w14:textId="77777777" w:rsidR="00E57A04" w:rsidRPr="00A507CC" w:rsidRDefault="00E57A04" w:rsidP="00E57A04">
      <w:pPr>
        <w:spacing w:line="360" w:lineRule="auto"/>
        <w:jc w:val="both"/>
        <w:rPr>
          <w:sz w:val="22"/>
          <w:szCs w:val="22"/>
        </w:rPr>
      </w:pPr>
      <w:r w:rsidRPr="00A507CC">
        <w:rPr>
          <w:sz w:val="22"/>
          <w:szCs w:val="22"/>
        </w:rPr>
        <w:t>At a local level, London illustrates both progress and continuing challenges. The London Health Inequalities Strategy promotes mental health, healthier lifestyles, preventative care and action on wider determinants such as air quality and childhood obesity (Greater London Authority, 2023). Nevertheless, residents living in deprived boroughs continue to experience higher rates of obesity, cardiovascular disease, diabetes and poor mental health than those in wealthier areas (Greater London Authority, 2023). Ethnic minority communities are also disproportionately affected by socioeconomic disadvantage and unequal access to healthcare, reinforcing the need for targeted public health interventions (Marmot, 2020; Geary, Bartley and Marmot, 2024).</w:t>
      </w:r>
    </w:p>
    <w:p w14:paraId="482F58C1" w14:textId="77777777" w:rsidR="00E57A04" w:rsidRPr="00A507CC" w:rsidRDefault="00E57A04" w:rsidP="00E57A04">
      <w:pPr>
        <w:spacing w:line="360" w:lineRule="auto"/>
        <w:jc w:val="both"/>
        <w:rPr>
          <w:sz w:val="22"/>
          <w:szCs w:val="22"/>
        </w:rPr>
      </w:pPr>
      <w:r w:rsidRPr="00A507CC">
        <w:rPr>
          <w:sz w:val="22"/>
          <w:szCs w:val="22"/>
        </w:rPr>
        <w:t>The Social Determinants of Health Model developed by Dahlgren and Whitehead (1991) provides an important framework for understanding these inequalities. It demonstrates that health is influenced not only by healthcare services but also by wider social, economic and environmental factors. Consequently, achieving sustainable improvements in population health requires coordinated action across sectors including education, housing, employment and public health (Dahlgren and Whitehead, 1991; Donkin et al., 2017).</w:t>
      </w:r>
    </w:p>
    <w:p w14:paraId="5B6CAE11" w14:textId="261A6479" w:rsidR="00E57A04" w:rsidRPr="00A507CC" w:rsidRDefault="00E57A04" w:rsidP="00E57A04">
      <w:pPr>
        <w:spacing w:line="360" w:lineRule="auto"/>
        <w:jc w:val="both"/>
        <w:rPr>
          <w:sz w:val="22"/>
          <w:szCs w:val="22"/>
        </w:rPr>
      </w:pPr>
      <w:r w:rsidRPr="00A507CC">
        <w:rPr>
          <w:sz w:val="22"/>
          <w:szCs w:val="22"/>
        </w:rPr>
        <w:t>Overall, SDG 3 has strengthened international and national commitments to improving health and wellbeing. Nevertheless, workforce shortages, financial pressures, population ageing and climate change continue to challenge healthcare systems. Achieving SDG 3 will require greater investment in prevention, stronger cross-sector collaboration and policies that address the wider determinants of health while reducing inequalities across all populations (United Nations, 2015; WHO, 2024)</w:t>
      </w:r>
      <w:r w:rsidR="00A507CC">
        <w:rPr>
          <w:sz w:val="22"/>
          <w:szCs w:val="22"/>
        </w:rPr>
        <w:t>.</w:t>
      </w:r>
    </w:p>
    <w:p w14:paraId="1D493820" w14:textId="77777777" w:rsidR="00E57A04" w:rsidRPr="00FD19B5" w:rsidRDefault="00E57A04" w:rsidP="00FD19B5">
      <w:pPr>
        <w:spacing w:line="360" w:lineRule="auto"/>
        <w:jc w:val="both"/>
        <w:rPr>
          <w:sz w:val="22"/>
          <w:szCs w:val="22"/>
        </w:rPr>
      </w:pPr>
    </w:p>
    <w:p w14:paraId="618FABF9" w14:textId="1A7E474B" w:rsidR="00DB6DD7" w:rsidRPr="00A81D6E" w:rsidRDefault="00CA10DB" w:rsidP="00A81D6E">
      <w:pPr>
        <w:pStyle w:val="Heading2"/>
        <w:jc w:val="both"/>
        <w:rPr>
          <w:rFonts w:ascii="Arial" w:hAnsi="Arial" w:cs="Arial"/>
          <w:b/>
          <w:bCs/>
          <w:color w:val="3A7C22" w:themeColor="accent6" w:themeShade="BF"/>
          <w:sz w:val="24"/>
          <w:szCs w:val="24"/>
        </w:rPr>
      </w:pPr>
      <w:r w:rsidRPr="009F6ADF">
        <w:rPr>
          <w:rFonts w:ascii="Arial" w:hAnsi="Arial" w:cs="Arial"/>
          <w:b/>
          <w:bCs/>
          <w:color w:val="3A7C22" w:themeColor="accent6" w:themeShade="BF"/>
          <w:sz w:val="24"/>
          <w:szCs w:val="24"/>
        </w:rPr>
        <w:t>2. Sustainable Development Goal 12 (SDG 12): Responsible Consumption and Production</w:t>
      </w:r>
    </w:p>
    <w:p w14:paraId="7E4DF73B" w14:textId="17FB0465" w:rsidR="00A81D6E" w:rsidRPr="00A81D6E" w:rsidRDefault="00A81D6E" w:rsidP="00A81D6E">
      <w:pPr>
        <w:spacing w:line="360" w:lineRule="auto"/>
        <w:jc w:val="both"/>
        <w:rPr>
          <w:sz w:val="22"/>
          <w:szCs w:val="22"/>
        </w:rPr>
      </w:pPr>
      <w:r w:rsidRPr="00A81D6E">
        <w:rPr>
          <w:sz w:val="22"/>
          <w:szCs w:val="22"/>
        </w:rPr>
        <w:t>Sustainable Development Goal (SDG) 12 aims to promote sustainable consumption and production by encouraging the efficient use of natural resources, reducing waste and supporting environmentally responsible practices (United Nations, 2015</w:t>
      </w:r>
      <w:r w:rsidR="00E23E5E">
        <w:rPr>
          <w:sz w:val="22"/>
          <w:szCs w:val="22"/>
        </w:rPr>
        <w:t>; Bengtsson et al., 2018</w:t>
      </w:r>
      <w:r w:rsidRPr="00A81D6E">
        <w:rPr>
          <w:sz w:val="22"/>
          <w:szCs w:val="22"/>
        </w:rPr>
        <w:t>). Although primarily associated with environmental sustainability, SDG 12 has become increasingly recognised as a key determinant of public health because climate change, pollution and unsustainable resource use directly influence population health and wellbeing (Raman</w:t>
      </w:r>
      <w:r w:rsidR="00E23E5E">
        <w:rPr>
          <w:sz w:val="22"/>
          <w:szCs w:val="22"/>
        </w:rPr>
        <w:t xml:space="preserve"> et al.</w:t>
      </w:r>
      <w:r w:rsidRPr="00A81D6E">
        <w:rPr>
          <w:sz w:val="22"/>
          <w:szCs w:val="22"/>
        </w:rPr>
        <w:t>, 2024</w:t>
      </w:r>
      <w:r w:rsidR="00E23E5E">
        <w:rPr>
          <w:sz w:val="22"/>
          <w:szCs w:val="22"/>
        </w:rPr>
        <w:t>; Gasper et al</w:t>
      </w:r>
      <w:r w:rsidR="00830CD1">
        <w:rPr>
          <w:sz w:val="22"/>
          <w:szCs w:val="22"/>
        </w:rPr>
        <w:t>., 2019</w:t>
      </w:r>
      <w:r w:rsidRPr="00A81D6E">
        <w:rPr>
          <w:sz w:val="22"/>
          <w:szCs w:val="22"/>
        </w:rPr>
        <w:t>). Consequently, SDG 12 is closely linked to SDG 3, as healthier environments contribute to healthier communities and more resilient healthcare systems (Castellano</w:t>
      </w:r>
      <w:r w:rsidR="00830CD1">
        <w:rPr>
          <w:sz w:val="22"/>
          <w:szCs w:val="22"/>
        </w:rPr>
        <w:t xml:space="preserve"> et al.</w:t>
      </w:r>
      <w:r w:rsidRPr="00A81D6E">
        <w:rPr>
          <w:sz w:val="22"/>
          <w:szCs w:val="22"/>
        </w:rPr>
        <w:t>, 2024</w:t>
      </w:r>
      <w:r w:rsidR="00830CD1">
        <w:rPr>
          <w:sz w:val="22"/>
          <w:szCs w:val="22"/>
        </w:rPr>
        <w:t>; Raman et al., 2024</w:t>
      </w:r>
      <w:r w:rsidRPr="00A81D6E">
        <w:rPr>
          <w:sz w:val="22"/>
          <w:szCs w:val="22"/>
        </w:rPr>
        <w:t>).</w:t>
      </w:r>
    </w:p>
    <w:p w14:paraId="10128441" w14:textId="11ECCBAA" w:rsidR="00A81D6E" w:rsidRPr="00A81D6E" w:rsidRDefault="00A81D6E" w:rsidP="00A81D6E">
      <w:pPr>
        <w:spacing w:line="360" w:lineRule="auto"/>
        <w:jc w:val="both"/>
        <w:rPr>
          <w:sz w:val="22"/>
          <w:szCs w:val="22"/>
        </w:rPr>
      </w:pPr>
      <w:r w:rsidRPr="00A81D6E">
        <w:rPr>
          <w:sz w:val="22"/>
          <w:szCs w:val="22"/>
        </w:rPr>
        <w:t>Globally, unsustainable consumption contributes to greenhouse gas emissions, biodiversity loss, air pollution and excessive waste generation, all of which threaten human health</w:t>
      </w:r>
      <w:r w:rsidR="00830CD1">
        <w:rPr>
          <w:sz w:val="22"/>
          <w:szCs w:val="22"/>
        </w:rPr>
        <w:t xml:space="preserve"> (Mitkidis</w:t>
      </w:r>
      <w:r w:rsidR="002B790F">
        <w:rPr>
          <w:sz w:val="22"/>
          <w:szCs w:val="22"/>
        </w:rPr>
        <w:t>, 2025)</w:t>
      </w:r>
      <w:r w:rsidRPr="00A81D6E">
        <w:rPr>
          <w:sz w:val="22"/>
          <w:szCs w:val="22"/>
        </w:rPr>
        <w:t>. According to the World Health Organization (2024), environmental factors account for approximately one-quarter of global deaths, while air pollution causes millions of premature deaths annually (WHO, 2024</w:t>
      </w:r>
      <w:r w:rsidR="002B790F">
        <w:rPr>
          <w:sz w:val="22"/>
          <w:szCs w:val="22"/>
        </w:rPr>
        <w:t>; Venkatesh, 2022</w:t>
      </w:r>
      <w:r w:rsidRPr="00A81D6E">
        <w:rPr>
          <w:sz w:val="22"/>
          <w:szCs w:val="22"/>
        </w:rPr>
        <w:t>). Climate change has also intensified extreme weather events, food insecurity and the spread of infectious diseases, disproportionately affecting vulnerable groups such as older adults, children and deprived communities</w:t>
      </w:r>
      <w:r w:rsidR="002B790F">
        <w:rPr>
          <w:sz w:val="22"/>
          <w:szCs w:val="22"/>
        </w:rPr>
        <w:t xml:space="preserve"> (Galli et al., </w:t>
      </w:r>
      <w:r w:rsidR="00E276B5">
        <w:rPr>
          <w:sz w:val="22"/>
          <w:szCs w:val="22"/>
        </w:rPr>
        <w:t>2020)</w:t>
      </w:r>
      <w:r w:rsidRPr="00A81D6E">
        <w:rPr>
          <w:sz w:val="22"/>
          <w:szCs w:val="22"/>
        </w:rPr>
        <w:t>. These findings highlight that environmental sustainability is no longer solely an ecological concern but a fundamental public health priority (Venkatesh, 2022; WHO, 2024).</w:t>
      </w:r>
    </w:p>
    <w:p w14:paraId="316861CB" w14:textId="77777777" w:rsidR="00A81D6E" w:rsidRPr="00A81D6E" w:rsidRDefault="00A81D6E" w:rsidP="00A81D6E">
      <w:pPr>
        <w:spacing w:line="360" w:lineRule="auto"/>
        <w:jc w:val="both"/>
        <w:rPr>
          <w:sz w:val="22"/>
          <w:szCs w:val="22"/>
        </w:rPr>
      </w:pPr>
      <w:r w:rsidRPr="00A81D6E">
        <w:rPr>
          <w:sz w:val="22"/>
          <w:szCs w:val="22"/>
        </w:rPr>
        <w:t>Within the United Kingdom, SDG 12 has significantly influenced healthcare policy through the Delivering a Net Zero National Health Service Strategy, which integrates environmental sustainability into healthcare delivery (NHS England, 2022). The NHS contributes approximately 4–5% of the UK's carbon emissions through energy use, transport, medicines and waste management (NHS England, 2022). To reduce this impact, the NHS has committed to achieving net zero emissions for directly controlled activities by 2040 and across its wider supply chain by 2045. Key initiatives include improving energy efficiency, increasing renewable energy use, reducing single-use plastics, promoting sustainable procurement and expanding digital healthcare technologies (NHS England, 2022; McAllister et al., 2024).</w:t>
      </w:r>
    </w:p>
    <w:p w14:paraId="0C7C7AB9" w14:textId="77777777" w:rsidR="00A81D6E" w:rsidRPr="00A81D6E" w:rsidRDefault="00A81D6E" w:rsidP="00A81D6E">
      <w:pPr>
        <w:spacing w:line="360" w:lineRule="auto"/>
        <w:jc w:val="both"/>
        <w:rPr>
          <w:sz w:val="22"/>
          <w:szCs w:val="22"/>
        </w:rPr>
      </w:pPr>
      <w:r w:rsidRPr="00A81D6E">
        <w:rPr>
          <w:sz w:val="22"/>
          <w:szCs w:val="22"/>
        </w:rPr>
        <w:t xml:space="preserve">Digital innovations, including electronic health records, virtual consultations, electronic prescribing and remote patient monitoring, have reduced unnecessary travel, improved access to healthcare and lowered carbon emissions while maintaining high-quality patient </w:t>
      </w:r>
      <w:r w:rsidRPr="00A81D6E">
        <w:rPr>
          <w:sz w:val="22"/>
          <w:szCs w:val="22"/>
        </w:rPr>
        <w:lastRenderedPageBreak/>
        <w:t>care (McAllister et al., 2024; Hove et al., 2024). Sustainable procurement policies also encourage suppliers to adopt environmentally responsible manufacturing practices, reducing the environmental impact of healthcare supply chains (Amamou et al., 2025). However, considerable barriers remain. Large volumes of clinical waste, infection prevention requirements, ageing infrastructure, workforce shortages and financial pressures continue to make implementing sustainable healthcare practices challenging across many NHS organisations (Rizan and Bhutta, 2021; Spinos, Doshi and Garas, 2023).</w:t>
      </w:r>
    </w:p>
    <w:p w14:paraId="1E7CB3BF" w14:textId="77777777" w:rsidR="00A81D6E" w:rsidRPr="00A81D6E" w:rsidRDefault="00A81D6E" w:rsidP="00A81D6E">
      <w:pPr>
        <w:spacing w:line="360" w:lineRule="auto"/>
        <w:jc w:val="both"/>
        <w:rPr>
          <w:sz w:val="22"/>
          <w:szCs w:val="22"/>
        </w:rPr>
      </w:pPr>
      <w:r w:rsidRPr="00A81D6E">
        <w:rPr>
          <w:sz w:val="22"/>
          <w:szCs w:val="22"/>
        </w:rPr>
        <w:t>At a local level, London has implemented several policies that support both SDG 12 and SDG 3 through the Mayor of London's Environment Strategy (Greater London Authority, 2023). Initiatives promoting active travel, cleaner transport, improved air quality and expanded green spaces contribute to improved physical and mental health. The continued expansion of the Ultra Low Emission Zone (ULEZ) has been associated with reductions in harmful air pollutants, helping to reduce respiratory and cardiovascular health risks among London residents (Greater London Authority, 2023).</w:t>
      </w:r>
    </w:p>
    <w:p w14:paraId="31086421" w14:textId="4AB74A93" w:rsidR="00A81D6E" w:rsidRPr="00A81D6E" w:rsidRDefault="00A81D6E" w:rsidP="00A81D6E">
      <w:pPr>
        <w:spacing w:line="360" w:lineRule="auto"/>
        <w:jc w:val="both"/>
        <w:rPr>
          <w:sz w:val="22"/>
          <w:szCs w:val="22"/>
        </w:rPr>
      </w:pPr>
      <w:r w:rsidRPr="00A81D6E">
        <w:rPr>
          <w:sz w:val="22"/>
          <w:szCs w:val="22"/>
        </w:rPr>
        <w:t>The Planetary Health concept provides an important framework for understanding the relationship between environmental sustainability and human wellbeing. It recognises that human health depends upon healthy ecosystems and responsible management of natural resources (MacNeill</w:t>
      </w:r>
      <w:r w:rsidR="00B44020">
        <w:rPr>
          <w:sz w:val="22"/>
          <w:szCs w:val="22"/>
        </w:rPr>
        <w:t xml:space="preserve"> et al</w:t>
      </w:r>
      <w:r w:rsidR="00F358C5">
        <w:rPr>
          <w:sz w:val="22"/>
          <w:szCs w:val="22"/>
        </w:rPr>
        <w:t>.</w:t>
      </w:r>
      <w:r w:rsidRPr="00A81D6E">
        <w:rPr>
          <w:sz w:val="22"/>
          <w:szCs w:val="22"/>
        </w:rPr>
        <w:t>, 2021). Similarly, the Triple Bottom Line model emphasises balancing environmental protection, social wellbeing and economic sustainability when evaluating organisational performance (Castellano, De Bernardo and Punzo, 2024). Together, these frameworks demonstrate that healthcare organisations should measure success not only through clinical outcomes but also through their environmental and social impact.</w:t>
      </w:r>
    </w:p>
    <w:p w14:paraId="29F6133E" w14:textId="1974F754" w:rsidR="00A81D6E" w:rsidRPr="00A81D6E" w:rsidRDefault="00A81D6E" w:rsidP="00A81D6E">
      <w:pPr>
        <w:spacing w:line="360" w:lineRule="auto"/>
        <w:jc w:val="both"/>
        <w:rPr>
          <w:sz w:val="22"/>
          <w:szCs w:val="22"/>
        </w:rPr>
      </w:pPr>
      <w:r w:rsidRPr="00A81D6E">
        <w:rPr>
          <w:sz w:val="22"/>
          <w:szCs w:val="22"/>
        </w:rPr>
        <w:t>Overall, SDG 12 has become an essential component of sustainable healthcare because environmental protection directly supports population health. Although the NHS has made substantial progress towards reducing its environmental impact, implementation remains inconsistent because of financial constraints, ageing infrastructure and workforce pressures (Amamou et al., 2025; McAllister et al., 2024). Achieving SDG 12 will require continued investment, stronger leadership, innovation and collaboration across healthcare, government and industry to create environmentally sustainable health systems while supporting the wider objectives of SDG 3 (United Nations, 2015).</w:t>
      </w:r>
    </w:p>
    <w:p w14:paraId="2F4072C8" w14:textId="77777777" w:rsidR="00DB6DD7" w:rsidRPr="00FD19B5" w:rsidRDefault="00DB6DD7" w:rsidP="00FD19B5">
      <w:pPr>
        <w:spacing w:line="360" w:lineRule="auto"/>
        <w:jc w:val="both"/>
        <w:rPr>
          <w:sz w:val="22"/>
          <w:szCs w:val="22"/>
        </w:rPr>
      </w:pPr>
    </w:p>
    <w:p w14:paraId="37EC6983" w14:textId="39C36535" w:rsidR="00C70DC6" w:rsidRPr="00C70DC6" w:rsidRDefault="00CA10DB" w:rsidP="00C70DC6">
      <w:pPr>
        <w:pStyle w:val="Heading2"/>
        <w:jc w:val="both"/>
        <w:rPr>
          <w:rFonts w:ascii="Arial" w:hAnsi="Arial" w:cs="Arial"/>
          <w:b/>
          <w:bCs/>
          <w:color w:val="3A7C22" w:themeColor="accent6" w:themeShade="BF"/>
          <w:sz w:val="24"/>
          <w:szCs w:val="24"/>
        </w:rPr>
      </w:pPr>
      <w:r w:rsidRPr="009F6ADF">
        <w:rPr>
          <w:rFonts w:ascii="Arial" w:hAnsi="Arial" w:cs="Arial"/>
          <w:b/>
          <w:bCs/>
          <w:color w:val="3A7C22" w:themeColor="accent6" w:themeShade="BF"/>
          <w:sz w:val="24"/>
          <w:szCs w:val="24"/>
        </w:rPr>
        <w:lastRenderedPageBreak/>
        <w:t>3. Critical Evaluation of National and Local Health, Wellbeing and Sustainable Development Initiatives</w:t>
      </w:r>
    </w:p>
    <w:p w14:paraId="3CA48066" w14:textId="085760A0" w:rsidR="00EA0BBB" w:rsidRPr="00705E24" w:rsidRDefault="00EA0BBB" w:rsidP="00EA0BBB">
      <w:pPr>
        <w:spacing w:line="360" w:lineRule="auto"/>
        <w:jc w:val="both"/>
        <w:rPr>
          <w:sz w:val="22"/>
          <w:szCs w:val="22"/>
        </w:rPr>
      </w:pPr>
      <w:r w:rsidRPr="00705E24">
        <w:rPr>
          <w:sz w:val="22"/>
          <w:szCs w:val="22"/>
        </w:rPr>
        <w:t>The successful implementation of Sustainable Development Goals (SDGs) 3 and 12 depends on effective national and local policies that translate global commitments into practical action. In England, strategies such as the NHS Long Term Plan (2019), the Delivering a Net Zero National Health Service Strategy (2022) and the London Health Inequalities Strategy demonstrate a strong commitment to improving population health while promoting environmental sustainability (NHS England, 2019; NHS England, 2022; Greater London Authority, 2023</w:t>
      </w:r>
      <w:r w:rsidR="0089151E" w:rsidRPr="00705E24">
        <w:rPr>
          <w:sz w:val="22"/>
          <w:szCs w:val="22"/>
        </w:rPr>
        <w:t>; Ehiozee, 2025</w:t>
      </w:r>
      <w:r w:rsidRPr="00705E24">
        <w:rPr>
          <w:sz w:val="22"/>
          <w:szCs w:val="22"/>
        </w:rPr>
        <w:t>). Although these initiatives have produced measurable improvements, their overall effectiveness has been constrained by workforce shortages, financial pressures and persistent health inequalities.</w:t>
      </w:r>
    </w:p>
    <w:p w14:paraId="0DDE9CAE" w14:textId="1FA09C2D" w:rsidR="00EA0BBB" w:rsidRPr="00705E24" w:rsidRDefault="00EA0BBB" w:rsidP="00EA0BBB">
      <w:pPr>
        <w:spacing w:line="360" w:lineRule="auto"/>
        <w:jc w:val="both"/>
        <w:rPr>
          <w:sz w:val="22"/>
          <w:szCs w:val="22"/>
        </w:rPr>
      </w:pPr>
      <w:r w:rsidRPr="00705E24">
        <w:rPr>
          <w:sz w:val="22"/>
          <w:szCs w:val="22"/>
        </w:rPr>
        <w:t>The NHS Long Term Plan (2019) represents one of the UK's most ambitious healthcare reforms, prioritising prevention, personalised care, integrated services and digital innovation (NHS England, 2019). Its emphasis on preventing illness through smoking cessation, obesity reduction, vaccination programmes and mental health support reflects the principles of SDG 3 by encouraging healthier lifestyles and reducing avoidable disease. Furthermore, the introduction of Integrated Care Systems (ICSs) has strengthened collaboration between NHS organisations, local authorities and voluntary sector partners, enabling more coordinated and person-centred care (NHS England, 2019</w:t>
      </w:r>
      <w:r w:rsidR="00AC0612" w:rsidRPr="00705E24">
        <w:rPr>
          <w:sz w:val="22"/>
          <w:szCs w:val="22"/>
        </w:rPr>
        <w:t>; Kruk et al., 2018</w:t>
      </w:r>
      <w:r w:rsidRPr="00705E24">
        <w:rPr>
          <w:sz w:val="22"/>
          <w:szCs w:val="22"/>
        </w:rPr>
        <w:t>).</w:t>
      </w:r>
    </w:p>
    <w:p w14:paraId="302D6799" w14:textId="0713ACBC" w:rsidR="00EA0BBB" w:rsidRPr="00705E24" w:rsidRDefault="00EA0BBB" w:rsidP="00EA0BBB">
      <w:pPr>
        <w:spacing w:line="360" w:lineRule="auto"/>
        <w:jc w:val="both"/>
        <w:rPr>
          <w:sz w:val="22"/>
          <w:szCs w:val="22"/>
        </w:rPr>
      </w:pPr>
      <w:r w:rsidRPr="00705E24">
        <w:rPr>
          <w:sz w:val="22"/>
          <w:szCs w:val="22"/>
        </w:rPr>
        <w:t>Despite these achievements, implementation has varied considerably across England. Increasing demand for healthcare, an ageing population and the growing prevalence of long-term conditions continue to place significant pressure on NHS resources. The Care Quality Commission (2024) identifies workforce shortages as one of the greatest barriers to delivering safe, effective and equitable care, contributing to longer waiting times and regional variation in service quality (Care Quality Commission, 2024). Similarly, Geary, Bartley and Marmot (2024) argue that NHS organisations must address the wider social determinants of health if they are to reduce inequalities effectively, suggesting that healthcare services alone cannot achieve sustainable improvements in population health.</w:t>
      </w:r>
    </w:p>
    <w:p w14:paraId="58EC2EC0" w14:textId="28FEE728" w:rsidR="00EA0BBB" w:rsidRPr="00705E24" w:rsidRDefault="00EA0BBB" w:rsidP="00EA0BBB">
      <w:pPr>
        <w:spacing w:line="360" w:lineRule="auto"/>
        <w:jc w:val="both"/>
        <w:rPr>
          <w:sz w:val="22"/>
          <w:szCs w:val="22"/>
        </w:rPr>
      </w:pPr>
      <w:r w:rsidRPr="00705E24">
        <w:rPr>
          <w:sz w:val="22"/>
          <w:szCs w:val="22"/>
        </w:rPr>
        <w:t>The Delivering a Net Zero National Health Service Strategy has strengthened the integration of environmental sustainability within healthcare by promoting energy-efficient buildings, sustainable procurement, waste reduction and lower carbon emissions (NHS England, 2022</w:t>
      </w:r>
      <w:r w:rsidR="00385CAA" w:rsidRPr="00705E24">
        <w:rPr>
          <w:sz w:val="22"/>
          <w:szCs w:val="22"/>
        </w:rPr>
        <w:t>; Rizan and Bhutta, 2021</w:t>
      </w:r>
      <w:r w:rsidRPr="00705E24">
        <w:rPr>
          <w:sz w:val="22"/>
          <w:szCs w:val="22"/>
        </w:rPr>
        <w:t xml:space="preserve">). The strategy also encourages digital innovations, including virtual consultations, electronic health records and electronic prescribing, which have reduced </w:t>
      </w:r>
      <w:r w:rsidRPr="00705E24">
        <w:rPr>
          <w:sz w:val="22"/>
          <w:szCs w:val="22"/>
        </w:rPr>
        <w:lastRenderedPageBreak/>
        <w:t>unnecessary travel while improving access to healthcare (McAllister et al., 2024</w:t>
      </w:r>
      <w:r w:rsidR="00BA6C83" w:rsidRPr="00705E24">
        <w:rPr>
          <w:sz w:val="22"/>
          <w:szCs w:val="22"/>
        </w:rPr>
        <w:t>; Spinos et al., 2023</w:t>
      </w:r>
      <w:r w:rsidRPr="00705E24">
        <w:rPr>
          <w:sz w:val="22"/>
          <w:szCs w:val="22"/>
        </w:rPr>
        <w:t xml:space="preserve">). </w:t>
      </w:r>
    </w:p>
    <w:p w14:paraId="77CA513D" w14:textId="3C9AB834" w:rsidR="00EA0BBB" w:rsidRPr="00705E24" w:rsidRDefault="00EA0BBB" w:rsidP="00EA0BBB">
      <w:pPr>
        <w:spacing w:line="360" w:lineRule="auto"/>
        <w:jc w:val="both"/>
        <w:rPr>
          <w:sz w:val="22"/>
          <w:szCs w:val="22"/>
        </w:rPr>
      </w:pPr>
      <w:r w:rsidRPr="00705E24">
        <w:rPr>
          <w:sz w:val="22"/>
          <w:szCs w:val="22"/>
        </w:rPr>
        <w:t>Nevertheless, implementing environmentally sustainable healthcare presents significant practical challenges. Infection prevention requirements continue to rely heavily on single-use equipment, making waste reduction difficult, while ageing NHS estates require substantial investment before meaningful reductions in carbon emissions can be achieved (Amamou et al., 2025; Spino</w:t>
      </w:r>
      <w:r w:rsidR="006C5844" w:rsidRPr="00705E24">
        <w:rPr>
          <w:sz w:val="22"/>
          <w:szCs w:val="22"/>
        </w:rPr>
        <w:t>s et al.</w:t>
      </w:r>
      <w:r w:rsidRPr="00705E24">
        <w:rPr>
          <w:sz w:val="22"/>
          <w:szCs w:val="22"/>
        </w:rPr>
        <w:t>, 2023). Financial constraints and workforce shortages further limit organisations' capacity to implement sustainability initiatives consistently. Consequently, progress towards achieving SDG 12 varies considerably between NHS Trusts, with some organisations demonstrating substantial improvements while others continue to face significant operational barriers (Hove et al., 2024).</w:t>
      </w:r>
    </w:p>
    <w:p w14:paraId="279B9B08" w14:textId="77777777" w:rsidR="00EA0BBB" w:rsidRPr="00705E24" w:rsidRDefault="00EA0BBB" w:rsidP="00EA0BBB">
      <w:pPr>
        <w:spacing w:line="360" w:lineRule="auto"/>
        <w:jc w:val="both"/>
        <w:rPr>
          <w:sz w:val="22"/>
          <w:szCs w:val="22"/>
        </w:rPr>
      </w:pPr>
      <w:r w:rsidRPr="00705E24">
        <w:rPr>
          <w:sz w:val="22"/>
          <w:szCs w:val="22"/>
        </w:rPr>
        <w:t>At the local level, the London Health Inequalities Strategy complements national policy by recognising that health is influenced by social, economic and environmental factors rather than healthcare alone (Greater London Authority, 2023). Initiatives promoting active travel, cleaner air, healthier food environments and improved mental health services demonstrate a commitment to reducing inequalities while supporting environmental sustainability. These interventions align with the Health in All Policies (HiAP) approach, which advocates integrating health considerations across sectors such as housing, education, transport and urban planning (Eliakimu and Mans, 2022).</w:t>
      </w:r>
    </w:p>
    <w:p w14:paraId="17973DC7" w14:textId="2CBE9840" w:rsidR="00EA0BBB" w:rsidRPr="00705E24" w:rsidRDefault="00EA0BBB" w:rsidP="00EA0BBB">
      <w:pPr>
        <w:spacing w:line="360" w:lineRule="auto"/>
        <w:jc w:val="both"/>
        <w:rPr>
          <w:sz w:val="22"/>
          <w:szCs w:val="22"/>
        </w:rPr>
      </w:pPr>
      <w:r w:rsidRPr="00705E24">
        <w:rPr>
          <w:sz w:val="22"/>
          <w:szCs w:val="22"/>
        </w:rPr>
        <w:t xml:space="preserve">However, despite these policy commitments, health inequalities remain deeply embedded across London's boroughs. Residents living in more deprived areas continue to experience poorer health outcomes, higher rates of chronic disease and shorter healthy life expectancy than those in more affluent communities (Greater London Authority, 2023; Marmot, 2020). </w:t>
      </w:r>
    </w:p>
    <w:p w14:paraId="2029B3CB" w14:textId="77777777" w:rsidR="00EA0BBB" w:rsidRPr="00705E24" w:rsidRDefault="00EA0BBB" w:rsidP="00EA0BBB">
      <w:pPr>
        <w:spacing w:line="360" w:lineRule="auto"/>
        <w:jc w:val="both"/>
        <w:rPr>
          <w:sz w:val="22"/>
          <w:szCs w:val="22"/>
        </w:rPr>
      </w:pPr>
      <w:r w:rsidRPr="00705E24">
        <w:rPr>
          <w:sz w:val="22"/>
          <w:szCs w:val="22"/>
        </w:rPr>
        <w:t>Overall, UK national and local initiatives provide a strong strategic framework for achieving SDGs 3 and 12 by integrating health improvement with environmental sustainability. However, long-term success will depend upon sustained investment, workforce development, stronger cross-sector collaboration and more effective evaluation of policy outcomes. As Acharya, Lin and Dhingra (2018) argue, achieving the Sustainable Development Goals requires coordinated action across healthcare, environmental policy and wider government sectors rather than isolated interventions within the health system alone.</w:t>
      </w:r>
    </w:p>
    <w:p w14:paraId="5750CB58" w14:textId="77777777" w:rsidR="006263C3" w:rsidRPr="00C70DC6" w:rsidRDefault="006263C3" w:rsidP="00C70DC6">
      <w:pPr>
        <w:spacing w:line="360" w:lineRule="auto"/>
        <w:jc w:val="both"/>
        <w:rPr>
          <w:sz w:val="22"/>
          <w:szCs w:val="22"/>
        </w:rPr>
      </w:pPr>
    </w:p>
    <w:p w14:paraId="109775EA" w14:textId="77777777" w:rsidR="00C70DC6" w:rsidRPr="00204FDF" w:rsidRDefault="00C70DC6" w:rsidP="00204FDF">
      <w:pPr>
        <w:spacing w:line="360" w:lineRule="auto"/>
        <w:jc w:val="both"/>
        <w:rPr>
          <w:sz w:val="22"/>
          <w:szCs w:val="22"/>
        </w:rPr>
      </w:pPr>
    </w:p>
    <w:p w14:paraId="08CE0066" w14:textId="29BC1F1F" w:rsidR="001171EA" w:rsidRPr="001171EA" w:rsidRDefault="003A46D8" w:rsidP="001171EA">
      <w:pPr>
        <w:pStyle w:val="Heading2"/>
        <w:jc w:val="both"/>
        <w:rPr>
          <w:rFonts w:ascii="Arial" w:hAnsi="Arial" w:cs="Arial"/>
          <w:b/>
          <w:bCs/>
          <w:color w:val="3A7C22" w:themeColor="accent6" w:themeShade="BF"/>
          <w:sz w:val="24"/>
          <w:szCs w:val="24"/>
        </w:rPr>
      </w:pPr>
      <w:r>
        <w:rPr>
          <w:rFonts w:ascii="Arial" w:hAnsi="Arial" w:cs="Arial"/>
          <w:b/>
          <w:bCs/>
          <w:color w:val="3A7C22" w:themeColor="accent6" w:themeShade="BF"/>
          <w:sz w:val="24"/>
          <w:szCs w:val="24"/>
        </w:rPr>
        <w:lastRenderedPageBreak/>
        <w:t>4</w:t>
      </w:r>
      <w:r w:rsidR="004A3871" w:rsidRPr="003A46D8">
        <w:rPr>
          <w:rFonts w:ascii="Arial" w:hAnsi="Arial" w:cs="Arial"/>
          <w:b/>
          <w:bCs/>
          <w:color w:val="3A7C22" w:themeColor="accent6" w:themeShade="BF"/>
          <w:sz w:val="24"/>
          <w:szCs w:val="24"/>
        </w:rPr>
        <w:t>.</w:t>
      </w:r>
      <w:r w:rsidR="000B45A2" w:rsidRPr="003A46D8">
        <w:rPr>
          <w:rFonts w:ascii="Arial" w:hAnsi="Arial" w:cs="Arial"/>
          <w:b/>
          <w:bCs/>
          <w:color w:val="3A7C22" w:themeColor="accent6" w:themeShade="BF"/>
          <w:sz w:val="24"/>
          <w:szCs w:val="24"/>
        </w:rPr>
        <w:t>L</w:t>
      </w:r>
      <w:r w:rsidR="00F94A72" w:rsidRPr="003A46D8">
        <w:rPr>
          <w:rFonts w:ascii="Arial" w:hAnsi="Arial" w:cs="Arial"/>
          <w:b/>
          <w:bCs/>
          <w:color w:val="3A7C22" w:themeColor="accent6" w:themeShade="BF"/>
          <w:sz w:val="24"/>
          <w:szCs w:val="24"/>
        </w:rPr>
        <w:t>ocal</w:t>
      </w:r>
      <w:r w:rsidR="000B45A2" w:rsidRPr="003A46D8">
        <w:rPr>
          <w:rFonts w:ascii="Arial" w:hAnsi="Arial" w:cs="Arial"/>
          <w:b/>
          <w:bCs/>
          <w:color w:val="3A7C22" w:themeColor="accent6" w:themeShade="BF"/>
          <w:sz w:val="24"/>
          <w:szCs w:val="24"/>
        </w:rPr>
        <w:t xml:space="preserve"> </w:t>
      </w:r>
      <w:r w:rsidR="00F94A72" w:rsidRPr="003A46D8">
        <w:rPr>
          <w:rFonts w:ascii="Arial" w:hAnsi="Arial" w:cs="Arial"/>
          <w:b/>
          <w:bCs/>
          <w:color w:val="3A7C22" w:themeColor="accent6" w:themeShade="BF"/>
          <w:sz w:val="24"/>
          <w:szCs w:val="24"/>
        </w:rPr>
        <w:t xml:space="preserve">Health </w:t>
      </w:r>
      <w:r w:rsidR="00126AD7" w:rsidRPr="003A46D8">
        <w:rPr>
          <w:rFonts w:ascii="Arial" w:hAnsi="Arial" w:cs="Arial"/>
          <w:b/>
          <w:bCs/>
          <w:color w:val="3A7C22" w:themeColor="accent6" w:themeShade="BF"/>
          <w:sz w:val="24"/>
          <w:szCs w:val="24"/>
        </w:rPr>
        <w:t>Inequalities</w:t>
      </w:r>
    </w:p>
    <w:p w14:paraId="673010E7" w14:textId="730A53A7" w:rsidR="006263C3" w:rsidRPr="00705E24" w:rsidRDefault="006263C3" w:rsidP="006263C3">
      <w:pPr>
        <w:spacing w:line="360" w:lineRule="auto"/>
        <w:jc w:val="both"/>
        <w:rPr>
          <w:sz w:val="22"/>
          <w:szCs w:val="22"/>
        </w:rPr>
      </w:pPr>
      <w:r w:rsidRPr="00705E24">
        <w:rPr>
          <w:sz w:val="22"/>
          <w:szCs w:val="22"/>
        </w:rPr>
        <w:t>The London Health Inequalities Strategy aims to reduce persistent health disparities by addressing the wider determinants of health, including housing, education, employment, transport, environmental quality and access to healthcare (Greater London Authority, 2023). The strategy recognises that health outcomes are shaped not only by healthcare provision but also by the social, economic and environmental conditions in which people live</w:t>
      </w:r>
      <w:r w:rsidR="008813CF" w:rsidRPr="00705E24">
        <w:rPr>
          <w:sz w:val="22"/>
          <w:szCs w:val="22"/>
        </w:rPr>
        <w:t xml:space="preserve"> (Donkin et al., 2017)</w:t>
      </w:r>
      <w:r w:rsidRPr="00705E24">
        <w:rPr>
          <w:sz w:val="22"/>
          <w:szCs w:val="22"/>
        </w:rPr>
        <w:t>. Consequently, initiatives promoting active travel, healthier food environments, cleaner air and improved mental health services support both Sustainable Development Goal (SDG) 3: Good Health and Well-being and SDG 12: Responsible Consumption and Production by encouraging healthier lifestyles while improving environmental sustainability (Greater London Authority, 2023; NHS England, 2022).</w:t>
      </w:r>
    </w:p>
    <w:p w14:paraId="3A055998" w14:textId="16B42BCD" w:rsidR="006263C3" w:rsidRPr="00705E24" w:rsidRDefault="006263C3" w:rsidP="006263C3">
      <w:pPr>
        <w:spacing w:line="360" w:lineRule="auto"/>
        <w:jc w:val="both"/>
        <w:rPr>
          <w:sz w:val="22"/>
          <w:szCs w:val="22"/>
        </w:rPr>
      </w:pPr>
      <w:r w:rsidRPr="00705E24">
        <w:rPr>
          <w:sz w:val="22"/>
          <w:szCs w:val="22"/>
        </w:rPr>
        <w:t xml:space="preserve">Despite these initiatives, considerable inequalities remain across London's boroughs. Residents living in deprived communities continue to experience higher rates of obesity, cardiovascular disease, diabetes, poor mental health and lower healthy life expectancy than those living in more affluent areas (Greater London Authority, 2023; Office for National Statistics (ONS), 2024). Ethnic minority communities are disproportionately affected by these inequalities because of socioeconomic disadvantage, discrimination and unequal access to healthcare services (Marmot, 2020; Geary, Bartley and Marmot, 2024). </w:t>
      </w:r>
    </w:p>
    <w:p w14:paraId="7A4AE75E" w14:textId="6A963FA5" w:rsidR="006263C3" w:rsidRPr="00705E24" w:rsidRDefault="006263C3" w:rsidP="006263C3">
      <w:pPr>
        <w:spacing w:line="360" w:lineRule="auto"/>
        <w:jc w:val="both"/>
        <w:rPr>
          <w:sz w:val="22"/>
          <w:szCs w:val="22"/>
        </w:rPr>
      </w:pPr>
      <w:r w:rsidRPr="00705E24">
        <w:rPr>
          <w:sz w:val="22"/>
          <w:szCs w:val="22"/>
        </w:rPr>
        <w:t>The relationship between health inequalities and sustainable development can be better understood through the Health in All Policies (HiAP) approach, which advocates integrating health considerations across all areas of public policy rather than limiting responsibility to healthcare services alone (Eliakimu and Mans, 2022). By adopting this approach, policymakers can address the root causes of health inequalities while promoting sustainable communities and reducing future demand on healthcare services</w:t>
      </w:r>
      <w:r w:rsidR="007A5B68" w:rsidRPr="00705E24">
        <w:rPr>
          <w:sz w:val="22"/>
          <w:szCs w:val="22"/>
        </w:rPr>
        <w:t xml:space="preserve"> (Niessen et al., 2018)</w:t>
      </w:r>
      <w:r w:rsidRPr="00705E24">
        <w:rPr>
          <w:sz w:val="22"/>
          <w:szCs w:val="22"/>
        </w:rPr>
        <w:t>.</w:t>
      </w:r>
    </w:p>
    <w:p w14:paraId="269B0879" w14:textId="43F35F27" w:rsidR="006263C3" w:rsidRPr="00705E24" w:rsidRDefault="006263C3" w:rsidP="006263C3">
      <w:pPr>
        <w:spacing w:line="360" w:lineRule="auto"/>
        <w:jc w:val="both"/>
        <w:rPr>
          <w:sz w:val="22"/>
          <w:szCs w:val="22"/>
        </w:rPr>
      </w:pPr>
      <w:r w:rsidRPr="00705E24">
        <w:rPr>
          <w:sz w:val="22"/>
          <w:szCs w:val="22"/>
        </w:rPr>
        <w:t xml:space="preserve">The Social Determinants of Health Model developed by Dahlgren and Whitehead (1991) further reinforces this perspective by illustrating how individual health is influenced by interconnected social, economic and environmental factors. This model highlights that improvements in education, employment, housing quality, community cohesion and environmental conditions are equally important as access to healthcare when seeking to improve long-term population health (Dahlgren and Whitehead, 1991; Donkin et al., 2017). </w:t>
      </w:r>
    </w:p>
    <w:p w14:paraId="3B22DFE0" w14:textId="77777777" w:rsidR="004A153B" w:rsidRDefault="006263C3" w:rsidP="009C3FBC">
      <w:pPr>
        <w:spacing w:line="360" w:lineRule="auto"/>
        <w:jc w:val="both"/>
        <w:rPr>
          <w:sz w:val="22"/>
          <w:szCs w:val="22"/>
        </w:rPr>
      </w:pPr>
      <w:r w:rsidRPr="00705E24">
        <w:rPr>
          <w:sz w:val="22"/>
          <w:szCs w:val="22"/>
        </w:rPr>
        <w:t xml:space="preserve">Although London has introduced innovative programmes to improve health and environmental sustainability, implementation remains inconsistent across boroughs because of differences in funding, leadership capacity and local priorities (Greater London Authority, 2023). Some </w:t>
      </w:r>
      <w:r w:rsidRPr="00705E24">
        <w:rPr>
          <w:sz w:val="22"/>
          <w:szCs w:val="22"/>
        </w:rPr>
        <w:lastRenderedPageBreak/>
        <w:t>boroughs have made substantial progress in reducing air pollution, promoting active travel and expanding preventative healthcare, whereas others continue to experience persistent deprivation and poorer health outcomes. This variation highlights the need for stronger monitoring, resource allocation and partnership working to ensure that all communities benefit equally from health and sustainability initiatives (Care Quality Commission, 2024).</w:t>
      </w:r>
    </w:p>
    <w:p w14:paraId="4D5CE225" w14:textId="4E1FF5BB" w:rsidR="001171EA" w:rsidRDefault="006263C3" w:rsidP="009C3FBC">
      <w:pPr>
        <w:spacing w:line="360" w:lineRule="auto"/>
        <w:jc w:val="both"/>
        <w:rPr>
          <w:sz w:val="22"/>
          <w:szCs w:val="22"/>
        </w:rPr>
      </w:pPr>
      <w:r w:rsidRPr="00705E24">
        <w:rPr>
          <w:sz w:val="22"/>
          <w:szCs w:val="22"/>
        </w:rPr>
        <w:t>Integrating public health, environmental sustainability and social policy will be essential to create healthier, more equitable and resilient communities across London (Acharya, Lin and Dhingra, 2018; United Nations, 2015).</w:t>
      </w:r>
    </w:p>
    <w:p w14:paraId="44A9B2F7" w14:textId="11C03F20" w:rsidR="00EA6EC6" w:rsidRPr="00227912" w:rsidRDefault="00F22541" w:rsidP="003A46D8">
      <w:pPr>
        <w:pStyle w:val="Heading1"/>
        <w:jc w:val="both"/>
        <w:rPr>
          <w:rFonts w:ascii="Arial" w:hAnsi="Arial" w:cs="Arial"/>
          <w:sz w:val="32"/>
          <w:szCs w:val="32"/>
        </w:rPr>
      </w:pPr>
      <w:r w:rsidRPr="00227912">
        <w:rPr>
          <w:rFonts w:ascii="Arial" w:hAnsi="Arial" w:cs="Arial"/>
          <w:sz w:val="32"/>
          <w:szCs w:val="32"/>
        </w:rPr>
        <w:t xml:space="preserve">Recommendation </w:t>
      </w:r>
    </w:p>
    <w:p w14:paraId="674E815C" w14:textId="6B8EB5F6" w:rsidR="00B05877" w:rsidRPr="00227912" w:rsidRDefault="00B05877" w:rsidP="00B05877">
      <w:pPr>
        <w:spacing w:line="360" w:lineRule="auto"/>
        <w:jc w:val="both"/>
        <w:rPr>
          <w:sz w:val="22"/>
          <w:szCs w:val="22"/>
        </w:rPr>
      </w:pPr>
      <w:r w:rsidRPr="00227912">
        <w:rPr>
          <w:sz w:val="22"/>
          <w:szCs w:val="22"/>
        </w:rPr>
        <w:t>Greater investment in preventative healthcare should expand programmes addressing obesity, mental health, smoking cessation and physical inactivity while tackling wider social determinants such as housing, education and employment (NHS England, 2019; Marmot, 2020</w:t>
      </w:r>
      <w:r w:rsidR="00FC7067" w:rsidRPr="00227912">
        <w:rPr>
          <w:sz w:val="22"/>
          <w:szCs w:val="22"/>
        </w:rPr>
        <w:t>; Nugent et al., 2018</w:t>
      </w:r>
      <w:r w:rsidRPr="00227912">
        <w:rPr>
          <w:sz w:val="22"/>
          <w:szCs w:val="22"/>
        </w:rPr>
        <w:t>). Targeted interventions should prioritise deprived communities and ethnic minority populations to improve equitable access to healthcare and preventative services (Geary, Bartley and Marmot, 2024).</w:t>
      </w:r>
    </w:p>
    <w:p w14:paraId="35233580" w14:textId="7FE8192B" w:rsidR="009C3FBC" w:rsidRPr="009C3FBC" w:rsidRDefault="00B05877" w:rsidP="009C3FBC">
      <w:pPr>
        <w:spacing w:line="360" w:lineRule="auto"/>
        <w:jc w:val="both"/>
        <w:rPr>
          <w:sz w:val="22"/>
          <w:szCs w:val="22"/>
        </w:rPr>
      </w:pPr>
      <w:r w:rsidRPr="00227912">
        <w:rPr>
          <w:sz w:val="22"/>
          <w:szCs w:val="22"/>
        </w:rPr>
        <w:t xml:space="preserve">Healthcare organisations should accelerate sustainable practices through greater investment in low-carbon technologies, renewable energy, sustainable procurement and digital healthcare innovations, including telemedicine and electronic prescribing, while ensuring patient safety and quality of care (NHS England, 2022; McAllister et al., 2024). In addition, adopting a Health in All Policies (HiAP) approach would strengthen collaboration across healthcare, housing, education, transport and environmental sectors to address the wider determinants of health (Eliakimu and Mans, 2022). Finally, regular monitoring and evaluation using clear SDG performance indicators should be implemented to measure progress, improve accountability and inform future policy development (United Nations, 2015). </w:t>
      </w:r>
    </w:p>
    <w:p w14:paraId="1FC49093" w14:textId="3B83DAE7" w:rsidR="00CA10DB" w:rsidRPr="004B6424" w:rsidRDefault="00CA10DB" w:rsidP="004B6424">
      <w:pPr>
        <w:pStyle w:val="Heading1"/>
        <w:jc w:val="both"/>
        <w:rPr>
          <w:rFonts w:ascii="Arial" w:hAnsi="Arial" w:cs="Arial"/>
          <w:sz w:val="32"/>
          <w:szCs w:val="32"/>
        </w:rPr>
      </w:pPr>
      <w:r w:rsidRPr="004B6424">
        <w:rPr>
          <w:rFonts w:ascii="Arial" w:hAnsi="Arial" w:cs="Arial"/>
          <w:sz w:val="32"/>
          <w:szCs w:val="32"/>
        </w:rPr>
        <w:t>Conclusion</w:t>
      </w:r>
    </w:p>
    <w:p w14:paraId="5D77146B" w14:textId="293AD899" w:rsidR="00554F2A" w:rsidRPr="00227912" w:rsidRDefault="00554F2A" w:rsidP="003E737C">
      <w:pPr>
        <w:spacing w:line="360" w:lineRule="auto"/>
        <w:jc w:val="both"/>
        <w:rPr>
          <w:sz w:val="22"/>
          <w:szCs w:val="22"/>
        </w:rPr>
      </w:pPr>
      <w:r w:rsidRPr="00227912">
        <w:rPr>
          <w:sz w:val="22"/>
          <w:szCs w:val="22"/>
        </w:rPr>
        <w:t xml:space="preserve">This report critically examined the relationship between health, wellbeing and sustainable development through Sustainable Development Goals (SDGs) 3 and 12 at global, national and local levels. The findings demonstrate that health is strongly influenced by environmental sustainability and the wider social determinants of health. Although UK initiatives, including the NHS Long Term Plan, the NHS Net Zero Strategy and the London Health Inequalities Strategy, have strengthened prevention and sustainability, challenges such as health inequalities, workforce shortages and inconsistent implementation remain. Continued </w:t>
      </w:r>
      <w:r w:rsidRPr="00227912">
        <w:rPr>
          <w:sz w:val="22"/>
          <w:szCs w:val="22"/>
        </w:rPr>
        <w:lastRenderedPageBreak/>
        <w:t>investment, cross-sector collaboration and evidence-based policymaking are essential to achieve the SDGs and create a healthier, more sustainable future (United Nations, 2015</w:t>
      </w:r>
      <w:r w:rsidR="00FC7067" w:rsidRPr="00227912">
        <w:rPr>
          <w:sz w:val="22"/>
          <w:szCs w:val="22"/>
        </w:rPr>
        <w:t>; Smith et al., 2023</w:t>
      </w:r>
      <w:r w:rsidRPr="00227912">
        <w:rPr>
          <w:sz w:val="22"/>
          <w:szCs w:val="22"/>
        </w:rPr>
        <w:t>).</w:t>
      </w:r>
    </w:p>
    <w:p w14:paraId="05A0EAD3" w14:textId="77777777" w:rsidR="00E53FF7" w:rsidRDefault="00E53FF7" w:rsidP="003E737C">
      <w:pPr>
        <w:spacing w:line="360" w:lineRule="auto"/>
        <w:jc w:val="both"/>
        <w:rPr>
          <w:rFonts w:cs="Arial"/>
          <w:sz w:val="32"/>
          <w:szCs w:val="32"/>
        </w:rPr>
      </w:pPr>
    </w:p>
    <w:p w14:paraId="5D2EFF20" w14:textId="77777777" w:rsidR="00E53FF7" w:rsidRDefault="00E53FF7" w:rsidP="003E737C">
      <w:pPr>
        <w:spacing w:line="360" w:lineRule="auto"/>
        <w:jc w:val="both"/>
        <w:rPr>
          <w:rFonts w:cs="Arial"/>
          <w:sz w:val="32"/>
          <w:szCs w:val="32"/>
        </w:rPr>
      </w:pPr>
    </w:p>
    <w:p w14:paraId="2B9955A1" w14:textId="77777777" w:rsidR="00E53FF7" w:rsidRDefault="00E53FF7" w:rsidP="003E737C">
      <w:pPr>
        <w:spacing w:line="360" w:lineRule="auto"/>
        <w:jc w:val="both"/>
        <w:rPr>
          <w:rFonts w:cs="Arial"/>
          <w:sz w:val="32"/>
          <w:szCs w:val="32"/>
        </w:rPr>
      </w:pPr>
    </w:p>
    <w:p w14:paraId="4C5C131F" w14:textId="77777777" w:rsidR="00E53FF7" w:rsidRDefault="00E53FF7" w:rsidP="003E737C">
      <w:pPr>
        <w:spacing w:line="360" w:lineRule="auto"/>
        <w:jc w:val="both"/>
        <w:rPr>
          <w:rFonts w:cs="Arial"/>
          <w:sz w:val="32"/>
          <w:szCs w:val="32"/>
        </w:rPr>
      </w:pPr>
    </w:p>
    <w:p w14:paraId="681C9835" w14:textId="77777777" w:rsidR="00914A4A" w:rsidRDefault="00914A4A" w:rsidP="003E737C">
      <w:pPr>
        <w:spacing w:line="360" w:lineRule="auto"/>
        <w:jc w:val="both"/>
        <w:rPr>
          <w:rFonts w:cs="Arial"/>
          <w:sz w:val="32"/>
          <w:szCs w:val="32"/>
        </w:rPr>
      </w:pPr>
    </w:p>
    <w:p w14:paraId="4BBEB221" w14:textId="77777777" w:rsidR="00914A4A" w:rsidRDefault="00914A4A" w:rsidP="003E737C">
      <w:pPr>
        <w:spacing w:line="360" w:lineRule="auto"/>
        <w:jc w:val="both"/>
        <w:rPr>
          <w:rFonts w:cs="Arial"/>
          <w:sz w:val="32"/>
          <w:szCs w:val="32"/>
        </w:rPr>
      </w:pPr>
    </w:p>
    <w:p w14:paraId="26B502FF" w14:textId="77777777" w:rsidR="00914A4A" w:rsidRDefault="00914A4A" w:rsidP="003E737C">
      <w:pPr>
        <w:spacing w:line="360" w:lineRule="auto"/>
        <w:jc w:val="both"/>
        <w:rPr>
          <w:rFonts w:cs="Arial"/>
          <w:sz w:val="32"/>
          <w:szCs w:val="32"/>
        </w:rPr>
      </w:pPr>
    </w:p>
    <w:p w14:paraId="148508ED" w14:textId="77777777" w:rsidR="00914A4A" w:rsidRDefault="00914A4A" w:rsidP="003E737C">
      <w:pPr>
        <w:spacing w:line="360" w:lineRule="auto"/>
        <w:jc w:val="both"/>
        <w:rPr>
          <w:rFonts w:cs="Arial"/>
          <w:sz w:val="32"/>
          <w:szCs w:val="32"/>
        </w:rPr>
      </w:pPr>
    </w:p>
    <w:p w14:paraId="735F2BB4" w14:textId="77777777" w:rsidR="00914A4A" w:rsidRDefault="00914A4A" w:rsidP="003E737C">
      <w:pPr>
        <w:spacing w:line="360" w:lineRule="auto"/>
        <w:jc w:val="both"/>
        <w:rPr>
          <w:rFonts w:cs="Arial"/>
          <w:sz w:val="32"/>
          <w:szCs w:val="32"/>
        </w:rPr>
      </w:pPr>
    </w:p>
    <w:p w14:paraId="5402DD61" w14:textId="77777777" w:rsidR="00914A4A" w:rsidRDefault="00914A4A" w:rsidP="003E737C">
      <w:pPr>
        <w:spacing w:line="360" w:lineRule="auto"/>
        <w:jc w:val="both"/>
        <w:rPr>
          <w:rFonts w:cs="Arial"/>
          <w:sz w:val="32"/>
          <w:szCs w:val="32"/>
        </w:rPr>
      </w:pPr>
    </w:p>
    <w:p w14:paraId="25B17872" w14:textId="77777777" w:rsidR="00E53FF7" w:rsidRDefault="00E53FF7" w:rsidP="003E737C">
      <w:pPr>
        <w:spacing w:line="360" w:lineRule="auto"/>
        <w:jc w:val="both"/>
        <w:rPr>
          <w:rFonts w:cs="Arial"/>
          <w:sz w:val="32"/>
          <w:szCs w:val="32"/>
        </w:rPr>
      </w:pPr>
    </w:p>
    <w:p w14:paraId="09463DFC" w14:textId="77777777" w:rsidR="00E53FF7" w:rsidRDefault="00E53FF7" w:rsidP="003E737C">
      <w:pPr>
        <w:spacing w:line="360" w:lineRule="auto"/>
        <w:jc w:val="both"/>
        <w:rPr>
          <w:rFonts w:cs="Arial"/>
          <w:sz w:val="32"/>
          <w:szCs w:val="32"/>
        </w:rPr>
      </w:pPr>
    </w:p>
    <w:p w14:paraId="6A491C50" w14:textId="77777777" w:rsidR="00FD19B5" w:rsidRDefault="00FD19B5" w:rsidP="003A46D8">
      <w:pPr>
        <w:pStyle w:val="Heading1"/>
        <w:rPr>
          <w:rFonts w:ascii="Arial" w:hAnsi="Arial" w:cs="Arial"/>
          <w:sz w:val="32"/>
          <w:szCs w:val="32"/>
        </w:rPr>
      </w:pPr>
    </w:p>
    <w:p w14:paraId="78EBB176" w14:textId="77777777" w:rsidR="00FD19B5" w:rsidRDefault="00FD19B5" w:rsidP="003A46D8">
      <w:pPr>
        <w:pStyle w:val="Heading1"/>
        <w:rPr>
          <w:rFonts w:ascii="Arial" w:hAnsi="Arial" w:cs="Arial"/>
          <w:sz w:val="32"/>
          <w:szCs w:val="32"/>
        </w:rPr>
      </w:pPr>
    </w:p>
    <w:p w14:paraId="62B65BE7" w14:textId="11D0236C" w:rsidR="00B21774" w:rsidRPr="003A46D8" w:rsidRDefault="00B21774" w:rsidP="00FD19B5">
      <w:pPr>
        <w:pStyle w:val="Heading1"/>
        <w:jc w:val="both"/>
        <w:rPr>
          <w:rFonts w:ascii="Arial" w:hAnsi="Arial" w:cs="Arial"/>
          <w:sz w:val="32"/>
          <w:szCs w:val="32"/>
        </w:rPr>
      </w:pPr>
      <w:r w:rsidRPr="003A46D8">
        <w:rPr>
          <w:rFonts w:ascii="Arial" w:hAnsi="Arial" w:cs="Arial"/>
          <w:sz w:val="32"/>
          <w:szCs w:val="32"/>
        </w:rPr>
        <w:t>References</w:t>
      </w:r>
    </w:p>
    <w:p w14:paraId="51BE5EE5" w14:textId="2FD7200B" w:rsidR="00AE5E3E" w:rsidRPr="00AB2FE0" w:rsidRDefault="00AE5E3E" w:rsidP="00AB2FE0">
      <w:pPr>
        <w:spacing w:line="360" w:lineRule="auto"/>
        <w:jc w:val="both"/>
        <w:rPr>
          <w:sz w:val="22"/>
          <w:szCs w:val="22"/>
        </w:rPr>
      </w:pPr>
      <w:r w:rsidRPr="00AB2FE0">
        <w:rPr>
          <w:sz w:val="22"/>
          <w:szCs w:val="22"/>
        </w:rPr>
        <w:t>Acharya, S., Lin, V. and Dhingra, N. (2018) ‘The role of health in achieving the sustainable development goals’, </w:t>
      </w:r>
      <w:r w:rsidRPr="00AB2FE0">
        <w:rPr>
          <w:i/>
          <w:iCs/>
          <w:sz w:val="22"/>
          <w:szCs w:val="22"/>
        </w:rPr>
        <w:t xml:space="preserve">Bulletin of the World Health </w:t>
      </w:r>
      <w:r w:rsidR="00914A4A">
        <w:rPr>
          <w:i/>
          <w:iCs/>
          <w:sz w:val="22"/>
          <w:szCs w:val="22"/>
        </w:rPr>
        <w:t>Organisation</w:t>
      </w:r>
      <w:r w:rsidRPr="00AB2FE0">
        <w:rPr>
          <w:sz w:val="22"/>
          <w:szCs w:val="22"/>
        </w:rPr>
        <w:t>, 96(9), pp. 591–592. Available at: </w:t>
      </w:r>
      <w:hyperlink r:id="rId13" w:history="1">
        <w:r w:rsidRPr="00AB2FE0">
          <w:rPr>
            <w:rStyle w:val="Hyperlink"/>
            <w:sz w:val="22"/>
            <w:szCs w:val="22"/>
          </w:rPr>
          <w:t>https://doi.org/10.2471/BLT.18.222273</w:t>
        </w:r>
      </w:hyperlink>
    </w:p>
    <w:p w14:paraId="0F4B60FE" w14:textId="77777777" w:rsidR="00AE5E3E" w:rsidRPr="00AB2FE0" w:rsidRDefault="00AE5E3E" w:rsidP="00AB2FE0">
      <w:pPr>
        <w:spacing w:line="360" w:lineRule="auto"/>
        <w:jc w:val="both"/>
        <w:rPr>
          <w:sz w:val="22"/>
          <w:szCs w:val="22"/>
        </w:rPr>
      </w:pPr>
      <w:r w:rsidRPr="00AB2FE0">
        <w:rPr>
          <w:sz w:val="22"/>
          <w:szCs w:val="22"/>
        </w:rPr>
        <w:t>Amamou, A., Blenkinsop, S., Winter, D.C. and Heidrich, O. (2025) ‘Net zero in healthcare buildings: lessons from assessing the strategies of 214 NHS trusts in England’, </w:t>
      </w:r>
      <w:r w:rsidRPr="00AB2FE0">
        <w:rPr>
          <w:i/>
          <w:iCs/>
          <w:sz w:val="22"/>
          <w:szCs w:val="22"/>
        </w:rPr>
        <w:t>Building and Environment</w:t>
      </w:r>
      <w:r w:rsidRPr="00AB2FE0">
        <w:rPr>
          <w:sz w:val="22"/>
          <w:szCs w:val="22"/>
        </w:rPr>
        <w:t>. Available at: </w:t>
      </w:r>
      <w:hyperlink r:id="rId14" w:history="1">
        <w:r w:rsidRPr="00AB2FE0">
          <w:rPr>
            <w:rStyle w:val="Hyperlink"/>
            <w:sz w:val="22"/>
            <w:szCs w:val="22"/>
          </w:rPr>
          <w:t>https://doi.org/10.1016/j.buildenv.2025.112593</w:t>
        </w:r>
      </w:hyperlink>
    </w:p>
    <w:p w14:paraId="59D4B608" w14:textId="77777777" w:rsidR="00AE5E3E" w:rsidRPr="00AB2FE0" w:rsidRDefault="00AE5E3E" w:rsidP="00AB2FE0">
      <w:pPr>
        <w:spacing w:line="360" w:lineRule="auto"/>
        <w:jc w:val="both"/>
        <w:rPr>
          <w:sz w:val="22"/>
          <w:szCs w:val="22"/>
        </w:rPr>
      </w:pPr>
      <w:r w:rsidRPr="00AB2FE0">
        <w:rPr>
          <w:sz w:val="22"/>
          <w:szCs w:val="22"/>
        </w:rPr>
        <w:t>Aftab, W., Siddiqui, F.J., Tasic, H., Perveen, S., Siddiqi, S. and Bhutta, Z.A. (2020) ‘Implementation of health and health-related sustainable development goals: progress, challenges and opportunities – a systematic literature review’, </w:t>
      </w:r>
      <w:r w:rsidRPr="00AB2FE0">
        <w:rPr>
          <w:i/>
          <w:iCs/>
          <w:sz w:val="22"/>
          <w:szCs w:val="22"/>
        </w:rPr>
        <w:t>BMJ Global Health</w:t>
      </w:r>
      <w:r w:rsidRPr="00AB2FE0">
        <w:rPr>
          <w:sz w:val="22"/>
          <w:szCs w:val="22"/>
        </w:rPr>
        <w:t>, 5(8). Available at: </w:t>
      </w:r>
      <w:hyperlink r:id="rId15" w:history="1">
        <w:r w:rsidRPr="00AB2FE0">
          <w:rPr>
            <w:rStyle w:val="Hyperlink"/>
            <w:sz w:val="22"/>
            <w:szCs w:val="22"/>
          </w:rPr>
          <w:t>https://doi.org/10.1136/bmjgh-2020-002273</w:t>
        </w:r>
      </w:hyperlink>
    </w:p>
    <w:p w14:paraId="50582EDE" w14:textId="77777777" w:rsidR="00AE5E3E" w:rsidRPr="00AB2FE0" w:rsidRDefault="00AE5E3E" w:rsidP="00AB2FE0">
      <w:pPr>
        <w:spacing w:line="360" w:lineRule="auto"/>
        <w:jc w:val="both"/>
        <w:rPr>
          <w:sz w:val="22"/>
          <w:szCs w:val="22"/>
        </w:rPr>
      </w:pPr>
      <w:r w:rsidRPr="00AB2FE0">
        <w:rPr>
          <w:sz w:val="22"/>
          <w:szCs w:val="22"/>
        </w:rPr>
        <w:t>Bengtsson, M., Alfredsson, E., Cohen, M., Lorek, S. and Schroeder, P. (2018) ‘Transforming systems of consumption and production for achieving the sustainable development goals: moving beyond efficiency’, </w:t>
      </w:r>
      <w:r w:rsidRPr="00AB2FE0">
        <w:rPr>
          <w:i/>
          <w:iCs/>
          <w:sz w:val="22"/>
          <w:szCs w:val="22"/>
        </w:rPr>
        <w:t>Sustainability Science</w:t>
      </w:r>
      <w:r w:rsidRPr="00AB2FE0">
        <w:rPr>
          <w:sz w:val="22"/>
          <w:szCs w:val="22"/>
        </w:rPr>
        <w:t>, 13, pp. 1533–1547. Available at: </w:t>
      </w:r>
      <w:hyperlink r:id="rId16" w:history="1">
        <w:r w:rsidRPr="00AB2FE0">
          <w:rPr>
            <w:rStyle w:val="Hyperlink"/>
            <w:sz w:val="22"/>
            <w:szCs w:val="22"/>
          </w:rPr>
          <w:t>https://doi.org/10.1007/s11625-018-0546-6</w:t>
        </w:r>
      </w:hyperlink>
    </w:p>
    <w:p w14:paraId="620ACBF2" w14:textId="77777777" w:rsidR="00AE5E3E" w:rsidRPr="00AB2FE0" w:rsidRDefault="00AE5E3E" w:rsidP="00AB2FE0">
      <w:pPr>
        <w:spacing w:line="360" w:lineRule="auto"/>
        <w:jc w:val="both"/>
        <w:rPr>
          <w:sz w:val="22"/>
          <w:szCs w:val="22"/>
        </w:rPr>
      </w:pPr>
      <w:r w:rsidRPr="00AB2FE0">
        <w:rPr>
          <w:sz w:val="22"/>
          <w:szCs w:val="22"/>
        </w:rPr>
        <w:t>Castellano, R., De Bernardo, G. and Punzo, G. (2024) ‘Sustainable well-being and sustainable consumption and production: an efficiency analysis of Sustainable Development Goal 12’, </w:t>
      </w:r>
      <w:r w:rsidRPr="00AB2FE0">
        <w:rPr>
          <w:i/>
          <w:iCs/>
          <w:sz w:val="22"/>
          <w:szCs w:val="22"/>
        </w:rPr>
        <w:t>Sustainability</w:t>
      </w:r>
      <w:r w:rsidRPr="00AB2FE0">
        <w:rPr>
          <w:sz w:val="22"/>
          <w:szCs w:val="22"/>
        </w:rPr>
        <w:t>, 16(17). Available at: </w:t>
      </w:r>
      <w:hyperlink r:id="rId17" w:history="1">
        <w:r w:rsidRPr="00AB2FE0">
          <w:rPr>
            <w:rStyle w:val="Hyperlink"/>
            <w:sz w:val="22"/>
            <w:szCs w:val="22"/>
          </w:rPr>
          <w:t>https://doi.org/10.3390/su16177678</w:t>
        </w:r>
      </w:hyperlink>
    </w:p>
    <w:p w14:paraId="533EDFD3" w14:textId="77777777" w:rsidR="00AE5E3E" w:rsidRPr="00AB2FE0" w:rsidRDefault="00AE5E3E" w:rsidP="00AB2FE0">
      <w:pPr>
        <w:spacing w:line="360" w:lineRule="auto"/>
        <w:jc w:val="both"/>
        <w:rPr>
          <w:sz w:val="22"/>
          <w:szCs w:val="22"/>
        </w:rPr>
      </w:pPr>
      <w:r w:rsidRPr="00AB2FE0">
        <w:rPr>
          <w:sz w:val="22"/>
          <w:szCs w:val="22"/>
        </w:rPr>
        <w:t>Cerf, M. (2019) ‘Sustainable Development Goal integration, interdependence, and implementation: the environment–economic–health nexus and universal health coverage’, </w:t>
      </w:r>
      <w:r w:rsidRPr="00AB2FE0">
        <w:rPr>
          <w:i/>
          <w:iCs/>
          <w:sz w:val="22"/>
          <w:szCs w:val="22"/>
        </w:rPr>
        <w:t>Global Challenges</w:t>
      </w:r>
      <w:r w:rsidRPr="00AB2FE0">
        <w:rPr>
          <w:sz w:val="22"/>
          <w:szCs w:val="22"/>
        </w:rPr>
        <w:t>, 3(7). Available at: </w:t>
      </w:r>
      <w:hyperlink r:id="rId18" w:history="1">
        <w:r w:rsidRPr="00AB2FE0">
          <w:rPr>
            <w:rStyle w:val="Hyperlink"/>
            <w:sz w:val="22"/>
            <w:szCs w:val="22"/>
          </w:rPr>
          <w:t>https://doi.org/10.1002/gch2.201900026</w:t>
        </w:r>
      </w:hyperlink>
    </w:p>
    <w:p w14:paraId="2E1D847C" w14:textId="77777777" w:rsidR="00AE5E3E" w:rsidRPr="00AB2FE0" w:rsidRDefault="00AE5E3E" w:rsidP="00AB2FE0">
      <w:pPr>
        <w:spacing w:line="360" w:lineRule="auto"/>
        <w:jc w:val="both"/>
        <w:rPr>
          <w:sz w:val="22"/>
          <w:szCs w:val="22"/>
        </w:rPr>
      </w:pPr>
      <w:r w:rsidRPr="00AB2FE0">
        <w:rPr>
          <w:sz w:val="22"/>
          <w:szCs w:val="22"/>
        </w:rPr>
        <w:t>Donkin, A., Goldblatt, P., Allen, J., Nathanson, V. and Marmot, M. (2017) ‘Global action on the social determinants of health’, </w:t>
      </w:r>
      <w:r w:rsidRPr="00AB2FE0">
        <w:rPr>
          <w:i/>
          <w:iCs/>
          <w:sz w:val="22"/>
          <w:szCs w:val="22"/>
        </w:rPr>
        <w:t>BMJ Global Health</w:t>
      </w:r>
      <w:r w:rsidRPr="00AB2FE0">
        <w:rPr>
          <w:sz w:val="22"/>
          <w:szCs w:val="22"/>
        </w:rPr>
        <w:t>, 2(Suppl 2). Available at: </w:t>
      </w:r>
      <w:hyperlink r:id="rId19" w:history="1">
        <w:r w:rsidRPr="00AB2FE0">
          <w:rPr>
            <w:rStyle w:val="Hyperlink"/>
            <w:sz w:val="22"/>
            <w:szCs w:val="22"/>
          </w:rPr>
          <w:t>https://doi.org/10.1136/bmjgh-2016-000603</w:t>
        </w:r>
      </w:hyperlink>
    </w:p>
    <w:p w14:paraId="3D7052ED" w14:textId="77777777" w:rsidR="00AE5E3E" w:rsidRPr="00AB2FE0" w:rsidRDefault="00AE5E3E" w:rsidP="00AB2FE0">
      <w:pPr>
        <w:spacing w:line="360" w:lineRule="auto"/>
        <w:jc w:val="both"/>
        <w:rPr>
          <w:sz w:val="22"/>
          <w:szCs w:val="22"/>
        </w:rPr>
      </w:pPr>
      <w:r w:rsidRPr="00AB2FE0">
        <w:rPr>
          <w:sz w:val="22"/>
          <w:szCs w:val="22"/>
        </w:rPr>
        <w:t>Ehiozee, C. (2025) ‘Integrating mental health into sustainable development: insights from the United Kingdom’s policies and practices for advancing SDG 3’, </w:t>
      </w:r>
      <w:r w:rsidRPr="00AB2FE0">
        <w:rPr>
          <w:i/>
          <w:iCs/>
          <w:sz w:val="22"/>
          <w:szCs w:val="22"/>
        </w:rPr>
        <w:t>International Multidisciplinary Research Journal</w:t>
      </w:r>
      <w:r w:rsidRPr="00AB2FE0">
        <w:rPr>
          <w:sz w:val="22"/>
          <w:szCs w:val="22"/>
        </w:rPr>
        <w:t>. Available at: </w:t>
      </w:r>
      <w:hyperlink r:id="rId20" w:history="1">
        <w:r w:rsidRPr="00AB2FE0">
          <w:rPr>
            <w:rStyle w:val="Hyperlink"/>
            <w:sz w:val="22"/>
            <w:szCs w:val="22"/>
          </w:rPr>
          <w:t>https://doi.org/10.54476/ioer-imrj/103386</w:t>
        </w:r>
      </w:hyperlink>
    </w:p>
    <w:p w14:paraId="192A2BB0" w14:textId="77777777" w:rsidR="00AE5E3E" w:rsidRPr="00AB2FE0" w:rsidRDefault="00AE5E3E" w:rsidP="00AB2FE0">
      <w:pPr>
        <w:spacing w:line="360" w:lineRule="auto"/>
        <w:jc w:val="both"/>
        <w:rPr>
          <w:sz w:val="22"/>
          <w:szCs w:val="22"/>
        </w:rPr>
      </w:pPr>
      <w:r w:rsidRPr="00AB2FE0">
        <w:rPr>
          <w:sz w:val="22"/>
          <w:szCs w:val="22"/>
        </w:rPr>
        <w:lastRenderedPageBreak/>
        <w:t>Eliakimu, E. and Mans, L. (2022) ‘Addressing inequalities toward inclusive governance for achieving One Health: a rapid review’, </w:t>
      </w:r>
      <w:r w:rsidRPr="00AB2FE0">
        <w:rPr>
          <w:i/>
          <w:iCs/>
          <w:sz w:val="22"/>
          <w:szCs w:val="22"/>
        </w:rPr>
        <w:t>Frontiers in Public Health</w:t>
      </w:r>
      <w:r w:rsidRPr="00AB2FE0">
        <w:rPr>
          <w:sz w:val="22"/>
          <w:szCs w:val="22"/>
        </w:rPr>
        <w:t>, 10. Available at: </w:t>
      </w:r>
      <w:hyperlink r:id="rId21" w:history="1">
        <w:r w:rsidRPr="00AB2FE0">
          <w:rPr>
            <w:rStyle w:val="Hyperlink"/>
            <w:sz w:val="22"/>
            <w:szCs w:val="22"/>
          </w:rPr>
          <w:t>https://doi.org/10.3389/fpubh.2022.838824</w:t>
        </w:r>
      </w:hyperlink>
    </w:p>
    <w:p w14:paraId="01DAAD66" w14:textId="77777777" w:rsidR="00AE5E3E" w:rsidRPr="00AB2FE0" w:rsidRDefault="00AE5E3E" w:rsidP="00AB2FE0">
      <w:pPr>
        <w:spacing w:line="360" w:lineRule="auto"/>
        <w:jc w:val="both"/>
        <w:rPr>
          <w:sz w:val="22"/>
          <w:szCs w:val="22"/>
        </w:rPr>
      </w:pPr>
      <w:r w:rsidRPr="00AB2FE0">
        <w:rPr>
          <w:sz w:val="22"/>
          <w:szCs w:val="22"/>
        </w:rPr>
        <w:t>Galli, A., Leuenberger, A., Dietler, D., Fletcher, H., Junghanss, T. and Utzinger, J. (2020) ‘Tropical medicine and international health and the 2030 agenda for sustainable development’, </w:t>
      </w:r>
      <w:r w:rsidRPr="00AB2FE0">
        <w:rPr>
          <w:i/>
          <w:iCs/>
          <w:sz w:val="22"/>
          <w:szCs w:val="22"/>
        </w:rPr>
        <w:t>Tropical Medicine &amp; International Health</w:t>
      </w:r>
      <w:r w:rsidRPr="00AB2FE0">
        <w:rPr>
          <w:sz w:val="22"/>
          <w:szCs w:val="22"/>
        </w:rPr>
        <w:t>, 25(1), pp. 1–3. Available at: </w:t>
      </w:r>
      <w:hyperlink r:id="rId22" w:history="1">
        <w:r w:rsidRPr="00AB2FE0">
          <w:rPr>
            <w:rStyle w:val="Hyperlink"/>
            <w:sz w:val="22"/>
            <w:szCs w:val="22"/>
          </w:rPr>
          <w:t>https://doi.org/10.1111/tmi.13363</w:t>
        </w:r>
      </w:hyperlink>
    </w:p>
    <w:p w14:paraId="3D3AC6D8" w14:textId="77777777" w:rsidR="00AE5E3E" w:rsidRPr="00AB2FE0" w:rsidRDefault="00AE5E3E" w:rsidP="00AB2FE0">
      <w:pPr>
        <w:spacing w:line="360" w:lineRule="auto"/>
        <w:jc w:val="both"/>
        <w:rPr>
          <w:sz w:val="22"/>
          <w:szCs w:val="22"/>
        </w:rPr>
      </w:pPr>
      <w:r w:rsidRPr="00AB2FE0">
        <w:rPr>
          <w:sz w:val="22"/>
          <w:szCs w:val="22"/>
        </w:rPr>
        <w:t>Gasper, D., Shah, A. and Tankha, S. (2019) ‘The framing of sustainable consumption and production in SDG 12’, </w:t>
      </w:r>
      <w:r w:rsidRPr="00AB2FE0">
        <w:rPr>
          <w:i/>
          <w:iCs/>
          <w:sz w:val="22"/>
          <w:szCs w:val="22"/>
        </w:rPr>
        <w:t>Global Policy</w:t>
      </w:r>
      <w:r w:rsidRPr="00AB2FE0">
        <w:rPr>
          <w:sz w:val="22"/>
          <w:szCs w:val="22"/>
        </w:rPr>
        <w:t>, 10(S1), pp. 83–95. Available at: </w:t>
      </w:r>
      <w:hyperlink r:id="rId23" w:history="1">
        <w:r w:rsidRPr="00AB2FE0">
          <w:rPr>
            <w:rStyle w:val="Hyperlink"/>
            <w:sz w:val="22"/>
            <w:szCs w:val="22"/>
          </w:rPr>
          <w:t>https://doi.org/10.1111/1758-5899.12579</w:t>
        </w:r>
      </w:hyperlink>
    </w:p>
    <w:p w14:paraId="12EB2D6E" w14:textId="77777777" w:rsidR="00AE5E3E" w:rsidRPr="00AB2FE0" w:rsidRDefault="00AE5E3E" w:rsidP="00AB2FE0">
      <w:pPr>
        <w:spacing w:line="360" w:lineRule="auto"/>
        <w:jc w:val="both"/>
        <w:rPr>
          <w:sz w:val="22"/>
          <w:szCs w:val="22"/>
        </w:rPr>
      </w:pPr>
      <w:r w:rsidRPr="00AB2FE0">
        <w:rPr>
          <w:sz w:val="22"/>
          <w:szCs w:val="22"/>
        </w:rPr>
        <w:t>Geary, U., Bartley, A. and Marmot, M. (2024) ‘The Marmot NHS Trust approach could help NHS organisations tackle health inequalities’, </w:t>
      </w:r>
      <w:r w:rsidRPr="00AB2FE0">
        <w:rPr>
          <w:i/>
          <w:iCs/>
          <w:sz w:val="22"/>
          <w:szCs w:val="22"/>
        </w:rPr>
        <w:t>BMJ</w:t>
      </w:r>
      <w:r w:rsidRPr="00AB2FE0">
        <w:rPr>
          <w:sz w:val="22"/>
          <w:szCs w:val="22"/>
        </w:rPr>
        <w:t>, 384. Available at: </w:t>
      </w:r>
      <w:hyperlink r:id="rId24" w:history="1">
        <w:r w:rsidRPr="00AB2FE0">
          <w:rPr>
            <w:rStyle w:val="Hyperlink"/>
            <w:sz w:val="22"/>
            <w:szCs w:val="22"/>
          </w:rPr>
          <w:t>https://doi.org/10.1136/bmj.q121</w:t>
        </w:r>
      </w:hyperlink>
    </w:p>
    <w:p w14:paraId="633AA116" w14:textId="77777777" w:rsidR="00AE5E3E" w:rsidRPr="00AB2FE0" w:rsidRDefault="00AE5E3E" w:rsidP="00AB2FE0">
      <w:pPr>
        <w:spacing w:line="360" w:lineRule="auto"/>
        <w:jc w:val="both"/>
        <w:rPr>
          <w:sz w:val="22"/>
          <w:szCs w:val="22"/>
        </w:rPr>
      </w:pPr>
      <w:r w:rsidRPr="00AB2FE0">
        <w:rPr>
          <w:sz w:val="22"/>
          <w:szCs w:val="22"/>
        </w:rPr>
        <w:t>Hove, M., John, J., Ojelade, E., Ayyaz, F., Koris, J., Frame, J., Swart, M., Snowden, C., Briggs, T. and Gray, W. (2024) ‘Unwarranted variation and the goal of net zero for the NHS in England: exploring the link between efficiency working, patient outcomes and carbon footprint’, </w:t>
      </w:r>
      <w:r w:rsidRPr="00AB2FE0">
        <w:rPr>
          <w:i/>
          <w:iCs/>
          <w:sz w:val="22"/>
          <w:szCs w:val="22"/>
        </w:rPr>
        <w:t>Anaesthesia</w:t>
      </w:r>
      <w:r w:rsidRPr="00AB2FE0">
        <w:rPr>
          <w:sz w:val="22"/>
          <w:szCs w:val="22"/>
        </w:rPr>
        <w:t>, 79(4), pp. 339–343. Available at: </w:t>
      </w:r>
      <w:hyperlink r:id="rId25" w:history="1">
        <w:r w:rsidRPr="00AB2FE0">
          <w:rPr>
            <w:rStyle w:val="Hyperlink"/>
            <w:sz w:val="22"/>
            <w:szCs w:val="22"/>
          </w:rPr>
          <w:t>https://doi.org/10.1111/anae.16241</w:t>
        </w:r>
      </w:hyperlink>
    </w:p>
    <w:p w14:paraId="5B42B7CF" w14:textId="77777777" w:rsidR="00AE5E3E" w:rsidRPr="00AB2FE0" w:rsidRDefault="00AE5E3E" w:rsidP="00AB2FE0">
      <w:pPr>
        <w:spacing w:line="360" w:lineRule="auto"/>
        <w:jc w:val="both"/>
        <w:rPr>
          <w:sz w:val="22"/>
          <w:szCs w:val="22"/>
        </w:rPr>
      </w:pPr>
      <w:r w:rsidRPr="00AB2FE0">
        <w:rPr>
          <w:sz w:val="22"/>
          <w:szCs w:val="22"/>
        </w:rPr>
        <w:t>Kruk, M.E., Gage, A.D., Arsenault, C., Jordan, K., Leslie, H.H., Roder-DeWan, S., Adeyi, O., Barker, P., Daelmans, B. and Doubova, S.V. (2018) ‘High-quality health systems in the Sustainable Development Goals era: time for a revolution’, </w:t>
      </w:r>
      <w:r w:rsidRPr="00AB2FE0">
        <w:rPr>
          <w:i/>
          <w:iCs/>
          <w:sz w:val="22"/>
          <w:szCs w:val="22"/>
        </w:rPr>
        <w:t>The Lancet Global Health</w:t>
      </w:r>
      <w:r w:rsidRPr="00AB2FE0">
        <w:rPr>
          <w:sz w:val="22"/>
          <w:szCs w:val="22"/>
        </w:rPr>
        <w:t>, 6(11), pp. e1196–e1252. Available at: </w:t>
      </w:r>
      <w:hyperlink r:id="rId26" w:history="1">
        <w:r w:rsidRPr="00AB2FE0">
          <w:rPr>
            <w:rStyle w:val="Hyperlink"/>
            <w:sz w:val="22"/>
            <w:szCs w:val="22"/>
          </w:rPr>
          <w:t>https://doi.org/10.1016/S2214-109X(18)30386-3</w:t>
        </w:r>
      </w:hyperlink>
    </w:p>
    <w:p w14:paraId="299272D7" w14:textId="77777777" w:rsidR="00AE5E3E" w:rsidRPr="00AB2FE0" w:rsidRDefault="00AE5E3E" w:rsidP="00AB2FE0">
      <w:pPr>
        <w:spacing w:line="360" w:lineRule="auto"/>
        <w:jc w:val="both"/>
        <w:rPr>
          <w:sz w:val="22"/>
          <w:szCs w:val="22"/>
        </w:rPr>
      </w:pPr>
      <w:r w:rsidRPr="00AB2FE0">
        <w:rPr>
          <w:sz w:val="22"/>
          <w:szCs w:val="22"/>
        </w:rPr>
        <w:t>MacNeill, A.J., McGain, F. and Sherman, J.D. (2021) ‘Planetary health care: a framework for sustainable health systems’, </w:t>
      </w:r>
      <w:r w:rsidRPr="00AB2FE0">
        <w:rPr>
          <w:i/>
          <w:iCs/>
          <w:sz w:val="22"/>
          <w:szCs w:val="22"/>
        </w:rPr>
        <w:t>The Lancet Planetary Health</w:t>
      </w:r>
      <w:r w:rsidRPr="00AB2FE0">
        <w:rPr>
          <w:sz w:val="22"/>
          <w:szCs w:val="22"/>
        </w:rPr>
        <w:t>, 5(2), pp. e66–e68. Available at: </w:t>
      </w:r>
      <w:hyperlink r:id="rId27" w:history="1">
        <w:r w:rsidRPr="00AB2FE0">
          <w:rPr>
            <w:rStyle w:val="Hyperlink"/>
            <w:sz w:val="22"/>
            <w:szCs w:val="22"/>
          </w:rPr>
          <w:t>https://doi.org/10.1016/S2542-5196(21)00005-6</w:t>
        </w:r>
      </w:hyperlink>
    </w:p>
    <w:p w14:paraId="724C787F" w14:textId="77777777" w:rsidR="00AE5E3E" w:rsidRPr="00AB2FE0" w:rsidRDefault="00AE5E3E" w:rsidP="00AB2FE0">
      <w:pPr>
        <w:spacing w:line="360" w:lineRule="auto"/>
        <w:jc w:val="both"/>
        <w:rPr>
          <w:sz w:val="22"/>
          <w:szCs w:val="22"/>
        </w:rPr>
      </w:pPr>
      <w:r w:rsidRPr="00AB2FE0">
        <w:rPr>
          <w:sz w:val="22"/>
          <w:szCs w:val="22"/>
        </w:rPr>
        <w:t>Manandhar, M., Hawkes, S., Buse, K., Nosrati, E. and Magar, V. (2018) ‘Gender, health and the 2030 agenda for sustainable development’, </w:t>
      </w:r>
      <w:r w:rsidRPr="00AB2FE0">
        <w:rPr>
          <w:i/>
          <w:iCs/>
          <w:sz w:val="22"/>
          <w:szCs w:val="22"/>
        </w:rPr>
        <w:t>Bulletin of the World Health Organization</w:t>
      </w:r>
      <w:r w:rsidRPr="00AB2FE0">
        <w:rPr>
          <w:sz w:val="22"/>
          <w:szCs w:val="22"/>
        </w:rPr>
        <w:t>, 96(9), pp. 644–653. Available at: </w:t>
      </w:r>
      <w:hyperlink r:id="rId28" w:history="1">
        <w:r w:rsidRPr="00AB2FE0">
          <w:rPr>
            <w:rStyle w:val="Hyperlink"/>
            <w:sz w:val="22"/>
            <w:szCs w:val="22"/>
          </w:rPr>
          <w:t>https://doi.org/10.2471/BLT.18.211607</w:t>
        </w:r>
      </w:hyperlink>
    </w:p>
    <w:p w14:paraId="7AB78A88" w14:textId="77777777" w:rsidR="00AE5E3E" w:rsidRPr="00AB2FE0" w:rsidRDefault="00AE5E3E" w:rsidP="00AB2FE0">
      <w:pPr>
        <w:spacing w:line="360" w:lineRule="auto"/>
        <w:jc w:val="both"/>
        <w:rPr>
          <w:sz w:val="22"/>
          <w:szCs w:val="22"/>
        </w:rPr>
      </w:pPr>
      <w:r w:rsidRPr="00AB2FE0">
        <w:rPr>
          <w:sz w:val="22"/>
          <w:szCs w:val="22"/>
        </w:rPr>
        <w:t>Marmot, M. (2020) ‘Health equity in England: the Marmot review 10 years on’, </w:t>
      </w:r>
      <w:r w:rsidRPr="00AB2FE0">
        <w:rPr>
          <w:i/>
          <w:iCs/>
          <w:sz w:val="22"/>
          <w:szCs w:val="22"/>
        </w:rPr>
        <w:t>BMJ</w:t>
      </w:r>
      <w:r w:rsidRPr="00AB2FE0">
        <w:rPr>
          <w:sz w:val="22"/>
          <w:szCs w:val="22"/>
        </w:rPr>
        <w:t>, 368. Available at: </w:t>
      </w:r>
      <w:hyperlink r:id="rId29" w:history="1">
        <w:r w:rsidRPr="00AB2FE0">
          <w:rPr>
            <w:rStyle w:val="Hyperlink"/>
            <w:sz w:val="22"/>
            <w:szCs w:val="22"/>
          </w:rPr>
          <w:t>https://doi.org/10.1136/bmj.m693</w:t>
        </w:r>
      </w:hyperlink>
    </w:p>
    <w:p w14:paraId="6E4A80E9" w14:textId="77777777" w:rsidR="00AE5E3E" w:rsidRPr="00AB2FE0" w:rsidRDefault="00AE5E3E" w:rsidP="00AB2FE0">
      <w:pPr>
        <w:spacing w:line="360" w:lineRule="auto"/>
        <w:jc w:val="both"/>
        <w:rPr>
          <w:sz w:val="22"/>
          <w:szCs w:val="22"/>
        </w:rPr>
      </w:pPr>
      <w:r w:rsidRPr="00AB2FE0">
        <w:rPr>
          <w:sz w:val="22"/>
          <w:szCs w:val="22"/>
        </w:rPr>
        <w:lastRenderedPageBreak/>
        <w:t>McAllister, S., Brown, J., Chitewe, A., Frasquilho, F., Hodgkinson, S., Lomax, P., Toll, A., Aurelio, M. and Shah, A. (2024) ‘Towards environmentally sustainable healthcare: using quality improvement to deliver a net zero NHS’, </w:t>
      </w:r>
      <w:r w:rsidRPr="00AB2FE0">
        <w:rPr>
          <w:i/>
          <w:iCs/>
          <w:sz w:val="22"/>
          <w:szCs w:val="22"/>
        </w:rPr>
        <w:t>British Journal of Healthcare Management</w:t>
      </w:r>
      <w:r w:rsidRPr="00AB2FE0">
        <w:rPr>
          <w:sz w:val="22"/>
          <w:szCs w:val="22"/>
        </w:rPr>
        <w:t>, 30(8), pp. 1–9. Available at: </w:t>
      </w:r>
      <w:hyperlink r:id="rId30" w:history="1">
        <w:r w:rsidRPr="00AB2FE0">
          <w:rPr>
            <w:rStyle w:val="Hyperlink"/>
            <w:sz w:val="22"/>
            <w:szCs w:val="22"/>
          </w:rPr>
          <w:t>https://doi.org/10.12968/bjhc.2024.0024</w:t>
        </w:r>
      </w:hyperlink>
    </w:p>
    <w:p w14:paraId="3B404E13" w14:textId="77777777" w:rsidR="00AE5E3E" w:rsidRPr="00AB2FE0" w:rsidRDefault="00AE5E3E" w:rsidP="00AB2FE0">
      <w:pPr>
        <w:spacing w:line="360" w:lineRule="auto"/>
        <w:jc w:val="both"/>
        <w:rPr>
          <w:sz w:val="22"/>
          <w:szCs w:val="22"/>
        </w:rPr>
      </w:pPr>
      <w:r w:rsidRPr="00AB2FE0">
        <w:rPr>
          <w:sz w:val="22"/>
          <w:szCs w:val="22"/>
        </w:rPr>
        <w:t>Mitkidis, K. (2025) ‘SDG 12: “Ensure sustainable consumption and production patterns”’, </w:t>
      </w:r>
      <w:r w:rsidRPr="00AB2FE0">
        <w:rPr>
          <w:i/>
          <w:iCs/>
          <w:sz w:val="22"/>
          <w:szCs w:val="22"/>
        </w:rPr>
        <w:t>SSRN Electronic Journal</w:t>
      </w:r>
      <w:r w:rsidRPr="00AB2FE0">
        <w:rPr>
          <w:sz w:val="22"/>
          <w:szCs w:val="22"/>
        </w:rPr>
        <w:t>. Available at: </w:t>
      </w:r>
      <w:hyperlink r:id="rId31" w:history="1">
        <w:r w:rsidRPr="00AB2FE0">
          <w:rPr>
            <w:rStyle w:val="Hyperlink"/>
            <w:sz w:val="22"/>
            <w:szCs w:val="22"/>
          </w:rPr>
          <w:t>https://doi.org/10.2139/ssrn.5077041</w:t>
        </w:r>
      </w:hyperlink>
    </w:p>
    <w:p w14:paraId="2D000A3E" w14:textId="77777777" w:rsidR="00AE5E3E" w:rsidRPr="00AB2FE0" w:rsidRDefault="00AE5E3E" w:rsidP="00AB2FE0">
      <w:pPr>
        <w:spacing w:line="360" w:lineRule="auto"/>
        <w:jc w:val="both"/>
        <w:rPr>
          <w:sz w:val="22"/>
          <w:szCs w:val="22"/>
        </w:rPr>
      </w:pPr>
      <w:r w:rsidRPr="00AB2FE0">
        <w:rPr>
          <w:sz w:val="22"/>
          <w:szCs w:val="22"/>
        </w:rPr>
        <w:t>Niessen, L.W., Mohan, D., Akuoku, J.K., Mirelman, A.J., Ahmed, S., Koehlmoos, T.P., Trujillo, A.J., Khan, J.A.M. and Peters, D.H. (2018) ‘Tackling socioeconomic inequalities and non-communicable diseases in low-income and middle-income countries under the Sustainable Development agenda’, </w:t>
      </w:r>
      <w:r w:rsidRPr="00AB2FE0">
        <w:rPr>
          <w:i/>
          <w:iCs/>
          <w:sz w:val="22"/>
          <w:szCs w:val="22"/>
        </w:rPr>
        <w:t>The Lancet</w:t>
      </w:r>
      <w:r w:rsidRPr="00AB2FE0">
        <w:rPr>
          <w:sz w:val="22"/>
          <w:szCs w:val="22"/>
        </w:rPr>
        <w:t>, 391(10134), pp. 2036–2046. Available at: </w:t>
      </w:r>
      <w:hyperlink r:id="rId32" w:history="1">
        <w:r w:rsidRPr="00AB2FE0">
          <w:rPr>
            <w:rStyle w:val="Hyperlink"/>
            <w:sz w:val="22"/>
            <w:szCs w:val="22"/>
          </w:rPr>
          <w:t>https://doi.org/10.1016/S0140-6736(18)30482-3</w:t>
        </w:r>
      </w:hyperlink>
    </w:p>
    <w:p w14:paraId="7595B01B" w14:textId="77777777" w:rsidR="00AE5E3E" w:rsidRPr="00AB2FE0" w:rsidRDefault="00AE5E3E" w:rsidP="00AB2FE0">
      <w:pPr>
        <w:spacing w:line="360" w:lineRule="auto"/>
        <w:jc w:val="both"/>
        <w:rPr>
          <w:sz w:val="22"/>
          <w:szCs w:val="22"/>
        </w:rPr>
      </w:pPr>
      <w:r w:rsidRPr="00AB2FE0">
        <w:rPr>
          <w:sz w:val="22"/>
          <w:szCs w:val="22"/>
        </w:rPr>
        <w:t>Nugent, R., Bertram, M.Y., Jan, S., Niessen, L.W., Sassi, F., Jamison, D.T., Pier, E.G. and Beaglehole, R. (2018) ‘Investing in non-communicable disease prevention and management to advance the Sustainable Development Goals’, </w:t>
      </w:r>
      <w:r w:rsidRPr="00AB2FE0">
        <w:rPr>
          <w:i/>
          <w:iCs/>
          <w:sz w:val="22"/>
          <w:szCs w:val="22"/>
        </w:rPr>
        <w:t>The Lancet</w:t>
      </w:r>
      <w:r w:rsidRPr="00AB2FE0">
        <w:rPr>
          <w:sz w:val="22"/>
          <w:szCs w:val="22"/>
        </w:rPr>
        <w:t>, 391(10134), pp. 2029–2035. Available at: </w:t>
      </w:r>
      <w:hyperlink r:id="rId33" w:history="1">
        <w:r w:rsidRPr="00AB2FE0">
          <w:rPr>
            <w:rStyle w:val="Hyperlink"/>
            <w:sz w:val="22"/>
            <w:szCs w:val="22"/>
          </w:rPr>
          <w:t>https://doi.org/10.1016/S0140-6736(18)30667-6</w:t>
        </w:r>
      </w:hyperlink>
    </w:p>
    <w:p w14:paraId="0A91F5DF" w14:textId="77777777" w:rsidR="00AE5E3E" w:rsidRPr="00AB2FE0" w:rsidRDefault="00AE5E3E" w:rsidP="00AB2FE0">
      <w:pPr>
        <w:spacing w:line="360" w:lineRule="auto"/>
        <w:jc w:val="both"/>
        <w:rPr>
          <w:sz w:val="22"/>
          <w:szCs w:val="22"/>
        </w:rPr>
      </w:pPr>
      <w:r w:rsidRPr="00AB2FE0">
        <w:rPr>
          <w:sz w:val="22"/>
          <w:szCs w:val="22"/>
        </w:rPr>
        <w:t>Raman, R., Lathabai, H.H. and Nedungadi, P. (2024) ‘Sustainable Development Goal 12 and its synergies with other SDGs: identification of key research contributions and policy insights’, </w:t>
      </w:r>
      <w:r w:rsidRPr="00AB2FE0">
        <w:rPr>
          <w:i/>
          <w:iCs/>
          <w:sz w:val="22"/>
          <w:szCs w:val="22"/>
        </w:rPr>
        <w:t>Discover Sustainability</w:t>
      </w:r>
      <w:r w:rsidRPr="00AB2FE0">
        <w:rPr>
          <w:sz w:val="22"/>
          <w:szCs w:val="22"/>
        </w:rPr>
        <w:t>, 5. Available at: </w:t>
      </w:r>
      <w:hyperlink r:id="rId34" w:history="1">
        <w:r w:rsidRPr="00AB2FE0">
          <w:rPr>
            <w:rStyle w:val="Hyperlink"/>
            <w:sz w:val="22"/>
            <w:szCs w:val="22"/>
          </w:rPr>
          <w:t>https://doi.org/10.1007/s43621-024-00339-9</w:t>
        </w:r>
      </w:hyperlink>
    </w:p>
    <w:p w14:paraId="1C921B72" w14:textId="77777777" w:rsidR="00AE5E3E" w:rsidRPr="00AB2FE0" w:rsidRDefault="00AE5E3E" w:rsidP="00AB2FE0">
      <w:pPr>
        <w:spacing w:line="360" w:lineRule="auto"/>
        <w:jc w:val="both"/>
        <w:rPr>
          <w:sz w:val="22"/>
          <w:szCs w:val="22"/>
        </w:rPr>
      </w:pPr>
      <w:r w:rsidRPr="00AB2FE0">
        <w:rPr>
          <w:sz w:val="22"/>
          <w:szCs w:val="22"/>
        </w:rPr>
        <w:t>Rizan, C. and Bhutta, M.F. (2021) ‘Strategy for net-zero carbon surgery’, </w:t>
      </w:r>
      <w:r w:rsidRPr="00AB2FE0">
        <w:rPr>
          <w:i/>
          <w:iCs/>
          <w:sz w:val="22"/>
          <w:szCs w:val="22"/>
        </w:rPr>
        <w:t>BJS Open</w:t>
      </w:r>
      <w:r w:rsidRPr="00AB2FE0">
        <w:rPr>
          <w:sz w:val="22"/>
          <w:szCs w:val="22"/>
        </w:rPr>
        <w:t>, 5(5). Available at: </w:t>
      </w:r>
      <w:hyperlink r:id="rId35" w:history="1">
        <w:r w:rsidRPr="00AB2FE0">
          <w:rPr>
            <w:rStyle w:val="Hyperlink"/>
            <w:sz w:val="22"/>
            <w:szCs w:val="22"/>
          </w:rPr>
          <w:t>https://doi.org/10.1093/bjsopen/zrab083</w:t>
        </w:r>
      </w:hyperlink>
    </w:p>
    <w:p w14:paraId="2C339711" w14:textId="77777777" w:rsidR="00AE5E3E" w:rsidRPr="00AB2FE0" w:rsidRDefault="00AE5E3E" w:rsidP="00AB2FE0">
      <w:pPr>
        <w:spacing w:line="360" w:lineRule="auto"/>
        <w:jc w:val="both"/>
        <w:rPr>
          <w:sz w:val="22"/>
          <w:szCs w:val="22"/>
        </w:rPr>
      </w:pPr>
      <w:r w:rsidRPr="00AB2FE0">
        <w:rPr>
          <w:sz w:val="22"/>
          <w:szCs w:val="22"/>
        </w:rPr>
        <w:t>Sekhon, G., Wray, J., Ifederu, A., Gungor, J., Durham, S. and Sipanoun, P. (2025) ‘The impact of socioeconomic determinants of health and resulting health inequalities on children and young people with long-term health conditions in the UK: a scoping review protocol’, </w:t>
      </w:r>
      <w:r w:rsidRPr="00AB2FE0">
        <w:rPr>
          <w:i/>
          <w:iCs/>
          <w:sz w:val="22"/>
          <w:szCs w:val="22"/>
        </w:rPr>
        <w:t>Systematic Reviews</w:t>
      </w:r>
      <w:r w:rsidRPr="00AB2FE0">
        <w:rPr>
          <w:sz w:val="22"/>
          <w:szCs w:val="22"/>
        </w:rPr>
        <w:t>, 14. Available at: </w:t>
      </w:r>
      <w:hyperlink r:id="rId36" w:history="1">
        <w:r w:rsidRPr="00AB2FE0">
          <w:rPr>
            <w:rStyle w:val="Hyperlink"/>
            <w:sz w:val="22"/>
            <w:szCs w:val="22"/>
          </w:rPr>
          <w:t>https://doi.org/10.1186/s13643-025-02845-0</w:t>
        </w:r>
      </w:hyperlink>
    </w:p>
    <w:p w14:paraId="523738EC" w14:textId="5F31F317" w:rsidR="00AE5E3E" w:rsidRPr="00AB2FE0" w:rsidRDefault="00AE5E3E" w:rsidP="00AB2FE0">
      <w:pPr>
        <w:spacing w:line="360" w:lineRule="auto"/>
        <w:jc w:val="both"/>
        <w:rPr>
          <w:sz w:val="22"/>
          <w:szCs w:val="22"/>
        </w:rPr>
      </w:pPr>
      <w:r w:rsidRPr="00AB2FE0">
        <w:rPr>
          <w:sz w:val="22"/>
          <w:szCs w:val="22"/>
        </w:rPr>
        <w:t>Smith, T.B., Vacca, R., Mantegazza, L. and Capua, I. (2023) ‘Discovering new pathways toward integration between health and sustainable development goals with natural language processing and network science’, </w:t>
      </w:r>
      <w:r w:rsidR="00C56C02">
        <w:rPr>
          <w:i/>
          <w:iCs/>
          <w:sz w:val="22"/>
          <w:szCs w:val="22"/>
        </w:rPr>
        <w:t>Globalisation</w:t>
      </w:r>
      <w:r w:rsidRPr="00AB2FE0">
        <w:rPr>
          <w:i/>
          <w:iCs/>
          <w:sz w:val="22"/>
          <w:szCs w:val="22"/>
        </w:rPr>
        <w:t xml:space="preserve"> and Health</w:t>
      </w:r>
      <w:r w:rsidRPr="00AB2FE0">
        <w:rPr>
          <w:sz w:val="22"/>
          <w:szCs w:val="22"/>
        </w:rPr>
        <w:t>, 19(1). Available at: </w:t>
      </w:r>
      <w:hyperlink r:id="rId37" w:history="1">
        <w:r w:rsidRPr="00AB2FE0">
          <w:rPr>
            <w:rStyle w:val="Hyperlink"/>
            <w:sz w:val="22"/>
            <w:szCs w:val="22"/>
          </w:rPr>
          <w:t>https://doi.org/10.1186/s12992-023-00985-4</w:t>
        </w:r>
      </w:hyperlink>
    </w:p>
    <w:p w14:paraId="2B8F9618" w14:textId="77777777" w:rsidR="00AE5E3E" w:rsidRPr="00AB2FE0" w:rsidRDefault="00AE5E3E" w:rsidP="00AB2FE0">
      <w:pPr>
        <w:spacing w:line="360" w:lineRule="auto"/>
        <w:jc w:val="both"/>
        <w:rPr>
          <w:sz w:val="22"/>
          <w:szCs w:val="22"/>
        </w:rPr>
      </w:pPr>
      <w:r w:rsidRPr="00AB2FE0">
        <w:rPr>
          <w:sz w:val="22"/>
          <w:szCs w:val="22"/>
        </w:rPr>
        <w:t xml:space="preserve">Spencer, A., Watermeyer, B. and Rogers, A. (2021) ‘The importance of tackling the social determinants of health to address the unmet need within cancer services: reflections from </w:t>
      </w:r>
      <w:r w:rsidRPr="00AB2FE0">
        <w:rPr>
          <w:sz w:val="22"/>
          <w:szCs w:val="22"/>
        </w:rPr>
        <w:lastRenderedPageBreak/>
        <w:t>Build Back Fairer: the COVID-19 Marmot Review’, </w:t>
      </w:r>
      <w:r w:rsidRPr="00AB2FE0">
        <w:rPr>
          <w:i/>
          <w:iCs/>
          <w:sz w:val="22"/>
          <w:szCs w:val="22"/>
        </w:rPr>
        <w:t>Clinical Oncology</w:t>
      </w:r>
      <w:r w:rsidRPr="00AB2FE0">
        <w:rPr>
          <w:sz w:val="22"/>
          <w:szCs w:val="22"/>
        </w:rPr>
        <w:t>, 33(11), pp. 737–740. Available at: </w:t>
      </w:r>
      <w:hyperlink r:id="rId38" w:history="1">
        <w:r w:rsidRPr="00AB2FE0">
          <w:rPr>
            <w:rStyle w:val="Hyperlink"/>
            <w:sz w:val="22"/>
            <w:szCs w:val="22"/>
          </w:rPr>
          <w:t>https://doi.org/10.1016/j.clon.2021.07.009</w:t>
        </w:r>
      </w:hyperlink>
    </w:p>
    <w:p w14:paraId="3E7DE0D3" w14:textId="77777777" w:rsidR="00AE5E3E" w:rsidRPr="00AB2FE0" w:rsidRDefault="00AE5E3E" w:rsidP="00AB2FE0">
      <w:pPr>
        <w:spacing w:line="360" w:lineRule="auto"/>
        <w:jc w:val="both"/>
        <w:rPr>
          <w:sz w:val="22"/>
          <w:szCs w:val="22"/>
        </w:rPr>
      </w:pPr>
      <w:r w:rsidRPr="00AB2FE0">
        <w:rPr>
          <w:sz w:val="22"/>
          <w:szCs w:val="22"/>
        </w:rPr>
        <w:t>Spinos, D., Doshi, J.R. and Garas, G. (2023) ‘Delivering a net zero National Health Service: where does otorhinolaryngology – head and neck surgery stand?’, </w:t>
      </w:r>
      <w:r w:rsidRPr="00AB2FE0">
        <w:rPr>
          <w:i/>
          <w:iCs/>
          <w:sz w:val="22"/>
          <w:szCs w:val="22"/>
        </w:rPr>
        <w:t>The Journal of Laryngology &amp; Otology</w:t>
      </w:r>
      <w:r w:rsidRPr="00AB2FE0">
        <w:rPr>
          <w:sz w:val="22"/>
          <w:szCs w:val="22"/>
        </w:rPr>
        <w:t>, 137(12), pp. 1097–1104. Available at: </w:t>
      </w:r>
      <w:hyperlink r:id="rId39" w:history="1">
        <w:r w:rsidRPr="00AB2FE0">
          <w:rPr>
            <w:rStyle w:val="Hyperlink"/>
            <w:sz w:val="22"/>
            <w:szCs w:val="22"/>
          </w:rPr>
          <w:t>https://doi.org/10.1017/S0022215123001978</w:t>
        </w:r>
      </w:hyperlink>
    </w:p>
    <w:p w14:paraId="7E26CAC7" w14:textId="77777777" w:rsidR="00AE5E3E" w:rsidRPr="00AB2FE0" w:rsidRDefault="00AE5E3E" w:rsidP="00AB2FE0">
      <w:pPr>
        <w:spacing w:line="360" w:lineRule="auto"/>
        <w:jc w:val="both"/>
        <w:rPr>
          <w:sz w:val="22"/>
          <w:szCs w:val="22"/>
        </w:rPr>
      </w:pPr>
      <w:r w:rsidRPr="00AB2FE0">
        <w:rPr>
          <w:sz w:val="22"/>
          <w:szCs w:val="22"/>
        </w:rPr>
        <w:t>Thakur, J.S., Nangia, R. and Singh, S. (2021) ‘Progress and challenges in achieving noncommunicable diseases targets for the sustainable development goals’, </w:t>
      </w:r>
      <w:r w:rsidRPr="00AB2FE0">
        <w:rPr>
          <w:i/>
          <w:iCs/>
          <w:sz w:val="22"/>
          <w:szCs w:val="22"/>
        </w:rPr>
        <w:t>FASEB BioAdvances</w:t>
      </w:r>
      <w:r w:rsidRPr="00AB2FE0">
        <w:rPr>
          <w:sz w:val="22"/>
          <w:szCs w:val="22"/>
        </w:rPr>
        <w:t>, 3(8), pp. 563–578. Available at: </w:t>
      </w:r>
      <w:hyperlink r:id="rId40" w:history="1">
        <w:r w:rsidRPr="00AB2FE0">
          <w:rPr>
            <w:rStyle w:val="Hyperlink"/>
            <w:sz w:val="22"/>
            <w:szCs w:val="22"/>
          </w:rPr>
          <w:t>https://doi.org/10.1096/fba.2020-00111</w:t>
        </w:r>
      </w:hyperlink>
    </w:p>
    <w:p w14:paraId="313E231D" w14:textId="77777777" w:rsidR="00AE5E3E" w:rsidRPr="00AB2FE0" w:rsidRDefault="00AE5E3E" w:rsidP="00AB2FE0">
      <w:pPr>
        <w:spacing w:line="360" w:lineRule="auto"/>
        <w:jc w:val="both"/>
        <w:rPr>
          <w:sz w:val="22"/>
          <w:szCs w:val="22"/>
        </w:rPr>
      </w:pPr>
      <w:r w:rsidRPr="00AB2FE0">
        <w:rPr>
          <w:sz w:val="22"/>
          <w:szCs w:val="22"/>
        </w:rPr>
        <w:t>Venkatesh, G. (2022) ‘A brief analysis of SDG 3 – good health and well-being – and its synergies and trade-offs with the other Sustainable Development Goals’, </w:t>
      </w:r>
      <w:r w:rsidRPr="00AB2FE0">
        <w:rPr>
          <w:i/>
          <w:iCs/>
          <w:sz w:val="22"/>
          <w:szCs w:val="22"/>
        </w:rPr>
        <w:t>Problemy Ekorozwoju</w:t>
      </w:r>
      <w:r w:rsidRPr="00AB2FE0">
        <w:rPr>
          <w:sz w:val="22"/>
          <w:szCs w:val="22"/>
        </w:rPr>
        <w:t>, 17(1), pp. 16–28. Available at: </w:t>
      </w:r>
      <w:hyperlink r:id="rId41" w:history="1">
        <w:r w:rsidRPr="00AB2FE0">
          <w:rPr>
            <w:rStyle w:val="Hyperlink"/>
            <w:sz w:val="22"/>
            <w:szCs w:val="22"/>
          </w:rPr>
          <w:t>https://doi.org/10.35784/pe.2022.1.02</w:t>
        </w:r>
      </w:hyperlink>
    </w:p>
    <w:p w14:paraId="37D5DBE3" w14:textId="77777777" w:rsidR="00AE5E3E" w:rsidRPr="00AB2FE0" w:rsidRDefault="00AE5E3E" w:rsidP="00AB2FE0">
      <w:pPr>
        <w:spacing w:line="360" w:lineRule="auto"/>
        <w:jc w:val="both"/>
        <w:rPr>
          <w:sz w:val="22"/>
          <w:szCs w:val="22"/>
        </w:rPr>
      </w:pPr>
      <w:r w:rsidRPr="00AB2FE0">
        <w:rPr>
          <w:sz w:val="22"/>
          <w:szCs w:val="22"/>
        </w:rPr>
        <w:t>Viliani, F. and Winkler, M.S. (2020) ‘Ensure healthy lives and promote well-being for all at all ages’, in </w:t>
      </w:r>
      <w:r w:rsidRPr="00AB2FE0">
        <w:rPr>
          <w:i/>
          <w:iCs/>
          <w:sz w:val="22"/>
          <w:szCs w:val="22"/>
        </w:rPr>
        <w:t>Geosciences and the Sustainable Development Goals</w:t>
      </w:r>
      <w:r w:rsidRPr="00AB2FE0">
        <w:rPr>
          <w:sz w:val="22"/>
          <w:szCs w:val="22"/>
        </w:rPr>
        <w:t>. Cham: Springer, pp. 415–432. Available at: </w:t>
      </w:r>
      <w:hyperlink r:id="rId42" w:history="1">
        <w:r w:rsidRPr="00AB2FE0">
          <w:rPr>
            <w:rStyle w:val="Hyperlink"/>
            <w:sz w:val="22"/>
            <w:szCs w:val="22"/>
          </w:rPr>
          <w:t>https://doi.org/10.1007/978-3-030-38815-7_3</w:t>
        </w:r>
      </w:hyperlink>
    </w:p>
    <w:p w14:paraId="2C797399" w14:textId="77777777" w:rsidR="00646ECA" w:rsidRDefault="00646ECA" w:rsidP="009C3FBC">
      <w:pPr>
        <w:spacing w:line="360" w:lineRule="auto"/>
        <w:jc w:val="both"/>
        <w:rPr>
          <w:sz w:val="22"/>
          <w:szCs w:val="22"/>
        </w:rPr>
      </w:pPr>
    </w:p>
    <w:p w14:paraId="7F3D56F1" w14:textId="77777777" w:rsidR="00B43C95" w:rsidRDefault="00B43C95" w:rsidP="009C3FBC">
      <w:pPr>
        <w:spacing w:line="360" w:lineRule="auto"/>
        <w:jc w:val="both"/>
        <w:rPr>
          <w:sz w:val="22"/>
          <w:szCs w:val="22"/>
        </w:rPr>
      </w:pPr>
    </w:p>
    <w:p w14:paraId="1DDF24EB" w14:textId="77777777" w:rsidR="00B43C95" w:rsidRPr="009C3FBC" w:rsidRDefault="00B43C95" w:rsidP="009C3FBC">
      <w:pPr>
        <w:spacing w:line="360" w:lineRule="auto"/>
        <w:jc w:val="both"/>
        <w:rPr>
          <w:sz w:val="22"/>
          <w:szCs w:val="22"/>
        </w:rPr>
      </w:pPr>
    </w:p>
    <w:sectPr w:rsidR="00B43C95" w:rsidRPr="009C3FBC" w:rsidSect="00CA10DB">
      <w:head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2E048B" w14:textId="77777777" w:rsidR="002B5D5F" w:rsidRDefault="002B5D5F" w:rsidP="00E01400">
      <w:pPr>
        <w:spacing w:before="0" w:after="0" w:line="240" w:lineRule="auto"/>
      </w:pPr>
      <w:r>
        <w:separator/>
      </w:r>
    </w:p>
  </w:endnote>
  <w:endnote w:type="continuationSeparator" w:id="0">
    <w:p w14:paraId="2B581434" w14:textId="77777777" w:rsidR="002B5D5F" w:rsidRDefault="002B5D5F" w:rsidP="00E014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ED903" w14:textId="77777777" w:rsidR="002B5D5F" w:rsidRDefault="002B5D5F" w:rsidP="00E01400">
      <w:pPr>
        <w:spacing w:before="0" w:after="0" w:line="240" w:lineRule="auto"/>
      </w:pPr>
      <w:r>
        <w:separator/>
      </w:r>
    </w:p>
  </w:footnote>
  <w:footnote w:type="continuationSeparator" w:id="0">
    <w:p w14:paraId="3B1D3E0C" w14:textId="77777777" w:rsidR="002B5D5F" w:rsidRDefault="002B5D5F" w:rsidP="00E0140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2137959"/>
      <w:docPartObj>
        <w:docPartGallery w:val="Page Numbers (Top of Page)"/>
        <w:docPartUnique/>
      </w:docPartObj>
    </w:sdtPr>
    <w:sdtContent>
      <w:p w14:paraId="7926023F" w14:textId="7C582C58" w:rsidR="00E01400" w:rsidRDefault="00E01400">
        <w:pPr>
          <w:pStyle w:val="Header"/>
          <w:jc w:val="center"/>
        </w:pPr>
        <w:r>
          <w:fldChar w:fldCharType="begin"/>
        </w:r>
        <w:r>
          <w:instrText>PAGE   \* MERGEFORMAT</w:instrText>
        </w:r>
        <w:r>
          <w:fldChar w:fldCharType="separate"/>
        </w:r>
        <w:r>
          <w:t>2</w:t>
        </w:r>
        <w:r>
          <w:fldChar w:fldCharType="end"/>
        </w:r>
      </w:p>
    </w:sdtContent>
  </w:sdt>
  <w:p w14:paraId="78E0039C" w14:textId="77777777" w:rsidR="00E01400" w:rsidRDefault="00E014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E1C5F"/>
    <w:multiLevelType w:val="multilevel"/>
    <w:tmpl w:val="32AC4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5D62F7"/>
    <w:multiLevelType w:val="hybridMultilevel"/>
    <w:tmpl w:val="F1D64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8635295">
    <w:abstractNumId w:val="0"/>
  </w:num>
  <w:num w:numId="2" w16cid:durableId="15764737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0DB"/>
    <w:rsid w:val="00000491"/>
    <w:rsid w:val="0000148C"/>
    <w:rsid w:val="00005991"/>
    <w:rsid w:val="000064B4"/>
    <w:rsid w:val="00010A66"/>
    <w:rsid w:val="000304E7"/>
    <w:rsid w:val="00046A66"/>
    <w:rsid w:val="00056FCF"/>
    <w:rsid w:val="00066B38"/>
    <w:rsid w:val="0007426F"/>
    <w:rsid w:val="00082484"/>
    <w:rsid w:val="000B45A2"/>
    <w:rsid w:val="000B51E1"/>
    <w:rsid w:val="000C4C25"/>
    <w:rsid w:val="000D0E32"/>
    <w:rsid w:val="000D3CA6"/>
    <w:rsid w:val="000D3E90"/>
    <w:rsid w:val="000D7774"/>
    <w:rsid w:val="000E47E9"/>
    <w:rsid w:val="000F2819"/>
    <w:rsid w:val="000F28BD"/>
    <w:rsid w:val="00113941"/>
    <w:rsid w:val="001171EA"/>
    <w:rsid w:val="00123819"/>
    <w:rsid w:val="00124098"/>
    <w:rsid w:val="0012597B"/>
    <w:rsid w:val="0012626D"/>
    <w:rsid w:val="00126AD7"/>
    <w:rsid w:val="001326E0"/>
    <w:rsid w:val="0013474B"/>
    <w:rsid w:val="00136F0D"/>
    <w:rsid w:val="00155903"/>
    <w:rsid w:val="00155C7E"/>
    <w:rsid w:val="00167D9F"/>
    <w:rsid w:val="00190FFC"/>
    <w:rsid w:val="001A7530"/>
    <w:rsid w:val="001C4FDA"/>
    <w:rsid w:val="001D1141"/>
    <w:rsid w:val="001D6616"/>
    <w:rsid w:val="001D7883"/>
    <w:rsid w:val="001E4250"/>
    <w:rsid w:val="001E616E"/>
    <w:rsid w:val="001F07E7"/>
    <w:rsid w:val="001F7F70"/>
    <w:rsid w:val="002006E9"/>
    <w:rsid w:val="00201088"/>
    <w:rsid w:val="00204FDF"/>
    <w:rsid w:val="002128D7"/>
    <w:rsid w:val="00227912"/>
    <w:rsid w:val="002511E2"/>
    <w:rsid w:val="00251691"/>
    <w:rsid w:val="00255DC1"/>
    <w:rsid w:val="0026048F"/>
    <w:rsid w:val="00273BDC"/>
    <w:rsid w:val="002744F6"/>
    <w:rsid w:val="0029120D"/>
    <w:rsid w:val="00295021"/>
    <w:rsid w:val="002955EC"/>
    <w:rsid w:val="002A266C"/>
    <w:rsid w:val="002B5D5F"/>
    <w:rsid w:val="002B788B"/>
    <w:rsid w:val="002B790F"/>
    <w:rsid w:val="002C16B5"/>
    <w:rsid w:val="002D0763"/>
    <w:rsid w:val="002D2C4F"/>
    <w:rsid w:val="002D412E"/>
    <w:rsid w:val="002D6B5F"/>
    <w:rsid w:val="002F0E77"/>
    <w:rsid w:val="002F12DA"/>
    <w:rsid w:val="002F5589"/>
    <w:rsid w:val="002F7C5B"/>
    <w:rsid w:val="002F7C79"/>
    <w:rsid w:val="00303C57"/>
    <w:rsid w:val="0030490D"/>
    <w:rsid w:val="003121E7"/>
    <w:rsid w:val="00323670"/>
    <w:rsid w:val="00326433"/>
    <w:rsid w:val="00333966"/>
    <w:rsid w:val="003420CD"/>
    <w:rsid w:val="00344D5C"/>
    <w:rsid w:val="00346F9E"/>
    <w:rsid w:val="0035516F"/>
    <w:rsid w:val="00363EBB"/>
    <w:rsid w:val="00365C1A"/>
    <w:rsid w:val="003754F6"/>
    <w:rsid w:val="003828EC"/>
    <w:rsid w:val="00385CAA"/>
    <w:rsid w:val="00393BC5"/>
    <w:rsid w:val="00396494"/>
    <w:rsid w:val="00397070"/>
    <w:rsid w:val="003A0E66"/>
    <w:rsid w:val="003A2649"/>
    <w:rsid w:val="003A46D8"/>
    <w:rsid w:val="003A4E11"/>
    <w:rsid w:val="003B072F"/>
    <w:rsid w:val="003B0E29"/>
    <w:rsid w:val="003B33D6"/>
    <w:rsid w:val="003B5B4D"/>
    <w:rsid w:val="003B6137"/>
    <w:rsid w:val="003B6EE6"/>
    <w:rsid w:val="003C268B"/>
    <w:rsid w:val="003D052E"/>
    <w:rsid w:val="003E737C"/>
    <w:rsid w:val="00401645"/>
    <w:rsid w:val="0041012F"/>
    <w:rsid w:val="00420C14"/>
    <w:rsid w:val="0042127E"/>
    <w:rsid w:val="004217C4"/>
    <w:rsid w:val="004273CD"/>
    <w:rsid w:val="004278E9"/>
    <w:rsid w:val="00452D2C"/>
    <w:rsid w:val="004553D5"/>
    <w:rsid w:val="004727D3"/>
    <w:rsid w:val="00475062"/>
    <w:rsid w:val="00482845"/>
    <w:rsid w:val="004845E3"/>
    <w:rsid w:val="004873A4"/>
    <w:rsid w:val="00491869"/>
    <w:rsid w:val="00492DE6"/>
    <w:rsid w:val="004A153B"/>
    <w:rsid w:val="004A165E"/>
    <w:rsid w:val="004A3871"/>
    <w:rsid w:val="004A4B7A"/>
    <w:rsid w:val="004B6424"/>
    <w:rsid w:val="004B6447"/>
    <w:rsid w:val="004C32D8"/>
    <w:rsid w:val="004C7BED"/>
    <w:rsid w:val="004D2F3E"/>
    <w:rsid w:val="004F2C96"/>
    <w:rsid w:val="004F7845"/>
    <w:rsid w:val="00500679"/>
    <w:rsid w:val="005026CB"/>
    <w:rsid w:val="005046B1"/>
    <w:rsid w:val="00507182"/>
    <w:rsid w:val="0051465A"/>
    <w:rsid w:val="00515138"/>
    <w:rsid w:val="00517B37"/>
    <w:rsid w:val="00526553"/>
    <w:rsid w:val="0053623B"/>
    <w:rsid w:val="00541E48"/>
    <w:rsid w:val="00554F2A"/>
    <w:rsid w:val="00565F08"/>
    <w:rsid w:val="00570242"/>
    <w:rsid w:val="0057120B"/>
    <w:rsid w:val="00571622"/>
    <w:rsid w:val="00572DE5"/>
    <w:rsid w:val="00584E65"/>
    <w:rsid w:val="0058567A"/>
    <w:rsid w:val="005956B4"/>
    <w:rsid w:val="005B7520"/>
    <w:rsid w:val="005C082E"/>
    <w:rsid w:val="005C502B"/>
    <w:rsid w:val="005C72C3"/>
    <w:rsid w:val="00610827"/>
    <w:rsid w:val="006152AB"/>
    <w:rsid w:val="006255FC"/>
    <w:rsid w:val="006263C3"/>
    <w:rsid w:val="0062687D"/>
    <w:rsid w:val="00630707"/>
    <w:rsid w:val="00645944"/>
    <w:rsid w:val="00646ECA"/>
    <w:rsid w:val="00656C1E"/>
    <w:rsid w:val="00660DAA"/>
    <w:rsid w:val="006644A4"/>
    <w:rsid w:val="006677CE"/>
    <w:rsid w:val="0067301E"/>
    <w:rsid w:val="006774D3"/>
    <w:rsid w:val="00682955"/>
    <w:rsid w:val="00684D05"/>
    <w:rsid w:val="006949DF"/>
    <w:rsid w:val="006A0E98"/>
    <w:rsid w:val="006B4847"/>
    <w:rsid w:val="006B525A"/>
    <w:rsid w:val="006C220D"/>
    <w:rsid w:val="006C5844"/>
    <w:rsid w:val="006D282C"/>
    <w:rsid w:val="006D52B0"/>
    <w:rsid w:val="006D5F50"/>
    <w:rsid w:val="006D78C1"/>
    <w:rsid w:val="00704D43"/>
    <w:rsid w:val="00705E24"/>
    <w:rsid w:val="00715EFF"/>
    <w:rsid w:val="0071609C"/>
    <w:rsid w:val="0072600C"/>
    <w:rsid w:val="00733456"/>
    <w:rsid w:val="00735B9D"/>
    <w:rsid w:val="007369DE"/>
    <w:rsid w:val="00737E6D"/>
    <w:rsid w:val="00740969"/>
    <w:rsid w:val="00745B68"/>
    <w:rsid w:val="00746A10"/>
    <w:rsid w:val="00774333"/>
    <w:rsid w:val="00776ECC"/>
    <w:rsid w:val="0079177E"/>
    <w:rsid w:val="007A5B68"/>
    <w:rsid w:val="007B768B"/>
    <w:rsid w:val="007F35BC"/>
    <w:rsid w:val="00805271"/>
    <w:rsid w:val="00820A7F"/>
    <w:rsid w:val="008243B9"/>
    <w:rsid w:val="008243ED"/>
    <w:rsid w:val="00824D5A"/>
    <w:rsid w:val="00825F2D"/>
    <w:rsid w:val="00830CD1"/>
    <w:rsid w:val="008312B9"/>
    <w:rsid w:val="00846548"/>
    <w:rsid w:val="008473A7"/>
    <w:rsid w:val="008813CF"/>
    <w:rsid w:val="00887DBC"/>
    <w:rsid w:val="0089151E"/>
    <w:rsid w:val="00892B42"/>
    <w:rsid w:val="008B004E"/>
    <w:rsid w:val="008B1E6D"/>
    <w:rsid w:val="008B4280"/>
    <w:rsid w:val="008B774D"/>
    <w:rsid w:val="008C05A0"/>
    <w:rsid w:val="008D2B2F"/>
    <w:rsid w:val="008E15C2"/>
    <w:rsid w:val="008E3662"/>
    <w:rsid w:val="008E3FB5"/>
    <w:rsid w:val="008F2E85"/>
    <w:rsid w:val="008F313A"/>
    <w:rsid w:val="008F5979"/>
    <w:rsid w:val="0090082F"/>
    <w:rsid w:val="00903AD7"/>
    <w:rsid w:val="009114FC"/>
    <w:rsid w:val="00912A28"/>
    <w:rsid w:val="00914A4A"/>
    <w:rsid w:val="0091587F"/>
    <w:rsid w:val="009243E2"/>
    <w:rsid w:val="00930CBD"/>
    <w:rsid w:val="00930FF8"/>
    <w:rsid w:val="00934A2E"/>
    <w:rsid w:val="00956761"/>
    <w:rsid w:val="009567A6"/>
    <w:rsid w:val="009829ED"/>
    <w:rsid w:val="00983447"/>
    <w:rsid w:val="0098616A"/>
    <w:rsid w:val="00993686"/>
    <w:rsid w:val="00994AA4"/>
    <w:rsid w:val="00996CFA"/>
    <w:rsid w:val="009A10F9"/>
    <w:rsid w:val="009A7F56"/>
    <w:rsid w:val="009B240B"/>
    <w:rsid w:val="009C33BD"/>
    <w:rsid w:val="009C3FBC"/>
    <w:rsid w:val="009D4BA7"/>
    <w:rsid w:val="009D5552"/>
    <w:rsid w:val="009E009A"/>
    <w:rsid w:val="009E0689"/>
    <w:rsid w:val="009E0F07"/>
    <w:rsid w:val="009E28B0"/>
    <w:rsid w:val="009E347E"/>
    <w:rsid w:val="009F08A8"/>
    <w:rsid w:val="009F6ADF"/>
    <w:rsid w:val="00A00E71"/>
    <w:rsid w:val="00A019B0"/>
    <w:rsid w:val="00A04502"/>
    <w:rsid w:val="00A0469C"/>
    <w:rsid w:val="00A06E19"/>
    <w:rsid w:val="00A11559"/>
    <w:rsid w:val="00A13354"/>
    <w:rsid w:val="00A14864"/>
    <w:rsid w:val="00A273FA"/>
    <w:rsid w:val="00A33F5D"/>
    <w:rsid w:val="00A40A56"/>
    <w:rsid w:val="00A45696"/>
    <w:rsid w:val="00A507CC"/>
    <w:rsid w:val="00A54AC3"/>
    <w:rsid w:val="00A55243"/>
    <w:rsid w:val="00A559BB"/>
    <w:rsid w:val="00A55CE4"/>
    <w:rsid w:val="00A5765D"/>
    <w:rsid w:val="00A7537A"/>
    <w:rsid w:val="00A81D6E"/>
    <w:rsid w:val="00A85BE8"/>
    <w:rsid w:val="00AA6EB0"/>
    <w:rsid w:val="00AB2F6E"/>
    <w:rsid w:val="00AB2FE0"/>
    <w:rsid w:val="00AC0612"/>
    <w:rsid w:val="00AC18A3"/>
    <w:rsid w:val="00AD05F0"/>
    <w:rsid w:val="00AE0CA3"/>
    <w:rsid w:val="00AE175E"/>
    <w:rsid w:val="00AE5E3E"/>
    <w:rsid w:val="00AF1737"/>
    <w:rsid w:val="00AF615C"/>
    <w:rsid w:val="00AF7594"/>
    <w:rsid w:val="00B01DE8"/>
    <w:rsid w:val="00B02FE3"/>
    <w:rsid w:val="00B05877"/>
    <w:rsid w:val="00B17802"/>
    <w:rsid w:val="00B21774"/>
    <w:rsid w:val="00B23147"/>
    <w:rsid w:val="00B263E8"/>
    <w:rsid w:val="00B3187E"/>
    <w:rsid w:val="00B363A9"/>
    <w:rsid w:val="00B43C95"/>
    <w:rsid w:val="00B44020"/>
    <w:rsid w:val="00B50BAC"/>
    <w:rsid w:val="00B523DC"/>
    <w:rsid w:val="00B559CD"/>
    <w:rsid w:val="00B628DF"/>
    <w:rsid w:val="00B65269"/>
    <w:rsid w:val="00B660CB"/>
    <w:rsid w:val="00B66ACF"/>
    <w:rsid w:val="00B77AC4"/>
    <w:rsid w:val="00BA6C83"/>
    <w:rsid w:val="00BB03E7"/>
    <w:rsid w:val="00BC1140"/>
    <w:rsid w:val="00BC4573"/>
    <w:rsid w:val="00BE3A83"/>
    <w:rsid w:val="00BE60C4"/>
    <w:rsid w:val="00BF3DAB"/>
    <w:rsid w:val="00C00F40"/>
    <w:rsid w:val="00C06D3A"/>
    <w:rsid w:val="00C07541"/>
    <w:rsid w:val="00C13057"/>
    <w:rsid w:val="00C134A9"/>
    <w:rsid w:val="00C16D40"/>
    <w:rsid w:val="00C21DD4"/>
    <w:rsid w:val="00C40440"/>
    <w:rsid w:val="00C443DB"/>
    <w:rsid w:val="00C5178A"/>
    <w:rsid w:val="00C52CAB"/>
    <w:rsid w:val="00C53301"/>
    <w:rsid w:val="00C55DAF"/>
    <w:rsid w:val="00C56C02"/>
    <w:rsid w:val="00C65A44"/>
    <w:rsid w:val="00C70DC6"/>
    <w:rsid w:val="00C76172"/>
    <w:rsid w:val="00C91705"/>
    <w:rsid w:val="00C95A50"/>
    <w:rsid w:val="00CA10DB"/>
    <w:rsid w:val="00CA2DB5"/>
    <w:rsid w:val="00CC173A"/>
    <w:rsid w:val="00CC22E9"/>
    <w:rsid w:val="00CC5841"/>
    <w:rsid w:val="00CD0ECA"/>
    <w:rsid w:val="00CD4B3B"/>
    <w:rsid w:val="00D039D9"/>
    <w:rsid w:val="00D0799F"/>
    <w:rsid w:val="00D112F8"/>
    <w:rsid w:val="00D1250F"/>
    <w:rsid w:val="00D1618E"/>
    <w:rsid w:val="00D17796"/>
    <w:rsid w:val="00D22E40"/>
    <w:rsid w:val="00D34010"/>
    <w:rsid w:val="00D54303"/>
    <w:rsid w:val="00D56699"/>
    <w:rsid w:val="00D61D24"/>
    <w:rsid w:val="00D6635B"/>
    <w:rsid w:val="00D70395"/>
    <w:rsid w:val="00D73D0F"/>
    <w:rsid w:val="00D81E78"/>
    <w:rsid w:val="00D84425"/>
    <w:rsid w:val="00D947F3"/>
    <w:rsid w:val="00D94C63"/>
    <w:rsid w:val="00DA02B7"/>
    <w:rsid w:val="00DA0D66"/>
    <w:rsid w:val="00DB6DD7"/>
    <w:rsid w:val="00DE370D"/>
    <w:rsid w:val="00DE5CB8"/>
    <w:rsid w:val="00DE623C"/>
    <w:rsid w:val="00DE6265"/>
    <w:rsid w:val="00E01400"/>
    <w:rsid w:val="00E072A5"/>
    <w:rsid w:val="00E232D8"/>
    <w:rsid w:val="00E23E5E"/>
    <w:rsid w:val="00E276B5"/>
    <w:rsid w:val="00E34241"/>
    <w:rsid w:val="00E53EC6"/>
    <w:rsid w:val="00E53FF7"/>
    <w:rsid w:val="00E5455C"/>
    <w:rsid w:val="00E57A04"/>
    <w:rsid w:val="00E638F8"/>
    <w:rsid w:val="00E71B1A"/>
    <w:rsid w:val="00E833B2"/>
    <w:rsid w:val="00E930FE"/>
    <w:rsid w:val="00E955E5"/>
    <w:rsid w:val="00EA0BBB"/>
    <w:rsid w:val="00EA6516"/>
    <w:rsid w:val="00EA6EC6"/>
    <w:rsid w:val="00EA75C4"/>
    <w:rsid w:val="00EB2C6F"/>
    <w:rsid w:val="00EB3DA8"/>
    <w:rsid w:val="00EC0FAC"/>
    <w:rsid w:val="00EF0E62"/>
    <w:rsid w:val="00F159C7"/>
    <w:rsid w:val="00F210EF"/>
    <w:rsid w:val="00F22541"/>
    <w:rsid w:val="00F26CC6"/>
    <w:rsid w:val="00F3040F"/>
    <w:rsid w:val="00F358C5"/>
    <w:rsid w:val="00F3666B"/>
    <w:rsid w:val="00F4753A"/>
    <w:rsid w:val="00F557EE"/>
    <w:rsid w:val="00F72C73"/>
    <w:rsid w:val="00F74126"/>
    <w:rsid w:val="00F7617A"/>
    <w:rsid w:val="00F830A4"/>
    <w:rsid w:val="00F86B90"/>
    <w:rsid w:val="00F91972"/>
    <w:rsid w:val="00F93358"/>
    <w:rsid w:val="00F94A72"/>
    <w:rsid w:val="00FA2CA5"/>
    <w:rsid w:val="00FA6226"/>
    <w:rsid w:val="00FA7C55"/>
    <w:rsid w:val="00FA7F99"/>
    <w:rsid w:val="00FB21E2"/>
    <w:rsid w:val="00FB799A"/>
    <w:rsid w:val="00FC20D7"/>
    <w:rsid w:val="00FC7067"/>
    <w:rsid w:val="00FC7449"/>
    <w:rsid w:val="00FD1485"/>
    <w:rsid w:val="00FD19B5"/>
    <w:rsid w:val="00FF4DE4"/>
    <w:rsid w:val="00FF4EA5"/>
    <w:rsid w:val="00FF5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9FD0C"/>
  <w15:chartTrackingRefBased/>
  <w15:docId w15:val="{F9B85EAE-E553-48B6-9451-4231A5326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705"/>
    <w:pPr>
      <w:spacing w:before="120" w:after="280" w:line="300" w:lineRule="auto"/>
    </w:pPr>
    <w:rPr>
      <w:rFonts w:ascii="Arial" w:eastAsiaTheme="minorEastAsia" w:hAnsi="Arial"/>
      <w:kern w:val="0"/>
      <w:sz w:val="24"/>
      <w:szCs w:val="21"/>
      <w14:ligatures w14:val="none"/>
    </w:rPr>
  </w:style>
  <w:style w:type="paragraph" w:styleId="Heading1">
    <w:name w:val="heading 1"/>
    <w:basedOn w:val="Normal"/>
    <w:next w:val="Normal"/>
    <w:link w:val="Heading1Char"/>
    <w:uiPriority w:val="9"/>
    <w:qFormat/>
    <w:rsid w:val="00CA10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10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10D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10D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A10D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A10D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A10D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A10D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A10D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170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91705"/>
    <w:rPr>
      <w:rFonts w:ascii="Arial" w:eastAsiaTheme="minorEastAsia" w:hAnsi="Arial"/>
      <w:kern w:val="0"/>
      <w:sz w:val="24"/>
      <w:szCs w:val="21"/>
      <w14:ligatures w14:val="none"/>
    </w:rPr>
  </w:style>
  <w:style w:type="paragraph" w:styleId="Footer">
    <w:name w:val="footer"/>
    <w:basedOn w:val="Normal"/>
    <w:link w:val="FooterChar"/>
    <w:uiPriority w:val="99"/>
    <w:unhideWhenUsed/>
    <w:rsid w:val="00C9170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91705"/>
    <w:rPr>
      <w:rFonts w:ascii="Arial" w:eastAsiaTheme="minorEastAsia" w:hAnsi="Arial"/>
      <w:kern w:val="0"/>
      <w:sz w:val="24"/>
      <w:szCs w:val="21"/>
      <w14:ligatures w14:val="none"/>
    </w:rPr>
  </w:style>
  <w:style w:type="paragraph" w:styleId="Title">
    <w:name w:val="Title"/>
    <w:basedOn w:val="Normal"/>
    <w:next w:val="Normal"/>
    <w:link w:val="TitleChar"/>
    <w:uiPriority w:val="10"/>
    <w:qFormat/>
    <w:rsid w:val="00C91705"/>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91705"/>
    <w:rPr>
      <w:rFonts w:ascii="Arial" w:eastAsiaTheme="majorEastAsia" w:hAnsi="Arial" w:cstheme="majorBidi"/>
      <w:spacing w:val="-10"/>
      <w:kern w:val="28"/>
      <w:sz w:val="56"/>
      <w:szCs w:val="56"/>
      <w14:ligatures w14:val="none"/>
    </w:rPr>
  </w:style>
  <w:style w:type="paragraph" w:styleId="Subtitle">
    <w:name w:val="Subtitle"/>
    <w:basedOn w:val="Normal"/>
    <w:next w:val="Normal"/>
    <w:link w:val="SubtitleChar"/>
    <w:uiPriority w:val="11"/>
    <w:qFormat/>
    <w:rsid w:val="00C91705"/>
    <w:pPr>
      <w:numPr>
        <w:ilvl w:val="1"/>
      </w:numPr>
      <w:spacing w:after="160"/>
    </w:pPr>
    <w:rPr>
      <w:rFonts w:asciiTheme="minorHAnsi" w:hAnsiTheme="minorHAnsi"/>
      <w:color w:val="5A5A5A" w:themeColor="text1" w:themeTint="A5"/>
      <w:spacing w:val="15"/>
      <w:sz w:val="22"/>
      <w:szCs w:val="22"/>
    </w:rPr>
  </w:style>
  <w:style w:type="character" w:customStyle="1" w:styleId="SubtitleChar">
    <w:name w:val="Subtitle Char"/>
    <w:basedOn w:val="DefaultParagraphFont"/>
    <w:link w:val="Subtitle"/>
    <w:uiPriority w:val="11"/>
    <w:rsid w:val="00C91705"/>
    <w:rPr>
      <w:rFonts w:eastAsiaTheme="minorEastAsia"/>
      <w:color w:val="5A5A5A" w:themeColor="text1" w:themeTint="A5"/>
      <w:spacing w:val="15"/>
      <w:kern w:val="0"/>
      <w14:ligatures w14:val="none"/>
    </w:rPr>
  </w:style>
  <w:style w:type="character" w:styleId="Hyperlink">
    <w:name w:val="Hyperlink"/>
    <w:basedOn w:val="DefaultParagraphFont"/>
    <w:uiPriority w:val="99"/>
    <w:unhideWhenUsed/>
    <w:rsid w:val="00C91705"/>
    <w:rPr>
      <w:color w:val="467886" w:themeColor="hyperlink"/>
      <w:u w:val="single"/>
    </w:rPr>
  </w:style>
  <w:style w:type="character" w:styleId="FollowedHyperlink">
    <w:name w:val="FollowedHyperlink"/>
    <w:basedOn w:val="DefaultParagraphFont"/>
    <w:uiPriority w:val="99"/>
    <w:semiHidden/>
    <w:unhideWhenUsed/>
    <w:rsid w:val="00C91705"/>
    <w:rPr>
      <w:color w:val="96607D" w:themeColor="followedHyperlink"/>
      <w:u w:val="single"/>
    </w:rPr>
  </w:style>
  <w:style w:type="paragraph" w:styleId="NormalWeb">
    <w:name w:val="Normal (Web)"/>
    <w:basedOn w:val="Normal"/>
    <w:uiPriority w:val="99"/>
    <w:unhideWhenUsed/>
    <w:rsid w:val="00C91705"/>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C917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C91705"/>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C91705"/>
    <w:rPr>
      <w:rFonts w:eastAsiaTheme="minorEastAsia"/>
      <w:kern w:val="0"/>
      <w:lang w:eastAsia="en-GB"/>
    </w:rPr>
  </w:style>
  <w:style w:type="paragraph" w:styleId="ListParagraph">
    <w:name w:val="List Paragraph"/>
    <w:basedOn w:val="Normal"/>
    <w:uiPriority w:val="34"/>
    <w:qFormat/>
    <w:rsid w:val="00C91705"/>
    <w:pPr>
      <w:ind w:left="720"/>
      <w:contextualSpacing/>
    </w:pPr>
  </w:style>
  <w:style w:type="table" w:styleId="PlainTable1">
    <w:name w:val="Plain Table 1"/>
    <w:basedOn w:val="TableNormal"/>
    <w:uiPriority w:val="41"/>
    <w:rsid w:val="00C9170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C9170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4-Accent4">
    <w:name w:val="Grid Table 4 Accent 4"/>
    <w:basedOn w:val="TableNormal"/>
    <w:uiPriority w:val="49"/>
    <w:rsid w:val="00C9170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UnresolvedMention">
    <w:name w:val="Unresolved Mention"/>
    <w:basedOn w:val="DefaultParagraphFont"/>
    <w:uiPriority w:val="99"/>
    <w:semiHidden/>
    <w:unhideWhenUsed/>
    <w:rsid w:val="00C91705"/>
    <w:rPr>
      <w:color w:val="605E5C"/>
      <w:shd w:val="clear" w:color="auto" w:fill="E1DFDD"/>
    </w:rPr>
  </w:style>
  <w:style w:type="character" w:customStyle="1" w:styleId="Heading1Char">
    <w:name w:val="Heading 1 Char"/>
    <w:basedOn w:val="DefaultParagraphFont"/>
    <w:link w:val="Heading1"/>
    <w:uiPriority w:val="9"/>
    <w:rsid w:val="00CA10DB"/>
    <w:rPr>
      <w:rFonts w:asciiTheme="majorHAnsi" w:eastAsiaTheme="majorEastAsia" w:hAnsiTheme="majorHAnsi" w:cstheme="majorBidi"/>
      <w:color w:val="0F4761" w:themeColor="accent1" w:themeShade="BF"/>
      <w:kern w:val="0"/>
      <w:sz w:val="40"/>
      <w:szCs w:val="40"/>
      <w14:ligatures w14:val="none"/>
    </w:rPr>
  </w:style>
  <w:style w:type="character" w:customStyle="1" w:styleId="Heading2Char">
    <w:name w:val="Heading 2 Char"/>
    <w:basedOn w:val="DefaultParagraphFont"/>
    <w:link w:val="Heading2"/>
    <w:uiPriority w:val="9"/>
    <w:rsid w:val="00CA10DB"/>
    <w:rPr>
      <w:rFonts w:asciiTheme="majorHAnsi" w:eastAsiaTheme="majorEastAsia" w:hAnsiTheme="majorHAnsi" w:cstheme="majorBidi"/>
      <w:color w:val="0F4761" w:themeColor="accent1" w:themeShade="BF"/>
      <w:kern w:val="0"/>
      <w:sz w:val="32"/>
      <w:szCs w:val="32"/>
      <w14:ligatures w14:val="none"/>
    </w:rPr>
  </w:style>
  <w:style w:type="character" w:customStyle="1" w:styleId="Heading3Char">
    <w:name w:val="Heading 3 Char"/>
    <w:basedOn w:val="DefaultParagraphFont"/>
    <w:link w:val="Heading3"/>
    <w:uiPriority w:val="9"/>
    <w:semiHidden/>
    <w:rsid w:val="00CA10DB"/>
    <w:rPr>
      <w:rFonts w:eastAsiaTheme="majorEastAsia" w:cstheme="majorBidi"/>
      <w:color w:val="0F4761"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CA10DB"/>
    <w:rPr>
      <w:rFonts w:eastAsiaTheme="majorEastAsia" w:cstheme="majorBidi"/>
      <w:i/>
      <w:iCs/>
      <w:color w:val="0F4761" w:themeColor="accent1" w:themeShade="BF"/>
      <w:kern w:val="0"/>
      <w:sz w:val="24"/>
      <w:szCs w:val="21"/>
      <w14:ligatures w14:val="none"/>
    </w:rPr>
  </w:style>
  <w:style w:type="character" w:customStyle="1" w:styleId="Heading5Char">
    <w:name w:val="Heading 5 Char"/>
    <w:basedOn w:val="DefaultParagraphFont"/>
    <w:link w:val="Heading5"/>
    <w:uiPriority w:val="9"/>
    <w:semiHidden/>
    <w:rsid w:val="00CA10DB"/>
    <w:rPr>
      <w:rFonts w:eastAsiaTheme="majorEastAsia" w:cstheme="majorBidi"/>
      <w:color w:val="0F4761" w:themeColor="accent1" w:themeShade="BF"/>
      <w:kern w:val="0"/>
      <w:sz w:val="24"/>
      <w:szCs w:val="21"/>
      <w14:ligatures w14:val="none"/>
    </w:rPr>
  </w:style>
  <w:style w:type="character" w:customStyle="1" w:styleId="Heading6Char">
    <w:name w:val="Heading 6 Char"/>
    <w:basedOn w:val="DefaultParagraphFont"/>
    <w:link w:val="Heading6"/>
    <w:uiPriority w:val="9"/>
    <w:semiHidden/>
    <w:rsid w:val="00CA10DB"/>
    <w:rPr>
      <w:rFonts w:eastAsiaTheme="majorEastAsia" w:cstheme="majorBidi"/>
      <w:i/>
      <w:iCs/>
      <w:color w:val="595959" w:themeColor="text1" w:themeTint="A6"/>
      <w:kern w:val="0"/>
      <w:sz w:val="24"/>
      <w:szCs w:val="21"/>
      <w14:ligatures w14:val="none"/>
    </w:rPr>
  </w:style>
  <w:style w:type="character" w:customStyle="1" w:styleId="Heading7Char">
    <w:name w:val="Heading 7 Char"/>
    <w:basedOn w:val="DefaultParagraphFont"/>
    <w:link w:val="Heading7"/>
    <w:uiPriority w:val="9"/>
    <w:semiHidden/>
    <w:rsid w:val="00CA10DB"/>
    <w:rPr>
      <w:rFonts w:eastAsiaTheme="majorEastAsia" w:cstheme="majorBidi"/>
      <w:color w:val="595959" w:themeColor="text1" w:themeTint="A6"/>
      <w:kern w:val="0"/>
      <w:sz w:val="24"/>
      <w:szCs w:val="21"/>
      <w14:ligatures w14:val="none"/>
    </w:rPr>
  </w:style>
  <w:style w:type="character" w:customStyle="1" w:styleId="Heading8Char">
    <w:name w:val="Heading 8 Char"/>
    <w:basedOn w:val="DefaultParagraphFont"/>
    <w:link w:val="Heading8"/>
    <w:uiPriority w:val="9"/>
    <w:semiHidden/>
    <w:rsid w:val="00CA10DB"/>
    <w:rPr>
      <w:rFonts w:eastAsiaTheme="majorEastAsia" w:cstheme="majorBidi"/>
      <w:i/>
      <w:iCs/>
      <w:color w:val="272727" w:themeColor="text1" w:themeTint="D8"/>
      <w:kern w:val="0"/>
      <w:sz w:val="24"/>
      <w:szCs w:val="21"/>
      <w14:ligatures w14:val="none"/>
    </w:rPr>
  </w:style>
  <w:style w:type="character" w:customStyle="1" w:styleId="Heading9Char">
    <w:name w:val="Heading 9 Char"/>
    <w:basedOn w:val="DefaultParagraphFont"/>
    <w:link w:val="Heading9"/>
    <w:uiPriority w:val="9"/>
    <w:semiHidden/>
    <w:rsid w:val="00CA10DB"/>
    <w:rPr>
      <w:rFonts w:eastAsiaTheme="majorEastAsia" w:cstheme="majorBidi"/>
      <w:color w:val="272727" w:themeColor="text1" w:themeTint="D8"/>
      <w:kern w:val="0"/>
      <w:sz w:val="24"/>
      <w:szCs w:val="21"/>
      <w14:ligatures w14:val="none"/>
    </w:rPr>
  </w:style>
  <w:style w:type="paragraph" w:styleId="Quote">
    <w:name w:val="Quote"/>
    <w:basedOn w:val="Normal"/>
    <w:next w:val="Normal"/>
    <w:link w:val="QuoteChar"/>
    <w:uiPriority w:val="29"/>
    <w:qFormat/>
    <w:rsid w:val="00CA10D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A10DB"/>
    <w:rPr>
      <w:rFonts w:ascii="Arial" w:eastAsiaTheme="minorEastAsia" w:hAnsi="Arial"/>
      <w:i/>
      <w:iCs/>
      <w:color w:val="404040" w:themeColor="text1" w:themeTint="BF"/>
      <w:kern w:val="0"/>
      <w:sz w:val="24"/>
      <w:szCs w:val="21"/>
      <w14:ligatures w14:val="none"/>
    </w:rPr>
  </w:style>
  <w:style w:type="character" w:styleId="IntenseEmphasis">
    <w:name w:val="Intense Emphasis"/>
    <w:basedOn w:val="DefaultParagraphFont"/>
    <w:uiPriority w:val="21"/>
    <w:qFormat/>
    <w:rsid w:val="00CA10DB"/>
    <w:rPr>
      <w:i/>
      <w:iCs/>
      <w:color w:val="0F4761" w:themeColor="accent1" w:themeShade="BF"/>
    </w:rPr>
  </w:style>
  <w:style w:type="paragraph" w:styleId="IntenseQuote">
    <w:name w:val="Intense Quote"/>
    <w:basedOn w:val="Normal"/>
    <w:next w:val="Normal"/>
    <w:link w:val="IntenseQuoteChar"/>
    <w:uiPriority w:val="30"/>
    <w:qFormat/>
    <w:rsid w:val="00CA10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10DB"/>
    <w:rPr>
      <w:rFonts w:ascii="Arial" w:eastAsiaTheme="minorEastAsia" w:hAnsi="Arial"/>
      <w:i/>
      <w:iCs/>
      <w:color w:val="0F4761" w:themeColor="accent1" w:themeShade="BF"/>
      <w:kern w:val="0"/>
      <w:sz w:val="24"/>
      <w:szCs w:val="21"/>
      <w14:ligatures w14:val="none"/>
    </w:rPr>
  </w:style>
  <w:style w:type="character" w:styleId="IntenseReference">
    <w:name w:val="Intense Reference"/>
    <w:basedOn w:val="DefaultParagraphFont"/>
    <w:uiPriority w:val="32"/>
    <w:qFormat/>
    <w:rsid w:val="00CA10D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471/BLT.18.222273" TargetMode="External"/><Relationship Id="rId18" Type="http://schemas.openxmlformats.org/officeDocument/2006/relationships/hyperlink" Target="https://doi.org/10.1002/gch2.201900026" TargetMode="External"/><Relationship Id="rId26" Type="http://schemas.openxmlformats.org/officeDocument/2006/relationships/hyperlink" Target="https://doi.org/10.1016/S2214-109X(18)30386-3" TargetMode="External"/><Relationship Id="rId39" Type="http://schemas.openxmlformats.org/officeDocument/2006/relationships/hyperlink" Target="https://doi.org/10.1017/S0022215123001978" TargetMode="External"/><Relationship Id="rId21" Type="http://schemas.openxmlformats.org/officeDocument/2006/relationships/hyperlink" Target="https://doi.org/10.3389/fpubh.2022.838824" TargetMode="External"/><Relationship Id="rId34" Type="http://schemas.openxmlformats.org/officeDocument/2006/relationships/hyperlink" Target="https://doi.org/10.1007/s43621-024-00339-9" TargetMode="External"/><Relationship Id="rId42" Type="http://schemas.openxmlformats.org/officeDocument/2006/relationships/hyperlink" Target="https://doi.org/10.1007/978-3-030-38815-7_3"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007/s11625-018-0546-6" TargetMode="External"/><Relationship Id="rId29" Type="http://schemas.openxmlformats.org/officeDocument/2006/relationships/hyperlink" Target="https://doi.org/10.1136/bmj.m69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1"/><Relationship Id="rId24" Type="http://schemas.openxmlformats.org/officeDocument/2006/relationships/hyperlink" Target="https://doi.org/10.1136/bmj.q121" TargetMode="External"/><Relationship Id="rId32" Type="http://schemas.openxmlformats.org/officeDocument/2006/relationships/hyperlink" Target="https://doi.org/10.1016/S0140-6736(18)30482-3" TargetMode="External"/><Relationship Id="rId37" Type="http://schemas.openxmlformats.org/officeDocument/2006/relationships/hyperlink" Target="https://doi.org/10.1186/s12992-023-00985-4" TargetMode="External"/><Relationship Id="rId40" Type="http://schemas.openxmlformats.org/officeDocument/2006/relationships/hyperlink" Target="https://doi.org/10.1096/fba.2020-00111" TargetMode="External"/><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doi.org/10.1136/bmjgh-2020-002273" TargetMode="External"/><Relationship Id="rId23" Type="http://schemas.openxmlformats.org/officeDocument/2006/relationships/hyperlink" Target="https://doi.org/10.1111/1758-5899.12579" TargetMode="External"/><Relationship Id="rId28" Type="http://schemas.openxmlformats.org/officeDocument/2006/relationships/hyperlink" Target="https://doi.org/10.2471/BLT.18.211607" TargetMode="External"/><Relationship Id="rId36" Type="http://schemas.openxmlformats.org/officeDocument/2006/relationships/hyperlink" Target="https://doi.org/10.1186/s13643-025-02845-0" TargetMode="External"/><Relationship Id="rId10" Type="http://schemas.openxmlformats.org/officeDocument/2006/relationships/image" Target="media/image1.png"/><Relationship Id="rId19" Type="http://schemas.openxmlformats.org/officeDocument/2006/relationships/hyperlink" Target="https://doi.org/10.1136/bmjgh-2016-000603" TargetMode="External"/><Relationship Id="rId31" Type="http://schemas.openxmlformats.org/officeDocument/2006/relationships/hyperlink" Target="https://doi.org/10.2139/ssrn.5077041" TargetMode="External"/><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16/j.buildenv.2025.112593" TargetMode="External"/><Relationship Id="rId22" Type="http://schemas.openxmlformats.org/officeDocument/2006/relationships/hyperlink" Target="https://doi.org/10.1111/tmi.13363" TargetMode="External"/><Relationship Id="rId27" Type="http://schemas.openxmlformats.org/officeDocument/2006/relationships/hyperlink" Target="https://doi.org/10.1016/S2542-5196(21)00005-6" TargetMode="External"/><Relationship Id="rId30" Type="http://schemas.openxmlformats.org/officeDocument/2006/relationships/hyperlink" Target="https://doi.org/10.12968/bjhc.2024.0024" TargetMode="External"/><Relationship Id="rId35" Type="http://schemas.openxmlformats.org/officeDocument/2006/relationships/hyperlink" Target="https://doi.org/10.1093/bjsopen/zrab083" TargetMode="External"/><Relationship Id="rId43"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rawpixel.com/image/524482/free-illustration-image-sustainability-energy-contamination" TargetMode="External"/><Relationship Id="rId17" Type="http://schemas.openxmlformats.org/officeDocument/2006/relationships/hyperlink" Target="https://doi.org/10.3390/su16177678" TargetMode="External"/><Relationship Id="rId25" Type="http://schemas.openxmlformats.org/officeDocument/2006/relationships/hyperlink" Target="https://doi.org/10.1111/anae.16241" TargetMode="External"/><Relationship Id="rId33" Type="http://schemas.openxmlformats.org/officeDocument/2006/relationships/hyperlink" Target="https://doi.org/10.1016/S0140-6736(18)30667-6" TargetMode="External"/><Relationship Id="rId38" Type="http://schemas.openxmlformats.org/officeDocument/2006/relationships/hyperlink" Target="https://doi.org/10.1016/j.clon.2021.07.009" TargetMode="External"/><Relationship Id="rId20" Type="http://schemas.openxmlformats.org/officeDocument/2006/relationships/hyperlink" Target="https://doi.org/10.54476/ioer-imrj/103386" TargetMode="External"/><Relationship Id="rId41" Type="http://schemas.openxmlformats.org/officeDocument/2006/relationships/hyperlink" Target="https://doi.org/10.35784/pe.2022.1.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0d6fbf33265ff3a988744aff247357f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fc9785593c138c2a40c66b32ca04dffd"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A6C061-D762-494C-9370-F8FBB57A8339}">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3F7B74B3-AB5F-44A1-B5BD-5FB1E4DFD5D4}">
  <ds:schemaRefs>
    <ds:schemaRef ds:uri="http://schemas.microsoft.com/sharepoint/v3/contenttype/forms"/>
  </ds:schemaRefs>
</ds:datastoreItem>
</file>

<file path=customXml/itemProps3.xml><?xml version="1.0" encoding="utf-8"?>
<ds:datastoreItem xmlns:ds="http://schemas.openxmlformats.org/officeDocument/2006/customXml" ds:itemID="{95BA6FB5-AE9F-48CC-AA93-2B636304E7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4693</Words>
  <Characters>26756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dc:title>
  <dc:subject>A CRITICAL EVALUATION OF GLOBAL, NATIONAL AND LOCAL POLICIES AND INITIATIVES</dc:subject>
  <dc:creator>Lecturer: Dr Itse  Olaoye                          Student: Monica Ana Oprea (2315596)</dc:creator>
  <cp:keywords/>
  <dc:description/>
  <cp:lastModifiedBy>Monica Ana Oprea (2315596)</cp:lastModifiedBy>
  <cp:revision>4</cp:revision>
  <dcterms:created xsi:type="dcterms:W3CDTF">2026-08-06T20:49:00Z</dcterms:created>
  <dcterms:modified xsi:type="dcterms:W3CDTF">2026-08-06T20:51:00Z</dcterms:modified>
  <cp:category>Module: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6646e3fe-9af1-45f1-8526-8390a23401fc</vt:lpwstr>
  </property>
  <property fmtid="{D5CDD505-2E9C-101B-9397-08002B2CF9AE}" pid="3" name="ContentTypeId">
    <vt:lpwstr>0x0101009DA2B97165742847ABC519A905693DF8</vt:lpwstr>
  </property>
</Properties>
</file>