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rPr>
          <w:rFonts w:ascii="Arial" w:cs="Arial" w:hAnsi="Arial"/>
          <w:b/>
          <w:bCs/>
          <w:sz w:val="30"/>
          <w:szCs w:val="30"/>
        </w:rPr>
      </w:pPr>
      <w:r>
        <w:rPr>
          <w:rFonts w:ascii="Arial" w:cs="Arial" w:hAnsi="Arial"/>
          <w:sz w:val="22"/>
          <w:szCs w:val="22"/>
        </w:rPr>
        <w:t xml:space="preserve">                                    </w:t>
      </w:r>
      <w:r>
        <w:rPr>
          <w:rFonts w:ascii="Arial" w:cs="Arial" w:hAnsi="Arial"/>
          <w:b/>
          <w:bCs/>
          <w:sz w:val="30"/>
          <w:szCs w:val="30"/>
        </w:rPr>
        <w:t xml:space="preserve"> STUDENT NAME:CHERRY SPENCER.</w:t>
      </w:r>
    </w:p>
    <w:p w14:paraId="00000006">
      <w:pPr>
        <w:rPr>
          <w:rFonts w:ascii="Arial" w:cs="Arial" w:hAnsi="Arial"/>
          <w:b/>
          <w:bCs/>
          <w:sz w:val="30"/>
          <w:szCs w:val="30"/>
        </w:rPr>
      </w:pPr>
    </w:p>
    <w:p w14:paraId="00000007">
      <w:pPr>
        <w:rPr>
          <w:rFonts w:ascii="Arial" w:cs="Arial" w:hAnsi="Arial"/>
          <w:b/>
          <w:bCs/>
          <w:sz w:val="30"/>
          <w:szCs w:val="30"/>
        </w:rPr>
      </w:pPr>
      <w:r>
        <w:rPr>
          <w:rFonts w:ascii="Arial" w:cs="Arial" w:hAnsi="Arial"/>
          <w:b/>
          <w:bCs/>
          <w:sz w:val="30"/>
          <w:szCs w:val="30"/>
        </w:rPr>
        <w:t xml:space="preserve">                            STUDENT NUMBER:2315880.</w:t>
      </w:r>
    </w:p>
    <w:p w14:paraId="00000008">
      <w:pPr>
        <w:rPr>
          <w:rFonts w:ascii="Arial" w:cs="Arial" w:hAnsi="Arial"/>
          <w:b/>
          <w:bCs/>
          <w:sz w:val="30"/>
          <w:szCs w:val="30"/>
        </w:rPr>
      </w:pPr>
    </w:p>
    <w:p w14:paraId="00000009">
      <w:pPr>
        <w:rPr>
          <w:rFonts w:ascii="Arial" w:cs="Arial" w:hAnsi="Arial"/>
          <w:b/>
          <w:bCs/>
          <w:sz w:val="30"/>
          <w:szCs w:val="30"/>
        </w:rPr>
      </w:pPr>
      <w:r>
        <w:rPr>
          <w:rFonts w:ascii="Arial" w:cs="Arial" w:hAnsi="Arial"/>
          <w:b/>
          <w:bCs/>
          <w:sz w:val="30"/>
          <w:szCs w:val="30"/>
        </w:rPr>
        <w:t xml:space="preserve">                            ASSIGNMENT TITLE:RESEARCH PROPOSAL.</w:t>
      </w:r>
    </w:p>
    <w:p w14:paraId="0000000A">
      <w:pPr>
        <w:rPr>
          <w:rFonts w:ascii="Arial" w:cs="Arial" w:hAnsi="Arial"/>
          <w:b/>
          <w:bCs/>
          <w:sz w:val="30"/>
          <w:szCs w:val="30"/>
        </w:rPr>
      </w:pPr>
    </w:p>
    <w:p w14:paraId="0000000B">
      <w:pPr>
        <w:rPr>
          <w:rFonts w:ascii="Arial" w:cs="Arial" w:hAnsi="Arial"/>
          <w:b/>
          <w:bCs/>
          <w:sz w:val="30"/>
          <w:szCs w:val="30"/>
        </w:rPr>
      </w:pPr>
      <w:r>
        <w:rPr>
          <w:rFonts w:ascii="Arial" w:cs="Arial" w:hAnsi="Arial"/>
          <w:b/>
          <w:bCs/>
          <w:sz w:val="30"/>
          <w:szCs w:val="30"/>
        </w:rPr>
        <w:t xml:space="preserve">                            MODULE TITLE:INTRODUCTION TO INDEPENDENT</w:t>
      </w:r>
    </w:p>
    <w:p w14:paraId="0000000C">
      <w:pPr>
        <w:rPr>
          <w:rFonts w:ascii="Arial" w:cs="Arial" w:hAnsi="Arial"/>
          <w:b/>
          <w:bCs/>
          <w:sz w:val="30"/>
          <w:szCs w:val="30"/>
        </w:rPr>
      </w:pPr>
      <w:r>
        <w:rPr>
          <w:rFonts w:ascii="Arial" w:cs="Arial" w:hAnsi="Arial"/>
          <w:b/>
          <w:bCs/>
          <w:sz w:val="30"/>
          <w:szCs w:val="30"/>
        </w:rPr>
        <w:t xml:space="preserve">                                                        RESEARCH.   </w:t>
      </w:r>
    </w:p>
    <w:p w14:paraId="0000000D">
      <w:pPr>
        <w:rPr>
          <w:rFonts w:ascii="Arial" w:cs="Arial" w:hAnsi="Arial"/>
          <w:b/>
          <w:bCs/>
          <w:sz w:val="30"/>
          <w:szCs w:val="30"/>
        </w:rPr>
      </w:pPr>
      <w:r>
        <w:rPr>
          <w:rFonts w:ascii="Arial" w:cs="Arial" w:hAnsi="Arial"/>
          <w:b/>
          <w:bCs/>
          <w:sz w:val="30"/>
          <w:szCs w:val="30"/>
        </w:rPr>
        <w:t xml:space="preserve">   </w:t>
      </w:r>
    </w:p>
    <w:p w14:paraId="0000000E">
      <w:pPr>
        <w:rPr>
          <w:rFonts w:ascii="Arial" w:cs="Arial" w:hAnsi="Arial"/>
          <w:b/>
          <w:bCs/>
          <w:sz w:val="30"/>
          <w:szCs w:val="30"/>
        </w:rPr>
      </w:pPr>
      <w:r>
        <w:rPr>
          <w:rFonts w:ascii="Arial" w:cs="Arial" w:hAnsi="Arial"/>
          <w:b/>
          <w:bCs/>
          <w:sz w:val="30"/>
          <w:szCs w:val="30"/>
        </w:rPr>
        <w:t xml:space="preserve">                            MODULE CODE:BMHP5019.</w:t>
      </w:r>
    </w:p>
    <w:p w14:paraId="0000000F">
      <w:pPr>
        <w:rPr>
          <w:rFonts w:ascii="Arial" w:cs="Arial" w:hAnsi="Arial"/>
          <w:b/>
          <w:bCs/>
          <w:sz w:val="30"/>
          <w:szCs w:val="30"/>
        </w:rPr>
      </w:pPr>
    </w:p>
    <w:p w14:paraId="00000010">
      <w:pPr>
        <w:rPr>
          <w:rFonts w:ascii="Arial" w:cs="Arial" w:hAnsi="Arial"/>
          <w:b/>
          <w:bCs/>
          <w:sz w:val="30"/>
          <w:szCs w:val="30"/>
        </w:rPr>
      </w:pPr>
      <w:r>
        <w:rPr>
          <w:rFonts w:ascii="Arial" w:cs="Arial" w:hAnsi="Arial"/>
          <w:b/>
          <w:bCs/>
          <w:sz w:val="30"/>
          <w:szCs w:val="30"/>
        </w:rPr>
        <w:t xml:space="preserve">                            LECTURER’S NAME:RIZWAN NADIM.</w:t>
      </w:r>
    </w:p>
    <w:p w14:paraId="00000011">
      <w:pPr>
        <w:rPr>
          <w:rFonts w:ascii="Arial" w:cs="Arial" w:hAnsi="Arial"/>
          <w:sz w:val="22"/>
          <w:szCs w:val="22"/>
        </w:rPr>
      </w:pPr>
      <w:r>
        <w:rPr>
          <w:rFonts w:ascii="Arial" w:cs="Arial" w:hAnsi="Arial"/>
          <w:sz w:val="22"/>
          <w:szCs w:val="22"/>
        </w:rPr>
        <w:br w:type="page"/>
      </w:r>
    </w:p>
    <w:p w14:paraId="00000012">
      <w:pPr>
        <w:pStyle w:val="Heading1"/>
        <w:numPr>
          <w:ilvl w:val="0"/>
          <w:numId w:val="0"/>
        </w:numPr>
        <w:ind w:right="0"/>
        <w:rPr>
          <w:rFonts w:ascii="Arial" w:cs="Arial" w:hAnsi="Arial"/>
          <w:color w:val="f2a782" w:themeColor="accent2" w:themeTint="99"/>
          <w:sz w:val="22"/>
          <w:szCs w:val="22"/>
        </w:rPr>
      </w:pPr>
      <w:r>
        <w:rPr>
          <w:rFonts w:ascii="Arial" w:cs="Arial" w:hAnsi="Arial"/>
          <w:color w:val="0e2841" w:themeColor="dk2"/>
          <w:sz w:val="22"/>
          <w:szCs w:val="22"/>
        </w:rPr>
        <w:t>TITLE</w:t>
      </w:r>
    </w:p>
    <w:p w14:paraId="00000013">
      <w:pPr>
        <w:spacing w:line="360" w:lineRule="auto"/>
        <w:rPr>
          <w:rFonts w:ascii="Arial" w:cs="Arial" w:hAnsi="Arial"/>
          <w:sz w:val="22"/>
          <w:szCs w:val="22"/>
        </w:rPr>
      </w:pPr>
      <w:r>
        <w:rPr>
          <w:rFonts w:ascii="Arial" w:cs="Arial" w:hAnsi="Arial"/>
          <w:b/>
          <w:bCs/>
          <w:sz w:val="22"/>
          <w:szCs w:val="22"/>
        </w:rPr>
        <w:t xml:space="preserve">Health and Social Care Interventions to Prevent and Manage Adult Obesity in the UK: </w:t>
      </w:r>
      <w:r>
        <w:rPr>
          <w:rFonts w:ascii="Arial" w:cs="Arial" w:hAnsi="Arial"/>
          <w:b/>
          <w:bCs/>
          <w:sz w:val="22"/>
          <w:szCs w:val="22"/>
        </w:rPr>
        <w:t>A Scoping Review Proposal.</w:t>
      </w:r>
    </w:p>
    <w:p w14:paraId="00000014">
      <w:pPr>
        <w:pStyle w:val="Heading2"/>
        <w:numPr>
          <w:ilvl w:val="0"/>
          <w:numId w:val="0"/>
        </w:numPr>
        <w:ind w:right="0"/>
        <w:rPr>
          <w:rFonts w:ascii="Arial" w:cs="Arial" w:hAnsi="Arial"/>
          <w:color w:val="0d3513" w:themeColor="accent3" w:themeShade="80"/>
          <w:sz w:val="22"/>
          <w:szCs w:val="22"/>
        </w:rPr>
      </w:pPr>
      <w:r>
        <w:rPr>
          <w:rFonts w:ascii="Arial" w:cs="Arial" w:hAnsi="Arial"/>
          <w:color w:val="0d3513" w:themeColor="accent3" w:themeShade="80"/>
          <w:sz w:val="22"/>
          <w:szCs w:val="22"/>
        </w:rPr>
        <w:t>INTRODUCTION AND TOPIC FOCUS</w:t>
      </w:r>
    </w:p>
    <w:p w14:paraId="00000015">
      <w:pPr>
        <w:spacing w:line="360" w:lineRule="auto"/>
        <w:rPr>
          <w:rFonts w:ascii="Arial" w:cs="Arial" w:hAnsi="Arial"/>
          <w:sz w:val="22"/>
          <w:szCs w:val="22"/>
        </w:rPr>
      </w:pPr>
      <w:r>
        <w:rPr>
          <w:rFonts w:ascii="Arial" w:cs="Arial" w:hAnsi="Arial"/>
          <w:sz w:val="22"/>
          <w:szCs w:val="22"/>
        </w:rPr>
        <w:t xml:space="preserve">Obesity is a major public health concern in the United Kingdom, contributing significantly to long-term conditions such as type 2 diabetes, cardiovascular disease, and certain cancers. Recent data indicate that over one-quarter of adults in England are classified as obese, with higher prevalence among socially disadvantaged groups </w:t>
      </w:r>
      <w:r>
        <w:rPr>
          <w:rFonts w:ascii="Arial" w:cs="Arial" w:hAnsi="Arial"/>
          <w:color w:val="000000"/>
          <w:sz w:val="22"/>
          <w:szCs w:val="22"/>
        </w:rPr>
        <w:t>(Health England, 2021)</w:t>
      </w:r>
      <w:r>
        <w:rPr>
          <w:rFonts w:ascii="Arial" w:cs="Arial" w:hAnsi="Arial"/>
          <w:sz w:val="22"/>
          <w:szCs w:val="22"/>
        </w:rPr>
        <w:t xml:space="preserve">. Approximately 64.5% of adults aged 18 years and over are overweight or living with obesity. Prevalence is higher among socioeconomically disadvantaged groups, contributing to widening health inequalities. Obesity places increasing pressure on health and social care services due to its physical, psychological, and social consequences. </w:t>
      </w:r>
      <w:r>
        <w:rPr>
          <w:rFonts w:ascii="Arial" w:cs="Arial" w:hAnsi="Arial"/>
          <w:sz w:val="22"/>
          <w:szCs w:val="22"/>
        </w:rPr>
        <w:t>This research proposal outlines a scoping review that will explore existing evidence on health and social care interventions to prevent and manage obesity in the UK. The review will be guided b</w:t>
      </w:r>
      <w:r>
        <w:rPr>
          <w:rFonts w:ascii="Arial" w:cs="Arial" w:hAnsi="Arial"/>
          <w:sz w:val="22"/>
          <w:szCs w:val="22"/>
        </w:rPr>
        <w:t xml:space="preserve">y </w:t>
      </w:r>
      <w:r>
        <w:rPr>
          <w:rFonts w:ascii="Arial" w:cs="Arial" w:hAnsi="Arial"/>
          <w:sz w:val="22"/>
          <w:szCs w:val="22"/>
        </w:rPr>
        <w:t xml:space="preserve">Arksey </w:t>
      </w:r>
      <w:r>
        <w:rPr>
          <w:rFonts w:ascii="Arial" w:cs="Arial" w:hAnsi="Arial"/>
          <w:sz w:val="22"/>
          <w:szCs w:val="22"/>
        </w:rPr>
        <w:t>and Malley</w:t>
      </w:r>
      <w:r>
        <w:rPr>
          <w:rFonts w:ascii="Arial" w:cs="Arial" w:hAnsi="Arial"/>
          <w:color w:val="000000"/>
          <w:sz w:val="22"/>
          <w:szCs w:val="22"/>
        </w:rPr>
        <w:t>(Malley, 2005)</w:t>
      </w:r>
      <w:r>
        <w:rPr>
          <w:rFonts w:ascii="Arial" w:cs="Arial" w:hAnsi="Arial"/>
          <w:sz w:val="22"/>
          <w:szCs w:val="22"/>
        </w:rPr>
        <w:t xml:space="preserve">. </w:t>
      </w:r>
    </w:p>
    <w:p w14:paraId="00000016">
      <w:pPr>
        <w:pStyle w:val="Heading1"/>
        <w:numPr>
          <w:ilvl w:val="0"/>
          <w:numId w:val="0"/>
        </w:numPr>
        <w:ind w:right="0"/>
        <w:rPr>
          <w:rFonts w:ascii="Arial" w:cs="Arial" w:hAnsi="Arial"/>
          <w:sz w:val="22"/>
          <w:szCs w:val="22"/>
        </w:rPr>
      </w:pPr>
    </w:p>
    <w:p w14:paraId="00000017">
      <w:pPr>
        <w:spacing w:line="360" w:lineRule="auto"/>
        <w:rPr>
          <w:rFonts w:ascii="Arial" w:cs="Arial" w:hAnsi="Arial"/>
          <w:sz w:val="22"/>
          <w:szCs w:val="22"/>
        </w:rPr>
      </w:pPr>
      <w:r>
        <w:rPr>
          <w:rFonts w:ascii="Arial" w:cs="Arial" w:hAnsi="Arial"/>
          <w:sz w:val="22"/>
          <w:szCs w:val="22"/>
        </w:rPr>
        <w:t>AIM</w:t>
      </w:r>
      <w:r>
        <w:rPr>
          <w:rFonts w:ascii="Arial" w:cs="Arial" w:hAnsi="Arial"/>
          <w:sz w:val="22"/>
          <w:szCs w:val="22"/>
        </w:rPr>
        <w:br w:type="textWrapping"/>
      </w:r>
      <w:r>
        <w:rPr>
          <w:rFonts w:ascii="Arial" w:cs="Arial" w:hAnsi="Arial"/>
          <w:sz w:val="22"/>
          <w:szCs w:val="22"/>
        </w:rPr>
        <w:t>To map and synthesise existing evidence on health and Social care interventions aimed at preventing and managing obesity among adults in the UK.</w:t>
      </w:r>
    </w:p>
    <w:p w14:paraId="00000018">
      <w:pPr>
        <w:pStyle w:val="Heading2"/>
        <w:numPr>
          <w:ilvl w:val="0"/>
          <w:numId w:val="0"/>
        </w:numPr>
        <w:ind w:right="0"/>
        <w:rPr>
          <w:rFonts w:ascii="Arial" w:cs="Arial" w:hAnsi="Arial"/>
          <w:color w:val="07131f" w:themeColor="dk2" w:themeShade="80"/>
          <w:sz w:val="22"/>
          <w:szCs w:val="22"/>
        </w:rPr>
      </w:pPr>
      <w:r>
        <w:rPr>
          <w:rFonts w:ascii="Arial" w:cs="Arial" w:hAnsi="Arial"/>
          <w:color w:val="07131f" w:themeColor="dk2" w:themeShade="80"/>
          <w:sz w:val="22"/>
          <w:szCs w:val="22"/>
        </w:rPr>
        <w:t>OBJECTIVES</w:t>
      </w:r>
    </w:p>
    <w:p w14:paraId="00000019">
      <w:pPr>
        <w:pStyle w:val="Normal"/>
        <w:numPr>
          <w:ilvl w:val="0"/>
          <w:numId w:val="0"/>
        </w:numPr>
        <w:ind w:right="0"/>
        <w:rPr>
          <w:rFonts w:ascii="Arial" w:cs="Arial" w:hAnsi="Arial"/>
          <w:sz w:val="22"/>
          <w:szCs w:val="22"/>
        </w:rPr>
      </w:pPr>
      <w:r>
        <w:rPr>
          <w:rFonts w:ascii="Arial" w:cs="Arial" w:hAnsi="Arial"/>
          <w:sz w:val="22"/>
          <w:szCs w:val="22"/>
        </w:rPr>
        <w:t>To identify health and social care interventions aimed at preventing and managing obesity among adults in the UK.</w:t>
      </w:r>
    </w:p>
    <w:p w14:paraId="0000001A">
      <w:pPr>
        <w:pStyle w:val="Normal"/>
        <w:numPr>
          <w:ilvl w:val="0"/>
          <w:numId w:val="0"/>
        </w:numPr>
        <w:ind w:right="0"/>
        <w:rPr>
          <w:rFonts w:ascii="Arial" w:cs="Arial" w:hAnsi="Arial"/>
          <w:sz w:val="22"/>
          <w:szCs w:val="22"/>
        </w:rPr>
      </w:pPr>
      <w:r>
        <w:rPr>
          <w:rFonts w:ascii="Arial" w:cs="Arial" w:hAnsi="Arial"/>
          <w:sz w:val="22"/>
          <w:szCs w:val="22"/>
        </w:rPr>
        <w:t>To examine the reported health , behavioural, and social outcomes of these interventions.</w:t>
      </w:r>
    </w:p>
    <w:p w14:paraId="0000001B">
      <w:pPr>
        <w:pStyle w:val="Normal"/>
        <w:numPr>
          <w:ilvl w:val="0"/>
          <w:numId w:val="0"/>
        </w:numPr>
        <w:ind w:right="0"/>
        <w:rPr>
          <w:rFonts w:ascii="Arial" w:cs="Arial" w:hAnsi="Arial"/>
          <w:sz w:val="22"/>
          <w:szCs w:val="22"/>
        </w:rPr>
      </w:pPr>
      <w:r>
        <w:rPr>
          <w:rFonts w:ascii="Arial" w:cs="Arial" w:hAnsi="Arial"/>
          <w:sz w:val="22"/>
          <w:szCs w:val="22"/>
        </w:rPr>
        <w:t>To identify gaps in current UK evidence base to inform future policy, practice, and research.</w:t>
      </w:r>
    </w:p>
    <w:p w14:paraId="0000001C">
      <w:pPr>
        <w:spacing w:line="360" w:lineRule="auto"/>
        <w:ind w:right="0"/>
        <w:rPr>
          <w:rFonts w:ascii="Arial" w:cs="Arial" w:hAnsi="Arial"/>
          <w:sz w:val="22"/>
          <w:szCs w:val="22"/>
        </w:rPr>
      </w:pPr>
    </w:p>
    <w:p w14:paraId="0000001D">
      <w:pPr>
        <w:pStyle w:val="Heading1"/>
        <w:numPr>
          <w:ilvl w:val="0"/>
          <w:numId w:val="0"/>
        </w:numPr>
        <w:ind w:right="0"/>
        <w:rPr>
          <w:rFonts w:ascii="Arial" w:cs="Arial" w:hAnsi="Arial"/>
          <w:color w:val="07131f" w:themeColor="dk2" w:themeShade="80"/>
          <w:sz w:val="22"/>
          <w:szCs w:val="22"/>
        </w:rPr>
      </w:pPr>
      <w:r>
        <w:rPr>
          <w:rFonts w:ascii="Arial" w:cs="Arial" w:hAnsi="Arial"/>
          <w:color w:val="07131f" w:themeColor="dk2" w:themeShade="80"/>
          <w:sz w:val="22"/>
          <w:szCs w:val="22"/>
        </w:rPr>
        <w:t>RATIONALE AND IMPORTANCE</w:t>
      </w:r>
    </w:p>
    <w:p w14:paraId="0000001E">
      <w:pPr>
        <w:spacing w:line="360" w:lineRule="auto"/>
        <w:rPr>
          <w:rFonts w:ascii="Arial" w:cs="Arial" w:hAnsi="Arial"/>
          <w:sz w:val="22"/>
          <w:szCs w:val="22"/>
        </w:rPr>
      </w:pPr>
      <w:r>
        <w:rPr>
          <w:rFonts w:ascii="Arial" w:cs="Arial" w:hAnsi="Arial"/>
          <w:sz w:val="22"/>
          <w:szCs w:val="22"/>
        </w:rPr>
        <w:t>Obesity is</w:t>
      </w:r>
      <w:r>
        <w:rPr>
          <w:rFonts w:ascii="Arial" w:cs="Arial" w:hAnsi="Arial"/>
          <w:sz w:val="22"/>
          <w:szCs w:val="22"/>
        </w:rPr>
        <w:t xml:space="preserve"> a complex condition influenced by behavioural, social, economic, and environmental factors, requiring coordinated responses across health and social care systems</w:t>
      </w:r>
      <w:r>
        <w:rPr>
          <w:rFonts w:ascii="Arial" w:cs="Arial" w:hAnsi="Arial"/>
          <w:color w:val="000000"/>
          <w:sz w:val="22"/>
          <w:szCs w:val="22"/>
        </w:rPr>
        <w:t>(WHO, 2025)</w:t>
      </w:r>
      <w:r>
        <w:rPr>
          <w:rFonts w:ascii="Arial" w:cs="Arial" w:hAnsi="Arial"/>
          <w:sz w:val="22"/>
          <w:szCs w:val="22"/>
        </w:rPr>
        <w:t xml:space="preserve">. The UK Government’s obesity strategy </w:t>
      </w:r>
      <w:r>
        <w:rPr>
          <w:rFonts w:ascii="Arial" w:cs="Arial" w:hAnsi="Arial"/>
          <w:sz w:val="22"/>
          <w:szCs w:val="22"/>
        </w:rPr>
        <w:t>emphasises</w:t>
      </w:r>
      <w:r>
        <w:rPr>
          <w:rFonts w:ascii="Arial" w:cs="Arial" w:hAnsi="Arial"/>
          <w:sz w:val="22"/>
          <w:szCs w:val="22"/>
        </w:rPr>
        <w:t xml:space="preserve"> the promotion of healthier diets, early intervention, and community-based approaches to reduce health inequalities </w:t>
      </w:r>
      <w:r>
        <w:rPr>
          <w:rFonts w:ascii="Arial" w:cs="Arial" w:hAnsi="Arial"/>
          <w:color w:val="000000"/>
          <w:sz w:val="22"/>
          <w:szCs w:val="22"/>
        </w:rPr>
        <w:t>(GOV.UK, 2019)</w:t>
      </w:r>
      <w:r>
        <w:rPr>
          <w:rFonts w:ascii="Arial" w:cs="Arial" w:hAnsi="Arial"/>
          <w:sz w:val="22"/>
          <w:szCs w:val="22"/>
        </w:rPr>
        <w:t xml:space="preserve">. Evidence suggests that interventions focusing on dietary education, </w:t>
      </w:r>
      <w:r>
        <w:rPr>
          <w:rFonts w:ascii="Arial" w:cs="Arial" w:hAnsi="Arial"/>
          <w:sz w:val="22"/>
          <w:szCs w:val="22"/>
        </w:rPr>
        <w:t>behavioural</w:t>
      </w:r>
      <w:r>
        <w:rPr>
          <w:rFonts w:ascii="Arial" w:cs="Arial" w:hAnsi="Arial"/>
          <w:sz w:val="22"/>
          <w:szCs w:val="22"/>
        </w:rPr>
        <w:t xml:space="preserve"> support, and physical activity can improve weight -related outcomes.</w:t>
      </w:r>
      <w:r>
        <w:rPr>
          <w:rFonts w:ascii="Arial" w:cs="Arial" w:hAnsi="Arial"/>
          <w:color w:val="000000"/>
          <w:sz w:val="22"/>
          <w:szCs w:val="22"/>
        </w:rPr>
        <w:t>(</w:t>
      </w:r>
      <w:r>
        <w:rPr>
          <w:rFonts w:ascii="Arial" w:cs="Arial" w:hAnsi="Arial"/>
          <w:color w:val="000000"/>
          <w:sz w:val="22"/>
          <w:szCs w:val="22"/>
        </w:rPr>
        <w:t>Roqué</w:t>
      </w:r>
      <w:r>
        <w:rPr>
          <w:rFonts w:ascii="Arial" w:cs="Arial" w:hAnsi="Arial"/>
          <w:color w:val="000000"/>
          <w:sz w:val="22"/>
          <w:szCs w:val="22"/>
        </w:rPr>
        <w:t xml:space="preserve"> </w:t>
      </w:r>
      <w:r>
        <w:rPr>
          <w:rFonts w:ascii="Arial" w:cs="Arial" w:hAnsi="Arial"/>
          <w:color w:val="000000"/>
          <w:sz w:val="22"/>
          <w:szCs w:val="22"/>
        </w:rPr>
        <w:t>i</w:t>
      </w:r>
      <w:r>
        <w:rPr>
          <w:rFonts w:ascii="Arial" w:cs="Arial" w:hAnsi="Arial"/>
          <w:color w:val="000000"/>
          <w:sz w:val="22"/>
          <w:szCs w:val="22"/>
        </w:rPr>
        <w:t xml:space="preserve"> </w:t>
      </w:r>
      <w:r>
        <w:rPr>
          <w:rFonts w:ascii="Arial" w:cs="Arial" w:hAnsi="Arial"/>
          <w:color w:val="000000"/>
          <w:sz w:val="22"/>
          <w:szCs w:val="22"/>
        </w:rPr>
        <w:t>Figuls</w:t>
      </w:r>
      <w:r>
        <w:rPr>
          <w:rFonts w:ascii="Arial" w:cs="Arial" w:hAnsi="Arial"/>
          <w:color w:val="000000"/>
          <w:sz w:val="22"/>
          <w:szCs w:val="22"/>
        </w:rPr>
        <w:t xml:space="preserve"> et al., 2018)</w:t>
      </w:r>
      <w:r>
        <w:rPr>
          <w:rFonts w:ascii="Arial" w:cs="Arial" w:hAnsi="Arial"/>
          <w:sz w:val="22"/>
          <w:szCs w:val="22"/>
        </w:rPr>
        <w:t>.  A scoping review is therefore essential to map current UK evidence, identify effective approaches, and inform future service development.</w:t>
      </w:r>
    </w:p>
    <w:p w14:paraId="0000001F">
      <w:pPr>
        <w:spacing w:line="360" w:lineRule="auto"/>
        <w:rPr>
          <w:rFonts w:ascii="Arial" w:cs="Arial" w:hAnsi="Arial"/>
          <w:sz w:val="22"/>
          <w:szCs w:val="22"/>
        </w:rPr>
      </w:pPr>
    </w:p>
    <w:p w14:paraId="00000020">
      <w:pPr>
        <w:pStyle w:val="Heading1"/>
        <w:numPr>
          <w:ilvl w:val="0"/>
          <w:numId w:val="0"/>
        </w:numPr>
        <w:ind w:right="0"/>
        <w:rPr>
          <w:rFonts w:ascii="Arial" w:cs="Arial" w:hAnsi="Arial"/>
          <w:color w:val="0d3513" w:themeColor="accent3" w:themeShade="80"/>
          <w:sz w:val="22"/>
          <w:szCs w:val="22"/>
        </w:rPr>
      </w:pPr>
      <w:r>
        <w:rPr>
          <w:rFonts w:ascii="Arial" w:cs="Arial" w:hAnsi="Arial"/>
          <w:color w:val="0d3513" w:themeColor="accent3" w:themeShade="80"/>
          <w:sz w:val="22"/>
          <w:szCs w:val="22"/>
        </w:rPr>
        <w:t>METHODOLOGY</w:t>
      </w:r>
    </w:p>
    <w:p w14:paraId="00000021">
      <w:pPr>
        <w:spacing w:line="360" w:lineRule="auto"/>
        <w:rPr>
          <w:rFonts w:ascii="Arial" w:cs="Arial" w:hAnsi="Arial"/>
          <w:sz w:val="22"/>
          <w:szCs w:val="22"/>
        </w:rPr>
      </w:pPr>
      <w:r>
        <w:rPr>
          <w:rFonts w:ascii="Arial" w:cs="Arial" w:hAnsi="Arial"/>
          <w:sz w:val="22"/>
          <w:szCs w:val="22"/>
        </w:rPr>
        <w:t xml:space="preserve">This study will adopt a </w:t>
      </w:r>
      <w:r>
        <w:rPr>
          <w:rFonts w:ascii="Arial" w:cs="Arial" w:hAnsi="Arial"/>
          <w:b w:val="off"/>
          <w:bCs w:val="off"/>
          <w:sz w:val="22"/>
          <w:szCs w:val="22"/>
        </w:rPr>
        <w:t xml:space="preserve">scoping review methodology to map and synthesise existing literature on health and social care interventions aimed at preventing and managing obesity in adults in the UK. The review will be </w:t>
      </w:r>
      <w:r>
        <w:rPr>
          <w:rFonts w:ascii="Arial" w:cs="Arial" w:hAnsi="Arial"/>
          <w:sz w:val="22"/>
          <w:szCs w:val="22"/>
        </w:rPr>
        <w:t xml:space="preserve">guided by the framework proposed by Arksey </w:t>
      </w:r>
      <w:r>
        <w:rPr>
          <w:rFonts w:ascii="Arial" w:cs="Arial" w:hAnsi="Arial"/>
          <w:sz w:val="22"/>
          <w:szCs w:val="22"/>
        </w:rPr>
        <w:t>and Malley</w:t>
      </w:r>
      <w:r>
        <w:rPr>
          <w:rFonts w:ascii="Arial" w:cs="Arial" w:hAnsi="Arial"/>
          <w:color w:val="000000"/>
          <w:sz w:val="22"/>
          <w:szCs w:val="22"/>
        </w:rPr>
        <w:t>(Malley, 2005)</w:t>
      </w:r>
      <w:r>
        <w:rPr>
          <w:rFonts w:ascii="Arial" w:cs="Arial" w:hAnsi="Arial"/>
          <w:sz w:val="22"/>
          <w:szCs w:val="22"/>
        </w:rPr>
        <w:t xml:space="preserve">. Peer-reviewed literature will be systematically searched using databases such as PubMed, CINAHL, Medline, and Google Scholar. Search terms will include “obesity”,  “interventions”, “health and social care”, and “United Kingdom”. Inclusion criteria will focus on UK-based studies published in English within the last ten years that examine health or social care interventions to prevent and manage obesity in adults. Data will be charted and </w:t>
      </w:r>
      <w:r>
        <w:rPr>
          <w:rFonts w:ascii="Arial" w:cs="Arial" w:hAnsi="Arial"/>
          <w:sz w:val="22"/>
          <w:szCs w:val="22"/>
        </w:rPr>
        <w:t>analysed</w:t>
      </w:r>
      <w:r>
        <w:rPr>
          <w:rFonts w:ascii="Arial" w:cs="Arial" w:hAnsi="Arial"/>
          <w:sz w:val="22"/>
          <w:szCs w:val="22"/>
        </w:rPr>
        <w:t xml:space="preserve"> using thematic analysis to identify key intervention types, outcomes, and gaps in the evidence base</w:t>
      </w:r>
      <w:r>
        <w:rPr>
          <w:rFonts w:ascii="Arial" w:cs="Arial" w:hAnsi="Arial"/>
          <w:sz w:val="22"/>
          <w:szCs w:val="22"/>
        </w:rPr>
        <w:t>.</w:t>
      </w:r>
    </w:p>
    <w:p w14:paraId="00000022">
      <w:pPr>
        <w:spacing w:line="360" w:lineRule="auto"/>
        <w:rPr>
          <w:rFonts w:ascii="Arial" w:cs="Arial" w:hAnsi="Arial"/>
          <w:sz w:val="22"/>
          <w:szCs w:val="22"/>
        </w:rPr>
      </w:pPr>
    </w:p>
    <w:p w14:paraId="00000023">
      <w:pPr>
        <w:spacing w:line="360" w:lineRule="auto"/>
        <w:rPr>
          <w:rFonts w:ascii="Arial" w:cs="Arial" w:hAnsi="Arial"/>
          <w:sz w:val="22"/>
          <w:szCs w:val="22"/>
        </w:rPr>
      </w:pPr>
    </w:p>
    <w:p w14:paraId="00000024">
      <w:pPr>
        <w:spacing w:line="360" w:lineRule="auto"/>
        <w:rPr>
          <w:rFonts w:ascii="Arial" w:cs="Arial" w:hAnsi="Arial"/>
          <w:sz w:val="22"/>
          <w:szCs w:val="22"/>
        </w:rPr>
      </w:pPr>
    </w:p>
    <w:p w14:paraId="00000025">
      <w:pPr>
        <w:spacing w:line="360" w:lineRule="auto"/>
        <w:rPr>
          <w:rFonts w:ascii="Arial" w:cs="Arial" w:hAnsi="Arial"/>
          <w:sz w:val="22"/>
          <w:szCs w:val="22"/>
        </w:rPr>
      </w:pPr>
    </w:p>
    <w:p w14:paraId="00000026">
      <w:pPr>
        <w:spacing w:line="360" w:lineRule="auto"/>
        <w:rPr>
          <w:rFonts w:ascii="Arial" w:cs="Arial" w:hAnsi="Arial"/>
          <w:sz w:val="22"/>
          <w:szCs w:val="22"/>
        </w:rPr>
      </w:pPr>
    </w:p>
    <w:p w14:paraId="00000027">
      <w:pPr>
        <w:spacing w:line="360" w:lineRule="auto"/>
        <w:rPr>
          <w:rFonts w:ascii="Arial" w:cs="Arial" w:hAnsi="Arial"/>
          <w:sz w:val="22"/>
          <w:szCs w:val="22"/>
        </w:rPr>
      </w:pPr>
    </w:p>
    <w:p w14:paraId="00000028">
      <w:pPr>
        <w:spacing w:line="360" w:lineRule="auto"/>
        <w:rPr>
          <w:rFonts w:ascii="Arial" w:cs="Arial" w:hAnsi="Arial"/>
          <w:sz w:val="22"/>
          <w:szCs w:val="22"/>
        </w:rPr>
      </w:pPr>
    </w:p>
    <w:p w14:paraId="00000029">
      <w:pPr>
        <w:spacing w:line="360" w:lineRule="auto"/>
        <w:rPr>
          <w:rFonts w:ascii="Arial" w:cs="Arial" w:hAnsi="Arial"/>
          <w:sz w:val="22"/>
          <w:szCs w:val="22"/>
        </w:rPr>
      </w:pPr>
    </w:p>
    <w:p w14:paraId="0000002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p>
    <w:p w14:paraId="0000002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p>
    <w:p w14:paraId="0000002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r>
        <w:rPr>
          <w:rFonts w:ascii="Arial" w:cs="Arial" w:hAnsi="Arial"/>
          <w:color w:val="000000"/>
          <w:sz w:val="22"/>
          <w:szCs w:val="22"/>
          <w:rtl w:val="off"/>
          <w:lang w:val="en-US"/>
        </w:rPr>
        <w:t>REFERENCES.</w:t>
      </w:r>
    </w:p>
    <w:p w14:paraId="0000002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p>
    <w:p w14:paraId="0000002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Arksey, H. and O’Malley, L. (2005) ‘Scoping studies: towards a methodological framework’, </w:t>
      </w:r>
      <w:r>
        <w:rPr>
          <w:rFonts w:ascii="Arial" w:cs="Arial" w:hAnsi="Arial"/>
          <w:i/>
          <w:color w:val="000000"/>
          <w:sz w:val="22"/>
          <w:szCs w:val="22"/>
          <w:rtl w:val="off"/>
          <w:lang w:val="en-US"/>
        </w:rPr>
        <w:t>International Journal of Social Research Methodology</w:t>
      </w:r>
      <w:r>
        <w:rPr>
          <w:rFonts w:ascii="Arial" w:cs="Arial" w:hAnsi="Arial"/>
          <w:color w:val="000000"/>
          <w:sz w:val="22"/>
          <w:szCs w:val="22"/>
          <w:rtl w:val="off"/>
          <w:lang w:val="en-US"/>
        </w:rPr>
        <w:t xml:space="preserve">, 8(1), pp. 19–32. </w:t>
      </w:r>
    </w:p>
    <w:p w14:paraId="0000002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GOV.UK (2019) </w:t>
      </w:r>
      <w:r>
        <w:rPr>
          <w:rFonts w:ascii="Arial" w:cs="Arial" w:hAnsi="Arial"/>
          <w:i/>
          <w:color w:val="000000"/>
          <w:sz w:val="22"/>
          <w:szCs w:val="22"/>
          <w:rtl w:val="off"/>
          <w:lang w:val="en-US"/>
        </w:rPr>
        <w:t>Tackling obesity: empowering adults and children to live healthier lives</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"https://www.gov.uk/government/publications/tackling-obesity-government-strategy/tackling-obesity-empowering-adults-and-children-to-live-healthier-lives"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https://www.gov.uk/government/publications/tackling-obesity-government-strategy/tackling-obesity-empowering-adults-and-children-to-live-healthier-lives</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12 February 2026).</w:t>
      </w:r>
    </w:p>
    <w:p w14:paraId="0000003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NHS Digital (2024) </w:t>
      </w:r>
      <w:r>
        <w:rPr>
          <w:rFonts w:ascii="Arial" w:cs="Arial" w:hAnsi="Arial"/>
          <w:i/>
          <w:color w:val="000000"/>
          <w:sz w:val="22"/>
          <w:szCs w:val="22"/>
          <w:rtl w:val="off"/>
          <w:lang w:val="en-US"/>
        </w:rPr>
        <w:t>Health Survey for England 2023: Overweight and obesity in adults</w:t>
      </w:r>
      <w:r>
        <w:rPr>
          <w:rFonts w:ascii="Arial" w:cs="Arial" w:hAnsi="Arial"/>
          <w:color w:val="000000"/>
          <w:sz w:val="22"/>
          <w:szCs w:val="22"/>
          <w:rtl w:val="off"/>
          <w:lang w:val="en-US"/>
        </w:rPr>
        <w:t xml:space="preserve">. Leeds: NHS Digital.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"https://digital.nhs.uk"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https://digital.nhs.uk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12 February 2026).</w:t>
      </w:r>
    </w:p>
    <w:p w14:paraId="0000003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Office for Health Improvement and Disparities (OHID) (2023) </w:t>
      </w:r>
      <w:r>
        <w:rPr>
          <w:rFonts w:ascii="Arial" w:cs="Arial" w:hAnsi="Arial"/>
          <w:i/>
          <w:color w:val="000000"/>
          <w:sz w:val="22"/>
          <w:szCs w:val="22"/>
          <w:rtl w:val="off"/>
          <w:lang w:val="en-US"/>
        </w:rPr>
        <w:t>Obesity profile: adult obesity data in England</w:t>
      </w:r>
      <w:r>
        <w:rPr>
          <w:rFonts w:ascii="Arial" w:cs="Arial" w:hAnsi="Arial"/>
          <w:color w:val="000000"/>
          <w:sz w:val="22"/>
          <w:szCs w:val="22"/>
          <w:rtl w:val="off"/>
          <w:lang w:val="en-US"/>
        </w:rPr>
        <w:t xml:space="preserve">. London: Department of Health and Social Care.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"https://fingertips.phe.org.uk"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https://fingertips.phe.org.uk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12 February 2026).</w:t>
      </w:r>
    </w:p>
    <w:p w14:paraId="0000003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Phelps </w:t>
      </w:r>
      <w:r>
        <w:rPr>
          <w:rFonts w:ascii="Arial" w:cs="Arial" w:hAnsi="Arial"/>
          <w:i/>
          <w:color w:val="000000"/>
          <w:sz w:val="22"/>
          <w:szCs w:val="22"/>
          <w:rtl w:val="off"/>
          <w:lang w:val="en-US"/>
        </w:rPr>
        <w:t>et al.</w:t>
      </w:r>
      <w:r>
        <w:rPr>
          <w:rFonts w:ascii="Arial" w:cs="Arial" w:hAnsi="Arial"/>
          <w:color w:val="000000"/>
          <w:sz w:val="22"/>
          <w:szCs w:val="22"/>
          <w:rtl w:val="off"/>
          <w:lang w:val="en-US"/>
        </w:rPr>
        <w:t xml:space="preserve"> (2024) ‘Worldwide trends in underweight and obesity from 1990 to 2022: a pooled analysis of 3663 population-representative studies with 222 million children, adolescents, and adults’, </w:t>
      </w:r>
      <w:r>
        <w:rPr>
          <w:rFonts w:ascii="Arial" w:cs="Arial" w:hAnsi="Arial"/>
          <w:i/>
          <w:color w:val="000000"/>
          <w:sz w:val="22"/>
          <w:szCs w:val="22"/>
          <w:rtl w:val="off"/>
          <w:lang w:val="en-US"/>
        </w:rPr>
        <w:t>The Lancet</w:t>
      </w:r>
      <w:r>
        <w:rPr>
          <w:rFonts w:ascii="Arial" w:cs="Arial" w:hAnsi="Arial"/>
          <w:color w:val="000000"/>
          <w:sz w:val="22"/>
          <w:szCs w:val="22"/>
          <w:rtl w:val="off"/>
          <w:lang w:val="en-US"/>
        </w:rPr>
        <w:t xml:space="preserve">, 403(10431), </w:t>
      </w:r>
      <w:r>
        <w:rPr>
          <w:rStyle w:val="Hyperlink"/>
          <w:rFonts w:ascii="Arial" w:cs="Arial" w:hAnsi="Arial"/>
          <w:sz w:val="22"/>
          <w:szCs w:val="22"/>
          <w:rtl w:val="off"/>
          <w:lang w:val="en-US"/>
        </w:rPr>
        <w:fldChar w:fldCharType="begin"/>
      </w:r>
      <w:r>
        <w:rPr>
          <w:rStyle w:val="Hyperlink"/>
          <w:rFonts w:ascii="Arial" w:cs="Arial" w:hAnsi="Arial"/>
          <w:sz w:val="22"/>
          <w:szCs w:val="22"/>
          <w:rtl w:val="off"/>
          <w:lang w:val="en-US"/>
        </w:rPr>
        <w:instrText xml:space="preserve">HYPERLINK "https://doi.org/10.1016/S0140-6736(23)02750-2"</w:instrText>
      </w:r>
      <w:r>
        <w:rPr>
          <w:rStyle w:val="Hyperlink"/>
          <w:rFonts w:ascii="Arial" w:cs="Arial" w:hAnsi="Arial"/>
          <w:sz w:val="22"/>
          <w:szCs w:val="22"/>
          <w:rtl w:val="off"/>
          <w:lang w:val="en-US"/>
        </w:rPr>
        <w:fldChar w:fldCharType="separate"/>
      </w:r>
      <w:r>
        <w:rPr>
          <w:rStyle w:val="Hyperlink"/>
          <w:rFonts w:ascii="Arial" w:cs="Arial" w:hAnsi="Arial"/>
          <w:sz w:val="22"/>
          <w:szCs w:val="22"/>
          <w:rtl w:val="off"/>
          <w:lang w:val="en-US"/>
        </w:rPr>
        <w:t>https://doi.org/10.1016/S0140-6736(23)02750-2</w:t>
      </w:r>
      <w:r>
        <w:rPr>
          <w:rFonts w:ascii="Arial" w:cs="Arial" w:hAnsi="Arial"/>
          <w:color w:val="000000"/>
          <w:sz w:val="22"/>
          <w:szCs w:val="22"/>
          <w:lang w:val="en-US"/>
        </w:rPr>
        <w:fldChar w:fldCharType="end"/>
      </w:r>
    </w:p>
    <w:p w14:paraId="0000003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Public Health England (2021) </w:t>
      </w:r>
      <w:r>
        <w:rPr>
          <w:rFonts w:ascii="Arial" w:cs="Arial" w:hAnsi="Arial"/>
          <w:i/>
          <w:color w:val="000000"/>
          <w:sz w:val="22"/>
          <w:szCs w:val="22"/>
          <w:rtl w:val="off"/>
          <w:lang w:val="en-US"/>
        </w:rPr>
        <w:t>Health matters: obesity and the food environment</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"https://www.gov.uk/government/publications/health-matters-obesity-and-the-food-environment/health-matters-obesity-and-the-food-environment--2"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https://www.gov.uk/government/publications/health-matters-obesity-and-the-food-environment/health-matters-obesity-and-the-food-environment--2</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w:t>
      </w:r>
    </w:p>
    <w:p w14:paraId="0000003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Roqué et al. (2018) ‘Interventions for treating overweight or obesity in adults: an overview of systematic reviews’, </w:t>
      </w:r>
      <w:r>
        <w:rPr>
          <w:rFonts w:ascii="Arial" w:cs="Arial" w:hAnsi="Arial"/>
          <w:i/>
          <w:color w:val="000000"/>
          <w:sz w:val="22"/>
          <w:szCs w:val="22"/>
          <w:rtl w:val="off"/>
          <w:lang w:val="en-US"/>
        </w:rPr>
        <w:t>Cochrane Database of Systematic Reviews</w:t>
      </w:r>
      <w:r>
        <w:rPr>
          <w:rFonts w:ascii="Arial" w:cs="Arial" w:hAnsi="Arial"/>
          <w:color w:val="000000"/>
          <w:sz w:val="22"/>
          <w:szCs w:val="22"/>
          <w:rtl w:val="off"/>
          <w:lang w:val="en-US"/>
        </w:rPr>
        <w:t xml:space="preserve">, 2018(12).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"https://doi.org/10.1002/14651858.CD010665.pub2"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https://doi.org/10.1002/14651858.CD010665.pub2</w:t>
      </w:r>
      <w:r>
        <w:rPr>
          <w:rFonts w:ascii="Arial" w:cs="Arial" w:hAnsi="Arial"/>
          <w:color w:val="000000"/>
          <w:sz w:val="22"/>
          <w:szCs w:val="22"/>
          <w:lang w:val="en-US"/>
        </w:rPr>
        <w:fldChar w:fldCharType="end"/>
      </w:r>
    </w:p>
    <w:p w14:paraId="0000003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3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4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World Health Organization (2025) </w:t>
      </w:r>
      <w:r>
        <w:rPr>
          <w:rFonts w:ascii="Arial" w:cs="Arial" w:hAnsi="Arial"/>
          <w:i/>
          <w:color w:val="000000"/>
          <w:sz w:val="22"/>
          <w:szCs w:val="22"/>
          <w:rtl w:val="off"/>
          <w:lang w:val="en-US"/>
        </w:rPr>
        <w:t>Obesity and overweight</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"https://www.who.int/news-room/fact-sheets/detail/obesity-and-overweight"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https://www.who.int/news-room/fact-sheets/detail/obesity-and-overweight</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w:t>
      </w:r>
    </w:p>
    <w:p w14:paraId="00000041">
      <w:pPr>
        <w:ind w:hanging="480"/>
        <w:rPr>
          <w:rFonts w:ascii="Arial" w:cs="Arial" w:eastAsia="Times New Roman" w:hAnsi="Arial"/>
          <w:bCs/>
          <w:color w:val="000000"/>
          <w:sz w:val="22"/>
          <w:szCs w:val="22"/>
        </w:rPr>
      </w:pPr>
    </w:p>
    <w:p w14:paraId="0000004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2"/>
          <w:szCs w:val="22"/>
          <w:rtl w:val="off"/>
          <w:lang w:val="en-US"/>
        </w:rPr>
        <w:t xml:space="preserve">World Health Organization (2023) </w:t>
      </w:r>
      <w:r>
        <w:rPr>
          <w:rFonts w:ascii="Arial" w:cs="Arial" w:hAnsi="Arial"/>
          <w:i/>
          <w:color w:val="000000"/>
          <w:sz w:val="22"/>
          <w:szCs w:val="22"/>
          <w:rtl w:val="off"/>
          <w:lang w:val="en-US"/>
        </w:rPr>
        <w:t>Obesity and overweight</w:t>
      </w:r>
      <w:r>
        <w:rPr>
          <w:rFonts w:ascii="Arial" w:cs="Arial" w:hAnsi="Arial"/>
          <w:color w:val="000000"/>
          <w:sz w:val="22"/>
          <w:szCs w:val="22"/>
          <w:rtl w:val="off"/>
          <w:lang w:val="en-US"/>
        </w:rPr>
        <w:t xml:space="preserve">. Geneva: WHO.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"https://www.who.int"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https://www.who.int</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12 </w:t>
      </w:r>
      <w:r>
        <w:rPr>
          <w:rFonts w:ascii="Segoe UI"/>
          <w:color w:val="000000"/>
          <w:sz w:val="18"/>
          <w:rtl w:val="off"/>
          <w:lang w:val="en-US"/>
        </w:rPr>
        <w:t xml:space="preserve">February 2026). </w:t>
      </w:r>
    </w:p>
    <w:p w14:paraId="00000043">
      <w:pPr>
        <w:spacing w:line="360" w:lineRule="auto"/>
        <w:rPr>
          <w:rFonts w:ascii="Arial" w:cs="Arial" w:hAnsi="Arial"/>
          <w:b/>
          <w:bCs/>
          <w:sz w:val="22"/>
          <w:szCs w:val="22"/>
          <w:u w:val="single"/>
        </w:rPr>
      </w:pPr>
    </w:p>
    <w:p w14:paraId="00000044">
      <w:pPr>
        <w:spacing w:line="360" w:lineRule="auto"/>
        <w:ind w:left="360"/>
        <w:rPr>
          <w:rFonts w:ascii="Arial" w:cs="Arial" w:hAnsi="Arial"/>
          <w:sz w:val="22"/>
          <w:szCs w:val="22"/>
        </w:rPr>
      </w:pPr>
    </w:p>
    <w:p w14:paraId="00000045">
      <w:pPr>
        <w:spacing w:line="360" w:lineRule="auto"/>
        <w:rPr>
          <w:rFonts w:ascii="Arial" w:cs="Arial" w:hAnsi="Arial"/>
          <w:sz w:val="22"/>
          <w:szCs w:val="22"/>
        </w:rPr>
      </w:pPr>
    </w:p>
    <w:p w14:paraId="00000046">
      <w:pPr>
        <w:spacing w:line="360" w:lineRule="auto"/>
        <w:rPr>
          <w:rFonts w:ascii="Arial" w:cs="Arial" w:hAnsi="Arial"/>
          <w:sz w:val="22"/>
          <w:szCs w:val="22"/>
        </w:rPr>
      </w:pPr>
    </w:p>
    <w:p w14:paraId="00000047">
      <w:pPr>
        <w:spacing w:line="360" w:lineRule="auto"/>
        <w:rPr>
          <w:rFonts w:ascii="Arial" w:cs="Arial" w:hAnsi="Arial"/>
          <w:sz w:val="22"/>
          <w:szCs w:val="22"/>
        </w:rPr>
      </w:pPr>
    </w:p>
    <w:p w14:paraId="00000048">
      <w:pPr>
        <w:spacing w:line="360" w:lineRule="auto"/>
        <w:rPr>
          <w:rFonts w:ascii="Arial" w:cs="Arial" w:hAnsi="Arial"/>
          <w:sz w:val="22"/>
          <w:szCs w:val="22"/>
        </w:rPr>
      </w:pPr>
    </w:p>
    <w:sectPr>
      <w:headerReference w:type="default" r:id="rId32"/>
      <w:footerReference w:type="default" r:id="rId33"/>
      <w:pgSz w:w="12240" w:h="15840"/>
      <w:pgMar w:top="1191" w:right="1191" w:bottom="1191" w:left="119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Segoe UI">
    <w:charset w:val="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4B">
    <w:pPr>
      <w:pStyle w:val="Footer"/>
      <w:jc w:val="center"/>
      <w:rPr/>
    </w:pPr>
    <w:r>
      <w:fldChar w:fldCharType="begin"/>
    </w:r>
    <w:r>
      <w:instrText xml:space="preserve"> PAGE   \* MERGEFORMAT </w:instrText>
    </w:r>
    <w:r>
      <w:fldChar w:fldCharType="separate"/>
    </w:r>
    <w:r>
      <w:t>2</w:t>
    </w:r>
    <w:r>
      <w:fldChar w:fldCharType="end"/>
    </w:r>
  </w:p>
  <w:p w14:paraId="0000004C">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4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p>
  <w:p w14:paraId="0000004A">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multiLevelType w:val="multilevel"/>
    <w:lvl w:ilvl="0" w:tentative="0">
      <w:start w:val="1"/>
      <w:numFmt w:val="decimal"/>
      <w:lvlText w:val="%1)"/>
      <w:lvlJc w:val="left"/>
      <w:pPr>
        <w:ind w:left="360" w:hanging="360"/>
      </w:pPr>
    </w:lvl>
    <w:lvl w:ilvl="1" w:tentative="0">
      <w:start w:val="1"/>
      <w:numFmt w:val="lowerLetter"/>
      <w:lvlText w:val="%2)"/>
      <w:lvlJc w:val="left"/>
      <w:pPr>
        <w:ind w:left="720" w:hanging="360"/>
      </w:pPr>
    </w:lvl>
    <w:lvl w:ilvl="2" w:tentative="0">
      <w:start w:val="1"/>
      <w:numFmt w:val="lowerRoman"/>
      <w:lvlText w:val="%3)"/>
      <w:lvlJc w:val="left"/>
      <w:pPr>
        <w:ind w:left="1080" w:hanging="360"/>
      </w:pPr>
    </w:lvl>
    <w:lvl w:ilvl="3" w:tentative="0">
      <w:start w:val="1"/>
      <w:numFmt w:val="decimal"/>
      <w:lvlText w:val="(%4)"/>
      <w:lvlJc w:val="left"/>
      <w:pPr>
        <w:ind w:left="1440" w:hanging="360"/>
      </w:pPr>
    </w:lvl>
    <w:lvl w:ilvl="4" w:tentative="0">
      <w:start w:val="1"/>
      <w:numFmt w:val="lowerLetter"/>
      <w:lvlText w:val="(%5)"/>
      <w:lvlJc w:val="left"/>
      <w:pPr>
        <w:ind w:left="1800" w:hanging="360"/>
      </w:pPr>
    </w:lvl>
    <w:lvl w:ilvl="5" w:tentative="0">
      <w:start w:val="1"/>
      <w:numFmt w:val="lowerRoman"/>
      <w:lvlText w:val="(%6)"/>
      <w:lvlJc w:val="left"/>
      <w:pPr>
        <w:ind w:left="2160" w:hanging="360"/>
      </w:pPr>
    </w:lvl>
    <w:lvl w:ilvl="6" w:tentative="0">
      <w:start w:val="1"/>
      <w:numFmt w:val="decimal"/>
      <w:lvlText w:val="%7."/>
      <w:lvlJc w:val="left"/>
      <w:pPr>
        <w:ind w:left="2520" w:hanging="360"/>
      </w:pPr>
    </w:lvl>
    <w:lvl w:ilvl="7" w:tentative="0">
      <w:start w:val="1"/>
      <w:numFmt w:val="lowerLetter"/>
      <w:lvlText w:val="%8."/>
      <w:lvlJc w:val="left"/>
      <w:pPr>
        <w:ind w:left="2880" w:hanging="360"/>
      </w:pPr>
    </w:lvl>
    <w:lvl w:ilvl="8" w:tentative="0">
      <w:start w:val="1"/>
      <w:numFmt w:val="lowerRoman"/>
      <w:lvlText w:val="%9."/>
      <w:lvlJc w:val="left"/>
      <w:pPr>
        <w:ind w:left="3240" w:hanging="360"/>
      </w:pPr>
    </w:lvl>
  </w:abstractNum>
  <w:abstractNum w:abstractNumId="2">
    <w:multiLevelType w:val="multilevel"/>
    <w:lvl w:ilvl="0" w:tentative="0">
      <w:start w:val="1"/>
      <w:numFmt w:val="decimal"/>
      <w:isLgl w:val="on"/>
      <w:lvlText w:val="%1."/>
      <w:lvlJc w:val="left"/>
      <w:pPr>
        <w:ind w:left="227" w:hanging="227"/>
      </w:pPr>
      <w:rPr>
        <w:rFonts w:hint="default"/>
      </w:rPr>
    </w:lvl>
    <w:lvl w:ilvl="1" w:tentative="0">
      <w:start w:val="1"/>
      <w:numFmt w:val="decimal"/>
      <w:lvlText w:val=". %1"/>
      <w:lvlJc w:val="left"/>
      <w:pPr>
        <w:ind w:left="680" w:hanging="320"/>
      </w:pPr>
      <w:rPr>
        <w:rFonts w:hint="default"/>
      </w:rPr>
    </w:lvl>
    <w:lvl w:ilvl="2" w:tentative="0">
      <w:start w:val="1"/>
      <w:numFmt w:val="lowerRoman"/>
      <w:lvlText w:val="%3)"/>
      <w:lvlJc w:val="left"/>
      <w:pPr>
        <w:ind w:left="1080" w:hanging="360"/>
      </w:pPr>
      <w:rPr>
        <w:rFonts w:hint="default"/>
      </w:rPr>
    </w:lvl>
    <w:lvl w:ilvl="3" w:tentative="0">
      <w:start w:val="1"/>
      <w:numFmt w:val="decimal"/>
      <w:lvlText w:val="(%4)"/>
      <w:lvlJc w:val="left"/>
      <w:pPr>
        <w:ind w:left="1440" w:hanging="360"/>
      </w:pPr>
      <w:rPr>
        <w:rFonts w:hint="default"/>
      </w:rPr>
    </w:lvl>
    <w:lvl w:ilvl="4" w:tentative="0">
      <w:start w:val="1"/>
      <w:numFmt w:val="lowerLetter"/>
      <w:lvlText w:val="(%5)"/>
      <w:lvlJc w:val="left"/>
      <w:pPr>
        <w:ind w:left="1800" w:hanging="360"/>
      </w:pPr>
      <w:rPr>
        <w:rFonts w:hint="default"/>
      </w:rPr>
    </w:lvl>
    <w:lvl w:ilvl="5" w:tentative="0">
      <w:start w:val="1"/>
      <w:numFmt w:val="lowerRoman"/>
      <w:lvlText w:val="(%6)"/>
      <w:lvlJc w:val="left"/>
      <w:pPr>
        <w:ind w:left="2160" w:hanging="360"/>
      </w:pPr>
      <w:rPr>
        <w:rFonts w:hint="default"/>
      </w:rPr>
    </w:lvl>
    <w:lvl w:ilvl="6" w:tentative="0">
      <w:start w:val="1"/>
      <w:numFmt w:val="decimal"/>
      <w:lvlText w:val="%7."/>
      <w:lvlJc w:val="left"/>
      <w:pPr>
        <w:ind w:left="2520" w:hanging="360"/>
      </w:pPr>
      <w:rPr>
        <w:rFonts w:hint="default"/>
      </w:rPr>
    </w:lvl>
    <w:lvl w:ilvl="7" w:tentative="0">
      <w:start w:val="1"/>
      <w:numFmt w:val="lowerLetter"/>
      <w:lvlText w:val="%8."/>
      <w:lvlJc w:val="left"/>
      <w:pPr>
        <w:ind w:left="2880" w:hanging="360"/>
      </w:pPr>
      <w:rPr>
        <w:rFonts w:hint="default"/>
      </w:rPr>
    </w:lvl>
    <w:lvl w:ilvl="8" w:tentative="0">
      <w:start w:val="1"/>
      <w:numFmt w:val="lowerRoman"/>
      <w:lvlText w:val="%9."/>
      <w:lvlJc w:val="left"/>
      <w:pPr>
        <w:ind w:left="3240" w:hanging="360"/>
      </w:pPr>
      <w:rPr>
        <w:rFonts w:hint="default"/>
      </w:rPr>
    </w:lvl>
  </w:abstractNum>
  <w:abstractNum w:abstractNumId="3">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multiLevelType w:val="multilevel"/>
    <w:lvl w:ilvl="0" w:tentative="0">
      <w:start w:val="1"/>
      <w:numFmt w:val="decimal"/>
      <w:pStyle w:val="Heading1"/>
      <w:lvlText w:val="%1."/>
      <w:lvlJc w:val="left"/>
      <w:pPr>
        <w:ind w:left="340" w:hanging="227"/>
      </w:pPr>
      <w:rPr>
        <w:rFonts w:hint="default"/>
      </w:rPr>
    </w:lvl>
    <w:lvl w:ilvl="1" w:tentative="0">
      <w:start w:val="1"/>
      <w:numFmt w:val="decimal"/>
      <w:pStyle w:val="Heading2"/>
      <w:lvlText w:val="%1.%2"/>
      <w:lvlJc w:val="left"/>
      <w:pPr>
        <w:ind w:left="1440" w:hanging="360"/>
      </w:pPr>
      <w:rPr>
        <w:rFonts w:hint="default"/>
      </w:rPr>
    </w:lvl>
    <w:lvl w:ilvl="2" w:tentative="0">
      <w:start w:val="1"/>
      <w:numFmt w:val="lowerRoman"/>
      <w:lvlText w:val="%3."/>
      <w:lvlJc w:val="right"/>
      <w:pPr>
        <w:ind w:left="2160" w:hanging="180"/>
      </w:pPr>
      <w:rPr>
        <w:rFonts w:hint="default"/>
      </w:rPr>
    </w:lvl>
    <w:lvl w:ilvl="3" w:tentative="0">
      <w:start w:val="1"/>
      <w:numFmt w:val="decimal"/>
      <w:lvlText w:val="%4."/>
      <w:lvlJc w:val="left"/>
      <w:pPr>
        <w:ind w:left="2880" w:hanging="360"/>
      </w:pPr>
      <w:rPr>
        <w:rFonts w:hint="default"/>
      </w:rPr>
    </w:lvl>
    <w:lvl w:ilvl="4" w:tentative="0">
      <w:start w:val="1"/>
      <w:numFmt w:val="lowerLetter"/>
      <w:lvlText w:val="%5."/>
      <w:lvlJc w:val="left"/>
      <w:pPr>
        <w:ind w:left="3600" w:hanging="360"/>
      </w:pPr>
      <w:rPr>
        <w:rFonts w:hint="default"/>
      </w:rPr>
    </w:lvl>
    <w:lvl w:ilvl="5" w:tentative="0">
      <w:start w:val="1"/>
      <w:numFmt w:val="lowerRoman"/>
      <w:lvlText w:val="%6."/>
      <w:lvlJc w:val="right"/>
      <w:pPr>
        <w:ind w:left="4320" w:hanging="180"/>
      </w:pPr>
      <w:rPr>
        <w:rFonts w:hint="default"/>
      </w:rPr>
    </w:lvl>
    <w:lvl w:ilvl="6" w:tentative="0">
      <w:start w:val="1"/>
      <w:numFmt w:val="decimal"/>
      <w:lvlText w:val="%7."/>
      <w:lvlJc w:val="left"/>
      <w:pPr>
        <w:ind w:left="5040" w:hanging="360"/>
      </w:pPr>
      <w:rPr>
        <w:rFonts w:hint="default"/>
      </w:rPr>
    </w:lvl>
    <w:lvl w:ilvl="7" w:tentative="0">
      <w:start w:val="1"/>
      <w:numFmt w:val="lowerLetter"/>
      <w:lvlText w:val="%8."/>
      <w:lvlJc w:val="left"/>
      <w:pPr>
        <w:ind w:left="5760" w:hanging="360"/>
      </w:pPr>
      <w:rPr>
        <w:rFonts w:hint="default"/>
      </w:rPr>
    </w:lvl>
    <w:lvl w:ilvl="8" w:tentative="0">
      <w:start w:val="1"/>
      <w:numFmt w:val="lowerRoman"/>
      <w:lvlText w:val="%9."/>
      <w:lvlJc w:val="right"/>
      <w:pPr>
        <w:ind w:left="6480" w:hanging="180"/>
      </w:pPr>
      <w:rPr>
        <w:rFonts w:hint="default"/>
      </w:rPr>
    </w:lvl>
  </w:abstractNum>
  <w:abstractNum w:abstractNumId="5"/>
  <w:num w:numId="1">
    <w:abstractNumId w:val="3"/>
  </w:num>
  <w:num w:numId="2">
    <w:abstractNumId w:val="0"/>
  </w:num>
  <w:num w:numId="3">
    <w:abstractNumId w:val="2"/>
  </w:num>
  <w:num w:numId="4">
    <w:abstractNumId w:val="1"/>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lvlOverride w:ilvl="0">
      <w:lvl w:ilvl="0" w:tentative="1">
        <w:numFmt w:val="bullet"/>
        <w:suff w:val="tab"/>
        <w:lvlText w:val="·"/>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2C0"/>
    <w:rsid w:val="00035F6B"/>
    <w:rsid w:val="000B79D8"/>
    <w:rsid w:val="00124885"/>
    <w:rsid w:val="0012715C"/>
    <w:rsid w:val="001F6BB3"/>
    <w:rsid w:val="002F51CE"/>
    <w:rsid w:val="0045674D"/>
    <w:rsid w:val="00514361"/>
    <w:rsid w:val="005E6F87"/>
    <w:rsid w:val="00713F26"/>
    <w:rsid w:val="009C13D2"/>
    <w:rsid w:val="00A861ED"/>
    <w:rsid w:val="00B53915"/>
    <w:rsid w:val="00B771D3"/>
    <w:rsid w:val="00BB22C0"/>
    <w:rsid w:val="00BE4BEE"/>
    <w:rsid w:val="00CD46D0"/>
    <w:rsid w:val="00D30745"/>
    <w:rsid w:val="00DC2615"/>
    <w:rsid w:val="00F118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B7F96"/>
  <w15:chartTrackingRefBased/>
  <w15:docId w15:val="{2DD40DE3-EAA8-4859-BE8D-391F13D1764C}"/>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4"/>
        <w:szCs w:val="24"/>
        <w:lang w:val="en-US" w:bidi="ar-SA" w:eastAsia="en-US"/>
        <w14:ligatures w14:val="standardContextual"/>
      </w:rPr>
    </w:rPrDefault>
    <w:pPrDefault>
      <w:pPr>
        <w:spacing w:after="160" w:line="278" w:lineRule="auto"/>
      </w:pPr>
    </w:pPrDefault>
  </w:docDefaults>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467886" w:themeColor="hyperlink"/>
      <w:u w:val="single"/>
    </w:rPr>
  </w:style>
  <w:style w:type="character" w:styleId="FollowedHyperlink">
    <w:name w:val="FollowedHyperlink"/>
    <w:basedOn w:val="DefaultParagraphFont"/>
    <w:uiPriority w:val="99"/>
    <w:semiHidden w:val="on"/>
    <w:unhideWhenUsed w:val="on"/>
    <w:rPr>
      <w:color w:val="96607d"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numPr>
        <w:ilvl w:val="0"/>
        <w:numId w:val="6"/>
      </w:numPr>
      <w:spacing w:before="360" w:after="80"/>
    </w:pPr>
    <w:rPr>
      <w:rFonts w:asciiTheme="majorHAnsi" w:cstheme="majorBidi" w:eastAsiaTheme="majorEastAsia" w:hAnsiTheme="majorHAnsi"/>
      <w:color w:val="104760" w:themeColor="accent1" w:themeShade="bf"/>
      <w:sz w:val="40"/>
      <w:szCs w:val="40"/>
    </w:rPr>
  </w:style>
  <w:style w:type="paragraph" w:styleId="Heading2">
    <w:name w:val="Heading 2"/>
    <w:basedOn w:val="Normal"/>
    <w:next w:val="Normal"/>
    <w:link w:val="Heading2Char"/>
    <w:uiPriority w:val="9"/>
    <w:unhideWhenUsed w:val="on"/>
    <w:qFormat w:val="on"/>
    <w:pPr>
      <w:keepNext w:val="on"/>
      <w:keepLines w:val="on"/>
      <w:numPr>
        <w:ilvl w:val="1"/>
        <w:numId w:val="6"/>
      </w:numPr>
      <w:spacing w:before="160" w:after="80"/>
    </w:pPr>
    <w:rPr>
      <w:rFonts w:asciiTheme="majorHAnsi" w:cstheme="majorBidi" w:eastAsiaTheme="majorEastAsia" w:hAnsiTheme="majorHAnsi"/>
      <w:color w:val="104760" w:themeColor="accent1" w:themeShade="bf"/>
      <w:sz w:val="32"/>
      <w:szCs w:val="32"/>
    </w:rPr>
  </w:style>
  <w:style w:type="paragraph" w:styleId="Heading3">
    <w:name w:val="Heading 3"/>
    <w:basedOn w:val="Normal"/>
    <w:next w:val="Normal"/>
    <w:link w:val="Heading3Char"/>
    <w:uiPriority w:val="9"/>
    <w:semiHidden w:val="on"/>
    <w:unhideWhenUsed w:val="on"/>
    <w:qFormat w:val="on"/>
    <w:pPr>
      <w:keepNext w:val="on"/>
      <w:keepLines w:val="on"/>
      <w:spacing w:before="160" w:after="80"/>
    </w:pPr>
    <w:rPr>
      <w:rFonts w:cstheme="majorBidi" w:eastAsiaTheme="majorEastAsia"/>
      <w:color w:val="104760" w:themeColor="accent1" w:themeShade="bf"/>
      <w:sz w:val="28"/>
      <w:szCs w:val="28"/>
    </w:rPr>
  </w:style>
  <w:style w:type="paragraph" w:styleId="Heading4">
    <w:name w:val="Heading 4"/>
    <w:basedOn w:val="Normal"/>
    <w:next w:val="Normal"/>
    <w:link w:val="Heading4Char"/>
    <w:uiPriority w:val="9"/>
    <w:semiHidden w:val="on"/>
    <w:unhideWhenUsed w:val="on"/>
    <w:qFormat w:val="on"/>
    <w:pPr>
      <w:keepNext w:val="on"/>
      <w:keepLines w:val="on"/>
      <w:spacing w:before="80" w:after="40"/>
    </w:pPr>
    <w:rPr>
      <w:rFonts w:cstheme="majorBidi" w:eastAsiaTheme="majorEastAsia"/>
      <w:i/>
      <w:iCs/>
      <w:color w:val="104760" w:themeColor="accent1" w:themeShade="bf"/>
    </w:rPr>
  </w:style>
  <w:style w:type="paragraph" w:styleId="Heading5">
    <w:name w:val="Heading 5"/>
    <w:basedOn w:val="Normal"/>
    <w:next w:val="Normal"/>
    <w:link w:val="Heading5Char"/>
    <w:uiPriority w:val="9"/>
    <w:semiHidden w:val="on"/>
    <w:unhideWhenUsed w:val="on"/>
    <w:qFormat w:val="on"/>
    <w:pPr>
      <w:keepNext w:val="on"/>
      <w:keepLines w:val="on"/>
      <w:spacing w:before="80" w:after="40"/>
    </w:pPr>
    <w:rPr>
      <w:rFonts w:cstheme="majorBidi" w:eastAsiaTheme="majorEastAsia"/>
      <w:color w:val="104760" w:themeColor="accent1" w:themeShade="bf"/>
    </w:rPr>
  </w:style>
  <w:style w:type="paragraph" w:styleId="Heading6">
    <w:name w:val="Heading 6"/>
    <w:basedOn w:val="Normal"/>
    <w:next w:val="Normal"/>
    <w:link w:val="Heading6Char"/>
    <w:uiPriority w:val="9"/>
    <w:semiHidden w:val="on"/>
    <w:unhideWhenUsed w:val="on"/>
    <w:qFormat w:val="on"/>
    <w:pPr>
      <w:keepNext w:val="on"/>
      <w:keepLines w:val="on"/>
      <w:spacing w:before="40" w:after="0"/>
    </w:pPr>
    <w:rPr>
      <w:rFonts w:cstheme="majorBidi" w:eastAsiaTheme="majorEastAsia"/>
      <w:i/>
      <w:iCs/>
      <w:color w:val="595959" w:themeColor="text1" w:themeTint="a6"/>
    </w:rPr>
  </w:style>
  <w:style w:type="paragraph" w:styleId="Heading7">
    <w:name w:val="Heading 7"/>
    <w:basedOn w:val="Normal"/>
    <w:next w:val="Normal"/>
    <w:link w:val="Heading7Char"/>
    <w:uiPriority w:val="9"/>
    <w:semiHidden w:val="on"/>
    <w:unhideWhenUsed w:val="on"/>
    <w:qFormat w:val="on"/>
    <w:pPr>
      <w:keepNext w:val="on"/>
      <w:keepLines w:val="on"/>
      <w:spacing w:before="40" w:after="0"/>
    </w:pPr>
    <w:rPr>
      <w:rFonts w:cstheme="majorBidi" w:eastAsiaTheme="majorEastAsia"/>
      <w:color w:val="595959" w:themeColor="text1" w:themeTint="a6"/>
    </w:rPr>
  </w:style>
  <w:style w:type="paragraph" w:styleId="Heading8">
    <w:name w:val="Heading 8"/>
    <w:basedOn w:val="Normal"/>
    <w:next w:val="Normal"/>
    <w:link w:val="Heading8Char"/>
    <w:uiPriority w:val="9"/>
    <w:semiHidden w:val="on"/>
    <w:unhideWhenUsed w:val="on"/>
    <w:qFormat w:val="on"/>
    <w:pPr>
      <w:keepNext w:val="on"/>
      <w:keepLines w:val="on"/>
      <w:spacing w:after="0"/>
    </w:pPr>
    <w:rPr>
      <w:rFonts w:cstheme="majorBidi" w:eastAsiaTheme="majorEastAsia"/>
      <w:i/>
      <w:iCs/>
      <w:color w:val="272727" w:themeColor="text1" w:themeTint="d8"/>
    </w:rPr>
  </w:style>
  <w:style w:type="paragraph" w:styleId="Heading9">
    <w:name w:val="Heading 9"/>
    <w:basedOn w:val="Normal"/>
    <w:next w:val="Normal"/>
    <w:link w:val="Heading9Char"/>
    <w:uiPriority w:val="9"/>
    <w:semiHidden w:val="on"/>
    <w:unhideWhenUsed w:val="on"/>
    <w:qFormat w:val="on"/>
    <w:pPr>
      <w:keepNext w:val="on"/>
      <w:keepLines w:val="on"/>
      <w:spacing w:after="0"/>
    </w:pPr>
    <w:rPr>
      <w:rFonts w:cstheme="majorBidi" w:eastAsiaTheme="majorEastAsia"/>
      <w:color w:val="272727" w:themeColor="text1" w:themeTint="d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104760" w:themeColor="accent1" w:themeShade="bf"/>
      <w:sz w:val="40"/>
      <w:szCs w:val="40"/>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104760" w:themeColor="accent1" w:themeShade="bf"/>
      <w:sz w:val="32"/>
      <w:szCs w:val="32"/>
    </w:rPr>
  </w:style>
  <w:style w:type="character" w:customStyle="1" w:styleId="Heading3Char">
    <w:name w:val="Heading 3 Char"/>
    <w:basedOn w:val="DefaultParagraphFont"/>
    <w:link w:val="Heading3"/>
    <w:uiPriority w:val="9"/>
    <w:semiHidden w:val="on"/>
    <w:rPr>
      <w:rFonts w:cstheme="majorBidi" w:eastAsiaTheme="majorEastAsia"/>
      <w:color w:val="104760" w:themeColor="accent1" w:themeShade="bf"/>
      <w:sz w:val="28"/>
      <w:szCs w:val="28"/>
    </w:rPr>
  </w:style>
  <w:style w:type="character" w:customStyle="1" w:styleId="Heading4Char">
    <w:name w:val="Heading 4 Char"/>
    <w:basedOn w:val="DefaultParagraphFont"/>
    <w:link w:val="Heading4"/>
    <w:uiPriority w:val="9"/>
    <w:semiHidden w:val="on"/>
    <w:rPr>
      <w:rFonts w:cstheme="majorBidi" w:eastAsiaTheme="majorEastAsia"/>
      <w:i/>
      <w:iCs/>
      <w:color w:val="104760" w:themeColor="accent1" w:themeShade="bf"/>
    </w:rPr>
  </w:style>
  <w:style w:type="character" w:customStyle="1" w:styleId="Heading5Char">
    <w:name w:val="Heading 5 Char"/>
    <w:basedOn w:val="DefaultParagraphFont"/>
    <w:link w:val="Heading5"/>
    <w:uiPriority w:val="9"/>
    <w:semiHidden w:val="on"/>
    <w:rPr>
      <w:rFonts w:cstheme="majorBidi" w:eastAsiaTheme="majorEastAsia"/>
      <w:color w:val="104760" w:themeColor="accent1" w:themeShade="bf"/>
    </w:rPr>
  </w:style>
  <w:style w:type="character" w:customStyle="1" w:styleId="Heading6Char">
    <w:name w:val="Heading 6 Char"/>
    <w:basedOn w:val="DefaultParagraphFont"/>
    <w:link w:val="Heading6"/>
    <w:uiPriority w:val="9"/>
    <w:semiHidden w:val="on"/>
    <w:rPr>
      <w:rFonts w:cstheme="majorBidi" w:eastAsiaTheme="majorEastAsia"/>
      <w:i/>
      <w:iCs/>
      <w:color w:val="595959" w:themeColor="text1" w:themeTint="a6"/>
    </w:rPr>
  </w:style>
  <w:style w:type="character" w:customStyle="1" w:styleId="Heading7Char">
    <w:name w:val="Heading 7 Char"/>
    <w:basedOn w:val="DefaultParagraphFont"/>
    <w:link w:val="Heading7"/>
    <w:uiPriority w:val="9"/>
    <w:semiHidden w:val="on"/>
    <w:rPr>
      <w:rFonts w:cstheme="majorBidi" w:eastAsiaTheme="majorEastAsia"/>
      <w:color w:val="595959" w:themeColor="text1" w:themeTint="a6"/>
    </w:rPr>
  </w:style>
  <w:style w:type="character" w:customStyle="1" w:styleId="Heading8Char">
    <w:name w:val="Heading 8 Char"/>
    <w:basedOn w:val="DefaultParagraphFont"/>
    <w:link w:val="Heading8"/>
    <w:uiPriority w:val="9"/>
    <w:semiHidden w:val="on"/>
    <w:rPr>
      <w:rFonts w:cstheme="majorBidi" w:eastAsiaTheme="majorEastAsia"/>
      <w:i/>
      <w:iCs/>
      <w:color w:val="272727" w:themeColor="text1" w:themeTint="d8"/>
    </w:rPr>
  </w:style>
  <w:style w:type="character" w:customStyle="1" w:styleId="Heading9Char">
    <w:name w:val="Heading 9 Char"/>
    <w:basedOn w:val="DefaultParagraphFont"/>
    <w:link w:val="Heading9"/>
    <w:uiPriority w:val="9"/>
    <w:semiHidden w:val="on"/>
    <w:rPr>
      <w:rFonts w:cstheme="majorBidi" w:eastAsiaTheme="majorEastAsia"/>
      <w:color w:val="272727" w:themeColor="text1" w:themeTint="d8"/>
    </w:rPr>
  </w:style>
  <w:style w:type="paragraph" w:styleId="Title">
    <w:name w:val="Title"/>
    <w:basedOn w:val="Normal"/>
    <w:next w:val="Normal"/>
    <w:link w:val="TitleChar"/>
    <w:uiPriority w:val="10"/>
    <w:qFormat w:val="on"/>
    <w:pPr>
      <w:spacing w:after="80" w:line="240" w:lineRule="auto"/>
      <w:contextualSpacing w:val="on"/>
    </w:pPr>
    <w:rPr>
      <w:rFonts w:asciiTheme="majorHAnsi" w:cstheme="majorBidi" w:eastAsiaTheme="majorEastAsia" w:hAnsiTheme="majorHAnsi"/>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Subtitle">
    <w:name w:val="Subtitle"/>
    <w:basedOn w:val="Normal"/>
    <w:next w:val="Normal"/>
    <w:link w:val="SubtitleChar"/>
    <w:uiPriority w:val="11"/>
    <w:qFormat w:val="on"/>
    <w:pPr/>
    <w:rPr>
      <w:rFonts w:cstheme="majorBidi"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val="on"/>
    <w:pPr>
      <w:ind w:left="720"/>
      <w:contextualSpacing w:val="on"/>
    </w:pPr>
  </w:style>
  <w:style w:type="character" w:styleId="IntenseEmphasis">
    <w:name w:val="Intense Emphasis"/>
    <w:basedOn w:val="DefaultParagraphFont"/>
    <w:uiPriority w:val="21"/>
    <w:qFormat w:val="on"/>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customStyle="1" w:styleId="IntenseQuoteChar">
    <w:name w:val="Intense Quote Char"/>
    <w:basedOn w:val="DefaultParagraphFont"/>
    <w:link w:val="IntenseQuote"/>
    <w:uiPriority w:val="30"/>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val="on"/>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496524">
      <w:marLeft w:val="480"/>
      <w:marRight w:val="0"/>
      <w:marTop w:val="0"/>
      <w:marBottom w:val="0"/>
      <w:divBdr>
        <w:top w:val="none" w:sz="0" w:space="0" w:color="auto"/>
        <w:left w:val="none" w:sz="0" w:space="0" w:color="auto"/>
        <w:bottom w:val="none" w:sz="0" w:space="0" w:color="auto"/>
        <w:right w:val="none" w:sz="0" w:space="0" w:color="auto"/>
      </w:divBdr>
    </w:div>
    <w:div w:id="714549339">
      <w:marLeft w:val="480"/>
      <w:marRight w:val="0"/>
      <w:marTop w:val="0"/>
      <w:marBottom w:val="0"/>
      <w:divBdr>
        <w:top w:val="none" w:sz="0" w:space="0" w:color="auto"/>
        <w:left w:val="none" w:sz="0" w:space="0" w:color="auto"/>
        <w:bottom w:val="none" w:sz="0" w:space="0" w:color="auto"/>
        <w:right w:val="none" w:sz="0" w:space="0" w:color="auto"/>
      </w:divBdr>
    </w:div>
    <w:div w:id="870462409">
      <w:marLeft w:val="480"/>
      <w:marRight w:val="0"/>
      <w:marTop w:val="0"/>
      <w:marBottom w:val="0"/>
      <w:divBdr>
        <w:top w:val="none" w:sz="0" w:space="0" w:color="auto"/>
        <w:left w:val="none" w:sz="0" w:space="0" w:color="auto"/>
        <w:bottom w:val="none" w:sz="0" w:space="0" w:color="auto"/>
        <w:right w:val="none" w:sz="0" w:space="0" w:color="auto"/>
      </w:divBdr>
    </w:div>
    <w:div w:id="981546137">
      <w:marLeft w:val="480"/>
      <w:marRight w:val="0"/>
      <w:marTop w:val="0"/>
      <w:marBottom w:val="0"/>
      <w:divBdr>
        <w:top w:val="none" w:sz="0" w:space="0" w:color="auto"/>
        <w:left w:val="none" w:sz="0" w:space="0" w:color="auto"/>
        <w:bottom w:val="none" w:sz="0" w:space="0" w:color="auto"/>
        <w:right w:val="none" w:sz="0" w:space="0" w:color="auto"/>
      </w:divBdr>
    </w:div>
    <w:div w:id="1100108381">
      <w:marLeft w:val="480"/>
      <w:marRight w:val="0"/>
      <w:marTop w:val="0"/>
      <w:marBottom w:val="0"/>
      <w:divBdr>
        <w:top w:val="none" w:sz="0" w:space="0" w:color="auto"/>
        <w:left w:val="none" w:sz="0" w:space="0" w:color="auto"/>
        <w:bottom w:val="none" w:sz="0" w:space="0" w:color="auto"/>
        <w:right w:val="none" w:sz="0" w:space="0" w:color="auto"/>
      </w:divBdr>
    </w:div>
    <w:div w:id="1164394686">
      <w:marLeft w:val="480"/>
      <w:marRight w:val="0"/>
      <w:marTop w:val="0"/>
      <w:marBottom w:val="0"/>
      <w:divBdr>
        <w:top w:val="none" w:sz="0" w:space="0" w:color="auto"/>
        <w:left w:val="none" w:sz="0" w:space="0" w:color="auto"/>
        <w:bottom w:val="none" w:sz="0" w:space="0" w:color="auto"/>
        <w:right w:val="none" w:sz="0" w:space="0" w:color="auto"/>
      </w:divBdr>
    </w:div>
    <w:div w:id="1260455296">
      <w:marLeft w:val="480"/>
      <w:marRight w:val="0"/>
      <w:marTop w:val="0"/>
      <w:marBottom w:val="0"/>
      <w:divBdr>
        <w:top w:val="none" w:sz="0" w:space="0" w:color="auto"/>
        <w:left w:val="none" w:sz="0" w:space="0" w:color="auto"/>
        <w:bottom w:val="none" w:sz="0" w:space="0" w:color="auto"/>
        <w:right w:val="none" w:sz="0" w:space="0" w:color="auto"/>
      </w:divBdr>
    </w:div>
    <w:div w:id="1772436113">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 Type="http://schemas.openxmlformats.org/officeDocument/2006/relationships/theme" Target="theme/theme1.xml"/><Relationship Id="rId2" Type="http://schemas.openxmlformats.org/officeDocument/2006/relationships/numbering" Target="numbering.xml"/><Relationship Id="rId3" Type="http://schemas.openxmlformats.org/officeDocument/2006/relationships/styles" Target="styles.xml"/><Relationship Id="rId32" Type="http://schemas.openxmlformats.org/officeDocument/2006/relationships/header" Target="header1.xml"/><Relationship Id="rId33" Type="http://schemas.openxmlformats.org/officeDocument/2006/relationships/footer" Target="footer1.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9" Type="http://schemas.openxmlformats.org/officeDocument/2006/relationships/fontTable" Target="fontTable.xml"/><Relationship Id="rId1" Type="http://schemas.openxmlformats.org/officeDocument/2006/relationships/customXml" Target="../customXml/item1.xml"/><Relationship Id="rId5" Type="http://schemas.openxmlformats.org/officeDocument/2006/relationships/webSettings" Target="webSettings.xml"/><Relationship Id="rId10"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41257DB-7988-4D67-AFD0-0B48833A4C7B}"/>
      </w:docPartPr>
      <w:docPartBody>
        <w:p w:rsidR="00362EBF" w:rsidRDefault="00E44954">
          <w:r w:rsidRPr="0045357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954"/>
    <w:rsid w:val="002914F7"/>
    <w:rsid w:val="00362EBF"/>
    <w:rsid w:val="00514361"/>
    <w:rsid w:val="009C13D2"/>
    <w:rsid w:val="00A861ED"/>
    <w:rsid w:val="00BF66DA"/>
    <w:rsid w:val="00E44954"/>
    <w:rsid w:val="00EF37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495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Aptos" panose="0211000402020202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50B005-C060-404C-A476-9AC6765A978C}">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69325769146"/>
    <we:property name="MENDELEY_CITATIONS" value="[{&quot;citationID&quot;:&quot;MENDELEY_CITATION_acc76ec4-7e10-4667-a0d8-dec629fb299d&quot;,&quot;properties&quot;:{&quot;noteIndex&quot;:0},&quot;isEdited&quot;:false,&quot;manualOverride&quot;:{&quot;isManuallyOverridden&quot;:false,&quot;citeprocText&quot;:&quot;(Health England, 2021)&quot;,&quot;manualOverrideText&quot;:&quot;&quot;},&quot;citationTag&quot;:&quot;MENDELEY_CITATION_v3_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&quot;,&quot;citationItems&quot;:[{&quot;id&quot;:&quot;eb9e2256-0e66-3576-9cca-4251c1902915&quot;,&quot;itemData&quot;:{&quot;type&quot;:&quot;webpage&quot;,&quot;id&quot;:&quot;eb9e2256-0e66-3576-9cca-4251c1902915&quot;,&quot;title&quot;:&quot;Health matters: obesity and the food environment - GOV.UK&quot;,&quot;author&quot;:[{&quot;family&quot;:&quot;Health England&quot;,&quot;given&quot;:&quot;Public&quot;,&quot;parse-names&quot;:false,&quot;dropping-particle&quot;:&quot;&quot;,&quot;non-dropping-particle&quot;:&quot;&quot;}],&quot;accessed&quot;:{&quot;date-parts&quot;:[[2026,1,25]]},&quot;URL&quot;:&quot;https://www.gov.uk/government/publications/health-matters-obesity-and-the-food-environment/health-matters-obesity-and-the-food-environment--2&quot;,&quot;issued&quot;:{&quot;date-parts&quot;:[[2021]]},&quot;container-title-short&quot;:&quot;&quot;},&quot;isTemporary&quot;:false}]},{&quot;citationID&quot;:&quot;MENDELEY_CITATION_23438cca-24d5-41ac-9fda-2b979721d7b5&quot;,&quot;properties&quot;:{&quot;noteIndex&quot;:0},&quot;isEdited&quot;:false,&quot;manualOverride&quot;:{&quot;isManuallyOverridden&quot;:false,&quot;citeprocText&quot;:&quot;(WHO, 2025)&quot;,&quot;manualOverrideText&quot;:&quot;&quot;},&quot;citationTag&quot;:&quot;MENDELEY_CITATION_v3_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&quot;,&quot;citationItems&quot;:[{&quot;id&quot;:&quot;c27383a5-b049-33fc-bcb4-3f6a625ff467&quot;,&quot;itemData&quot;:{&quot;type&quot;:&quot;webpage&quot;,&quot;id&quot;:&quot;c27383a5-b049-33fc-bcb4-3f6a625ff467&quot;,&quot;title&quot;:&quot;Obesity and overweight&quot;,&quot;author&quot;:[{&quot;family&quot;:&quot;WHO&quot;,&quot;given&quot;:&quot;&quot;,&quot;parse-names&quot;:false,&quot;dropping-particle&quot;:&quot;&quot;,&quot;non-dropping-particle&quot;:&quot;&quot;}],&quot;accessed&quot;:{&quot;date-parts&quot;:[[2026,1,25]]},&quot;URL&quot;:&quot;https://www.who.int/news-room/fact-sheets/detail/obesity-and-overweight&quot;,&quot;issued&quot;:{&quot;date-parts&quot;:[[2025]]},&quot;container-title-short&quot;:&quot;&quot;},&quot;isTemporary&quot;:false}]},{&quot;citationID&quot;:&quot;MENDELEY_CITATION_2dc41e5e-fda6-4402-a042-b771160b935e&quot;,&quot;properties&quot;:{&quot;noteIndex&quot;:0},&quot;isEdited&quot;:false,&quot;manualOverride&quot;:{&quot;isManuallyOverridden&quot;:false,&quot;citeprocText&quot;:&quot;(GOV.UK, 2019)&quot;,&quot;manualOverrideText&quot;:&quot;&quot;},&quot;citationTag&quot;:&quot;MENDELEY_CITATION_v3_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&quot;,&quot;citationItems&quot;:[{&quot;id&quot;:&quot;0862bf0c-e6ac-3192-92d4-d191afdb332a&quot;,&quot;itemData&quot;:{&quot;type&quot;:&quot;webpage&quot;,&quot;id&quot;:&quot;0862bf0c-e6ac-3192-92d4-d191afdb332a&quot;,&quot;title&quot;:&quot;Tackling obesity: empowering adults and children to live healthier lives - GOV.UK&quot;,&quot;author&quot;:[{&quot;family&quot;:&quot;GOV.UK&quot;,&quot;given&quot;:&quot;&quot;,&quot;parse-names&quot;:false,&quot;dropping-particle&quot;:&quot;&quot;,&quot;non-dropping-particle&quot;:&quot;&quot;}],&quot;accessed&quot;:{&quot;date-parts&quot;:[[2026,1,25]]},&quot;URL&quot;:&quot;https://www.gov.uk/government/publications/tackling-obesity-government-strategy/tackling-obesity-empowering-adults-and-children-to-live-healthier-lives&quot;,&quot;issued&quot;:{&quot;date-parts&quot;:[[2019]]},&quot;container-title-short&quot;:&quot;&quot;},&quot;isTemporary&quot;:false}]},{&quot;citationID&quot;:&quot;MENDELEY_CITATION_d209c109-9fcf-4441-96dd-594ad2014522&quot;,&quot;properties&quot;:{&quot;noteIndex&quot;:0},&quot;isEdited&quot;:false,&quot;manualOverride&quot;:{&quot;isManuallyOverridden&quot;:false,&quot;citeprocText&quot;:&quot;(Roqué i Figuls et al., 2018)&quot;,&quot;manualOverrideText&quot;:&quot;&quot;},&quot;citationTag&quot;:&quot;MENDELEY_CITATION_v3_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&quot;,&quot;citationItems&quot;:[{&quot;id&quot;:&quot;e0f3f8f6-1686-3aa5-82ab-5ab9a06d5e4b&quot;,&quot;itemData&quot;:{&quot;type&quot;:&quot;article-journal&quot;,&quot;id&quot;:&quot;e0f3f8f6-1686-3aa5-82ab-5ab9a06d5e4b&quot;,&quot;title&quot;:&quot;Interventions for treating overweight or obesity in adults: an overview of systematic reviews&quot;,&quot;author&quot;:[{&quot;family&quot;:&quot;Roqué i Figuls&quot;,&quot;given&quot;:&quot;Marta&quot;,&quot;parse-names&quot;:false,&quot;dropping-particle&quot;:&quot;&quot;,&quot;non-dropping-particle&quot;:&quot;&quot;},{&quot;family&quot;:&quot;Martínez García&quot;,&quot;given&quot;:&quot;Laura&quot;,&quot;parse-names&quot;:false,&quot;dropping-particle&quot;:&quot;&quot;,&quot;non-dropping-particle&quot;:&quot;&quot;},{&quot;family&quot;:&quot;Martinez-Zapata&quot;,&quot;given&quot;:&quot;Maria José&quot;,&quot;parse-names&quot;:false,&quot;dropping-particle&quot;:&quot;&quot;,&quot;non-dropping-particle&quot;:&quot;&quot;},{&quot;family&quot;:&quot;Pacheco&quot;,&quot;given&quot;:&quot;Roxana&quot;,&quot;parse-names&quot;:false,&quot;dropping-particle&quot;:&quot;&quot;,&quot;non-dropping-particle&quot;:&quot;&quot;},{&quot;family&quot;:&quot;Mauricio&quot;,&quot;given&quot;:&quot;Didac&quot;,&quot;parse-names&quot;:false,&quot;dropping-particle&quot;:&quot;&quot;,&quot;non-dropping-particle&quot;:&quot;&quot;},{&quot;family&quot;:&quot;Bonfill Cosp&quot;,&quot;given&quot;:&quot;Xavier&quot;,&quot;parse-names&quot;:false,&quot;dropping-particle&quot;:&quot;&quot;,&quot;non-dropping-particle&quot;:&quot;&quot;}],&quot;container-title&quot;:&quot;Cochrane Database of Systematic Reviews&quot;,&quot;DOI&quot;:&quot;10.1002/14651858.CD010665.pub2&quot;,&quot;ISSN&quot;:&quot;14651858&quot;,&quot;issued&quot;:{&quot;date-parts&quot;:[[2018,12,4]]},&quot;abstract&quot;:&quot;The protocol has been withdrawn because finishing the review within adequate deadlines could not be achieved by the review authors.&quot;,&quot;publisher&quot;:&quot;John Wiley and Sons Ltd&quot;,&quot;issue&quot;:&quot;12&quot;,&quot;volume&quot;:&quot;2018&quot;,&quot;container-title-short&quot;:&quot;&quot;},&quot;isTemporary&quot;:false}]},{&quot;citationID&quot;:&quot;MENDELEY_CITATION_b5823e7e-b3c3-4921-80aa-f59025fbf2a4&quot;,&quot;properties&quot;:{&quot;noteIndex&quot;:0},&quot;isEdited&quot;:false,&quot;manualOverride&quot;:{&quot;isManuallyOverridden&quot;:false,&quot;citeprocText&quot;:&quot;(Malley, 2005)&quot;,&quot;manualOverrideText&quot;:&quot;&quot;},&quot;citationTag&quot;:&quot;MENDELEY_CITATION_v3_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&quot;,&quot;citationItems&quot;:[{&quot;id&quot;:&quot;d2c829de-68ab-3279-87ba-3048232d4e9e&quot;,&quot;itemData&quot;:{&quot;type&quot;:&quot;report&quot;,&quot;id&quot;:&quot;d2c829de-68ab-3279-87ba-3048232d4e9e&quot;,&quot;title&quot;:&quot;Theory &amp; Practice This is an electronic version of an article published in Arksey&quot;,&quot;author&quot;:[{&quot;family&quot;:&quot;Malley&quot;,&quot;given&quot;:&quot;H&quot;,&quot;parse-names&quot;:false,&quot;dropping-particle&quot;:&quot;&quot;,&quot;non-dropping-particle&quot;:&quot;&quot;}],&quot;container-title&quot;:&quot;The International Journal of Social Research Methodology&quot;,&quot;URL&quot;:&quot;http://journalsonline.tandf.co.uk/OpenURLlinktothearticle:http://www.journalsonline.tandf.co.uk/openurl.asp?genre=article&amp;eissn=1464-5300&amp;volume=8&amp;issue=1&amp;spage=19&quot;,&quot;issued&quot;:{&quot;date-parts&quot;:[[2005]]},&quot;number-of-pages&quot;:&quot;19-32&quot;,&quot;volume&quot;:&quot;8&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BA02B-A6C8-4DCE-AA30-8B0ED9858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831</Words>
  <Characters>4738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Cherry Spencer</dc:creator>
  <cp:lastModifiedBy>cherry Spencer</cp:lastModifiedBy>
</cp:coreProperties>
</file>