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03AAA" w14:textId="77777777" w:rsidR="006C07D4" w:rsidRDefault="006C07D4"/>
    <w:p w14:paraId="251CB80B" w14:textId="77777777" w:rsidR="002D1C85" w:rsidRDefault="002D1C85"/>
    <w:p w14:paraId="32E0DEBF" w14:textId="77777777" w:rsidR="002D1C85" w:rsidRDefault="002D1C85"/>
    <w:p w14:paraId="6BCBD832" w14:textId="77777777" w:rsidR="00E46DBE" w:rsidRDefault="00E46DBE"/>
    <w:p w14:paraId="639751D0" w14:textId="77777777" w:rsidR="005E363A" w:rsidRDefault="005E363A" w:rsidP="005E363A">
      <w:pPr>
        <w:rPr>
          <w:rFonts w:ascii="Arial" w:hAnsi="Arial" w:cs="Arial"/>
          <w:sz w:val="56"/>
          <w:szCs w:val="48"/>
          <w:u w:val="single"/>
        </w:rPr>
      </w:pPr>
    </w:p>
    <w:p w14:paraId="3F2A9265" w14:textId="011468B0" w:rsidR="003B43B6" w:rsidRPr="003B43B6" w:rsidRDefault="003C7A54" w:rsidP="003B43B6">
      <w:pPr>
        <w:jc w:val="center"/>
        <w:rPr>
          <w:rFonts w:ascii="Arial" w:hAnsi="Arial" w:cs="Arial"/>
          <w:b/>
          <w:sz w:val="56"/>
          <w:szCs w:val="48"/>
          <w:u w:val="single"/>
        </w:rPr>
      </w:pPr>
      <w:r>
        <w:rPr>
          <w:rFonts w:ascii="Arial" w:hAnsi="Arial" w:cs="Arial"/>
          <w:b/>
          <w:sz w:val="56"/>
          <w:szCs w:val="48"/>
          <w:u w:val="single"/>
        </w:rPr>
        <w:t>LCBB501</w:t>
      </w:r>
      <w:r w:rsidR="00926327">
        <w:rPr>
          <w:rFonts w:ascii="Arial" w:hAnsi="Arial" w:cs="Arial"/>
          <w:b/>
          <w:sz w:val="56"/>
          <w:szCs w:val="48"/>
          <w:u w:val="single"/>
        </w:rPr>
        <w:t>5</w:t>
      </w:r>
    </w:p>
    <w:p w14:paraId="5F3F13DE" w14:textId="7C5C5213" w:rsidR="005E363A" w:rsidRDefault="003C7A54" w:rsidP="003B43B6">
      <w:pPr>
        <w:jc w:val="center"/>
        <w:rPr>
          <w:rFonts w:ascii="Arial" w:hAnsi="Arial" w:cs="Arial"/>
          <w:sz w:val="56"/>
          <w:szCs w:val="48"/>
          <w:u w:val="single"/>
        </w:rPr>
      </w:pPr>
      <w:r>
        <w:rPr>
          <w:rFonts w:ascii="Arial" w:hAnsi="Arial" w:cs="Arial"/>
          <w:sz w:val="56"/>
          <w:szCs w:val="48"/>
          <w:u w:val="single"/>
        </w:rPr>
        <w:t>Principles of Marketing</w:t>
      </w:r>
    </w:p>
    <w:p w14:paraId="11EA0A10" w14:textId="77777777" w:rsidR="00211DDB" w:rsidRDefault="00211DDB" w:rsidP="00211DDB">
      <w:pPr>
        <w:jc w:val="center"/>
        <w:rPr>
          <w:rFonts w:ascii="Arial" w:hAnsi="Arial" w:cs="Arial"/>
          <w:sz w:val="56"/>
          <w:szCs w:val="48"/>
          <w:u w:val="single"/>
        </w:rPr>
      </w:pPr>
    </w:p>
    <w:p w14:paraId="0BABE6AC" w14:textId="22ADE934" w:rsidR="00CC2757" w:rsidRPr="00CC2757" w:rsidRDefault="00CC2757" w:rsidP="00211DDB">
      <w:pPr>
        <w:jc w:val="center"/>
        <w:rPr>
          <w:rFonts w:ascii="Arial" w:hAnsi="Arial" w:cs="Arial"/>
          <w:b/>
          <w:bCs/>
          <w:sz w:val="28"/>
        </w:rPr>
      </w:pPr>
      <w:r w:rsidRPr="00CC2757">
        <w:rPr>
          <w:rFonts w:ascii="Arial" w:hAnsi="Arial" w:cs="Arial"/>
          <w:b/>
          <w:bCs/>
          <w:sz w:val="28"/>
        </w:rPr>
        <w:t>Assignment 2:</w:t>
      </w:r>
    </w:p>
    <w:p w14:paraId="5A90B631" w14:textId="7AD7FBB3" w:rsidR="005E363A" w:rsidRDefault="00CC2757" w:rsidP="005E363A">
      <w:pPr>
        <w:jc w:val="center"/>
        <w:rPr>
          <w:rFonts w:ascii="Arial" w:hAnsi="Arial" w:cs="Arial"/>
          <w:b/>
          <w:sz w:val="48"/>
          <w:szCs w:val="20"/>
          <w:u w:val="single"/>
        </w:rPr>
      </w:pPr>
      <w:r>
        <w:rPr>
          <w:rFonts w:ascii="Arial" w:hAnsi="Arial" w:cs="Arial"/>
          <w:b/>
          <w:sz w:val="48"/>
          <w:szCs w:val="20"/>
          <w:u w:val="single"/>
        </w:rPr>
        <w:t>3</w:t>
      </w:r>
      <w:r w:rsidR="003C7A54">
        <w:rPr>
          <w:rFonts w:ascii="Arial" w:hAnsi="Arial" w:cs="Arial"/>
          <w:b/>
          <w:sz w:val="48"/>
          <w:szCs w:val="20"/>
          <w:u w:val="single"/>
        </w:rPr>
        <w:t>000</w:t>
      </w:r>
      <w:r w:rsidR="003B43B6">
        <w:rPr>
          <w:rFonts w:ascii="Arial" w:hAnsi="Arial" w:cs="Arial"/>
          <w:b/>
          <w:sz w:val="48"/>
          <w:szCs w:val="20"/>
          <w:u w:val="single"/>
        </w:rPr>
        <w:t xml:space="preserve"> word</w:t>
      </w:r>
      <w:r w:rsidR="00A22998">
        <w:rPr>
          <w:rFonts w:ascii="Arial" w:hAnsi="Arial" w:cs="Arial"/>
          <w:b/>
          <w:sz w:val="48"/>
          <w:szCs w:val="20"/>
          <w:u w:val="single"/>
        </w:rPr>
        <w:t>s</w:t>
      </w:r>
    </w:p>
    <w:p w14:paraId="7CAA6058" w14:textId="47A882C7" w:rsidR="003B43B6" w:rsidRDefault="00CC2757" w:rsidP="005E363A">
      <w:pPr>
        <w:jc w:val="center"/>
        <w:rPr>
          <w:rFonts w:ascii="Arial" w:hAnsi="Arial" w:cs="Arial"/>
          <w:b/>
          <w:sz w:val="48"/>
          <w:szCs w:val="20"/>
        </w:rPr>
      </w:pPr>
      <w:r>
        <w:rPr>
          <w:rFonts w:ascii="Arial" w:hAnsi="Arial" w:cs="Arial"/>
          <w:b/>
          <w:sz w:val="48"/>
          <w:szCs w:val="20"/>
        </w:rPr>
        <w:t>Group Report</w:t>
      </w:r>
    </w:p>
    <w:p w14:paraId="5D58E89A" w14:textId="77777777" w:rsidR="0082387C" w:rsidRPr="003B43B6" w:rsidRDefault="0082387C" w:rsidP="005E363A">
      <w:pPr>
        <w:jc w:val="center"/>
        <w:rPr>
          <w:rFonts w:ascii="Arial" w:hAnsi="Arial" w:cs="Arial"/>
          <w:sz w:val="48"/>
          <w:szCs w:val="20"/>
        </w:rPr>
      </w:pPr>
    </w:p>
    <w:tbl>
      <w:tblPr>
        <w:tblStyle w:val="GridTable5Dark-Accent4"/>
        <w:tblW w:w="0" w:type="auto"/>
        <w:tblLook w:val="04A0" w:firstRow="1" w:lastRow="0" w:firstColumn="1" w:lastColumn="0" w:noHBand="0" w:noVBand="1"/>
      </w:tblPr>
      <w:tblGrid>
        <w:gridCol w:w="5240"/>
        <w:gridCol w:w="3776"/>
      </w:tblGrid>
      <w:tr w:rsidR="0082387C" w14:paraId="7869A50C" w14:textId="77777777" w:rsidTr="00823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297E08CA" w14:textId="0435B2AA" w:rsidR="0082387C" w:rsidRPr="0082387C" w:rsidRDefault="0082387C" w:rsidP="0082387C">
            <w:pPr>
              <w:spacing w:line="276" w:lineRule="auto"/>
              <w:jc w:val="center"/>
              <w:rPr>
                <w:rFonts w:ascii="Arial" w:hAnsi="Arial" w:cs="Arial"/>
                <w:color w:val="auto"/>
                <w:sz w:val="44"/>
                <w:szCs w:val="18"/>
              </w:rPr>
            </w:pPr>
            <w:r w:rsidRPr="0082387C">
              <w:rPr>
                <w:rFonts w:ascii="Arial" w:hAnsi="Arial" w:cs="Arial"/>
                <w:color w:val="auto"/>
                <w:sz w:val="44"/>
                <w:szCs w:val="18"/>
              </w:rPr>
              <w:t>Student name</w:t>
            </w:r>
          </w:p>
        </w:tc>
        <w:tc>
          <w:tcPr>
            <w:tcW w:w="3776" w:type="dxa"/>
          </w:tcPr>
          <w:p w14:paraId="63240892" w14:textId="312981C1" w:rsidR="0082387C" w:rsidRPr="0082387C" w:rsidRDefault="0082387C" w:rsidP="0082387C">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44"/>
                <w:szCs w:val="18"/>
              </w:rPr>
            </w:pPr>
            <w:r w:rsidRPr="0082387C">
              <w:rPr>
                <w:rFonts w:ascii="Arial" w:hAnsi="Arial" w:cs="Arial"/>
                <w:color w:val="auto"/>
                <w:sz w:val="44"/>
                <w:szCs w:val="18"/>
              </w:rPr>
              <w:t>Student ID</w:t>
            </w:r>
          </w:p>
        </w:tc>
      </w:tr>
      <w:tr w:rsidR="0082387C" w14:paraId="629827BE" w14:textId="77777777" w:rsidTr="00823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7EDBFAA" w14:textId="532B1E1B" w:rsidR="0082387C" w:rsidRPr="0082387C" w:rsidRDefault="0082387C" w:rsidP="0082387C">
            <w:pPr>
              <w:pStyle w:val="ListParagraph"/>
              <w:numPr>
                <w:ilvl w:val="0"/>
                <w:numId w:val="38"/>
              </w:numPr>
              <w:rPr>
                <w:rFonts w:ascii="Arial" w:hAnsi="Arial" w:cs="Arial"/>
                <w:sz w:val="36"/>
                <w:szCs w:val="14"/>
              </w:rPr>
            </w:pPr>
            <w:r w:rsidRPr="0082387C">
              <w:rPr>
                <w:rFonts w:ascii="Arial" w:hAnsi="Arial" w:cs="Arial"/>
                <w:sz w:val="36"/>
                <w:szCs w:val="14"/>
              </w:rPr>
              <w:t>Ion Ignat</w:t>
            </w:r>
          </w:p>
        </w:tc>
        <w:tc>
          <w:tcPr>
            <w:tcW w:w="3776" w:type="dxa"/>
          </w:tcPr>
          <w:p w14:paraId="46DE8B70" w14:textId="1D82DB93" w:rsidR="0082387C" w:rsidRPr="0082387C" w:rsidRDefault="0082387C" w:rsidP="0082387C">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36"/>
                <w:szCs w:val="14"/>
              </w:rPr>
            </w:pPr>
            <w:r w:rsidRPr="0082387C">
              <w:rPr>
                <w:rFonts w:ascii="Arial" w:hAnsi="Arial" w:cs="Arial"/>
                <w:sz w:val="36"/>
                <w:szCs w:val="14"/>
              </w:rPr>
              <w:t>2327723</w:t>
            </w:r>
          </w:p>
        </w:tc>
      </w:tr>
      <w:tr w:rsidR="0082387C" w14:paraId="255A5C12" w14:textId="77777777" w:rsidTr="0082387C">
        <w:tc>
          <w:tcPr>
            <w:cnfStyle w:val="001000000000" w:firstRow="0" w:lastRow="0" w:firstColumn="1" w:lastColumn="0" w:oddVBand="0" w:evenVBand="0" w:oddHBand="0" w:evenHBand="0" w:firstRowFirstColumn="0" w:firstRowLastColumn="0" w:lastRowFirstColumn="0" w:lastRowLastColumn="0"/>
            <w:tcW w:w="5240" w:type="dxa"/>
          </w:tcPr>
          <w:p w14:paraId="02399EFC" w14:textId="49C7A1EA" w:rsidR="0082387C" w:rsidRPr="0082387C" w:rsidRDefault="0082387C" w:rsidP="0082387C">
            <w:pPr>
              <w:pStyle w:val="ListParagraph"/>
              <w:numPr>
                <w:ilvl w:val="0"/>
                <w:numId w:val="38"/>
              </w:numPr>
              <w:rPr>
                <w:rFonts w:ascii="Arial" w:hAnsi="Arial" w:cs="Arial"/>
                <w:sz w:val="36"/>
                <w:szCs w:val="14"/>
              </w:rPr>
            </w:pPr>
            <w:r w:rsidRPr="0082387C">
              <w:rPr>
                <w:rFonts w:ascii="Arial" w:hAnsi="Arial" w:cs="Arial"/>
                <w:sz w:val="36"/>
                <w:szCs w:val="14"/>
              </w:rPr>
              <w:t>Hicham Chaibi</w:t>
            </w:r>
          </w:p>
        </w:tc>
        <w:tc>
          <w:tcPr>
            <w:tcW w:w="3776" w:type="dxa"/>
          </w:tcPr>
          <w:p w14:paraId="7794DFCB" w14:textId="0B7D9633" w:rsidR="0082387C" w:rsidRPr="0082387C" w:rsidRDefault="0082387C" w:rsidP="0082387C">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36"/>
                <w:szCs w:val="14"/>
              </w:rPr>
            </w:pPr>
            <w:r w:rsidRPr="0082387C">
              <w:rPr>
                <w:rFonts w:ascii="Arial" w:hAnsi="Arial" w:cs="Arial"/>
                <w:sz w:val="36"/>
                <w:szCs w:val="14"/>
              </w:rPr>
              <w:t>2423821</w:t>
            </w:r>
          </w:p>
        </w:tc>
      </w:tr>
      <w:tr w:rsidR="0082387C" w14:paraId="0D3A47B0" w14:textId="77777777" w:rsidTr="00823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168AE98C" w14:textId="022470A5" w:rsidR="0082387C" w:rsidRPr="0082387C" w:rsidRDefault="0082387C" w:rsidP="0082387C">
            <w:pPr>
              <w:pStyle w:val="ListParagraph"/>
              <w:numPr>
                <w:ilvl w:val="0"/>
                <w:numId w:val="38"/>
              </w:numPr>
              <w:rPr>
                <w:rFonts w:ascii="Arial" w:hAnsi="Arial" w:cs="Arial"/>
                <w:sz w:val="36"/>
                <w:szCs w:val="14"/>
              </w:rPr>
            </w:pPr>
            <w:r w:rsidRPr="0082387C">
              <w:rPr>
                <w:rFonts w:ascii="Arial" w:hAnsi="Arial" w:cs="Arial"/>
                <w:sz w:val="36"/>
                <w:szCs w:val="14"/>
              </w:rPr>
              <w:t>Ionut Claudiu Dolca</w:t>
            </w:r>
          </w:p>
        </w:tc>
        <w:tc>
          <w:tcPr>
            <w:tcW w:w="3776" w:type="dxa"/>
          </w:tcPr>
          <w:p w14:paraId="6A2E4C84" w14:textId="23765869" w:rsidR="0082387C" w:rsidRPr="0082387C" w:rsidRDefault="0082387C" w:rsidP="0082387C">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36"/>
                <w:szCs w:val="14"/>
              </w:rPr>
            </w:pPr>
            <w:r w:rsidRPr="0082387C">
              <w:rPr>
                <w:rFonts w:ascii="Arial" w:hAnsi="Arial" w:cs="Arial"/>
                <w:sz w:val="36"/>
                <w:szCs w:val="14"/>
              </w:rPr>
              <w:t>2217133</w:t>
            </w:r>
          </w:p>
        </w:tc>
      </w:tr>
      <w:tr w:rsidR="0082387C" w14:paraId="3E416355" w14:textId="77777777" w:rsidTr="0082387C">
        <w:tc>
          <w:tcPr>
            <w:cnfStyle w:val="001000000000" w:firstRow="0" w:lastRow="0" w:firstColumn="1" w:lastColumn="0" w:oddVBand="0" w:evenVBand="0" w:oddHBand="0" w:evenHBand="0" w:firstRowFirstColumn="0" w:firstRowLastColumn="0" w:lastRowFirstColumn="0" w:lastRowLastColumn="0"/>
            <w:tcW w:w="5240" w:type="dxa"/>
          </w:tcPr>
          <w:p w14:paraId="0FDCD55A" w14:textId="425C94F2" w:rsidR="0082387C" w:rsidRPr="0082387C" w:rsidRDefault="0082387C" w:rsidP="0082387C">
            <w:pPr>
              <w:pStyle w:val="ListParagraph"/>
              <w:numPr>
                <w:ilvl w:val="0"/>
                <w:numId w:val="38"/>
              </w:numPr>
              <w:rPr>
                <w:rFonts w:ascii="Arial" w:hAnsi="Arial" w:cs="Arial"/>
                <w:sz w:val="36"/>
                <w:szCs w:val="14"/>
              </w:rPr>
            </w:pPr>
            <w:r w:rsidRPr="0082387C">
              <w:rPr>
                <w:rFonts w:ascii="Arial" w:hAnsi="Arial" w:cs="Arial"/>
                <w:sz w:val="36"/>
                <w:szCs w:val="14"/>
              </w:rPr>
              <w:t>Claudiu Octavian Cotet</w:t>
            </w:r>
          </w:p>
        </w:tc>
        <w:tc>
          <w:tcPr>
            <w:tcW w:w="3776" w:type="dxa"/>
          </w:tcPr>
          <w:p w14:paraId="25F189D4" w14:textId="209BAA5B" w:rsidR="0082387C" w:rsidRPr="0082387C" w:rsidRDefault="0082387C" w:rsidP="0082387C">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36"/>
                <w:szCs w:val="14"/>
              </w:rPr>
            </w:pPr>
            <w:r w:rsidRPr="0082387C">
              <w:rPr>
                <w:rFonts w:ascii="Arial" w:hAnsi="Arial" w:cs="Arial"/>
                <w:sz w:val="36"/>
                <w:szCs w:val="14"/>
              </w:rPr>
              <w:t>2430985</w:t>
            </w:r>
          </w:p>
        </w:tc>
      </w:tr>
    </w:tbl>
    <w:p w14:paraId="5456DCA0" w14:textId="2AE0E3F1" w:rsidR="00BF3A53" w:rsidRDefault="00BF3A53" w:rsidP="005E363A">
      <w:pPr>
        <w:jc w:val="center"/>
        <w:rPr>
          <w:rFonts w:ascii="Arial" w:hAnsi="Arial" w:cs="Arial"/>
          <w:sz w:val="48"/>
          <w:szCs w:val="20"/>
          <w:u w:val="single"/>
        </w:rPr>
      </w:pPr>
    </w:p>
    <w:p w14:paraId="561D4C0F" w14:textId="41898077" w:rsidR="00BF3A53" w:rsidRDefault="00BF3A53" w:rsidP="005E363A">
      <w:pPr>
        <w:jc w:val="center"/>
        <w:rPr>
          <w:rFonts w:ascii="Arial" w:hAnsi="Arial" w:cs="Arial"/>
          <w:sz w:val="48"/>
          <w:szCs w:val="20"/>
          <w:u w:val="single"/>
        </w:rPr>
      </w:pPr>
    </w:p>
    <w:p w14:paraId="21C52E45" w14:textId="77777777" w:rsidR="00BF3A53" w:rsidRDefault="00BF3A53" w:rsidP="005E363A">
      <w:pPr>
        <w:jc w:val="center"/>
        <w:rPr>
          <w:rFonts w:ascii="Arial" w:hAnsi="Arial" w:cs="Arial"/>
          <w:sz w:val="48"/>
          <w:szCs w:val="20"/>
          <w:u w:val="single"/>
        </w:rPr>
      </w:pPr>
    </w:p>
    <w:p w14:paraId="489DB0D4" w14:textId="77777777" w:rsidR="00BF3A53" w:rsidRDefault="00BF3A53" w:rsidP="005E363A">
      <w:pPr>
        <w:jc w:val="center"/>
        <w:rPr>
          <w:rFonts w:ascii="Arial" w:hAnsi="Arial" w:cs="Arial"/>
          <w:sz w:val="48"/>
          <w:szCs w:val="20"/>
          <w:u w:val="single"/>
        </w:rPr>
      </w:pPr>
    </w:p>
    <w:p w14:paraId="6F0C08F6" w14:textId="77777777" w:rsidR="00FD2C1A" w:rsidRDefault="00FD2C1A" w:rsidP="00BF3A53">
      <w:pPr>
        <w:spacing w:line="360" w:lineRule="auto"/>
        <w:jc w:val="both"/>
        <w:rPr>
          <w:rFonts w:ascii="Arial" w:hAnsi="Arial" w:cs="Arial"/>
          <w:sz w:val="48"/>
          <w:szCs w:val="20"/>
          <w:u w:val="single"/>
        </w:rPr>
      </w:pPr>
    </w:p>
    <w:p w14:paraId="24C753E6" w14:textId="77777777" w:rsidR="0082387C" w:rsidRDefault="0082387C" w:rsidP="0082387C">
      <w:pPr>
        <w:spacing w:line="360" w:lineRule="auto"/>
        <w:jc w:val="both"/>
        <w:rPr>
          <w:rFonts w:ascii="Arial" w:hAnsi="Arial" w:cs="Arial"/>
          <w:sz w:val="24"/>
          <w:szCs w:val="24"/>
        </w:rPr>
      </w:pPr>
    </w:p>
    <w:p w14:paraId="24BA29B5" w14:textId="77777777" w:rsidR="00E46DBE" w:rsidRDefault="00E46DBE" w:rsidP="0082387C">
      <w:pPr>
        <w:spacing w:line="360" w:lineRule="auto"/>
        <w:jc w:val="both"/>
        <w:rPr>
          <w:rFonts w:ascii="Arial" w:hAnsi="Arial" w:cs="Arial"/>
          <w:sz w:val="24"/>
          <w:szCs w:val="24"/>
        </w:rPr>
      </w:pPr>
    </w:p>
    <w:p w14:paraId="421DD2B0" w14:textId="77777777" w:rsidR="00E46DBE" w:rsidRDefault="00E46DBE" w:rsidP="0082387C">
      <w:pPr>
        <w:spacing w:line="360" w:lineRule="auto"/>
        <w:jc w:val="both"/>
        <w:rPr>
          <w:rFonts w:ascii="Arial" w:hAnsi="Arial" w:cs="Arial"/>
          <w:sz w:val="24"/>
          <w:szCs w:val="24"/>
        </w:rPr>
      </w:pPr>
    </w:p>
    <w:p w14:paraId="1D39240E" w14:textId="77777777" w:rsidR="00E46DBE" w:rsidRPr="00E46DBE" w:rsidRDefault="00E46DBE" w:rsidP="00E46DBE">
      <w:pPr>
        <w:pStyle w:val="Heading1"/>
      </w:pPr>
      <w:bookmarkStart w:id="0" w:name="_Toc227508362"/>
      <w:r w:rsidRPr="00E46DBE">
        <w:t>Marketing Plan for Superdrug to Increase Sales in the UK</w:t>
      </w:r>
      <w:bookmarkEnd w:id="0"/>
    </w:p>
    <w:sdt>
      <w:sdtPr>
        <w:rPr>
          <w:rFonts w:ascii="Calibri" w:hAnsi="Calibri" w:cs="Times New Roman"/>
          <w:b w:val="0"/>
          <w:kern w:val="3"/>
          <w:sz w:val="22"/>
          <w:szCs w:val="22"/>
          <w:u w:val="none"/>
          <w:lang w:val="en-GB"/>
        </w:rPr>
        <w:id w:val="80334047"/>
        <w:docPartObj>
          <w:docPartGallery w:val="Table of Contents"/>
          <w:docPartUnique/>
        </w:docPartObj>
      </w:sdtPr>
      <w:sdtEndPr>
        <w:rPr>
          <w:bCs/>
          <w:noProof/>
        </w:rPr>
      </w:sdtEndPr>
      <w:sdtContent>
        <w:p w14:paraId="3A38BFA5" w14:textId="393CE94F" w:rsidR="00E46DBE" w:rsidRDefault="00E46DBE">
          <w:pPr>
            <w:pStyle w:val="TOCHeading"/>
          </w:pPr>
          <w:r>
            <w:t>Contents</w:t>
          </w:r>
        </w:p>
        <w:p w14:paraId="345BCCFC" w14:textId="03C767AB" w:rsidR="00A602D9" w:rsidRDefault="00E46DB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7508362" w:history="1">
            <w:r w:rsidR="00A602D9" w:rsidRPr="000F594F">
              <w:rPr>
                <w:rStyle w:val="Hyperlink"/>
                <w:noProof/>
              </w:rPr>
              <w:t>Marketing Plan for Superdrug to Increase Sales in the UK</w:t>
            </w:r>
            <w:r w:rsidR="00A602D9">
              <w:rPr>
                <w:noProof/>
                <w:webHidden/>
              </w:rPr>
              <w:tab/>
            </w:r>
            <w:r w:rsidR="00A602D9">
              <w:rPr>
                <w:noProof/>
                <w:webHidden/>
              </w:rPr>
              <w:fldChar w:fldCharType="begin"/>
            </w:r>
            <w:r w:rsidR="00A602D9">
              <w:rPr>
                <w:noProof/>
                <w:webHidden/>
              </w:rPr>
              <w:instrText xml:space="preserve"> PAGEREF _Toc227508362 \h </w:instrText>
            </w:r>
            <w:r w:rsidR="00A602D9">
              <w:rPr>
                <w:noProof/>
                <w:webHidden/>
              </w:rPr>
            </w:r>
            <w:r w:rsidR="00A602D9">
              <w:rPr>
                <w:noProof/>
                <w:webHidden/>
              </w:rPr>
              <w:fldChar w:fldCharType="separate"/>
            </w:r>
            <w:r w:rsidR="00A602D9">
              <w:rPr>
                <w:noProof/>
                <w:webHidden/>
              </w:rPr>
              <w:t>2</w:t>
            </w:r>
            <w:r w:rsidR="00A602D9">
              <w:rPr>
                <w:noProof/>
                <w:webHidden/>
              </w:rPr>
              <w:fldChar w:fldCharType="end"/>
            </w:r>
          </w:hyperlink>
        </w:p>
        <w:p w14:paraId="40D3AC33" w14:textId="2EFFD0A3" w:rsidR="00A602D9" w:rsidRDefault="00A602D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3" w:history="1">
            <w:r w:rsidRPr="000F594F">
              <w:rPr>
                <w:rStyle w:val="Hyperlink"/>
                <w:noProof/>
              </w:rPr>
              <w:t>1.0 Introduction</w:t>
            </w:r>
            <w:r>
              <w:rPr>
                <w:noProof/>
                <w:webHidden/>
              </w:rPr>
              <w:tab/>
            </w:r>
            <w:r>
              <w:rPr>
                <w:noProof/>
                <w:webHidden/>
              </w:rPr>
              <w:fldChar w:fldCharType="begin"/>
            </w:r>
            <w:r>
              <w:rPr>
                <w:noProof/>
                <w:webHidden/>
              </w:rPr>
              <w:instrText xml:space="preserve"> PAGEREF _Toc227508363 \h </w:instrText>
            </w:r>
            <w:r>
              <w:rPr>
                <w:noProof/>
                <w:webHidden/>
              </w:rPr>
            </w:r>
            <w:r>
              <w:rPr>
                <w:noProof/>
                <w:webHidden/>
              </w:rPr>
              <w:fldChar w:fldCharType="separate"/>
            </w:r>
            <w:r>
              <w:rPr>
                <w:noProof/>
                <w:webHidden/>
              </w:rPr>
              <w:t>3</w:t>
            </w:r>
            <w:r>
              <w:rPr>
                <w:noProof/>
                <w:webHidden/>
              </w:rPr>
              <w:fldChar w:fldCharType="end"/>
            </w:r>
          </w:hyperlink>
        </w:p>
        <w:p w14:paraId="1381F367" w14:textId="7057EABE"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4" w:history="1">
            <w:r w:rsidRPr="000F594F">
              <w:rPr>
                <w:rStyle w:val="Hyperlink"/>
                <w:noProof/>
              </w:rPr>
              <w:t>1.1 Mission</w:t>
            </w:r>
            <w:r>
              <w:rPr>
                <w:noProof/>
                <w:webHidden/>
              </w:rPr>
              <w:tab/>
            </w:r>
            <w:r>
              <w:rPr>
                <w:noProof/>
                <w:webHidden/>
              </w:rPr>
              <w:fldChar w:fldCharType="begin"/>
            </w:r>
            <w:r>
              <w:rPr>
                <w:noProof/>
                <w:webHidden/>
              </w:rPr>
              <w:instrText xml:space="preserve"> PAGEREF _Toc227508364 \h </w:instrText>
            </w:r>
            <w:r>
              <w:rPr>
                <w:noProof/>
                <w:webHidden/>
              </w:rPr>
            </w:r>
            <w:r>
              <w:rPr>
                <w:noProof/>
                <w:webHidden/>
              </w:rPr>
              <w:fldChar w:fldCharType="separate"/>
            </w:r>
            <w:r>
              <w:rPr>
                <w:noProof/>
                <w:webHidden/>
              </w:rPr>
              <w:t>3</w:t>
            </w:r>
            <w:r>
              <w:rPr>
                <w:noProof/>
                <w:webHidden/>
              </w:rPr>
              <w:fldChar w:fldCharType="end"/>
            </w:r>
          </w:hyperlink>
        </w:p>
        <w:p w14:paraId="7B6365D8" w14:textId="523BC4F5" w:rsidR="00A602D9" w:rsidRDefault="00A602D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5" w:history="1">
            <w:r w:rsidRPr="000F594F">
              <w:rPr>
                <w:rStyle w:val="Hyperlink"/>
                <w:noProof/>
              </w:rPr>
              <w:t>2.0 Situational analysis</w:t>
            </w:r>
            <w:r>
              <w:rPr>
                <w:noProof/>
                <w:webHidden/>
              </w:rPr>
              <w:tab/>
            </w:r>
            <w:r>
              <w:rPr>
                <w:noProof/>
                <w:webHidden/>
              </w:rPr>
              <w:fldChar w:fldCharType="begin"/>
            </w:r>
            <w:r>
              <w:rPr>
                <w:noProof/>
                <w:webHidden/>
              </w:rPr>
              <w:instrText xml:space="preserve"> PAGEREF _Toc227508365 \h </w:instrText>
            </w:r>
            <w:r>
              <w:rPr>
                <w:noProof/>
                <w:webHidden/>
              </w:rPr>
            </w:r>
            <w:r>
              <w:rPr>
                <w:noProof/>
                <w:webHidden/>
              </w:rPr>
              <w:fldChar w:fldCharType="separate"/>
            </w:r>
            <w:r>
              <w:rPr>
                <w:noProof/>
                <w:webHidden/>
              </w:rPr>
              <w:t>3</w:t>
            </w:r>
            <w:r>
              <w:rPr>
                <w:noProof/>
                <w:webHidden/>
              </w:rPr>
              <w:fldChar w:fldCharType="end"/>
            </w:r>
          </w:hyperlink>
        </w:p>
        <w:p w14:paraId="2F470ED9" w14:textId="4496DF7C"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6" w:history="1">
            <w:r w:rsidRPr="000F594F">
              <w:rPr>
                <w:rStyle w:val="Hyperlink"/>
                <w:noProof/>
              </w:rPr>
              <w:t>2.1 External environment (PESTEL)</w:t>
            </w:r>
            <w:r>
              <w:rPr>
                <w:noProof/>
                <w:webHidden/>
              </w:rPr>
              <w:tab/>
            </w:r>
            <w:r>
              <w:rPr>
                <w:noProof/>
                <w:webHidden/>
              </w:rPr>
              <w:fldChar w:fldCharType="begin"/>
            </w:r>
            <w:r>
              <w:rPr>
                <w:noProof/>
                <w:webHidden/>
              </w:rPr>
              <w:instrText xml:space="preserve"> PAGEREF _Toc227508366 \h </w:instrText>
            </w:r>
            <w:r>
              <w:rPr>
                <w:noProof/>
                <w:webHidden/>
              </w:rPr>
            </w:r>
            <w:r>
              <w:rPr>
                <w:noProof/>
                <w:webHidden/>
              </w:rPr>
              <w:fldChar w:fldCharType="separate"/>
            </w:r>
            <w:r>
              <w:rPr>
                <w:noProof/>
                <w:webHidden/>
              </w:rPr>
              <w:t>3</w:t>
            </w:r>
            <w:r>
              <w:rPr>
                <w:noProof/>
                <w:webHidden/>
              </w:rPr>
              <w:fldChar w:fldCharType="end"/>
            </w:r>
          </w:hyperlink>
        </w:p>
        <w:p w14:paraId="54116C94" w14:textId="3EB81B1E"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7" w:history="1">
            <w:r w:rsidRPr="000F594F">
              <w:rPr>
                <w:rStyle w:val="Hyperlink"/>
                <w:noProof/>
              </w:rPr>
              <w:t>2.2 Internal and competitive position (SWOT and Five Forces)</w:t>
            </w:r>
            <w:r>
              <w:rPr>
                <w:noProof/>
                <w:webHidden/>
              </w:rPr>
              <w:tab/>
            </w:r>
            <w:r>
              <w:rPr>
                <w:noProof/>
                <w:webHidden/>
              </w:rPr>
              <w:fldChar w:fldCharType="begin"/>
            </w:r>
            <w:r>
              <w:rPr>
                <w:noProof/>
                <w:webHidden/>
              </w:rPr>
              <w:instrText xml:space="preserve"> PAGEREF _Toc227508367 \h </w:instrText>
            </w:r>
            <w:r>
              <w:rPr>
                <w:noProof/>
                <w:webHidden/>
              </w:rPr>
            </w:r>
            <w:r>
              <w:rPr>
                <w:noProof/>
                <w:webHidden/>
              </w:rPr>
              <w:fldChar w:fldCharType="separate"/>
            </w:r>
            <w:r>
              <w:rPr>
                <w:noProof/>
                <w:webHidden/>
              </w:rPr>
              <w:t>4</w:t>
            </w:r>
            <w:r>
              <w:rPr>
                <w:noProof/>
                <w:webHidden/>
              </w:rPr>
              <w:fldChar w:fldCharType="end"/>
            </w:r>
          </w:hyperlink>
        </w:p>
        <w:p w14:paraId="3B7F4A20" w14:textId="54E5399B" w:rsidR="00A602D9" w:rsidRDefault="00A602D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8" w:history="1">
            <w:r w:rsidRPr="000F594F">
              <w:rPr>
                <w:rStyle w:val="Hyperlink"/>
                <w:noProof/>
              </w:rPr>
              <w:t>3.0 Marketing strategy</w:t>
            </w:r>
            <w:r>
              <w:rPr>
                <w:noProof/>
                <w:webHidden/>
              </w:rPr>
              <w:tab/>
            </w:r>
            <w:r>
              <w:rPr>
                <w:noProof/>
                <w:webHidden/>
              </w:rPr>
              <w:fldChar w:fldCharType="begin"/>
            </w:r>
            <w:r>
              <w:rPr>
                <w:noProof/>
                <w:webHidden/>
              </w:rPr>
              <w:instrText xml:space="preserve"> PAGEREF _Toc227508368 \h </w:instrText>
            </w:r>
            <w:r>
              <w:rPr>
                <w:noProof/>
                <w:webHidden/>
              </w:rPr>
            </w:r>
            <w:r>
              <w:rPr>
                <w:noProof/>
                <w:webHidden/>
              </w:rPr>
              <w:fldChar w:fldCharType="separate"/>
            </w:r>
            <w:r>
              <w:rPr>
                <w:noProof/>
                <w:webHidden/>
              </w:rPr>
              <w:t>5</w:t>
            </w:r>
            <w:r>
              <w:rPr>
                <w:noProof/>
                <w:webHidden/>
              </w:rPr>
              <w:fldChar w:fldCharType="end"/>
            </w:r>
          </w:hyperlink>
        </w:p>
        <w:p w14:paraId="1D4B77BB" w14:textId="3BDE4C5B"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69" w:history="1">
            <w:r w:rsidRPr="000F594F">
              <w:rPr>
                <w:rStyle w:val="Hyperlink"/>
                <w:noProof/>
              </w:rPr>
              <w:t>3.1 Segmentation</w:t>
            </w:r>
            <w:r>
              <w:rPr>
                <w:noProof/>
                <w:webHidden/>
              </w:rPr>
              <w:tab/>
            </w:r>
            <w:r>
              <w:rPr>
                <w:noProof/>
                <w:webHidden/>
              </w:rPr>
              <w:fldChar w:fldCharType="begin"/>
            </w:r>
            <w:r>
              <w:rPr>
                <w:noProof/>
                <w:webHidden/>
              </w:rPr>
              <w:instrText xml:space="preserve"> PAGEREF _Toc227508369 \h </w:instrText>
            </w:r>
            <w:r>
              <w:rPr>
                <w:noProof/>
                <w:webHidden/>
              </w:rPr>
            </w:r>
            <w:r>
              <w:rPr>
                <w:noProof/>
                <w:webHidden/>
              </w:rPr>
              <w:fldChar w:fldCharType="separate"/>
            </w:r>
            <w:r>
              <w:rPr>
                <w:noProof/>
                <w:webHidden/>
              </w:rPr>
              <w:t>5</w:t>
            </w:r>
            <w:r>
              <w:rPr>
                <w:noProof/>
                <w:webHidden/>
              </w:rPr>
              <w:fldChar w:fldCharType="end"/>
            </w:r>
          </w:hyperlink>
        </w:p>
        <w:p w14:paraId="733D0D0F" w14:textId="37127343"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0" w:history="1">
            <w:r w:rsidRPr="000F594F">
              <w:rPr>
                <w:rStyle w:val="Hyperlink"/>
                <w:noProof/>
              </w:rPr>
              <w:t>3.2 Targeting</w:t>
            </w:r>
            <w:r>
              <w:rPr>
                <w:noProof/>
                <w:webHidden/>
              </w:rPr>
              <w:tab/>
            </w:r>
            <w:r>
              <w:rPr>
                <w:noProof/>
                <w:webHidden/>
              </w:rPr>
              <w:fldChar w:fldCharType="begin"/>
            </w:r>
            <w:r>
              <w:rPr>
                <w:noProof/>
                <w:webHidden/>
              </w:rPr>
              <w:instrText xml:space="preserve"> PAGEREF _Toc227508370 \h </w:instrText>
            </w:r>
            <w:r>
              <w:rPr>
                <w:noProof/>
                <w:webHidden/>
              </w:rPr>
            </w:r>
            <w:r>
              <w:rPr>
                <w:noProof/>
                <w:webHidden/>
              </w:rPr>
              <w:fldChar w:fldCharType="separate"/>
            </w:r>
            <w:r>
              <w:rPr>
                <w:noProof/>
                <w:webHidden/>
              </w:rPr>
              <w:t>7</w:t>
            </w:r>
            <w:r>
              <w:rPr>
                <w:noProof/>
                <w:webHidden/>
              </w:rPr>
              <w:fldChar w:fldCharType="end"/>
            </w:r>
          </w:hyperlink>
        </w:p>
        <w:p w14:paraId="082AE746" w14:textId="7E193DFD"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1" w:history="1">
            <w:r w:rsidRPr="000F594F">
              <w:rPr>
                <w:rStyle w:val="Hyperlink"/>
                <w:noProof/>
              </w:rPr>
              <w:t>3.3 Positioning</w:t>
            </w:r>
            <w:r>
              <w:rPr>
                <w:noProof/>
                <w:webHidden/>
              </w:rPr>
              <w:tab/>
            </w:r>
            <w:r>
              <w:rPr>
                <w:noProof/>
                <w:webHidden/>
              </w:rPr>
              <w:fldChar w:fldCharType="begin"/>
            </w:r>
            <w:r>
              <w:rPr>
                <w:noProof/>
                <w:webHidden/>
              </w:rPr>
              <w:instrText xml:space="preserve"> PAGEREF _Toc227508371 \h </w:instrText>
            </w:r>
            <w:r>
              <w:rPr>
                <w:noProof/>
                <w:webHidden/>
              </w:rPr>
            </w:r>
            <w:r>
              <w:rPr>
                <w:noProof/>
                <w:webHidden/>
              </w:rPr>
              <w:fldChar w:fldCharType="separate"/>
            </w:r>
            <w:r>
              <w:rPr>
                <w:noProof/>
                <w:webHidden/>
              </w:rPr>
              <w:t>7</w:t>
            </w:r>
            <w:r>
              <w:rPr>
                <w:noProof/>
                <w:webHidden/>
              </w:rPr>
              <w:fldChar w:fldCharType="end"/>
            </w:r>
          </w:hyperlink>
        </w:p>
        <w:p w14:paraId="70F70E6A" w14:textId="308823E8"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2" w:history="1">
            <w:r w:rsidRPr="000F594F">
              <w:rPr>
                <w:rStyle w:val="Hyperlink"/>
                <w:noProof/>
              </w:rPr>
              <w:t>3.4 Ansoff Matrix and integrated marketing</w:t>
            </w:r>
            <w:r>
              <w:rPr>
                <w:noProof/>
                <w:webHidden/>
              </w:rPr>
              <w:tab/>
            </w:r>
            <w:r>
              <w:rPr>
                <w:noProof/>
                <w:webHidden/>
              </w:rPr>
              <w:fldChar w:fldCharType="begin"/>
            </w:r>
            <w:r>
              <w:rPr>
                <w:noProof/>
                <w:webHidden/>
              </w:rPr>
              <w:instrText xml:space="preserve"> PAGEREF _Toc227508372 \h </w:instrText>
            </w:r>
            <w:r>
              <w:rPr>
                <w:noProof/>
                <w:webHidden/>
              </w:rPr>
            </w:r>
            <w:r>
              <w:rPr>
                <w:noProof/>
                <w:webHidden/>
              </w:rPr>
              <w:fldChar w:fldCharType="separate"/>
            </w:r>
            <w:r>
              <w:rPr>
                <w:noProof/>
                <w:webHidden/>
              </w:rPr>
              <w:t>8</w:t>
            </w:r>
            <w:r>
              <w:rPr>
                <w:noProof/>
                <w:webHidden/>
              </w:rPr>
              <w:fldChar w:fldCharType="end"/>
            </w:r>
          </w:hyperlink>
        </w:p>
        <w:p w14:paraId="50F0FC3B" w14:textId="44788FDC" w:rsidR="00A602D9" w:rsidRDefault="00A602D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3" w:history="1">
            <w:r w:rsidRPr="000F594F">
              <w:rPr>
                <w:rStyle w:val="Hyperlink"/>
                <w:noProof/>
              </w:rPr>
              <w:t>4.0 Marketing mix strategies (7Ps)</w:t>
            </w:r>
            <w:r>
              <w:rPr>
                <w:noProof/>
                <w:webHidden/>
              </w:rPr>
              <w:tab/>
            </w:r>
            <w:r>
              <w:rPr>
                <w:noProof/>
                <w:webHidden/>
              </w:rPr>
              <w:fldChar w:fldCharType="begin"/>
            </w:r>
            <w:r>
              <w:rPr>
                <w:noProof/>
                <w:webHidden/>
              </w:rPr>
              <w:instrText xml:space="preserve"> PAGEREF _Toc227508373 \h </w:instrText>
            </w:r>
            <w:r>
              <w:rPr>
                <w:noProof/>
                <w:webHidden/>
              </w:rPr>
            </w:r>
            <w:r>
              <w:rPr>
                <w:noProof/>
                <w:webHidden/>
              </w:rPr>
              <w:fldChar w:fldCharType="separate"/>
            </w:r>
            <w:r>
              <w:rPr>
                <w:noProof/>
                <w:webHidden/>
              </w:rPr>
              <w:t>9</w:t>
            </w:r>
            <w:r>
              <w:rPr>
                <w:noProof/>
                <w:webHidden/>
              </w:rPr>
              <w:fldChar w:fldCharType="end"/>
            </w:r>
          </w:hyperlink>
        </w:p>
        <w:p w14:paraId="480949DC" w14:textId="3C470791"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4" w:history="1">
            <w:r w:rsidRPr="000F594F">
              <w:rPr>
                <w:rStyle w:val="Hyperlink"/>
                <w:noProof/>
              </w:rPr>
              <w:t>4.1 Product</w:t>
            </w:r>
            <w:r>
              <w:rPr>
                <w:noProof/>
                <w:webHidden/>
              </w:rPr>
              <w:tab/>
            </w:r>
            <w:r>
              <w:rPr>
                <w:noProof/>
                <w:webHidden/>
              </w:rPr>
              <w:fldChar w:fldCharType="begin"/>
            </w:r>
            <w:r>
              <w:rPr>
                <w:noProof/>
                <w:webHidden/>
              </w:rPr>
              <w:instrText xml:space="preserve"> PAGEREF _Toc227508374 \h </w:instrText>
            </w:r>
            <w:r>
              <w:rPr>
                <w:noProof/>
                <w:webHidden/>
              </w:rPr>
            </w:r>
            <w:r>
              <w:rPr>
                <w:noProof/>
                <w:webHidden/>
              </w:rPr>
              <w:fldChar w:fldCharType="separate"/>
            </w:r>
            <w:r>
              <w:rPr>
                <w:noProof/>
                <w:webHidden/>
              </w:rPr>
              <w:t>9</w:t>
            </w:r>
            <w:r>
              <w:rPr>
                <w:noProof/>
                <w:webHidden/>
              </w:rPr>
              <w:fldChar w:fldCharType="end"/>
            </w:r>
          </w:hyperlink>
        </w:p>
        <w:p w14:paraId="27636260" w14:textId="12C37D38"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5" w:history="1">
            <w:r w:rsidRPr="000F594F">
              <w:rPr>
                <w:rStyle w:val="Hyperlink"/>
                <w:noProof/>
              </w:rPr>
              <w:t>4.2 Price</w:t>
            </w:r>
            <w:r>
              <w:rPr>
                <w:noProof/>
                <w:webHidden/>
              </w:rPr>
              <w:tab/>
            </w:r>
            <w:r>
              <w:rPr>
                <w:noProof/>
                <w:webHidden/>
              </w:rPr>
              <w:fldChar w:fldCharType="begin"/>
            </w:r>
            <w:r>
              <w:rPr>
                <w:noProof/>
                <w:webHidden/>
              </w:rPr>
              <w:instrText xml:space="preserve"> PAGEREF _Toc227508375 \h </w:instrText>
            </w:r>
            <w:r>
              <w:rPr>
                <w:noProof/>
                <w:webHidden/>
              </w:rPr>
            </w:r>
            <w:r>
              <w:rPr>
                <w:noProof/>
                <w:webHidden/>
              </w:rPr>
              <w:fldChar w:fldCharType="separate"/>
            </w:r>
            <w:r>
              <w:rPr>
                <w:noProof/>
                <w:webHidden/>
              </w:rPr>
              <w:t>9</w:t>
            </w:r>
            <w:r>
              <w:rPr>
                <w:noProof/>
                <w:webHidden/>
              </w:rPr>
              <w:fldChar w:fldCharType="end"/>
            </w:r>
          </w:hyperlink>
        </w:p>
        <w:p w14:paraId="2AC1D478" w14:textId="655C0614"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6" w:history="1">
            <w:r w:rsidRPr="000F594F">
              <w:rPr>
                <w:rStyle w:val="Hyperlink"/>
                <w:noProof/>
              </w:rPr>
              <w:t>4.3 Place</w:t>
            </w:r>
            <w:r>
              <w:rPr>
                <w:noProof/>
                <w:webHidden/>
              </w:rPr>
              <w:tab/>
            </w:r>
            <w:r>
              <w:rPr>
                <w:noProof/>
                <w:webHidden/>
              </w:rPr>
              <w:fldChar w:fldCharType="begin"/>
            </w:r>
            <w:r>
              <w:rPr>
                <w:noProof/>
                <w:webHidden/>
              </w:rPr>
              <w:instrText xml:space="preserve"> PAGEREF _Toc227508376 \h </w:instrText>
            </w:r>
            <w:r>
              <w:rPr>
                <w:noProof/>
                <w:webHidden/>
              </w:rPr>
            </w:r>
            <w:r>
              <w:rPr>
                <w:noProof/>
                <w:webHidden/>
              </w:rPr>
              <w:fldChar w:fldCharType="separate"/>
            </w:r>
            <w:r>
              <w:rPr>
                <w:noProof/>
                <w:webHidden/>
              </w:rPr>
              <w:t>10</w:t>
            </w:r>
            <w:r>
              <w:rPr>
                <w:noProof/>
                <w:webHidden/>
              </w:rPr>
              <w:fldChar w:fldCharType="end"/>
            </w:r>
          </w:hyperlink>
        </w:p>
        <w:p w14:paraId="6900C008" w14:textId="4E1E35C9"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7" w:history="1">
            <w:r w:rsidRPr="000F594F">
              <w:rPr>
                <w:rStyle w:val="Hyperlink"/>
                <w:noProof/>
              </w:rPr>
              <w:t>4.4 Promotion</w:t>
            </w:r>
            <w:r>
              <w:rPr>
                <w:noProof/>
                <w:webHidden/>
              </w:rPr>
              <w:tab/>
            </w:r>
            <w:r>
              <w:rPr>
                <w:noProof/>
                <w:webHidden/>
              </w:rPr>
              <w:fldChar w:fldCharType="begin"/>
            </w:r>
            <w:r>
              <w:rPr>
                <w:noProof/>
                <w:webHidden/>
              </w:rPr>
              <w:instrText xml:space="preserve"> PAGEREF _Toc227508377 \h </w:instrText>
            </w:r>
            <w:r>
              <w:rPr>
                <w:noProof/>
                <w:webHidden/>
              </w:rPr>
            </w:r>
            <w:r>
              <w:rPr>
                <w:noProof/>
                <w:webHidden/>
              </w:rPr>
              <w:fldChar w:fldCharType="separate"/>
            </w:r>
            <w:r>
              <w:rPr>
                <w:noProof/>
                <w:webHidden/>
              </w:rPr>
              <w:t>10</w:t>
            </w:r>
            <w:r>
              <w:rPr>
                <w:noProof/>
                <w:webHidden/>
              </w:rPr>
              <w:fldChar w:fldCharType="end"/>
            </w:r>
          </w:hyperlink>
        </w:p>
        <w:p w14:paraId="5CD3D4D6" w14:textId="07C0469E"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8" w:history="1">
            <w:r w:rsidRPr="000F594F">
              <w:rPr>
                <w:rStyle w:val="Hyperlink"/>
                <w:noProof/>
              </w:rPr>
              <w:t>4.5 People</w:t>
            </w:r>
            <w:r>
              <w:rPr>
                <w:noProof/>
                <w:webHidden/>
              </w:rPr>
              <w:tab/>
            </w:r>
            <w:r>
              <w:rPr>
                <w:noProof/>
                <w:webHidden/>
              </w:rPr>
              <w:fldChar w:fldCharType="begin"/>
            </w:r>
            <w:r>
              <w:rPr>
                <w:noProof/>
                <w:webHidden/>
              </w:rPr>
              <w:instrText xml:space="preserve"> PAGEREF _Toc227508378 \h </w:instrText>
            </w:r>
            <w:r>
              <w:rPr>
                <w:noProof/>
                <w:webHidden/>
              </w:rPr>
            </w:r>
            <w:r>
              <w:rPr>
                <w:noProof/>
                <w:webHidden/>
              </w:rPr>
              <w:fldChar w:fldCharType="separate"/>
            </w:r>
            <w:r>
              <w:rPr>
                <w:noProof/>
                <w:webHidden/>
              </w:rPr>
              <w:t>11</w:t>
            </w:r>
            <w:r>
              <w:rPr>
                <w:noProof/>
                <w:webHidden/>
              </w:rPr>
              <w:fldChar w:fldCharType="end"/>
            </w:r>
          </w:hyperlink>
        </w:p>
        <w:p w14:paraId="4598FF17" w14:textId="1F44D054"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79" w:history="1">
            <w:r w:rsidRPr="000F594F">
              <w:rPr>
                <w:rStyle w:val="Hyperlink"/>
                <w:noProof/>
              </w:rPr>
              <w:t>4.6 Process</w:t>
            </w:r>
            <w:r>
              <w:rPr>
                <w:noProof/>
                <w:webHidden/>
              </w:rPr>
              <w:tab/>
            </w:r>
            <w:r>
              <w:rPr>
                <w:noProof/>
                <w:webHidden/>
              </w:rPr>
              <w:fldChar w:fldCharType="begin"/>
            </w:r>
            <w:r>
              <w:rPr>
                <w:noProof/>
                <w:webHidden/>
              </w:rPr>
              <w:instrText xml:space="preserve"> PAGEREF _Toc227508379 \h </w:instrText>
            </w:r>
            <w:r>
              <w:rPr>
                <w:noProof/>
                <w:webHidden/>
              </w:rPr>
            </w:r>
            <w:r>
              <w:rPr>
                <w:noProof/>
                <w:webHidden/>
              </w:rPr>
              <w:fldChar w:fldCharType="separate"/>
            </w:r>
            <w:r>
              <w:rPr>
                <w:noProof/>
                <w:webHidden/>
              </w:rPr>
              <w:t>11</w:t>
            </w:r>
            <w:r>
              <w:rPr>
                <w:noProof/>
                <w:webHidden/>
              </w:rPr>
              <w:fldChar w:fldCharType="end"/>
            </w:r>
          </w:hyperlink>
        </w:p>
        <w:p w14:paraId="197EFE08" w14:textId="40B2A138"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80" w:history="1">
            <w:r w:rsidRPr="000F594F">
              <w:rPr>
                <w:rStyle w:val="Hyperlink"/>
                <w:noProof/>
              </w:rPr>
              <w:t>4.7 Physical evidence</w:t>
            </w:r>
            <w:r>
              <w:rPr>
                <w:noProof/>
                <w:webHidden/>
              </w:rPr>
              <w:tab/>
            </w:r>
            <w:r>
              <w:rPr>
                <w:noProof/>
                <w:webHidden/>
              </w:rPr>
              <w:fldChar w:fldCharType="begin"/>
            </w:r>
            <w:r>
              <w:rPr>
                <w:noProof/>
                <w:webHidden/>
              </w:rPr>
              <w:instrText xml:space="preserve"> PAGEREF _Toc227508380 \h </w:instrText>
            </w:r>
            <w:r>
              <w:rPr>
                <w:noProof/>
                <w:webHidden/>
              </w:rPr>
            </w:r>
            <w:r>
              <w:rPr>
                <w:noProof/>
                <w:webHidden/>
              </w:rPr>
              <w:fldChar w:fldCharType="separate"/>
            </w:r>
            <w:r>
              <w:rPr>
                <w:noProof/>
                <w:webHidden/>
              </w:rPr>
              <w:t>11</w:t>
            </w:r>
            <w:r>
              <w:rPr>
                <w:noProof/>
                <w:webHidden/>
              </w:rPr>
              <w:fldChar w:fldCharType="end"/>
            </w:r>
          </w:hyperlink>
        </w:p>
        <w:p w14:paraId="37E4493B" w14:textId="64C68FA0" w:rsidR="00A602D9" w:rsidRDefault="00A602D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81" w:history="1">
            <w:r w:rsidRPr="000F594F">
              <w:rPr>
                <w:rStyle w:val="Hyperlink"/>
                <w:noProof/>
              </w:rPr>
              <w:t>4.8 Recommended improvements to the 7Ps</w:t>
            </w:r>
            <w:r>
              <w:rPr>
                <w:noProof/>
                <w:webHidden/>
              </w:rPr>
              <w:tab/>
            </w:r>
            <w:r>
              <w:rPr>
                <w:noProof/>
                <w:webHidden/>
              </w:rPr>
              <w:fldChar w:fldCharType="begin"/>
            </w:r>
            <w:r>
              <w:rPr>
                <w:noProof/>
                <w:webHidden/>
              </w:rPr>
              <w:instrText xml:space="preserve"> PAGEREF _Toc227508381 \h </w:instrText>
            </w:r>
            <w:r>
              <w:rPr>
                <w:noProof/>
                <w:webHidden/>
              </w:rPr>
            </w:r>
            <w:r>
              <w:rPr>
                <w:noProof/>
                <w:webHidden/>
              </w:rPr>
              <w:fldChar w:fldCharType="separate"/>
            </w:r>
            <w:r>
              <w:rPr>
                <w:noProof/>
                <w:webHidden/>
              </w:rPr>
              <w:t>12</w:t>
            </w:r>
            <w:r>
              <w:rPr>
                <w:noProof/>
                <w:webHidden/>
              </w:rPr>
              <w:fldChar w:fldCharType="end"/>
            </w:r>
          </w:hyperlink>
        </w:p>
        <w:p w14:paraId="4BDA2B7C" w14:textId="5894356F" w:rsidR="00A602D9" w:rsidRDefault="00A602D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82" w:history="1">
            <w:r w:rsidRPr="000F594F">
              <w:rPr>
                <w:rStyle w:val="Hyperlink"/>
                <w:noProof/>
              </w:rPr>
              <w:t>5.0 Implementation and control</w:t>
            </w:r>
            <w:r>
              <w:rPr>
                <w:noProof/>
                <w:webHidden/>
              </w:rPr>
              <w:tab/>
            </w:r>
            <w:r>
              <w:rPr>
                <w:noProof/>
                <w:webHidden/>
              </w:rPr>
              <w:fldChar w:fldCharType="begin"/>
            </w:r>
            <w:r>
              <w:rPr>
                <w:noProof/>
                <w:webHidden/>
              </w:rPr>
              <w:instrText xml:space="preserve"> PAGEREF _Toc227508382 \h </w:instrText>
            </w:r>
            <w:r>
              <w:rPr>
                <w:noProof/>
                <w:webHidden/>
              </w:rPr>
            </w:r>
            <w:r>
              <w:rPr>
                <w:noProof/>
                <w:webHidden/>
              </w:rPr>
              <w:fldChar w:fldCharType="separate"/>
            </w:r>
            <w:r>
              <w:rPr>
                <w:noProof/>
                <w:webHidden/>
              </w:rPr>
              <w:t>12</w:t>
            </w:r>
            <w:r>
              <w:rPr>
                <w:noProof/>
                <w:webHidden/>
              </w:rPr>
              <w:fldChar w:fldCharType="end"/>
            </w:r>
          </w:hyperlink>
        </w:p>
        <w:p w14:paraId="0BC2FFBA" w14:textId="59E8EC52" w:rsidR="00A602D9" w:rsidRDefault="00A602D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83" w:history="1">
            <w:r w:rsidRPr="000F594F">
              <w:rPr>
                <w:rStyle w:val="Hyperlink"/>
                <w:noProof/>
              </w:rPr>
              <w:t>6.0 Conclusion</w:t>
            </w:r>
            <w:r>
              <w:rPr>
                <w:noProof/>
                <w:webHidden/>
              </w:rPr>
              <w:tab/>
            </w:r>
            <w:r>
              <w:rPr>
                <w:noProof/>
                <w:webHidden/>
              </w:rPr>
              <w:fldChar w:fldCharType="begin"/>
            </w:r>
            <w:r>
              <w:rPr>
                <w:noProof/>
                <w:webHidden/>
              </w:rPr>
              <w:instrText xml:space="preserve"> PAGEREF _Toc227508383 \h </w:instrText>
            </w:r>
            <w:r>
              <w:rPr>
                <w:noProof/>
                <w:webHidden/>
              </w:rPr>
            </w:r>
            <w:r>
              <w:rPr>
                <w:noProof/>
                <w:webHidden/>
              </w:rPr>
              <w:fldChar w:fldCharType="separate"/>
            </w:r>
            <w:r>
              <w:rPr>
                <w:noProof/>
                <w:webHidden/>
              </w:rPr>
              <w:t>13</w:t>
            </w:r>
            <w:r>
              <w:rPr>
                <w:noProof/>
                <w:webHidden/>
              </w:rPr>
              <w:fldChar w:fldCharType="end"/>
            </w:r>
          </w:hyperlink>
        </w:p>
        <w:p w14:paraId="52D94794" w14:textId="54B7C591" w:rsidR="00A602D9" w:rsidRDefault="00A602D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508384" w:history="1">
            <w:r w:rsidRPr="000F594F">
              <w:rPr>
                <w:rStyle w:val="Hyperlink"/>
                <w:noProof/>
              </w:rPr>
              <w:t>References</w:t>
            </w:r>
            <w:r>
              <w:rPr>
                <w:noProof/>
                <w:webHidden/>
              </w:rPr>
              <w:tab/>
            </w:r>
            <w:r>
              <w:rPr>
                <w:noProof/>
                <w:webHidden/>
              </w:rPr>
              <w:fldChar w:fldCharType="begin"/>
            </w:r>
            <w:r>
              <w:rPr>
                <w:noProof/>
                <w:webHidden/>
              </w:rPr>
              <w:instrText xml:space="preserve"> PAGEREF _Toc227508384 \h </w:instrText>
            </w:r>
            <w:r>
              <w:rPr>
                <w:noProof/>
                <w:webHidden/>
              </w:rPr>
            </w:r>
            <w:r>
              <w:rPr>
                <w:noProof/>
                <w:webHidden/>
              </w:rPr>
              <w:fldChar w:fldCharType="separate"/>
            </w:r>
            <w:r>
              <w:rPr>
                <w:noProof/>
                <w:webHidden/>
              </w:rPr>
              <w:t>14</w:t>
            </w:r>
            <w:r>
              <w:rPr>
                <w:noProof/>
                <w:webHidden/>
              </w:rPr>
              <w:fldChar w:fldCharType="end"/>
            </w:r>
          </w:hyperlink>
        </w:p>
        <w:p w14:paraId="2E1CED1E" w14:textId="749BDDC4" w:rsidR="00E46DBE" w:rsidRDefault="00E46DBE">
          <w:r>
            <w:rPr>
              <w:b/>
              <w:bCs/>
              <w:noProof/>
            </w:rPr>
            <w:fldChar w:fldCharType="end"/>
          </w:r>
        </w:p>
      </w:sdtContent>
    </w:sdt>
    <w:p w14:paraId="3428DE2A" w14:textId="77777777" w:rsidR="00E46DBE" w:rsidRDefault="00E46DBE" w:rsidP="00E46DBE">
      <w:pPr>
        <w:spacing w:line="360" w:lineRule="auto"/>
        <w:jc w:val="both"/>
        <w:rPr>
          <w:rFonts w:ascii="Arial" w:hAnsi="Arial" w:cs="Arial"/>
          <w:sz w:val="24"/>
          <w:szCs w:val="24"/>
        </w:rPr>
      </w:pPr>
    </w:p>
    <w:p w14:paraId="4F33FA46" w14:textId="77777777" w:rsidR="00E46DBE" w:rsidRDefault="00E46DBE" w:rsidP="00E46DBE">
      <w:pPr>
        <w:spacing w:line="360" w:lineRule="auto"/>
        <w:jc w:val="both"/>
        <w:rPr>
          <w:rFonts w:ascii="Arial" w:hAnsi="Arial" w:cs="Arial"/>
          <w:sz w:val="24"/>
          <w:szCs w:val="24"/>
        </w:rPr>
      </w:pPr>
    </w:p>
    <w:p w14:paraId="01A8CD8A" w14:textId="77777777" w:rsidR="00E46DBE" w:rsidRPr="00E46DBE" w:rsidRDefault="00E46DBE" w:rsidP="00E46DBE">
      <w:pPr>
        <w:spacing w:line="360" w:lineRule="auto"/>
        <w:jc w:val="both"/>
        <w:rPr>
          <w:rFonts w:ascii="Arial" w:hAnsi="Arial" w:cs="Arial"/>
          <w:sz w:val="24"/>
          <w:szCs w:val="24"/>
        </w:rPr>
      </w:pPr>
    </w:p>
    <w:p w14:paraId="1EDFCA20" w14:textId="77777777" w:rsidR="00E46DBE" w:rsidRPr="00E46DBE" w:rsidRDefault="00E46DBE" w:rsidP="00E46DBE">
      <w:pPr>
        <w:pStyle w:val="Heading1"/>
      </w:pPr>
      <w:bookmarkStart w:id="1" w:name="_Toc227508363"/>
      <w:r w:rsidRPr="00E46DBE">
        <w:lastRenderedPageBreak/>
        <w:t>1.0 Introduction</w:t>
      </w:r>
      <w:bookmarkEnd w:id="1"/>
    </w:p>
    <w:p w14:paraId="2DF2A874" w14:textId="4D9B0C81" w:rsidR="00E46DBE" w:rsidRPr="00E46DBE" w:rsidRDefault="001C527C" w:rsidP="001C527C">
      <w:pPr>
        <w:spacing w:line="360" w:lineRule="auto"/>
        <w:ind w:firstLine="720"/>
        <w:jc w:val="both"/>
        <w:rPr>
          <w:rFonts w:ascii="Arial" w:hAnsi="Arial" w:cs="Arial"/>
          <w:sz w:val="24"/>
          <w:szCs w:val="24"/>
        </w:rPr>
      </w:pPr>
      <w:r w:rsidRPr="001C527C">
        <w:rPr>
          <w:rFonts w:ascii="Arial" w:hAnsi="Arial" w:cs="Arial"/>
          <w:sz w:val="24"/>
          <w:szCs w:val="24"/>
        </w:rPr>
        <w:t>Superdrug is a health and beauty retailer in the UK that provides cosmetics, skincare, toiletries, pharmacy support and health services both in-store and online. The company sells itself on the easily accessible beauty, value and convenient healthcare that it is best suited case to a sales-oriented marketing plan. The report discusses the market position of Superdrug and draws recommendations based on the situational analysis, STP, 7Ps and implementation controls. The aim is to develop a workable solution on how the business can better customer access, deliver value and create increased sales in the UK market.</w:t>
      </w:r>
    </w:p>
    <w:p w14:paraId="51353D4F" w14:textId="77777777" w:rsidR="00E46DBE" w:rsidRPr="00E46DBE" w:rsidRDefault="00E46DBE" w:rsidP="00E46DBE">
      <w:pPr>
        <w:pStyle w:val="Heading3"/>
      </w:pPr>
      <w:bookmarkStart w:id="2" w:name="_Toc227508364"/>
      <w:r w:rsidRPr="00E46DBE">
        <w:t>1.1 Mission</w:t>
      </w:r>
      <w:bookmarkEnd w:id="2"/>
    </w:p>
    <w:p w14:paraId="34A16BAE" w14:textId="4844689B" w:rsidR="00E46DBE" w:rsidRPr="00E46DBE" w:rsidRDefault="001C527C" w:rsidP="00E46DBE">
      <w:pPr>
        <w:spacing w:line="360" w:lineRule="auto"/>
        <w:ind w:firstLine="720"/>
        <w:jc w:val="both"/>
        <w:rPr>
          <w:rFonts w:ascii="Arial" w:hAnsi="Arial" w:cs="Arial"/>
          <w:sz w:val="24"/>
          <w:szCs w:val="24"/>
        </w:rPr>
      </w:pPr>
      <w:r w:rsidRPr="001C527C">
        <w:rPr>
          <w:rFonts w:ascii="Arial" w:hAnsi="Arial" w:cs="Arial"/>
          <w:sz w:val="24"/>
          <w:szCs w:val="24"/>
        </w:rPr>
        <w:t>The mission of Superdrug is closely associated with the accessible beauty, everyday health and customer value that can be used as the supporting element of it as a mass-market UK retailer. This is important in terms of strategy since the business is not upon exclusivity, but on convenience, affordability, product selection and service level across stores and online platforms.</w:t>
      </w:r>
      <w:r w:rsidR="00E46DBE" w:rsidRPr="00E46DBE">
        <w:rPr>
          <w:rFonts w:ascii="Arial" w:hAnsi="Arial" w:cs="Arial"/>
          <w:sz w:val="24"/>
          <w:szCs w:val="24"/>
        </w:rPr>
        <w:t xml:space="preserve"> The company’s wider corporate direction also places growing emphasis on responsible retailing and sustainability, which can strengthen brand trust when combined with value and accessibility (A.S. Watson Group, 2025). For this report, the mission provides a clear basis for recommending stronger segmentation, more relevant targeting and a more integrated marketing mix to increase sales.</w:t>
      </w:r>
    </w:p>
    <w:p w14:paraId="2FACC576" w14:textId="77777777" w:rsidR="00E46DBE" w:rsidRPr="00E46DBE" w:rsidRDefault="00E46DBE" w:rsidP="00E46DBE">
      <w:pPr>
        <w:spacing w:line="360" w:lineRule="auto"/>
        <w:jc w:val="both"/>
        <w:rPr>
          <w:rFonts w:ascii="Arial" w:hAnsi="Arial" w:cs="Arial"/>
          <w:sz w:val="24"/>
          <w:szCs w:val="24"/>
        </w:rPr>
      </w:pPr>
    </w:p>
    <w:p w14:paraId="122002C8" w14:textId="77777777" w:rsidR="00E46DBE" w:rsidRPr="00E46DBE" w:rsidRDefault="00E46DBE" w:rsidP="00E46DBE">
      <w:pPr>
        <w:pStyle w:val="Heading2"/>
      </w:pPr>
      <w:bookmarkStart w:id="3" w:name="_Toc227508365"/>
      <w:r w:rsidRPr="00E46DBE">
        <w:t>2.0 Situational analysis</w:t>
      </w:r>
      <w:bookmarkEnd w:id="3"/>
    </w:p>
    <w:p w14:paraId="2AE3CA72" w14:textId="77777777" w:rsidR="00E46DBE" w:rsidRDefault="00E46DBE" w:rsidP="00E46DBE">
      <w:pPr>
        <w:pStyle w:val="Heading3"/>
      </w:pPr>
      <w:bookmarkStart w:id="4" w:name="_Toc227508366"/>
      <w:r w:rsidRPr="00E46DBE">
        <w:t>2.1 External environment (PESTEL)</w:t>
      </w:r>
      <w:bookmarkEnd w:id="4"/>
    </w:p>
    <w:p w14:paraId="706535A5" w14:textId="7D810972" w:rsidR="00A602D9" w:rsidRPr="00A602D9" w:rsidRDefault="00A602D9" w:rsidP="00A602D9">
      <w:pPr>
        <w:pStyle w:val="ListParagraph"/>
        <w:numPr>
          <w:ilvl w:val="0"/>
          <w:numId w:val="41"/>
        </w:numPr>
        <w:spacing w:line="360" w:lineRule="auto"/>
        <w:jc w:val="both"/>
        <w:rPr>
          <w:rFonts w:ascii="Arial" w:hAnsi="Arial" w:cs="Arial"/>
          <w:sz w:val="24"/>
          <w:szCs w:val="24"/>
        </w:rPr>
      </w:pPr>
      <w:r w:rsidRPr="00A602D9">
        <w:rPr>
          <w:rFonts w:ascii="Arial" w:hAnsi="Arial" w:cs="Arial"/>
          <w:b/>
          <w:bCs/>
          <w:sz w:val="24"/>
          <w:szCs w:val="24"/>
        </w:rPr>
        <w:t>Politically</w:t>
      </w:r>
      <w:r w:rsidRPr="00A602D9">
        <w:rPr>
          <w:rFonts w:ascii="Arial" w:hAnsi="Arial" w:cs="Arial"/>
          <w:sz w:val="24"/>
          <w:szCs w:val="24"/>
        </w:rPr>
        <w:t>, Superdrug must navigate a retail market, which has been defined by tougher consumer protection and an increased focus on the digital marketing practice. This implies that the company should make promotional messages open and provide them in a responsible manner particularly through the fast-moving online media. This can increase the compliance pressure, but may increase customer trust when the marketing is transparent and accountable (Advertising Standards Authority, 2025).</w:t>
      </w:r>
    </w:p>
    <w:p w14:paraId="10853406" w14:textId="3ACA70D3" w:rsidR="00A602D9" w:rsidRPr="00A602D9" w:rsidRDefault="00A602D9" w:rsidP="00A602D9">
      <w:pPr>
        <w:pStyle w:val="ListParagraph"/>
        <w:numPr>
          <w:ilvl w:val="0"/>
          <w:numId w:val="41"/>
        </w:numPr>
        <w:spacing w:line="360" w:lineRule="auto"/>
        <w:jc w:val="both"/>
        <w:rPr>
          <w:rFonts w:ascii="Arial" w:hAnsi="Arial" w:cs="Arial"/>
          <w:sz w:val="24"/>
          <w:szCs w:val="24"/>
        </w:rPr>
      </w:pPr>
      <w:r w:rsidRPr="00A602D9">
        <w:rPr>
          <w:rFonts w:ascii="Arial" w:hAnsi="Arial" w:cs="Arial"/>
          <w:b/>
          <w:bCs/>
          <w:sz w:val="24"/>
          <w:szCs w:val="24"/>
        </w:rPr>
        <w:t>Economically</w:t>
      </w:r>
      <w:r w:rsidRPr="00A602D9">
        <w:rPr>
          <w:rFonts w:ascii="Arial" w:hAnsi="Arial" w:cs="Arial"/>
          <w:sz w:val="24"/>
          <w:szCs w:val="24"/>
        </w:rPr>
        <w:t>, the UK beauty industry is worthwhile yet it is still price sensitive with its consumers. This inherently helps in Superdrug value-led positioning, but it also has a challenge on balancing between competitive prices and profitability. Practically, the business will need to maintain the provision of tangible value but not over depend on discounts, which may undercut margins (British Beauty Council, 2025).</w:t>
      </w:r>
    </w:p>
    <w:p w14:paraId="1141D6A3" w14:textId="4C264AB3" w:rsidR="00A602D9" w:rsidRPr="00A602D9" w:rsidRDefault="00A602D9" w:rsidP="00A602D9">
      <w:pPr>
        <w:pStyle w:val="ListParagraph"/>
        <w:numPr>
          <w:ilvl w:val="0"/>
          <w:numId w:val="41"/>
        </w:numPr>
        <w:spacing w:line="360" w:lineRule="auto"/>
        <w:jc w:val="both"/>
        <w:rPr>
          <w:rFonts w:ascii="Arial" w:hAnsi="Arial" w:cs="Arial"/>
          <w:sz w:val="24"/>
          <w:szCs w:val="24"/>
        </w:rPr>
      </w:pPr>
      <w:r w:rsidRPr="00A602D9">
        <w:rPr>
          <w:rFonts w:ascii="Arial" w:hAnsi="Arial" w:cs="Arial"/>
          <w:b/>
          <w:bCs/>
          <w:sz w:val="24"/>
          <w:szCs w:val="24"/>
        </w:rPr>
        <w:t>Socially</w:t>
      </w:r>
      <w:r w:rsidRPr="00A602D9">
        <w:rPr>
          <w:rFonts w:ascii="Arial" w:hAnsi="Arial" w:cs="Arial"/>
          <w:sz w:val="24"/>
          <w:szCs w:val="24"/>
        </w:rPr>
        <w:t xml:space="preserve">, the increased interest in self-care, the trends in wellness and beauty </w:t>
      </w:r>
      <w:r>
        <w:rPr>
          <w:rFonts w:ascii="Arial" w:hAnsi="Arial" w:cs="Arial"/>
          <w:sz w:val="24"/>
          <w:szCs w:val="24"/>
        </w:rPr>
        <w:t>f</w:t>
      </w:r>
      <w:r w:rsidRPr="00A602D9">
        <w:rPr>
          <w:rFonts w:ascii="Arial" w:hAnsi="Arial" w:cs="Arial"/>
          <w:sz w:val="24"/>
          <w:szCs w:val="24"/>
        </w:rPr>
        <w:t>avo</w:t>
      </w:r>
      <w:r>
        <w:rPr>
          <w:rFonts w:ascii="Arial" w:hAnsi="Arial" w:cs="Arial"/>
          <w:sz w:val="24"/>
          <w:szCs w:val="24"/>
        </w:rPr>
        <w:t>u</w:t>
      </w:r>
      <w:r w:rsidRPr="00A602D9">
        <w:rPr>
          <w:rFonts w:ascii="Arial" w:hAnsi="Arial" w:cs="Arial"/>
          <w:sz w:val="24"/>
          <w:szCs w:val="24"/>
        </w:rPr>
        <w:t>r the demand of Superdrug mix of cosmetics, skincare and health products. This is good in that it will enable the brand to attract both routine and trend-following shoppers which will enhance chances of repeat and impulse purchases.</w:t>
      </w:r>
    </w:p>
    <w:p w14:paraId="4AF94AA5" w14:textId="77777777" w:rsidR="00A602D9" w:rsidRPr="00A602D9" w:rsidRDefault="00A602D9" w:rsidP="00A602D9">
      <w:pPr>
        <w:pStyle w:val="ListParagraph"/>
        <w:numPr>
          <w:ilvl w:val="0"/>
          <w:numId w:val="41"/>
        </w:numPr>
        <w:spacing w:line="360" w:lineRule="auto"/>
        <w:jc w:val="both"/>
        <w:rPr>
          <w:rFonts w:ascii="Arial" w:hAnsi="Arial" w:cs="Arial"/>
          <w:sz w:val="24"/>
          <w:szCs w:val="24"/>
        </w:rPr>
      </w:pPr>
      <w:r w:rsidRPr="00A602D9">
        <w:rPr>
          <w:rFonts w:ascii="Arial" w:hAnsi="Arial" w:cs="Arial"/>
          <w:b/>
          <w:bCs/>
          <w:sz w:val="24"/>
          <w:szCs w:val="24"/>
        </w:rPr>
        <w:t>Technologically</w:t>
      </w:r>
      <w:r w:rsidRPr="00A602D9">
        <w:rPr>
          <w:rFonts w:ascii="Arial" w:hAnsi="Arial" w:cs="Arial"/>
          <w:sz w:val="24"/>
          <w:szCs w:val="24"/>
        </w:rPr>
        <w:t>, digital and mobile customer experiences in UK are high and hence most customer journeys start online. In the case of Superdrug, this not only offers growth prospects in the form of app, web and click-and-collect offerings, but it also puts pressure on ensuring a smooth omnichannel experience (Ofcom, 2024).</w:t>
      </w:r>
    </w:p>
    <w:p w14:paraId="2DF72930" w14:textId="77777777" w:rsidR="00A602D9" w:rsidRPr="00A602D9" w:rsidRDefault="00A602D9" w:rsidP="00A602D9">
      <w:pPr>
        <w:pStyle w:val="ListParagraph"/>
        <w:numPr>
          <w:ilvl w:val="0"/>
          <w:numId w:val="41"/>
        </w:numPr>
        <w:spacing w:line="360" w:lineRule="auto"/>
        <w:jc w:val="both"/>
        <w:rPr>
          <w:rFonts w:ascii="Arial" w:hAnsi="Arial" w:cs="Arial"/>
          <w:sz w:val="24"/>
          <w:szCs w:val="24"/>
        </w:rPr>
      </w:pPr>
      <w:r w:rsidRPr="00A602D9">
        <w:rPr>
          <w:rFonts w:ascii="Arial" w:hAnsi="Arial" w:cs="Arial"/>
          <w:b/>
          <w:bCs/>
          <w:sz w:val="24"/>
          <w:szCs w:val="24"/>
        </w:rPr>
        <w:t>Environmentally</w:t>
      </w:r>
      <w:r w:rsidRPr="00A602D9">
        <w:rPr>
          <w:rFonts w:ascii="Arial" w:hAnsi="Arial" w:cs="Arial"/>
          <w:sz w:val="24"/>
          <w:szCs w:val="24"/>
        </w:rPr>
        <w:t>, customers are increasingly concerned with the packaging, sourcing and responsible retail operations. This will be able to enhance the brand image of Superdrug when effectively managed, but it will also be likely to raise the operational costs (A.S. Watson Group, 2025).</w:t>
      </w:r>
    </w:p>
    <w:p w14:paraId="2873FC35" w14:textId="10337E0A" w:rsidR="00A602D9" w:rsidRPr="00A602D9" w:rsidRDefault="00A602D9" w:rsidP="00A602D9">
      <w:pPr>
        <w:pStyle w:val="ListParagraph"/>
        <w:numPr>
          <w:ilvl w:val="0"/>
          <w:numId w:val="41"/>
        </w:numPr>
        <w:spacing w:line="360" w:lineRule="auto"/>
        <w:jc w:val="both"/>
        <w:rPr>
          <w:rFonts w:ascii="Arial" w:hAnsi="Arial" w:cs="Arial"/>
          <w:sz w:val="24"/>
          <w:szCs w:val="24"/>
        </w:rPr>
      </w:pPr>
      <w:r w:rsidRPr="00A602D9">
        <w:rPr>
          <w:rFonts w:ascii="Arial" w:hAnsi="Arial" w:cs="Arial"/>
          <w:b/>
          <w:bCs/>
          <w:sz w:val="24"/>
          <w:szCs w:val="24"/>
        </w:rPr>
        <w:t>Legally</w:t>
      </w:r>
      <w:r w:rsidRPr="00A602D9">
        <w:rPr>
          <w:rFonts w:ascii="Arial" w:hAnsi="Arial" w:cs="Arial"/>
          <w:sz w:val="24"/>
          <w:szCs w:val="24"/>
        </w:rPr>
        <w:t>, the promotions in the context of influencer and social media should comply with advertising and disclosure regulations. Overall, the PESTLE demonstrates great sales prospects of Superdrug and reveals threats associated with compliance, margin pressure and increased customer expectations (Advertising Standards Authority, 2025).</w:t>
      </w:r>
    </w:p>
    <w:p w14:paraId="29C7B12A" w14:textId="77777777" w:rsidR="00E46DBE" w:rsidRPr="00E46DBE" w:rsidRDefault="00E46DBE" w:rsidP="00E46DBE">
      <w:pPr>
        <w:pStyle w:val="Heading3"/>
      </w:pPr>
      <w:bookmarkStart w:id="5" w:name="_Toc227508367"/>
      <w:r w:rsidRPr="00E46DBE">
        <w:t>2.2 Internal and competitive position (SWOT and Five Forces)</w:t>
      </w:r>
      <w:bookmarkEnd w:id="5"/>
    </w:p>
    <w:p w14:paraId="1092D66F" w14:textId="3B8CE481"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Organised internal and competitive analysis reveals a robust growth platform of Superdrug, and it is in the form of a crowded and easy to copy market. Its strengths are defined as a recognised brand in the UK, a variety of beauty and health products, value-based positioning and a well-developed network of stores with digital accessibility in SWOT terms. These capabilities make it convenient and enable buying again among various customer segments (Superdrug, 2023). Its threats are that it is highly exposed to stiff retail competition as well as the threat of over</w:t>
      </w:r>
      <w:r w:rsidR="00DB6413">
        <w:rPr>
          <w:rFonts w:ascii="Arial" w:hAnsi="Arial" w:cs="Arial"/>
          <w:sz w:val="24"/>
          <w:szCs w:val="24"/>
        </w:rPr>
        <w:t xml:space="preserve"> r</w:t>
      </w:r>
      <w:r w:rsidRPr="00E46DBE">
        <w:rPr>
          <w:rFonts w:ascii="Arial" w:hAnsi="Arial" w:cs="Arial"/>
          <w:sz w:val="24"/>
          <w:szCs w:val="24"/>
        </w:rPr>
        <w:t>elying on promotions to achieve volume but not loyalty. This is capable of lowering differentiation within a market wherein rivals have the ability to replicate price-based deals promptly (Ndlovu, 2024). Its opportunities encompass increased integration of omnichannel, more focused promotions and the ability to use analytics to enhance customer interaction and conversion in online and offline channels (Agag et al., 2024). The threats that it faces predominantly include the hostile competition, evolving customer demand and low switching, which complicates retention in health and beauty stores (Balbín Buckley and Marquina Feldman, 2024).</w:t>
      </w:r>
    </w:p>
    <w:p w14:paraId="6496F2B2" w14:textId="1F09774A" w:rsidR="00E46DBE" w:rsidRPr="00E46DBE" w:rsidRDefault="00E46DBE" w:rsidP="00DB6413">
      <w:pPr>
        <w:spacing w:line="360" w:lineRule="auto"/>
        <w:ind w:firstLine="720"/>
        <w:jc w:val="both"/>
        <w:rPr>
          <w:rFonts w:ascii="Arial" w:hAnsi="Arial" w:cs="Arial"/>
          <w:sz w:val="24"/>
          <w:szCs w:val="24"/>
        </w:rPr>
      </w:pPr>
      <w:r w:rsidRPr="00E46DBE">
        <w:rPr>
          <w:rFonts w:ascii="Arial" w:hAnsi="Arial" w:cs="Arial"/>
          <w:sz w:val="24"/>
          <w:szCs w:val="24"/>
        </w:rPr>
        <w:t>The pressure surrounding the position of Superdrug can be seen in Porter's Five Forces. The competition is fierce due to the fact that Superdrug is competing with Boots, supermarkets, internet-based beauty stores and specialist chains based on price, variety and convenience</w:t>
      </w:r>
      <w:r w:rsidR="00615D0C">
        <w:rPr>
          <w:rFonts w:ascii="Arial" w:hAnsi="Arial" w:cs="Arial"/>
          <w:sz w:val="24"/>
          <w:szCs w:val="24"/>
        </w:rPr>
        <w:t xml:space="preserve"> </w:t>
      </w:r>
      <w:r w:rsidR="00DB6413" w:rsidRPr="00E46DBE">
        <w:rPr>
          <w:rFonts w:ascii="Arial" w:hAnsi="Arial" w:cs="Arial"/>
          <w:sz w:val="24"/>
          <w:szCs w:val="24"/>
        </w:rPr>
        <w:t>(Ndlovu, 2024).</w:t>
      </w:r>
      <w:r w:rsidRPr="00E46DBE">
        <w:rPr>
          <w:rFonts w:ascii="Arial" w:hAnsi="Arial" w:cs="Arial"/>
          <w:sz w:val="24"/>
          <w:szCs w:val="24"/>
        </w:rPr>
        <w:t xml:space="preserve"> The level of buyer power is high since customers can easily compare products and change retailers at a low cost. The supplier power is moderate with the major brands still able to maintain leverage, despite the retailers maintaining leverage across most mass-market categories. The threat of substitutes is moderate to high as beauty and personal care products are easily accessible via alternative retail formats. Threat of new entrants is medium, as digital retail reduces barriers to entry, however, scale, brand loyalty and physical location continue to value larger companies</w:t>
      </w:r>
      <w:r w:rsidR="00615D0C">
        <w:rPr>
          <w:rFonts w:ascii="Arial" w:hAnsi="Arial" w:cs="Arial"/>
          <w:sz w:val="24"/>
          <w:szCs w:val="24"/>
        </w:rPr>
        <w:t xml:space="preserve"> </w:t>
      </w:r>
      <w:r w:rsidR="00DB6413" w:rsidRPr="00DB6413">
        <w:rPr>
          <w:rFonts w:ascii="Arial" w:hAnsi="Arial" w:cs="Arial"/>
          <w:sz w:val="24"/>
          <w:szCs w:val="24"/>
        </w:rPr>
        <w:t>(Agag et al., 2024).</w:t>
      </w:r>
      <w:r w:rsidR="00DB6413">
        <w:rPr>
          <w:rFonts w:ascii="Arial" w:hAnsi="Arial" w:cs="Arial"/>
          <w:sz w:val="24"/>
          <w:szCs w:val="24"/>
        </w:rPr>
        <w:t xml:space="preserve"> </w:t>
      </w:r>
      <w:r w:rsidRPr="00E46DBE">
        <w:rPr>
          <w:rFonts w:ascii="Arial" w:hAnsi="Arial" w:cs="Arial"/>
          <w:sz w:val="24"/>
          <w:szCs w:val="24"/>
        </w:rPr>
        <w:t>Overall, Superdrug is well positioned in the market, but its future sales growth hinges on its increased differentiation, not the price wars.</w:t>
      </w:r>
    </w:p>
    <w:p w14:paraId="0DE97B4C" w14:textId="77777777" w:rsidR="00E46DBE" w:rsidRPr="00E46DBE" w:rsidRDefault="00E46DBE" w:rsidP="00E46DBE">
      <w:pPr>
        <w:spacing w:line="360" w:lineRule="auto"/>
        <w:jc w:val="both"/>
        <w:rPr>
          <w:rFonts w:ascii="Arial" w:hAnsi="Arial" w:cs="Arial"/>
          <w:sz w:val="24"/>
          <w:szCs w:val="24"/>
        </w:rPr>
      </w:pPr>
    </w:p>
    <w:p w14:paraId="512BC3E9" w14:textId="77777777" w:rsidR="00E46DBE" w:rsidRPr="00E46DBE" w:rsidRDefault="00E46DBE" w:rsidP="00E46DBE">
      <w:pPr>
        <w:pStyle w:val="Heading2"/>
      </w:pPr>
      <w:bookmarkStart w:id="6" w:name="_Toc227508368"/>
      <w:r w:rsidRPr="00E46DBE">
        <w:t>3.0 Marketing strategy</w:t>
      </w:r>
      <w:bookmarkEnd w:id="6"/>
    </w:p>
    <w:p w14:paraId="1CE15352" w14:textId="77777777" w:rsidR="00E46DBE" w:rsidRPr="00E46DBE" w:rsidRDefault="00E46DBE" w:rsidP="00E46DBE">
      <w:pPr>
        <w:pStyle w:val="Heading3"/>
      </w:pPr>
      <w:bookmarkStart w:id="7" w:name="_Toc227508369"/>
      <w:r w:rsidRPr="00E46DBE">
        <w:t>3.1 Segmentation</w:t>
      </w:r>
      <w:bookmarkEnd w:id="7"/>
    </w:p>
    <w:p w14:paraId="1F4B7AF6" w14:textId="77777777"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Segmentation assists a company in breaking down a wide market into smaller segments that share similar needs, behaviours or characteristics such that marketing efforts can be aligned to customer demand more closely (Gomes and Meisen, 2023). In the case of Superdrug, segmentation is relevant since the company has a broad customer base in the beauty, personal care and health segment of the market and a generic offer would undermine relevance and decrease the conversion.</w:t>
      </w:r>
    </w:p>
    <w:p w14:paraId="7C044EDC" w14:textId="23DA9BA9" w:rsidR="00E46DBE" w:rsidRPr="00E46DBE" w:rsidRDefault="00E46DBE" w:rsidP="00615D0C">
      <w:pPr>
        <w:spacing w:line="360" w:lineRule="auto"/>
        <w:ind w:firstLine="720"/>
        <w:jc w:val="both"/>
        <w:rPr>
          <w:rFonts w:ascii="Arial" w:hAnsi="Arial" w:cs="Arial"/>
          <w:sz w:val="24"/>
          <w:szCs w:val="24"/>
        </w:rPr>
      </w:pPr>
      <w:r w:rsidRPr="00E46DBE">
        <w:rPr>
          <w:rFonts w:ascii="Arial" w:hAnsi="Arial" w:cs="Arial"/>
          <w:sz w:val="24"/>
          <w:szCs w:val="24"/>
        </w:rPr>
        <w:t>Demographic segmentation can serve as a good starting point. Superdrug has a high level of appeal to the younger and middle-income customers who desire cheap beauty, skincare, toiletries and everyday health products. This segment is appealing as the price sensitivity is still high in the UK retail industry and value-based positioning is significant to sales growth (Office for National Statistics, 2025). Nonetheless, the older customers can also be targeted by Superdrug in terms of pharmacy and purchases associated with healthcare, thus expanding the client base of the company not only to beauty-based retail.</w:t>
      </w:r>
    </w:p>
    <w:p w14:paraId="457A0FE7" w14:textId="77777777" w:rsidR="00A602D9"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The behavioural segmentation is also employed by the company. The customers vary in terms of purchase rate, loyalty, product use and response to promotions. There are those shoppers who are habitual purchasers of household products and necessities and those who are more driven by fashion, seasonal promotions and special deals. The issue of behavioural differences is important as retail experience indicates that the strength of engagement with customers and their brand relationships can be transformed into repeat engagement in the long run (PhamThi and Ho, 2024). Superdrug can thus evaluate the difference between routine on the-run buyers and trend-followers and promotion-followers and tailor messages to suit.</w:t>
      </w:r>
    </w:p>
    <w:p w14:paraId="1DA5AED1" w14:textId="3ED67CAF"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Psychographic segmentation is relevant, adopting value, self-care, confidence, convenience and interest in the trends of beauty, motivating many customers. These differences in lifestyle and attitude affect the kind of products that consumers pay attention to and their reactions to brand messaging in the different channels in the modern retail (Frasquet et al., 2024). In the case of Superdrug, it implies that in addition to creating segments based on age or income, customer priorities can be created based on affordability, beauty exploration, wellness and speed.</w:t>
      </w:r>
    </w:p>
    <w:p w14:paraId="6CD7BEAA" w14:textId="77777777" w:rsidR="00E46DBE" w:rsidRDefault="00E46DBE" w:rsidP="00615D0C">
      <w:pPr>
        <w:spacing w:line="360" w:lineRule="auto"/>
        <w:jc w:val="both"/>
        <w:rPr>
          <w:rFonts w:ascii="Arial" w:hAnsi="Arial" w:cs="Arial"/>
          <w:sz w:val="24"/>
          <w:szCs w:val="24"/>
        </w:rPr>
      </w:pPr>
      <w:r w:rsidRPr="00615D0C">
        <w:rPr>
          <w:rFonts w:ascii="Arial" w:hAnsi="Arial" w:cs="Arial"/>
          <w:sz w:val="24"/>
          <w:szCs w:val="24"/>
        </w:rPr>
        <w:t>Lastly, channel-based segmentation is significant since customers frequent store, web, app and social media. According to omnichannel research, the overall retail experience is influenced by integrated channel usage, which means that the shopping journey segmentation can enhance relevance and consistency between touchpoints (Both and Steinmann, 2023). Overall, Superdrug needs to consider combining demographic, behavioural, psychographic and channel variables in segmenting its market as opposed to basing on a single basis.</w:t>
      </w:r>
    </w:p>
    <w:p w14:paraId="29CF3484" w14:textId="77777777" w:rsidR="00E46DBE" w:rsidRPr="00E46DBE" w:rsidRDefault="00E46DBE" w:rsidP="00E46DBE">
      <w:pPr>
        <w:pStyle w:val="Heading3"/>
      </w:pPr>
      <w:bookmarkStart w:id="8" w:name="_Toc227508370"/>
      <w:r w:rsidRPr="00E46DBE">
        <w:t>3.2 Targeting</w:t>
      </w:r>
      <w:bookmarkEnd w:id="8"/>
    </w:p>
    <w:p w14:paraId="39627231" w14:textId="77777777" w:rsidR="00A602D9" w:rsidRPr="00A602D9"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Superdrug needs to implement differentiated targeting strategy based on two key customer segments. It should mainly focus on value-sensitive beauty and personal care shoppers, particularly the younger adults and middle-income customers who are frequent buyers of inexpensive skincare, cosmetics, toiletries and products that are based on trends. This segment aligns with the value-based image of Superdrug and is more susceptible to promotions, loyalty programs and new beauty products. The second target market ought to be health and wellness shoppers who purchase pharmacy related products, skincare and everyday care products and believe in convenience, trust and product availability. This segment matters as it helps facilitate more consistent and predictable year-round purchases.</w:t>
      </w:r>
    </w:p>
    <w:p w14:paraId="630ED9BB" w14:textId="375700DE" w:rsidR="00A602D9" w:rsidRPr="00E46DBE"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To achieve higher sales, Superdrug ought to address group offers and messages to different groups instead of using a general message to all customers. Promotions with trends orientation should be offered to beauty-led customers, bundle deals and rewards on app, customers with health and wellness orientation should be appealed to with the message of convenience, trusted-care and repeat-buys. This would enhance relevance, retention and basket value (Agag et al., 2024).</w:t>
      </w:r>
    </w:p>
    <w:p w14:paraId="5B84A931" w14:textId="77777777" w:rsidR="00E46DBE" w:rsidRPr="00E46DBE" w:rsidRDefault="00E46DBE" w:rsidP="00E46DBE">
      <w:pPr>
        <w:pStyle w:val="Heading3"/>
      </w:pPr>
      <w:bookmarkStart w:id="9" w:name="_Toc227508371"/>
      <w:r w:rsidRPr="00E46DBE">
        <w:t>3.3 Positioning</w:t>
      </w:r>
      <w:bookmarkEnd w:id="9"/>
    </w:p>
    <w:p w14:paraId="7A44F937" w14:textId="77777777" w:rsidR="00A602D9" w:rsidRPr="00A602D9"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Superdrug must place itself as the most convenient and affordable everyday beauty and health place in the UK. It is a more robust than a generic value claim since it integrates low-to-mid pricing with extensive product selection, own-brand option, pharmacy-related credibility and convenient accessibility in both offline and online stores. Superdrug has an opportunity to compete more on price and trend-based beauty than Boots. It is a more specialised experience of beauty and personal care with more category depth as compared to supermarkets.</w:t>
      </w:r>
    </w:p>
    <w:p w14:paraId="01EB4FDA" w14:textId="4A8634A2" w:rsidR="00A602D9"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Superdrug ought to convey the same message in stores, online, in the application, or in promotions to encourage sales growth: affordable everyday health and beauty, all under a single roof. This would assist the company to appeal to both routine shoppers of the care and value-focused customers of the beauty industry, as well as provide a more definite differentiation in an already saturated market. It also helps justify the general suggestion that the growth must be achieved by making the relevance and convenience more meaningful rather than by focusing purely on price competition (Ndlovu, 2024).</w:t>
      </w:r>
    </w:p>
    <w:p w14:paraId="1922156C" w14:textId="11C44343" w:rsidR="00DB6413" w:rsidRDefault="00DB6413" w:rsidP="00DB6413">
      <w:pPr>
        <w:spacing w:line="360" w:lineRule="auto"/>
        <w:jc w:val="center"/>
        <w:rPr>
          <w:rFonts w:ascii="Arial" w:hAnsi="Arial" w:cs="Arial"/>
          <w:sz w:val="24"/>
          <w:szCs w:val="24"/>
        </w:rPr>
      </w:pPr>
      <w:r>
        <w:rPr>
          <w:rFonts w:ascii="Arial" w:hAnsi="Arial" w:cs="Arial"/>
          <w:noProof/>
          <w:sz w:val="24"/>
          <w:szCs w:val="24"/>
        </w:rPr>
        <w:drawing>
          <wp:inline distT="0" distB="0" distL="0" distR="0" wp14:anchorId="2D534B3E" wp14:editId="4ACB6136">
            <wp:extent cx="4989341" cy="3726217"/>
            <wp:effectExtent l="0" t="0" r="1905" b="7620"/>
            <wp:docPr id="1766928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9538" cy="3741301"/>
                    </a:xfrm>
                    <a:prstGeom prst="rect">
                      <a:avLst/>
                    </a:prstGeom>
                    <a:noFill/>
                  </pic:spPr>
                </pic:pic>
              </a:graphicData>
            </a:graphic>
          </wp:inline>
        </w:drawing>
      </w:r>
    </w:p>
    <w:p w14:paraId="68B86A09" w14:textId="590352F0" w:rsidR="00DB6413" w:rsidRPr="00DB6413" w:rsidRDefault="00DB6413" w:rsidP="00DB6413">
      <w:pPr>
        <w:spacing w:line="360" w:lineRule="auto"/>
        <w:jc w:val="center"/>
        <w:rPr>
          <w:rFonts w:ascii="Arial" w:hAnsi="Arial" w:cs="Arial"/>
          <w:b/>
          <w:bCs/>
        </w:rPr>
      </w:pPr>
      <w:r w:rsidRPr="00DB6413">
        <w:rPr>
          <w:rFonts w:ascii="Arial" w:hAnsi="Arial" w:cs="Arial"/>
          <w:b/>
          <w:bCs/>
        </w:rPr>
        <w:t>Figure 1: Positioning map of Superdrug against key retail competitors</w:t>
      </w:r>
    </w:p>
    <w:p w14:paraId="243A2E21" w14:textId="77777777" w:rsidR="00E46DBE" w:rsidRPr="00E46DBE" w:rsidRDefault="00E46DBE" w:rsidP="00E46DBE">
      <w:pPr>
        <w:pStyle w:val="Heading3"/>
      </w:pPr>
      <w:bookmarkStart w:id="10" w:name="_Toc227508372"/>
      <w:r w:rsidRPr="00E46DBE">
        <w:t>3.4 Ansoff Matrix and integrated marketing</w:t>
      </w:r>
      <w:bookmarkEnd w:id="10"/>
    </w:p>
    <w:p w14:paraId="4B9D5CDF" w14:textId="77777777" w:rsid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According to the Ansoff Matrix, the most viable growth strategy that Superdrug can pursue is market penetration which will be aided by selective product development. Penetration is appropriate since the company already enjoys a robust presence in the UK and therefore sales growth will be through purchase frequency, basket size and loyalty in the existing markets. It may be done with more focused promotions, enhanced loyalty programs and enhanced coordination between stores, app and site. Also relevant is product development since Superdrug can increase sales by updating own-brand beauty, wellness and personal care collections as their customer needs and demand based on fads evolve. Own-label innovation value is significant in retail industries where brands and retailer-own are tightly compared by the customers (Ndlovu, 2024).</w:t>
      </w:r>
    </w:p>
    <w:p w14:paraId="4270EEB3" w14:textId="77777777" w:rsidR="00A602D9" w:rsidRPr="00E46DBE" w:rsidRDefault="00A602D9" w:rsidP="00E46DBE">
      <w:pPr>
        <w:spacing w:line="360" w:lineRule="auto"/>
        <w:ind w:firstLine="720"/>
        <w:jc w:val="both"/>
        <w:rPr>
          <w:rFonts w:ascii="Arial" w:hAnsi="Arial" w:cs="Arial"/>
          <w:sz w:val="24"/>
          <w:szCs w:val="24"/>
        </w:rPr>
      </w:pPr>
    </w:p>
    <w:p w14:paraId="2897985B" w14:textId="026BD0D6" w:rsidR="005D070B" w:rsidRPr="00E46DBE" w:rsidRDefault="00E46DBE" w:rsidP="00615D0C">
      <w:pPr>
        <w:spacing w:line="360" w:lineRule="auto"/>
        <w:ind w:firstLine="720"/>
        <w:jc w:val="both"/>
        <w:rPr>
          <w:rFonts w:ascii="Arial" w:hAnsi="Arial" w:cs="Arial"/>
          <w:sz w:val="24"/>
          <w:szCs w:val="24"/>
        </w:rPr>
      </w:pPr>
      <w:r w:rsidRPr="00E46DBE">
        <w:rPr>
          <w:rFonts w:ascii="Arial" w:hAnsi="Arial" w:cs="Arial"/>
          <w:sz w:val="24"/>
          <w:szCs w:val="24"/>
        </w:rPr>
        <w:t>Superdrug should consider an integrated marketing strategy to help support this using paid, owned and in-store channels. Regular communication enhances the customers to know more about the value of the brand and less friction throughout the purchase process. Omnichannel studies indicate that more integrative channels can enhance customer experience and build a more connected retail experience, which is significant to conversion and retention in health and beauty retail (Balbín Buckley and Marquina Feldman, 2024).</w:t>
      </w:r>
    </w:p>
    <w:p w14:paraId="7D5227C8" w14:textId="77777777" w:rsidR="00E46DBE" w:rsidRPr="00E46DBE" w:rsidRDefault="00E46DBE" w:rsidP="00E46DBE">
      <w:pPr>
        <w:pStyle w:val="Heading2"/>
      </w:pPr>
      <w:bookmarkStart w:id="11" w:name="_Toc227508373"/>
      <w:r w:rsidRPr="00E46DBE">
        <w:t>4.0 Marketing mix strategies (7Ps)</w:t>
      </w:r>
      <w:bookmarkEnd w:id="11"/>
    </w:p>
    <w:p w14:paraId="7DA69A88" w14:textId="77777777" w:rsidR="00E46DBE" w:rsidRPr="00E46DBE" w:rsidRDefault="00E46DBE" w:rsidP="00E46DBE">
      <w:pPr>
        <w:pStyle w:val="Heading3"/>
      </w:pPr>
      <w:bookmarkStart w:id="12" w:name="_Toc227508374"/>
      <w:r w:rsidRPr="00E46DBE">
        <w:t>4.1 Product</w:t>
      </w:r>
      <w:bookmarkEnd w:id="12"/>
    </w:p>
    <w:p w14:paraId="6E0C956E" w14:textId="73CD94D8" w:rsidR="00565301" w:rsidRPr="00E46DBE" w:rsidRDefault="00E46DBE" w:rsidP="00565301">
      <w:pPr>
        <w:spacing w:line="360" w:lineRule="auto"/>
        <w:ind w:firstLine="720"/>
        <w:jc w:val="both"/>
        <w:rPr>
          <w:rFonts w:ascii="Arial" w:hAnsi="Arial" w:cs="Arial"/>
          <w:sz w:val="24"/>
          <w:szCs w:val="24"/>
        </w:rPr>
      </w:pPr>
      <w:r w:rsidRPr="00E46DBE">
        <w:rPr>
          <w:rFonts w:ascii="Arial" w:hAnsi="Arial" w:cs="Arial"/>
          <w:sz w:val="24"/>
          <w:szCs w:val="24"/>
        </w:rPr>
        <w:t>The product strategy of Superdrug is very wide and commercially applicable since it makes beauty, skincare, toiletries, health products and services related to pharmacy one retail offer. This diversity aids the company to cater to both the routine and trend-led demand that facilitates frequent visits to stores and broader basket construction. Own-brand ranges also prove to be advantageous to the business, as in cases where quality is credible, own-label products can enhance the value perception and increase differentiation (Ndlovu, 2024). In order to sell more, Superdrug must keep up trend-sensitive areas like skincare products, wellness and beauty accessories and ensure that it has reliable stock in the basic care items. This equilibrium would assist the brand to appeal to both planned and unplanned purchases among various customer groups.</w:t>
      </w:r>
    </w:p>
    <w:p w14:paraId="276FFD7C" w14:textId="77777777" w:rsidR="00E46DBE" w:rsidRPr="00E46DBE" w:rsidRDefault="00E46DBE" w:rsidP="00E46DBE">
      <w:pPr>
        <w:pStyle w:val="Heading3"/>
      </w:pPr>
      <w:bookmarkStart w:id="13" w:name="_Toc227508375"/>
      <w:r w:rsidRPr="00E46DBE">
        <w:t>4.2 Price</w:t>
      </w:r>
      <w:bookmarkEnd w:id="13"/>
    </w:p>
    <w:p w14:paraId="3645E884" w14:textId="381DEBFB" w:rsidR="00E46DBE" w:rsidRPr="00E46DBE" w:rsidRDefault="00E46DBE" w:rsidP="00615D0C">
      <w:pPr>
        <w:spacing w:line="360" w:lineRule="auto"/>
        <w:ind w:firstLine="720"/>
        <w:jc w:val="both"/>
        <w:rPr>
          <w:rFonts w:ascii="Arial" w:hAnsi="Arial" w:cs="Arial"/>
          <w:sz w:val="24"/>
          <w:szCs w:val="24"/>
        </w:rPr>
      </w:pPr>
      <w:r w:rsidRPr="00E46DBE">
        <w:rPr>
          <w:rFonts w:ascii="Arial" w:hAnsi="Arial" w:cs="Arial"/>
          <w:sz w:val="24"/>
          <w:szCs w:val="24"/>
        </w:rPr>
        <w:t xml:space="preserve">Superdrug adopts the value-based pricing strategy, suitable in the market whereby most customers are price sensitive and do a close comparison of retailers before they make a purchase. </w:t>
      </w:r>
      <w:r w:rsidR="001C527C" w:rsidRPr="001C527C">
        <w:rPr>
          <w:rFonts w:ascii="Arial" w:hAnsi="Arial" w:cs="Arial"/>
          <w:sz w:val="24"/>
          <w:szCs w:val="24"/>
        </w:rPr>
        <w:t>UK retail demand is still showing a skewed demand and low prices and visible offers are factors that remain key to the conversion to sales (Office for National Statistics, 2025). Discounting is not the only measure that needs to be depended on in growing in the long-term.</w:t>
      </w:r>
      <w:r w:rsidRPr="00E46DBE">
        <w:rPr>
          <w:rFonts w:ascii="Arial" w:hAnsi="Arial" w:cs="Arial"/>
          <w:sz w:val="24"/>
          <w:szCs w:val="24"/>
        </w:rPr>
        <w:t xml:space="preserve"> Superdrug ought to adopt a balanced pricing strategy that involves both competitive everyday prices and special promotions, loyalty programs and package deals. This would safeguard its value position in addition to promoting repeat purchases and increased basket sizes. Promotional spending would also be more effective by having a more insightful connection between price incentives and customer segments.</w:t>
      </w:r>
    </w:p>
    <w:p w14:paraId="2F29889A" w14:textId="77777777" w:rsidR="00E46DBE" w:rsidRPr="00E46DBE" w:rsidRDefault="00E46DBE" w:rsidP="00E46DBE">
      <w:pPr>
        <w:pStyle w:val="Heading3"/>
      </w:pPr>
      <w:bookmarkStart w:id="14" w:name="_Toc227508376"/>
      <w:r w:rsidRPr="00E46DBE">
        <w:t>4.3 Place</w:t>
      </w:r>
      <w:bookmarkEnd w:id="14"/>
    </w:p>
    <w:p w14:paraId="5EED230C" w14:textId="269001BC" w:rsidR="00A602D9" w:rsidRPr="00E46DBE" w:rsidRDefault="00A602D9" w:rsidP="00615D0C">
      <w:pPr>
        <w:spacing w:line="360" w:lineRule="auto"/>
        <w:ind w:firstLine="720"/>
        <w:jc w:val="both"/>
        <w:rPr>
          <w:rFonts w:ascii="Arial" w:hAnsi="Arial" w:cs="Arial"/>
          <w:sz w:val="24"/>
          <w:szCs w:val="24"/>
        </w:rPr>
      </w:pPr>
      <w:r w:rsidRPr="00A602D9">
        <w:rPr>
          <w:rFonts w:ascii="Arial" w:hAnsi="Arial" w:cs="Arial"/>
          <w:sz w:val="24"/>
          <w:szCs w:val="24"/>
        </w:rPr>
        <w:t>Superdrug has a robust physical and online presence that forms its place strategy. Its brand is represented by 789 stores in the UK and Republic of Ireland, including online service, in-store pharmacies and health clinics, which means that the accessibility is one of its key competitive advantages (Superdrug, 2026). This extensive chain of stores keeps Superdrug in touch with its customers and facilitates easy shopping both as a routine and impulse. Superdrug is affiliated with the larger A.S. Watson Group, which has a presence in 31 markets, so Superdrug is also able to enjoy the scale and experience of a large international retail group, although core retailing activities in Superdrug are focused on the UK and Republic of Ireland (A.S. Watson Group, 2026). Superdrug must further enhance the use of clicks and collections, application use and store-to-digital integration to boost sales.</w:t>
      </w:r>
    </w:p>
    <w:p w14:paraId="4E665506" w14:textId="77777777" w:rsidR="00E46DBE" w:rsidRPr="00E46DBE" w:rsidRDefault="00E46DBE" w:rsidP="00E46DBE">
      <w:pPr>
        <w:pStyle w:val="Heading3"/>
      </w:pPr>
      <w:bookmarkStart w:id="15" w:name="_Toc227508377"/>
      <w:r w:rsidRPr="00E46DBE">
        <w:t>4.4 Promotion</w:t>
      </w:r>
      <w:bookmarkEnd w:id="15"/>
    </w:p>
    <w:p w14:paraId="292C5BDC" w14:textId="7446890D" w:rsidR="00E46DBE" w:rsidRDefault="00E46DBE" w:rsidP="00615D0C">
      <w:pPr>
        <w:spacing w:line="360" w:lineRule="auto"/>
        <w:ind w:firstLine="720"/>
        <w:jc w:val="both"/>
        <w:rPr>
          <w:rFonts w:ascii="Arial" w:hAnsi="Arial" w:cs="Arial"/>
          <w:sz w:val="24"/>
          <w:szCs w:val="24"/>
        </w:rPr>
      </w:pPr>
      <w:r w:rsidRPr="00E46DBE">
        <w:rPr>
          <w:rFonts w:ascii="Arial" w:hAnsi="Arial" w:cs="Arial"/>
          <w:sz w:val="24"/>
          <w:szCs w:val="24"/>
        </w:rPr>
        <w:t>There should be a revision to indicate commercial opportunity and compliance risk. Superdrug is part of a highly visual segmentation, manipulated to influence attention and purchase behaviour with the digital marketing, influencer marketing and short-form video, particularly in the beauty-led segments. According to the beauty-product study, the credibility of the influencer can have an effect on purchase behaviour, where creators and message fit significant as opposed to using reach alone (An et al., 2024). This assists to engage a more discriminating promotion strategy that boils down to trusted creators, value messages and products. Meanwhile, there should be an open and in compliance promotional activity since any doubt over the endorsement practice can lead to the end of trust and expose the UK market to a regulatory risk (Competition and Markets Authority, 2025). The most acceptable answer to this is to make sure that Superdrug is integrated to include in-store promotion, loyalty as well as compliant influencer campaign in one and the same integrated promotion strategy.</w:t>
      </w:r>
    </w:p>
    <w:p w14:paraId="78527263" w14:textId="77777777" w:rsidR="00A602D9" w:rsidRDefault="00A602D9" w:rsidP="00A602D9">
      <w:pPr>
        <w:spacing w:line="360" w:lineRule="auto"/>
        <w:jc w:val="both"/>
        <w:rPr>
          <w:rFonts w:ascii="Arial" w:hAnsi="Arial" w:cs="Arial"/>
          <w:sz w:val="24"/>
          <w:szCs w:val="24"/>
        </w:rPr>
      </w:pPr>
    </w:p>
    <w:p w14:paraId="792A624D" w14:textId="77777777" w:rsidR="00A602D9" w:rsidRPr="00E46DBE" w:rsidRDefault="00A602D9" w:rsidP="00A602D9">
      <w:pPr>
        <w:spacing w:line="360" w:lineRule="auto"/>
        <w:jc w:val="both"/>
        <w:rPr>
          <w:rFonts w:ascii="Arial" w:hAnsi="Arial" w:cs="Arial"/>
          <w:sz w:val="24"/>
          <w:szCs w:val="24"/>
        </w:rPr>
      </w:pPr>
    </w:p>
    <w:p w14:paraId="61EF37B8" w14:textId="77777777" w:rsidR="00E46DBE" w:rsidRPr="00E46DBE" w:rsidRDefault="00E46DBE" w:rsidP="00E46DBE">
      <w:pPr>
        <w:pStyle w:val="Heading3"/>
      </w:pPr>
      <w:bookmarkStart w:id="16" w:name="_Toc227508378"/>
      <w:r w:rsidRPr="00E46DBE">
        <w:t>4.5 People</w:t>
      </w:r>
      <w:bookmarkEnd w:id="16"/>
    </w:p>
    <w:p w14:paraId="0765EB6F" w14:textId="77777777"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In retailing services, employees will still be at the centre of customer experience since they are the ones that impact on trust, convenient and satisfaction at the points of contact. Especially in the case of Superdrug, frontline employees facilitate not just product purchases but also product advice, service interactions and pharmacy touchpoints. Product knowledge, service consistency and friendly communication should be the aim of a people strategy. Customer experience studies indicate that the quality of brand relationship can prompt more positive customer behaviour in the long-term, which implies employee interaction may lead to loyalty and repeat purchases (PhamThi and Ho, 2024). More effective staff training would enable Superdrug to improve the quality of its services and enhance its commercial performance.</w:t>
      </w:r>
    </w:p>
    <w:p w14:paraId="6C05B7A5" w14:textId="77777777" w:rsidR="00E46DBE" w:rsidRPr="00E46DBE" w:rsidRDefault="00E46DBE" w:rsidP="00E46DBE">
      <w:pPr>
        <w:spacing w:line="360" w:lineRule="auto"/>
        <w:jc w:val="both"/>
        <w:rPr>
          <w:rFonts w:ascii="Arial" w:hAnsi="Arial" w:cs="Arial"/>
          <w:sz w:val="24"/>
          <w:szCs w:val="24"/>
        </w:rPr>
      </w:pPr>
    </w:p>
    <w:p w14:paraId="3263293B" w14:textId="77777777" w:rsidR="00E46DBE" w:rsidRPr="00E46DBE" w:rsidRDefault="00E46DBE" w:rsidP="00E46DBE">
      <w:pPr>
        <w:pStyle w:val="Heading3"/>
      </w:pPr>
      <w:bookmarkStart w:id="17" w:name="_Toc227508379"/>
      <w:r w:rsidRPr="00E46DBE">
        <w:t>4.6 Process</w:t>
      </w:r>
      <w:bookmarkEnd w:id="17"/>
    </w:p>
    <w:p w14:paraId="50BB5D15" w14:textId="5104A5A4" w:rsidR="00E46DBE" w:rsidRDefault="00E46DBE" w:rsidP="00615D0C">
      <w:pPr>
        <w:spacing w:line="360" w:lineRule="auto"/>
        <w:ind w:firstLine="720"/>
        <w:jc w:val="both"/>
        <w:rPr>
          <w:rFonts w:ascii="Arial" w:hAnsi="Arial" w:cs="Arial"/>
          <w:sz w:val="24"/>
          <w:szCs w:val="24"/>
        </w:rPr>
      </w:pPr>
      <w:r w:rsidRPr="00E46DBE">
        <w:rPr>
          <w:rFonts w:ascii="Arial" w:hAnsi="Arial" w:cs="Arial"/>
          <w:sz w:val="24"/>
          <w:szCs w:val="24"/>
        </w:rPr>
        <w:t>Process includes the systems and activities that customers are provided with the product or service. This encompasses browsing, payment, delivery, returns, click and collect, loyalty redemption and service interactions in the case of Superdrug. Those processes should be comfortable and regular, as delays or misunderstanding decreases customer satisfaction and may disrupt the sales process. The studies of omnichannel commerce indicate that coherent online and offline operations could enhance customer interaction when customers have a smooth channel shift (Asante et al., 2025). The digital navigation should hence be simplified, better fulfilment visibility and easier to use loyalty and promotion processes should be made easier by Superdrug. Enhanced process design would enhance convenience, and lessen friction throughout the customer experience.</w:t>
      </w:r>
    </w:p>
    <w:p w14:paraId="589E0555" w14:textId="77777777" w:rsidR="00A602D9" w:rsidRPr="00E46DBE" w:rsidRDefault="00A602D9" w:rsidP="00615D0C">
      <w:pPr>
        <w:spacing w:line="360" w:lineRule="auto"/>
        <w:ind w:firstLine="720"/>
        <w:jc w:val="both"/>
        <w:rPr>
          <w:rFonts w:ascii="Arial" w:hAnsi="Arial" w:cs="Arial"/>
          <w:sz w:val="24"/>
          <w:szCs w:val="24"/>
        </w:rPr>
      </w:pPr>
    </w:p>
    <w:p w14:paraId="3EEED13C" w14:textId="77777777" w:rsidR="00E46DBE" w:rsidRPr="00E46DBE" w:rsidRDefault="00E46DBE" w:rsidP="00E46DBE">
      <w:pPr>
        <w:pStyle w:val="Heading3"/>
      </w:pPr>
      <w:bookmarkStart w:id="18" w:name="_Toc227508380"/>
      <w:r w:rsidRPr="00E46DBE">
        <w:t>4.7 Physical evidence</w:t>
      </w:r>
      <w:bookmarkEnd w:id="18"/>
    </w:p>
    <w:p w14:paraId="5906F04D" w14:textId="6B40C3D8"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Physical evidence influences the judgment of credibility, value and professionalism of customers of a retail setting. For Superdrug, this can be storing layout, shelf presentation, packaging, signage, appearance and design of websites and apps. These visible cues are particularly significant in health and beauty retail since the customers tend to make swift judgements with regard to trust and product quality prior to buying. Retail studies indicate that the perceptions of novelty and interesting channel experiences can enhance customer inspiration and, therefore, presentation must not be purely functional, but must be stimulating (Frasquet et al., 2024). Superdrug is advised to keep its stores clean and have a well-presented online presence to build trust and promote shopping.</w:t>
      </w:r>
    </w:p>
    <w:p w14:paraId="7A3D8DD0" w14:textId="77777777" w:rsidR="00E46DBE" w:rsidRPr="00E46DBE" w:rsidRDefault="00E46DBE" w:rsidP="00E46DBE">
      <w:pPr>
        <w:spacing w:line="360" w:lineRule="auto"/>
        <w:jc w:val="both"/>
        <w:rPr>
          <w:rFonts w:ascii="Arial" w:hAnsi="Arial" w:cs="Arial"/>
          <w:sz w:val="24"/>
          <w:szCs w:val="24"/>
        </w:rPr>
      </w:pPr>
    </w:p>
    <w:p w14:paraId="26766E95" w14:textId="77777777" w:rsidR="00E46DBE" w:rsidRPr="00E46DBE" w:rsidRDefault="00E46DBE" w:rsidP="00E46DBE">
      <w:pPr>
        <w:pStyle w:val="Heading3"/>
      </w:pPr>
      <w:bookmarkStart w:id="19" w:name="_Toc227508381"/>
      <w:r w:rsidRPr="00E46DBE">
        <w:t>4.8 Recommended improvements to the 7Ps</w:t>
      </w:r>
      <w:bookmarkEnd w:id="19"/>
    </w:p>
    <w:p w14:paraId="61784E2E" w14:textId="3A537067"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 xml:space="preserve">Overall, Superdrug needs to perfect its 7Ps by connecting the product changes, value pricing, convenient </w:t>
      </w:r>
      <w:r>
        <w:rPr>
          <w:rFonts w:ascii="Arial" w:hAnsi="Arial" w:cs="Arial"/>
          <w:sz w:val="24"/>
          <w:szCs w:val="24"/>
        </w:rPr>
        <w:t>multi-</w:t>
      </w:r>
      <w:r w:rsidRPr="00E46DBE">
        <w:rPr>
          <w:rFonts w:ascii="Arial" w:hAnsi="Arial" w:cs="Arial"/>
          <w:sz w:val="24"/>
          <w:szCs w:val="24"/>
        </w:rPr>
        <w:t>channels, compliant online promotion, employee competency, simplified processes and enhanced presentation into a single connected offer. A more globalised marketing mix would make it more relevant and consistent throughout the customer experience. This is important as customer experience and sustainability are becoming interconnected in retail decision-making, and this requires the company to not only enhance its sales strategies but the overall value it is bringing to customers (Calza et al., 2023). When these factors are better synchronised, Superdrug would be able to enhance not only short-term sales, but also increase customer loyalty in the long term.</w:t>
      </w:r>
    </w:p>
    <w:p w14:paraId="5F5C31C5" w14:textId="77777777" w:rsidR="00E46DBE" w:rsidRPr="00E46DBE" w:rsidRDefault="00E46DBE" w:rsidP="00E46DBE">
      <w:pPr>
        <w:spacing w:line="360" w:lineRule="auto"/>
        <w:jc w:val="both"/>
        <w:rPr>
          <w:rFonts w:ascii="Arial" w:hAnsi="Arial" w:cs="Arial"/>
          <w:sz w:val="24"/>
          <w:szCs w:val="24"/>
        </w:rPr>
      </w:pPr>
    </w:p>
    <w:p w14:paraId="6EEE4474" w14:textId="77777777" w:rsidR="00E46DBE" w:rsidRPr="00E46DBE" w:rsidRDefault="00E46DBE" w:rsidP="00E46DBE">
      <w:pPr>
        <w:pStyle w:val="Heading2"/>
      </w:pPr>
      <w:bookmarkStart w:id="20" w:name="_Toc227508382"/>
      <w:r w:rsidRPr="00E46DBE">
        <w:t>5.0 Implementation and control</w:t>
      </w:r>
      <w:bookmarkEnd w:id="20"/>
    </w:p>
    <w:p w14:paraId="387A9820" w14:textId="77777777" w:rsidR="00A602D9"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 xml:space="preserve">The marketing plan is to be adopted in three connected phases, within a period of 12 months. During the initial phase, Superdrug ought to reinforce customer targeting by providing segmented customer loyalty offers, beauty-and-health bundling offers and better clarity in value-based campaign messages in stores, application, and web. This step is significant as it generates initial awareness and leads to a repeat purchase by the two priority customer groups. </w:t>
      </w:r>
    </w:p>
    <w:p w14:paraId="16F0384D" w14:textId="32948FEE" w:rsidR="00A602D9"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 xml:space="preserve">During the second phase, Superdrug ought to enhance campaign execution by simplifying the process of click-and-collect, enhancing the functionality of the app and aligning in-store and online promotions. This would assist in lessening the tendency in the purchasing process and the campaign being more noticeable across mediums. </w:t>
      </w:r>
      <w:r>
        <w:rPr>
          <w:rFonts w:ascii="Arial" w:hAnsi="Arial" w:cs="Arial"/>
          <w:sz w:val="24"/>
          <w:szCs w:val="24"/>
        </w:rPr>
        <w:t xml:space="preserve"> </w:t>
      </w:r>
      <w:r w:rsidRPr="00A602D9">
        <w:rPr>
          <w:rFonts w:ascii="Arial" w:hAnsi="Arial" w:cs="Arial"/>
          <w:sz w:val="24"/>
          <w:szCs w:val="24"/>
        </w:rPr>
        <w:t>During the last phase, Superdrug must assess performance on a monthly basis and optimize activity on customer response, sales trends and channel performance. The strategy is feasible since the company already practices under a formal governance, and performance framework, and more vigorous campaign monitoring can be introduced to the current practice (Superdrug Stores plc, 2024).</w:t>
      </w:r>
      <w:r>
        <w:rPr>
          <w:rFonts w:ascii="Arial" w:hAnsi="Arial" w:cs="Arial"/>
          <w:sz w:val="24"/>
          <w:szCs w:val="24"/>
        </w:rPr>
        <w:t xml:space="preserve"> </w:t>
      </w:r>
    </w:p>
    <w:p w14:paraId="5AADA674" w14:textId="307F1909" w:rsidR="00E46DBE" w:rsidRDefault="00A602D9" w:rsidP="00A602D9">
      <w:pPr>
        <w:spacing w:line="360" w:lineRule="auto"/>
        <w:ind w:firstLine="720"/>
        <w:jc w:val="both"/>
        <w:rPr>
          <w:rFonts w:ascii="Arial" w:hAnsi="Arial" w:cs="Arial"/>
          <w:sz w:val="24"/>
          <w:szCs w:val="24"/>
        </w:rPr>
      </w:pPr>
      <w:r w:rsidRPr="00A602D9">
        <w:rPr>
          <w:rFonts w:ascii="Arial" w:hAnsi="Arial" w:cs="Arial"/>
          <w:sz w:val="24"/>
          <w:szCs w:val="24"/>
        </w:rPr>
        <w:t>There should be distinct financial, customer and operational metrics to track campaign progress. The financial indicators must encompass sales growth, average basket value and a payback on promotional expenditure. Measures that should be used to measure customers are repeat purchase rate, loyalty participation and satisfaction. Stock availability, use of clicks and collection and online conversion should be operational measures. They can be monitored by monthly sales reports, loyalty and app data, web analytics and customer feedback, and Superdrug can make any changes to the campaign (Agag et al., 2024).</w:t>
      </w:r>
    </w:p>
    <w:p w14:paraId="50698EE3" w14:textId="77777777" w:rsidR="00A602D9" w:rsidRPr="00E46DBE" w:rsidRDefault="00A602D9" w:rsidP="00A602D9">
      <w:pPr>
        <w:spacing w:line="360" w:lineRule="auto"/>
        <w:jc w:val="both"/>
        <w:rPr>
          <w:rFonts w:ascii="Arial" w:hAnsi="Arial" w:cs="Arial"/>
          <w:sz w:val="24"/>
          <w:szCs w:val="24"/>
        </w:rPr>
      </w:pPr>
    </w:p>
    <w:p w14:paraId="52D7A75A" w14:textId="77777777" w:rsidR="00E46DBE" w:rsidRPr="00E46DBE" w:rsidRDefault="00E46DBE" w:rsidP="00E46DBE">
      <w:pPr>
        <w:pStyle w:val="Heading1"/>
      </w:pPr>
      <w:bookmarkStart w:id="21" w:name="_Toc227508383"/>
      <w:r w:rsidRPr="00E46DBE">
        <w:t>6.0 Conclusion</w:t>
      </w:r>
      <w:bookmarkEnd w:id="21"/>
    </w:p>
    <w:p w14:paraId="37055717" w14:textId="77777777" w:rsidR="00E46DBE" w:rsidRPr="00E46DBE" w:rsidRDefault="00E46DBE" w:rsidP="00E46DBE">
      <w:pPr>
        <w:spacing w:line="360" w:lineRule="auto"/>
        <w:ind w:firstLine="720"/>
        <w:jc w:val="both"/>
        <w:rPr>
          <w:rFonts w:ascii="Arial" w:hAnsi="Arial" w:cs="Arial"/>
          <w:sz w:val="24"/>
          <w:szCs w:val="24"/>
        </w:rPr>
      </w:pPr>
      <w:r w:rsidRPr="00E46DBE">
        <w:rPr>
          <w:rFonts w:ascii="Arial" w:hAnsi="Arial" w:cs="Arial"/>
          <w:sz w:val="24"/>
          <w:szCs w:val="24"/>
        </w:rPr>
        <w:t>In conclusion, this report has demonstrated that Superdrug has a solid foundation upon which can increase sales with its value-led position, a wide offering and established retail presence. However, with the competition being intense and the switching cost being low, there is a necessity to compete by using more targeting, positioning, and an overall more integrated 7Ps approach as opposed to the primary use of promotions. By enhancing the omnichannel convenience, customer relevance, customer performance control, Superdrug can effectively boost sales in addition to enhancing customer loyalty and market position.</w:t>
      </w:r>
    </w:p>
    <w:p w14:paraId="62EAD4FC" w14:textId="77777777" w:rsidR="00E46DBE" w:rsidRDefault="00E46DBE" w:rsidP="00E46DBE">
      <w:pPr>
        <w:spacing w:line="360" w:lineRule="auto"/>
        <w:jc w:val="both"/>
        <w:rPr>
          <w:rFonts w:ascii="Arial" w:hAnsi="Arial" w:cs="Arial"/>
          <w:sz w:val="24"/>
          <w:szCs w:val="24"/>
        </w:rPr>
      </w:pPr>
    </w:p>
    <w:p w14:paraId="0F1C6ACA" w14:textId="77777777" w:rsidR="005D070B" w:rsidRDefault="005D070B" w:rsidP="00E46DBE">
      <w:pPr>
        <w:spacing w:line="360" w:lineRule="auto"/>
        <w:jc w:val="both"/>
        <w:rPr>
          <w:rFonts w:ascii="Arial" w:hAnsi="Arial" w:cs="Arial"/>
          <w:sz w:val="24"/>
          <w:szCs w:val="24"/>
        </w:rPr>
      </w:pPr>
    </w:p>
    <w:p w14:paraId="09F5A718" w14:textId="77777777" w:rsidR="005D070B" w:rsidRDefault="005D070B" w:rsidP="00E46DBE">
      <w:pPr>
        <w:spacing w:line="360" w:lineRule="auto"/>
        <w:jc w:val="both"/>
        <w:rPr>
          <w:rFonts w:ascii="Arial" w:hAnsi="Arial" w:cs="Arial"/>
          <w:sz w:val="24"/>
          <w:szCs w:val="24"/>
        </w:rPr>
      </w:pPr>
    </w:p>
    <w:p w14:paraId="38D48C67" w14:textId="77777777" w:rsidR="005D070B" w:rsidRDefault="005D070B" w:rsidP="00E46DBE">
      <w:pPr>
        <w:spacing w:line="360" w:lineRule="auto"/>
        <w:jc w:val="both"/>
        <w:rPr>
          <w:rFonts w:ascii="Arial" w:hAnsi="Arial" w:cs="Arial"/>
          <w:sz w:val="24"/>
          <w:szCs w:val="24"/>
        </w:rPr>
      </w:pPr>
    </w:p>
    <w:p w14:paraId="3B3B7A6E" w14:textId="77777777" w:rsidR="005D070B" w:rsidRDefault="005D070B" w:rsidP="00E46DBE">
      <w:pPr>
        <w:spacing w:line="360" w:lineRule="auto"/>
        <w:jc w:val="both"/>
        <w:rPr>
          <w:rFonts w:ascii="Arial" w:hAnsi="Arial" w:cs="Arial"/>
          <w:sz w:val="24"/>
          <w:szCs w:val="24"/>
        </w:rPr>
      </w:pPr>
    </w:p>
    <w:p w14:paraId="056FAE4F" w14:textId="77777777" w:rsidR="005D070B" w:rsidRDefault="005D070B" w:rsidP="00E46DBE">
      <w:pPr>
        <w:spacing w:line="360" w:lineRule="auto"/>
        <w:jc w:val="both"/>
        <w:rPr>
          <w:rFonts w:ascii="Arial" w:hAnsi="Arial" w:cs="Arial"/>
          <w:sz w:val="24"/>
          <w:szCs w:val="24"/>
        </w:rPr>
      </w:pPr>
    </w:p>
    <w:p w14:paraId="51389905" w14:textId="77777777" w:rsidR="005D070B" w:rsidRDefault="005D070B" w:rsidP="00E46DBE">
      <w:pPr>
        <w:spacing w:line="360" w:lineRule="auto"/>
        <w:jc w:val="both"/>
        <w:rPr>
          <w:rFonts w:ascii="Arial" w:hAnsi="Arial" w:cs="Arial"/>
          <w:sz w:val="24"/>
          <w:szCs w:val="24"/>
        </w:rPr>
      </w:pPr>
    </w:p>
    <w:p w14:paraId="4AB210B2" w14:textId="77777777" w:rsidR="005D070B" w:rsidRPr="00E46DBE" w:rsidRDefault="005D070B" w:rsidP="00E46DBE">
      <w:pPr>
        <w:spacing w:line="360" w:lineRule="auto"/>
        <w:jc w:val="both"/>
        <w:rPr>
          <w:rFonts w:ascii="Arial" w:hAnsi="Arial" w:cs="Arial"/>
          <w:sz w:val="24"/>
          <w:szCs w:val="24"/>
        </w:rPr>
      </w:pPr>
    </w:p>
    <w:p w14:paraId="65F9BA43" w14:textId="77777777" w:rsidR="00E46DBE" w:rsidRPr="00E46DBE" w:rsidRDefault="00E46DBE" w:rsidP="00E46DBE">
      <w:pPr>
        <w:pStyle w:val="Heading1"/>
        <w:jc w:val="left"/>
        <w:rPr>
          <w:sz w:val="32"/>
          <w:szCs w:val="32"/>
        </w:rPr>
      </w:pPr>
      <w:bookmarkStart w:id="22" w:name="_Toc227508384"/>
      <w:r w:rsidRPr="00E46DBE">
        <w:rPr>
          <w:sz w:val="32"/>
          <w:szCs w:val="32"/>
        </w:rPr>
        <w:t>References</w:t>
      </w:r>
      <w:bookmarkEnd w:id="22"/>
    </w:p>
    <w:p w14:paraId="0E28AE4F" w14:textId="3E3C57EC"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A.S. Watson Group (2025) </w:t>
      </w:r>
      <w:r w:rsidRPr="005D070B">
        <w:rPr>
          <w:rFonts w:ascii="Arial" w:hAnsi="Arial" w:cs="Arial"/>
          <w:i/>
          <w:iCs/>
          <w:sz w:val="23"/>
          <w:szCs w:val="23"/>
        </w:rPr>
        <w:t>Sustainability Report 2024</w:t>
      </w:r>
      <w:r w:rsidRPr="005D070B">
        <w:rPr>
          <w:rFonts w:ascii="Arial" w:hAnsi="Arial" w:cs="Arial"/>
          <w:sz w:val="23"/>
          <w:szCs w:val="23"/>
        </w:rPr>
        <w:t xml:space="preserve">. Available at: </w:t>
      </w:r>
      <w:hyperlink r:id="rId8" w:history="1">
        <w:r w:rsidRPr="005D070B">
          <w:rPr>
            <w:rStyle w:val="Hyperlink"/>
            <w:rFonts w:ascii="Arial" w:hAnsi="Arial" w:cs="Arial"/>
            <w:sz w:val="23"/>
            <w:szCs w:val="23"/>
          </w:rPr>
          <w:t>https://www.aswatson.com/wp-content/uploads/2025/06/AS-Watson-SR-2024.pdf</w:t>
        </w:r>
      </w:hyperlink>
      <w:r w:rsidRPr="005D070B">
        <w:rPr>
          <w:rFonts w:ascii="Arial" w:hAnsi="Arial" w:cs="Arial"/>
          <w:sz w:val="23"/>
          <w:szCs w:val="23"/>
        </w:rPr>
        <w:t xml:space="preserve"> </w:t>
      </w:r>
    </w:p>
    <w:p w14:paraId="49B3BDDA" w14:textId="77777777" w:rsidR="00E46DBE" w:rsidRPr="005D070B" w:rsidRDefault="00E46DBE" w:rsidP="00E46DBE">
      <w:pPr>
        <w:spacing w:line="360" w:lineRule="auto"/>
        <w:rPr>
          <w:rFonts w:ascii="Arial" w:hAnsi="Arial" w:cs="Arial"/>
          <w:sz w:val="23"/>
          <w:szCs w:val="23"/>
        </w:rPr>
      </w:pPr>
    </w:p>
    <w:p w14:paraId="0F873408" w14:textId="6253163A"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Agag, G., Shehawy, Y.M., Almoraish, A., Eid, R., Chaib Lababdi, H. and Gherissi Labben, T. (2024) ‘Understanding the relationship between marketing analytics, customer agility, and customer satisfaction: A longitudinal perspective’, </w:t>
      </w:r>
      <w:r w:rsidRPr="005D070B">
        <w:rPr>
          <w:rFonts w:ascii="Arial" w:hAnsi="Arial" w:cs="Arial"/>
          <w:i/>
          <w:iCs/>
          <w:sz w:val="23"/>
          <w:szCs w:val="23"/>
        </w:rPr>
        <w:t>Journal of Retailing and Consumer Services</w:t>
      </w:r>
      <w:r w:rsidRPr="005D070B">
        <w:rPr>
          <w:rFonts w:ascii="Arial" w:hAnsi="Arial" w:cs="Arial"/>
          <w:sz w:val="23"/>
          <w:szCs w:val="23"/>
        </w:rPr>
        <w:t xml:space="preserve">, 77, 103663. Available at: </w:t>
      </w:r>
      <w:hyperlink r:id="rId9" w:history="1">
        <w:r w:rsidRPr="005D070B">
          <w:rPr>
            <w:rStyle w:val="Hyperlink"/>
            <w:rFonts w:ascii="Arial" w:hAnsi="Arial" w:cs="Arial"/>
            <w:sz w:val="23"/>
            <w:szCs w:val="23"/>
          </w:rPr>
          <w:t>https://doi.org/10.1016/j.jretconser.2023.103663</w:t>
        </w:r>
      </w:hyperlink>
      <w:r w:rsidRPr="005D070B">
        <w:rPr>
          <w:rFonts w:ascii="Arial" w:hAnsi="Arial" w:cs="Arial"/>
          <w:sz w:val="23"/>
          <w:szCs w:val="23"/>
        </w:rPr>
        <w:t xml:space="preserve"> </w:t>
      </w:r>
    </w:p>
    <w:p w14:paraId="50E3D698" w14:textId="77777777" w:rsidR="00E46DBE" w:rsidRPr="005D070B" w:rsidRDefault="00E46DBE" w:rsidP="00E46DBE">
      <w:pPr>
        <w:spacing w:line="360" w:lineRule="auto"/>
        <w:rPr>
          <w:rFonts w:ascii="Arial" w:hAnsi="Arial" w:cs="Arial"/>
          <w:sz w:val="23"/>
          <w:szCs w:val="23"/>
        </w:rPr>
      </w:pPr>
    </w:p>
    <w:p w14:paraId="4FAC6E31" w14:textId="4EF8348D"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An, G.K., Ngo, T.T.A., Tran, T.T. and Nguyen, P.T. (2024) ‘Investigating the influence of social media influencer credibility on beauty product purchase behaviors: a case study from Vietnam’, </w:t>
      </w:r>
      <w:r w:rsidRPr="005D070B">
        <w:rPr>
          <w:rFonts w:ascii="Arial" w:hAnsi="Arial" w:cs="Arial"/>
          <w:i/>
          <w:iCs/>
          <w:sz w:val="23"/>
          <w:szCs w:val="23"/>
        </w:rPr>
        <w:t>Innovative Marketing</w:t>
      </w:r>
      <w:r w:rsidRPr="005D070B">
        <w:rPr>
          <w:rFonts w:ascii="Arial" w:hAnsi="Arial" w:cs="Arial"/>
          <w:sz w:val="23"/>
          <w:szCs w:val="23"/>
        </w:rPr>
        <w:t xml:space="preserve">, 20(3), pp. 261–276. Available at: </w:t>
      </w:r>
      <w:hyperlink r:id="rId10" w:history="1">
        <w:r w:rsidRPr="005D070B">
          <w:rPr>
            <w:rStyle w:val="Hyperlink"/>
            <w:rFonts w:ascii="Arial" w:hAnsi="Arial" w:cs="Arial"/>
            <w:sz w:val="23"/>
            <w:szCs w:val="23"/>
          </w:rPr>
          <w:t>https://doi.org/10.21511/im.20(3).2024.21</w:t>
        </w:r>
      </w:hyperlink>
      <w:r w:rsidRPr="005D070B">
        <w:rPr>
          <w:rFonts w:ascii="Arial" w:hAnsi="Arial" w:cs="Arial"/>
          <w:sz w:val="23"/>
          <w:szCs w:val="23"/>
        </w:rPr>
        <w:t xml:space="preserve"> </w:t>
      </w:r>
    </w:p>
    <w:p w14:paraId="250C3A00" w14:textId="77777777" w:rsidR="00E46DBE" w:rsidRPr="005D070B" w:rsidRDefault="00E46DBE" w:rsidP="00E46DBE">
      <w:pPr>
        <w:spacing w:line="360" w:lineRule="auto"/>
        <w:rPr>
          <w:rFonts w:ascii="Arial" w:hAnsi="Arial" w:cs="Arial"/>
          <w:sz w:val="23"/>
          <w:szCs w:val="23"/>
        </w:rPr>
      </w:pPr>
    </w:p>
    <w:p w14:paraId="6119D090" w14:textId="1A746BC0"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Advertising Standards Authority (2025) </w:t>
      </w:r>
      <w:r w:rsidRPr="005D070B">
        <w:rPr>
          <w:rFonts w:ascii="Arial" w:hAnsi="Arial" w:cs="Arial"/>
          <w:i/>
          <w:iCs/>
          <w:sz w:val="23"/>
          <w:szCs w:val="23"/>
        </w:rPr>
        <w:t>Influencer Ad Disclosure on Social Media: Instagram and TikTok</w:t>
      </w:r>
      <w:r w:rsidRPr="005D070B">
        <w:rPr>
          <w:rFonts w:ascii="Arial" w:hAnsi="Arial" w:cs="Arial"/>
          <w:sz w:val="23"/>
          <w:szCs w:val="23"/>
        </w:rPr>
        <w:t xml:space="preserve"> (2024). Available at: </w:t>
      </w:r>
      <w:hyperlink r:id="rId11" w:history="1">
        <w:r w:rsidRPr="005D070B">
          <w:rPr>
            <w:rStyle w:val="Hyperlink"/>
            <w:rFonts w:ascii="Arial" w:hAnsi="Arial" w:cs="Arial"/>
            <w:sz w:val="23"/>
            <w:szCs w:val="23"/>
          </w:rPr>
          <w:t>https://www.asa.org.uk/static/3f7df70c-ca5c-499c-8aaa56e8b3e9572e/ASA-influencer-ad-disclosure-report.pdf</w:t>
        </w:r>
      </w:hyperlink>
      <w:r w:rsidRPr="005D070B">
        <w:rPr>
          <w:rFonts w:ascii="Arial" w:hAnsi="Arial" w:cs="Arial"/>
          <w:sz w:val="23"/>
          <w:szCs w:val="23"/>
        </w:rPr>
        <w:t xml:space="preserve"> </w:t>
      </w:r>
    </w:p>
    <w:p w14:paraId="366317DA" w14:textId="77777777" w:rsidR="00E46DBE" w:rsidRPr="005D070B" w:rsidRDefault="00E46DBE" w:rsidP="00E46DBE">
      <w:pPr>
        <w:spacing w:line="360" w:lineRule="auto"/>
        <w:rPr>
          <w:rFonts w:ascii="Arial" w:hAnsi="Arial" w:cs="Arial"/>
          <w:sz w:val="23"/>
          <w:szCs w:val="23"/>
        </w:rPr>
      </w:pPr>
    </w:p>
    <w:p w14:paraId="1296E37C" w14:textId="22E57C90"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Asante, I.O., Jiang, Y. and Luo, X. (2025) ‘Leveraging online omnichannel commerce to enhance consumer engagement in the digital transformation era’, </w:t>
      </w:r>
      <w:r w:rsidRPr="005D070B">
        <w:rPr>
          <w:rFonts w:ascii="Arial" w:hAnsi="Arial" w:cs="Arial"/>
          <w:i/>
          <w:iCs/>
          <w:sz w:val="23"/>
          <w:szCs w:val="23"/>
        </w:rPr>
        <w:t>Journal of Theoretical and Applied Electronic Commerce Research</w:t>
      </w:r>
      <w:r w:rsidRPr="005D070B">
        <w:rPr>
          <w:rFonts w:ascii="Arial" w:hAnsi="Arial" w:cs="Arial"/>
          <w:sz w:val="23"/>
          <w:szCs w:val="23"/>
        </w:rPr>
        <w:t xml:space="preserve">, 20(1), 2. Available at: </w:t>
      </w:r>
      <w:hyperlink r:id="rId12" w:history="1">
        <w:r w:rsidRPr="005D070B">
          <w:rPr>
            <w:rStyle w:val="Hyperlink"/>
            <w:rFonts w:ascii="Arial" w:hAnsi="Arial" w:cs="Arial"/>
            <w:sz w:val="23"/>
            <w:szCs w:val="23"/>
          </w:rPr>
          <w:t>https://doi.org/10.3390/jtaer20010002</w:t>
        </w:r>
      </w:hyperlink>
      <w:r w:rsidRPr="005D070B">
        <w:rPr>
          <w:rFonts w:ascii="Arial" w:hAnsi="Arial" w:cs="Arial"/>
          <w:sz w:val="23"/>
          <w:szCs w:val="23"/>
        </w:rPr>
        <w:t xml:space="preserve"> </w:t>
      </w:r>
    </w:p>
    <w:p w14:paraId="41A1C4FE" w14:textId="77777777" w:rsidR="00E46DBE" w:rsidRPr="005D070B" w:rsidRDefault="00E46DBE" w:rsidP="00E46DBE">
      <w:pPr>
        <w:spacing w:line="360" w:lineRule="auto"/>
        <w:rPr>
          <w:rFonts w:ascii="Arial" w:hAnsi="Arial" w:cs="Arial"/>
          <w:sz w:val="23"/>
          <w:szCs w:val="23"/>
        </w:rPr>
      </w:pPr>
    </w:p>
    <w:p w14:paraId="760F1FE8" w14:textId="0B7E9F2F"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Balbín Buckley, J.A. and Marquina Feldman, P.S. (2024) ‘Effects of channel integration on the omnichannel customer experience’, </w:t>
      </w:r>
      <w:r w:rsidRPr="005D070B">
        <w:rPr>
          <w:rFonts w:ascii="Arial" w:hAnsi="Arial" w:cs="Arial"/>
          <w:i/>
          <w:iCs/>
          <w:sz w:val="23"/>
          <w:szCs w:val="23"/>
        </w:rPr>
        <w:t>Cogent Business &amp; Management</w:t>
      </w:r>
      <w:r w:rsidRPr="005D070B">
        <w:rPr>
          <w:rFonts w:ascii="Arial" w:hAnsi="Arial" w:cs="Arial"/>
          <w:sz w:val="23"/>
          <w:szCs w:val="23"/>
        </w:rPr>
        <w:t xml:space="preserve">, 11(1), 2364841. Available at: </w:t>
      </w:r>
      <w:hyperlink r:id="rId13" w:history="1">
        <w:r w:rsidRPr="005D070B">
          <w:rPr>
            <w:rStyle w:val="Hyperlink"/>
            <w:rFonts w:ascii="Arial" w:hAnsi="Arial" w:cs="Arial"/>
            <w:sz w:val="23"/>
            <w:szCs w:val="23"/>
          </w:rPr>
          <w:t>https://doi.org/10.1080/23311975.2024.2364841</w:t>
        </w:r>
      </w:hyperlink>
      <w:r w:rsidRPr="005D070B">
        <w:rPr>
          <w:rFonts w:ascii="Arial" w:hAnsi="Arial" w:cs="Arial"/>
          <w:sz w:val="23"/>
          <w:szCs w:val="23"/>
        </w:rPr>
        <w:t xml:space="preserve"> </w:t>
      </w:r>
    </w:p>
    <w:p w14:paraId="3D480D1B" w14:textId="77777777" w:rsidR="00E46DBE" w:rsidRPr="005D070B" w:rsidRDefault="00E46DBE" w:rsidP="00E46DBE">
      <w:pPr>
        <w:spacing w:line="360" w:lineRule="auto"/>
        <w:rPr>
          <w:rFonts w:ascii="Arial" w:hAnsi="Arial" w:cs="Arial"/>
          <w:sz w:val="23"/>
          <w:szCs w:val="23"/>
        </w:rPr>
      </w:pPr>
    </w:p>
    <w:p w14:paraId="102B882C" w14:textId="222A0635"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Both, A.D. and Steinmann, S. (2023) ‘Customer experiences in omnichannel retail environments: a thematic literature review’, The International Review of Retail, </w:t>
      </w:r>
      <w:r w:rsidRPr="005D070B">
        <w:rPr>
          <w:rFonts w:ascii="Arial" w:hAnsi="Arial" w:cs="Arial"/>
          <w:i/>
          <w:iCs/>
          <w:sz w:val="23"/>
          <w:szCs w:val="23"/>
        </w:rPr>
        <w:t>Distribution and Consumer Research</w:t>
      </w:r>
      <w:r w:rsidRPr="005D070B">
        <w:rPr>
          <w:rFonts w:ascii="Arial" w:hAnsi="Arial" w:cs="Arial"/>
          <w:sz w:val="23"/>
          <w:szCs w:val="23"/>
        </w:rPr>
        <w:t xml:space="preserve">, 33(5), pp. 445–478. Available at: </w:t>
      </w:r>
      <w:hyperlink r:id="rId14" w:history="1">
        <w:r w:rsidRPr="005D070B">
          <w:rPr>
            <w:rStyle w:val="Hyperlink"/>
            <w:rFonts w:ascii="Arial" w:hAnsi="Arial" w:cs="Arial"/>
            <w:sz w:val="23"/>
            <w:szCs w:val="23"/>
          </w:rPr>
          <w:t>https://doi.org/10.1080/09593969.2023.2256491</w:t>
        </w:r>
      </w:hyperlink>
      <w:r w:rsidRPr="005D070B">
        <w:rPr>
          <w:rFonts w:ascii="Arial" w:hAnsi="Arial" w:cs="Arial"/>
          <w:sz w:val="23"/>
          <w:szCs w:val="23"/>
        </w:rPr>
        <w:t xml:space="preserve"> </w:t>
      </w:r>
    </w:p>
    <w:p w14:paraId="7113BEC6" w14:textId="77777777" w:rsidR="00E46DBE" w:rsidRPr="005D070B" w:rsidRDefault="00E46DBE" w:rsidP="00E46DBE">
      <w:pPr>
        <w:spacing w:line="360" w:lineRule="auto"/>
        <w:rPr>
          <w:rFonts w:ascii="Arial" w:hAnsi="Arial" w:cs="Arial"/>
          <w:sz w:val="23"/>
          <w:szCs w:val="23"/>
        </w:rPr>
      </w:pPr>
    </w:p>
    <w:p w14:paraId="1D8A9403" w14:textId="2F57D88D"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British Beauty Council (2025) </w:t>
      </w:r>
      <w:r w:rsidRPr="005D070B">
        <w:rPr>
          <w:rFonts w:ascii="Arial" w:hAnsi="Arial" w:cs="Arial"/>
          <w:i/>
          <w:iCs/>
          <w:sz w:val="23"/>
          <w:szCs w:val="23"/>
        </w:rPr>
        <w:t>Value of Beauty 2025</w:t>
      </w:r>
      <w:r w:rsidRPr="005D070B">
        <w:rPr>
          <w:rFonts w:ascii="Arial" w:hAnsi="Arial" w:cs="Arial"/>
          <w:sz w:val="23"/>
          <w:szCs w:val="23"/>
        </w:rPr>
        <w:t xml:space="preserve">. Available at: </w:t>
      </w:r>
      <w:hyperlink r:id="rId15" w:history="1">
        <w:r w:rsidRPr="005D070B">
          <w:rPr>
            <w:rStyle w:val="Hyperlink"/>
            <w:rFonts w:ascii="Arial" w:hAnsi="Arial" w:cs="Arial"/>
            <w:sz w:val="23"/>
            <w:szCs w:val="23"/>
          </w:rPr>
          <w:t>https://britishbeautycouncil.com/value-of-beauty-2025-download/</w:t>
        </w:r>
      </w:hyperlink>
      <w:r w:rsidRPr="005D070B">
        <w:rPr>
          <w:rFonts w:ascii="Arial" w:hAnsi="Arial" w:cs="Arial"/>
          <w:sz w:val="23"/>
          <w:szCs w:val="23"/>
        </w:rPr>
        <w:t xml:space="preserve"> </w:t>
      </w:r>
    </w:p>
    <w:p w14:paraId="685D0816" w14:textId="77777777" w:rsidR="00E46DBE" w:rsidRPr="005D070B" w:rsidRDefault="00E46DBE" w:rsidP="00E46DBE">
      <w:pPr>
        <w:spacing w:line="360" w:lineRule="auto"/>
        <w:rPr>
          <w:rFonts w:ascii="Arial" w:hAnsi="Arial" w:cs="Arial"/>
          <w:sz w:val="23"/>
          <w:szCs w:val="23"/>
        </w:rPr>
      </w:pPr>
    </w:p>
    <w:p w14:paraId="540C1B64" w14:textId="0D73D4C0"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Calza, F., Sorrentino, A. and Tutore, I. (2023) ‘Combining corporate environmental sustainability and customer experience management to build an integrated model for decision-making’, </w:t>
      </w:r>
      <w:r w:rsidRPr="005D070B">
        <w:rPr>
          <w:rFonts w:ascii="Arial" w:hAnsi="Arial" w:cs="Arial"/>
          <w:i/>
          <w:iCs/>
          <w:sz w:val="23"/>
          <w:szCs w:val="23"/>
        </w:rPr>
        <w:t>Management Decision</w:t>
      </w:r>
      <w:r w:rsidRPr="005D070B">
        <w:rPr>
          <w:rFonts w:ascii="Arial" w:hAnsi="Arial" w:cs="Arial"/>
          <w:sz w:val="23"/>
          <w:szCs w:val="23"/>
        </w:rPr>
        <w:t xml:space="preserve">, 61(13), pp. 54–84. Available at: </w:t>
      </w:r>
      <w:hyperlink r:id="rId16" w:history="1">
        <w:r w:rsidRPr="005D070B">
          <w:rPr>
            <w:rStyle w:val="Hyperlink"/>
            <w:rFonts w:ascii="Arial" w:hAnsi="Arial" w:cs="Arial"/>
            <w:sz w:val="23"/>
            <w:szCs w:val="23"/>
          </w:rPr>
          <w:t>https://doi.org/10.1108/MD-05-2022-0613</w:t>
        </w:r>
      </w:hyperlink>
      <w:r w:rsidRPr="005D070B">
        <w:rPr>
          <w:rFonts w:ascii="Arial" w:hAnsi="Arial" w:cs="Arial"/>
          <w:sz w:val="23"/>
          <w:szCs w:val="23"/>
        </w:rPr>
        <w:t xml:space="preserve"> </w:t>
      </w:r>
    </w:p>
    <w:p w14:paraId="6F83BEA4" w14:textId="77777777" w:rsidR="00E46DBE" w:rsidRPr="005D070B" w:rsidRDefault="00E46DBE" w:rsidP="00E46DBE">
      <w:pPr>
        <w:spacing w:line="360" w:lineRule="auto"/>
        <w:rPr>
          <w:rFonts w:ascii="Arial" w:hAnsi="Arial" w:cs="Arial"/>
          <w:sz w:val="23"/>
          <w:szCs w:val="23"/>
        </w:rPr>
      </w:pPr>
    </w:p>
    <w:p w14:paraId="2C358853" w14:textId="3E226D93"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Competition and Markets Authority (2025) </w:t>
      </w:r>
      <w:r w:rsidRPr="005D070B">
        <w:rPr>
          <w:rFonts w:ascii="Arial" w:hAnsi="Arial" w:cs="Arial"/>
          <w:i/>
          <w:iCs/>
          <w:sz w:val="23"/>
          <w:szCs w:val="23"/>
        </w:rPr>
        <w:t>Social Media Endorsements: Guidance for Content Creators.</w:t>
      </w:r>
      <w:r w:rsidRPr="005D070B">
        <w:rPr>
          <w:rFonts w:ascii="Arial" w:hAnsi="Arial" w:cs="Arial"/>
          <w:sz w:val="23"/>
          <w:szCs w:val="23"/>
        </w:rPr>
        <w:t xml:space="preserve"> Available at: </w:t>
      </w:r>
      <w:hyperlink r:id="rId17" w:history="1">
        <w:r w:rsidRPr="005D070B">
          <w:rPr>
            <w:rStyle w:val="Hyperlink"/>
            <w:rFonts w:ascii="Arial" w:hAnsi="Arial" w:cs="Arial"/>
            <w:sz w:val="23"/>
            <w:szCs w:val="23"/>
          </w:rPr>
          <w:t>https://www.gov.uk/government/publications/social-media-endorsements-guidance-for-content-creators</w:t>
        </w:r>
      </w:hyperlink>
      <w:r w:rsidRPr="005D070B">
        <w:rPr>
          <w:rFonts w:ascii="Arial" w:hAnsi="Arial" w:cs="Arial"/>
          <w:sz w:val="23"/>
          <w:szCs w:val="23"/>
        </w:rPr>
        <w:t xml:space="preserve"> </w:t>
      </w:r>
    </w:p>
    <w:p w14:paraId="1CBB9D9D" w14:textId="77777777" w:rsidR="00E46DBE" w:rsidRPr="005D070B" w:rsidRDefault="00E46DBE" w:rsidP="00E46DBE">
      <w:pPr>
        <w:spacing w:line="360" w:lineRule="auto"/>
        <w:rPr>
          <w:rFonts w:ascii="Arial" w:hAnsi="Arial" w:cs="Arial"/>
          <w:sz w:val="23"/>
          <w:szCs w:val="23"/>
        </w:rPr>
      </w:pPr>
    </w:p>
    <w:p w14:paraId="649A521F" w14:textId="24C6FB6F"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Frasquet, M., Ieva, M. and Mollá-Descals, A. (2024) ‘Customer inspiration in retailing: The role of perceived novelty and customer loyalty across offline and online channels’, </w:t>
      </w:r>
      <w:r w:rsidRPr="005D070B">
        <w:rPr>
          <w:rFonts w:ascii="Arial" w:hAnsi="Arial" w:cs="Arial"/>
          <w:i/>
          <w:iCs/>
          <w:sz w:val="23"/>
          <w:szCs w:val="23"/>
        </w:rPr>
        <w:t>Journal of Retailing and Consumer Services</w:t>
      </w:r>
      <w:r w:rsidRPr="005D070B">
        <w:rPr>
          <w:rFonts w:ascii="Arial" w:hAnsi="Arial" w:cs="Arial"/>
          <w:sz w:val="23"/>
          <w:szCs w:val="23"/>
        </w:rPr>
        <w:t xml:space="preserve">, 76, 103592. Available at: </w:t>
      </w:r>
      <w:hyperlink r:id="rId18" w:history="1">
        <w:r w:rsidRPr="005D070B">
          <w:rPr>
            <w:rStyle w:val="Hyperlink"/>
            <w:rFonts w:ascii="Arial" w:hAnsi="Arial" w:cs="Arial"/>
            <w:sz w:val="23"/>
            <w:szCs w:val="23"/>
          </w:rPr>
          <w:t>https://doi.org/10.1016/j.jretconser.2023.103592</w:t>
        </w:r>
      </w:hyperlink>
      <w:r w:rsidRPr="005D070B">
        <w:rPr>
          <w:rFonts w:ascii="Arial" w:hAnsi="Arial" w:cs="Arial"/>
          <w:sz w:val="23"/>
          <w:szCs w:val="23"/>
        </w:rPr>
        <w:t xml:space="preserve"> </w:t>
      </w:r>
    </w:p>
    <w:p w14:paraId="0F4D510C" w14:textId="77777777" w:rsidR="00E46DBE" w:rsidRPr="005D070B" w:rsidRDefault="00E46DBE" w:rsidP="00E46DBE">
      <w:pPr>
        <w:spacing w:line="360" w:lineRule="auto"/>
        <w:rPr>
          <w:rFonts w:ascii="Arial" w:hAnsi="Arial" w:cs="Arial"/>
          <w:sz w:val="23"/>
          <w:szCs w:val="23"/>
        </w:rPr>
      </w:pPr>
    </w:p>
    <w:p w14:paraId="242AEE69" w14:textId="40DB2AA7"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Gomes, M.A. and Meisen, T. (2023) ‘A review on customer segmentation methods for personalized customer targeting in e-commerce use cases’, </w:t>
      </w:r>
      <w:r w:rsidRPr="005D070B">
        <w:rPr>
          <w:rFonts w:ascii="Arial" w:hAnsi="Arial" w:cs="Arial"/>
          <w:i/>
          <w:iCs/>
          <w:sz w:val="23"/>
          <w:szCs w:val="23"/>
        </w:rPr>
        <w:t>Information Systems and e-Business Management</w:t>
      </w:r>
      <w:r w:rsidRPr="005D070B">
        <w:rPr>
          <w:rFonts w:ascii="Arial" w:hAnsi="Arial" w:cs="Arial"/>
          <w:sz w:val="23"/>
          <w:szCs w:val="23"/>
        </w:rPr>
        <w:t xml:space="preserve">, 21(3), pp. 527–570. Available at: </w:t>
      </w:r>
      <w:hyperlink r:id="rId19" w:history="1">
        <w:r w:rsidRPr="005D070B">
          <w:rPr>
            <w:rStyle w:val="Hyperlink"/>
            <w:rFonts w:ascii="Arial" w:hAnsi="Arial" w:cs="Arial"/>
            <w:sz w:val="23"/>
            <w:szCs w:val="23"/>
          </w:rPr>
          <w:t>https://doi.org/10.1007/s10257-023-00640-4</w:t>
        </w:r>
      </w:hyperlink>
      <w:r w:rsidRPr="005D070B">
        <w:rPr>
          <w:rFonts w:ascii="Arial" w:hAnsi="Arial" w:cs="Arial"/>
          <w:sz w:val="23"/>
          <w:szCs w:val="23"/>
        </w:rPr>
        <w:t xml:space="preserve"> </w:t>
      </w:r>
    </w:p>
    <w:p w14:paraId="1E08FCB3" w14:textId="77777777" w:rsidR="00E46DBE" w:rsidRPr="005D070B" w:rsidRDefault="00E46DBE" w:rsidP="00E46DBE">
      <w:pPr>
        <w:spacing w:line="360" w:lineRule="auto"/>
        <w:rPr>
          <w:rFonts w:ascii="Arial" w:hAnsi="Arial" w:cs="Arial"/>
          <w:sz w:val="23"/>
          <w:szCs w:val="23"/>
        </w:rPr>
      </w:pPr>
    </w:p>
    <w:p w14:paraId="59D32E9A" w14:textId="6995173D"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Lorenzo-Romero, C., Alarcón-del-Amo, M.-C. and Frasquet-Deltoro, M. (2023) ‘A latent approach in the fashion retailing context: segmenting co-creator users’, </w:t>
      </w:r>
      <w:r w:rsidRPr="005D070B">
        <w:rPr>
          <w:rFonts w:ascii="Arial" w:hAnsi="Arial" w:cs="Arial"/>
          <w:i/>
          <w:iCs/>
          <w:sz w:val="23"/>
          <w:szCs w:val="23"/>
        </w:rPr>
        <w:t>Fashion and Textiles</w:t>
      </w:r>
      <w:r w:rsidRPr="005D070B">
        <w:rPr>
          <w:rFonts w:ascii="Arial" w:hAnsi="Arial" w:cs="Arial"/>
          <w:sz w:val="23"/>
          <w:szCs w:val="23"/>
        </w:rPr>
        <w:t xml:space="preserve">, 10, 11. Available at: </w:t>
      </w:r>
      <w:hyperlink r:id="rId20" w:history="1">
        <w:r w:rsidRPr="005D070B">
          <w:rPr>
            <w:rStyle w:val="Hyperlink"/>
            <w:rFonts w:ascii="Arial" w:hAnsi="Arial" w:cs="Arial"/>
            <w:sz w:val="23"/>
            <w:szCs w:val="23"/>
          </w:rPr>
          <w:t>https://doi.org/10.1186/s40691-022-00323-7</w:t>
        </w:r>
      </w:hyperlink>
      <w:r w:rsidRPr="005D070B">
        <w:rPr>
          <w:rFonts w:ascii="Arial" w:hAnsi="Arial" w:cs="Arial"/>
          <w:sz w:val="23"/>
          <w:szCs w:val="23"/>
        </w:rPr>
        <w:t xml:space="preserve"> </w:t>
      </w:r>
    </w:p>
    <w:p w14:paraId="15AFA00A" w14:textId="77777777" w:rsidR="00E46DBE" w:rsidRPr="005D070B" w:rsidRDefault="00E46DBE" w:rsidP="00E46DBE">
      <w:pPr>
        <w:spacing w:line="360" w:lineRule="auto"/>
        <w:rPr>
          <w:rFonts w:ascii="Arial" w:hAnsi="Arial" w:cs="Arial"/>
          <w:sz w:val="23"/>
          <w:szCs w:val="23"/>
        </w:rPr>
      </w:pPr>
    </w:p>
    <w:p w14:paraId="0D9B6E29" w14:textId="1D1F3EB1"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Ndlovu, S.G. (2024) ‘Private label brands vs national brands: new battle fronts and future competition’, </w:t>
      </w:r>
      <w:r w:rsidRPr="005D070B">
        <w:rPr>
          <w:rFonts w:ascii="Arial" w:hAnsi="Arial" w:cs="Arial"/>
          <w:i/>
          <w:iCs/>
          <w:sz w:val="23"/>
          <w:szCs w:val="23"/>
        </w:rPr>
        <w:t>Cogent Business &amp; Management</w:t>
      </w:r>
      <w:r w:rsidRPr="005D070B">
        <w:rPr>
          <w:rFonts w:ascii="Arial" w:hAnsi="Arial" w:cs="Arial"/>
          <w:sz w:val="23"/>
          <w:szCs w:val="23"/>
        </w:rPr>
        <w:t xml:space="preserve">, 11(1), 2321877. Available at: </w:t>
      </w:r>
      <w:hyperlink r:id="rId21" w:history="1">
        <w:r w:rsidRPr="005D070B">
          <w:rPr>
            <w:rStyle w:val="Hyperlink"/>
            <w:rFonts w:ascii="Arial" w:hAnsi="Arial" w:cs="Arial"/>
            <w:sz w:val="23"/>
            <w:szCs w:val="23"/>
          </w:rPr>
          <w:t>https://doi.org/10.1080/23311975.2024.2321877</w:t>
        </w:r>
      </w:hyperlink>
      <w:r w:rsidRPr="005D070B">
        <w:rPr>
          <w:rFonts w:ascii="Arial" w:hAnsi="Arial" w:cs="Arial"/>
          <w:sz w:val="23"/>
          <w:szCs w:val="23"/>
        </w:rPr>
        <w:t xml:space="preserve"> </w:t>
      </w:r>
    </w:p>
    <w:p w14:paraId="1EDDDC29" w14:textId="77777777" w:rsidR="00E46DBE" w:rsidRPr="005D070B" w:rsidRDefault="00E46DBE" w:rsidP="00E46DBE">
      <w:pPr>
        <w:spacing w:line="360" w:lineRule="auto"/>
        <w:rPr>
          <w:rFonts w:ascii="Arial" w:hAnsi="Arial" w:cs="Arial"/>
          <w:sz w:val="23"/>
          <w:szCs w:val="23"/>
        </w:rPr>
      </w:pPr>
    </w:p>
    <w:p w14:paraId="4053CC63" w14:textId="374EFFC1"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Ofcom (2024) </w:t>
      </w:r>
      <w:r w:rsidRPr="005D070B">
        <w:rPr>
          <w:rFonts w:ascii="Arial" w:hAnsi="Arial" w:cs="Arial"/>
          <w:i/>
          <w:iCs/>
          <w:sz w:val="23"/>
          <w:szCs w:val="23"/>
        </w:rPr>
        <w:t>Online Nation 2024 Report</w:t>
      </w:r>
      <w:r w:rsidRPr="005D070B">
        <w:rPr>
          <w:rFonts w:ascii="Arial" w:hAnsi="Arial" w:cs="Arial"/>
          <w:sz w:val="23"/>
          <w:szCs w:val="23"/>
        </w:rPr>
        <w:t xml:space="preserve">. Available at: </w:t>
      </w:r>
      <w:hyperlink r:id="rId22" w:history="1">
        <w:r w:rsidRPr="005D070B">
          <w:rPr>
            <w:rStyle w:val="Hyperlink"/>
            <w:rFonts w:ascii="Arial" w:hAnsi="Arial" w:cs="Arial"/>
            <w:sz w:val="23"/>
            <w:szCs w:val="23"/>
          </w:rPr>
          <w:t>https://www.ofcom.org.uk/siteassets/resources/documents/research-and-data/online-research/online-nation/2024/online-nation-2024-report.pdf</w:t>
        </w:r>
      </w:hyperlink>
      <w:r w:rsidRPr="005D070B">
        <w:rPr>
          <w:rFonts w:ascii="Arial" w:hAnsi="Arial" w:cs="Arial"/>
          <w:sz w:val="23"/>
          <w:szCs w:val="23"/>
        </w:rPr>
        <w:t xml:space="preserve"> </w:t>
      </w:r>
    </w:p>
    <w:p w14:paraId="69D4D458" w14:textId="77777777" w:rsidR="00E46DBE" w:rsidRPr="005D070B" w:rsidRDefault="00E46DBE" w:rsidP="00E46DBE">
      <w:pPr>
        <w:spacing w:line="360" w:lineRule="auto"/>
        <w:rPr>
          <w:rFonts w:ascii="Arial" w:hAnsi="Arial" w:cs="Arial"/>
          <w:sz w:val="23"/>
          <w:szCs w:val="23"/>
        </w:rPr>
      </w:pPr>
    </w:p>
    <w:p w14:paraId="24E320C4" w14:textId="32483F38"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Office for National Statistics (2025) </w:t>
      </w:r>
      <w:r w:rsidRPr="005D070B">
        <w:rPr>
          <w:rFonts w:ascii="Arial" w:hAnsi="Arial" w:cs="Arial"/>
          <w:i/>
          <w:iCs/>
          <w:sz w:val="23"/>
          <w:szCs w:val="23"/>
        </w:rPr>
        <w:t>Retail Sales, Great Britain: December 2024</w:t>
      </w:r>
      <w:r w:rsidRPr="005D070B">
        <w:rPr>
          <w:rFonts w:ascii="Arial" w:hAnsi="Arial" w:cs="Arial"/>
          <w:sz w:val="23"/>
          <w:szCs w:val="23"/>
        </w:rPr>
        <w:t xml:space="preserve">. Available at: </w:t>
      </w:r>
      <w:hyperlink r:id="rId23" w:history="1">
        <w:r w:rsidRPr="005D070B">
          <w:rPr>
            <w:rStyle w:val="Hyperlink"/>
            <w:rFonts w:ascii="Arial" w:hAnsi="Arial" w:cs="Arial"/>
            <w:sz w:val="23"/>
            <w:szCs w:val="23"/>
          </w:rPr>
          <w:t>https://www.ons.gov.uk/businessindustryandtrade/retailindustry/bulletins/retailsales/december2024</w:t>
        </w:r>
      </w:hyperlink>
      <w:r w:rsidRPr="005D070B">
        <w:rPr>
          <w:rFonts w:ascii="Arial" w:hAnsi="Arial" w:cs="Arial"/>
          <w:sz w:val="23"/>
          <w:szCs w:val="23"/>
        </w:rPr>
        <w:t xml:space="preserve"> </w:t>
      </w:r>
    </w:p>
    <w:p w14:paraId="386CCF27" w14:textId="77777777" w:rsidR="00E46DBE" w:rsidRPr="005D070B" w:rsidRDefault="00E46DBE" w:rsidP="00E46DBE">
      <w:pPr>
        <w:spacing w:line="360" w:lineRule="auto"/>
        <w:rPr>
          <w:rFonts w:ascii="Arial" w:hAnsi="Arial" w:cs="Arial"/>
          <w:sz w:val="23"/>
          <w:szCs w:val="23"/>
        </w:rPr>
      </w:pPr>
    </w:p>
    <w:p w14:paraId="4153DDBD" w14:textId="6BBC07B4"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PhamThi, H. and Ho, T.N. (2024) ‘Understanding customer experience over time and customer citizenship behavior in retail environment: The mediating role of customer brand relationship strength’, </w:t>
      </w:r>
      <w:r w:rsidRPr="005D070B">
        <w:rPr>
          <w:rFonts w:ascii="Arial" w:hAnsi="Arial" w:cs="Arial"/>
          <w:i/>
          <w:iCs/>
          <w:sz w:val="23"/>
          <w:szCs w:val="23"/>
        </w:rPr>
        <w:t>Cogent Business &amp; Management</w:t>
      </w:r>
      <w:r w:rsidRPr="005D070B">
        <w:rPr>
          <w:rFonts w:ascii="Arial" w:hAnsi="Arial" w:cs="Arial"/>
          <w:sz w:val="23"/>
          <w:szCs w:val="23"/>
        </w:rPr>
        <w:t xml:space="preserve">, 11(1), 2292487. Available at: </w:t>
      </w:r>
      <w:hyperlink r:id="rId24" w:history="1">
        <w:r w:rsidRPr="005D070B">
          <w:rPr>
            <w:rStyle w:val="Hyperlink"/>
            <w:rFonts w:ascii="Arial" w:hAnsi="Arial" w:cs="Arial"/>
            <w:sz w:val="23"/>
            <w:szCs w:val="23"/>
          </w:rPr>
          <w:t>https://doi.org/10.1080/23311975.2023.2292487</w:t>
        </w:r>
      </w:hyperlink>
      <w:r w:rsidRPr="005D070B">
        <w:rPr>
          <w:rFonts w:ascii="Arial" w:hAnsi="Arial" w:cs="Arial"/>
          <w:sz w:val="23"/>
          <w:szCs w:val="23"/>
        </w:rPr>
        <w:t xml:space="preserve"> </w:t>
      </w:r>
    </w:p>
    <w:p w14:paraId="496E7BF1" w14:textId="77777777" w:rsidR="00E46DBE" w:rsidRPr="005D070B" w:rsidRDefault="00E46DBE" w:rsidP="00E46DBE">
      <w:pPr>
        <w:spacing w:line="360" w:lineRule="auto"/>
        <w:rPr>
          <w:rFonts w:ascii="Arial" w:hAnsi="Arial" w:cs="Arial"/>
          <w:sz w:val="23"/>
          <w:szCs w:val="23"/>
        </w:rPr>
      </w:pPr>
    </w:p>
    <w:p w14:paraId="2E95B60D" w14:textId="14052002" w:rsidR="00E46DBE"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Superdrug (2023) </w:t>
      </w:r>
      <w:r w:rsidRPr="005D070B">
        <w:rPr>
          <w:rFonts w:ascii="Arial" w:hAnsi="Arial" w:cs="Arial"/>
          <w:i/>
          <w:iCs/>
          <w:sz w:val="23"/>
          <w:szCs w:val="23"/>
        </w:rPr>
        <w:t>Superdrug Publishes Positive Full Year Financial Results</w:t>
      </w:r>
      <w:r w:rsidRPr="005D070B">
        <w:rPr>
          <w:rFonts w:ascii="Arial" w:hAnsi="Arial" w:cs="Arial"/>
          <w:sz w:val="23"/>
          <w:szCs w:val="23"/>
        </w:rPr>
        <w:t xml:space="preserve">. Available at: </w:t>
      </w:r>
      <w:hyperlink r:id="rId25" w:history="1">
        <w:r w:rsidRPr="005D070B">
          <w:rPr>
            <w:rStyle w:val="Hyperlink"/>
            <w:rFonts w:ascii="Arial" w:hAnsi="Arial" w:cs="Arial"/>
            <w:sz w:val="23"/>
            <w:szCs w:val="23"/>
          </w:rPr>
          <w:t>https://media.superdrug.com/custom-content/documents/press-release/superdrug-financials-2022.pdf</w:t>
        </w:r>
      </w:hyperlink>
      <w:r w:rsidRPr="005D070B">
        <w:rPr>
          <w:rFonts w:ascii="Arial" w:hAnsi="Arial" w:cs="Arial"/>
          <w:sz w:val="23"/>
          <w:szCs w:val="23"/>
        </w:rPr>
        <w:t xml:space="preserve"> </w:t>
      </w:r>
    </w:p>
    <w:p w14:paraId="4075E0F9" w14:textId="77777777" w:rsidR="00E46DBE" w:rsidRPr="005D070B" w:rsidRDefault="00E46DBE" w:rsidP="00E46DBE">
      <w:pPr>
        <w:spacing w:line="360" w:lineRule="auto"/>
        <w:rPr>
          <w:rFonts w:ascii="Arial" w:hAnsi="Arial" w:cs="Arial"/>
          <w:sz w:val="23"/>
          <w:szCs w:val="23"/>
        </w:rPr>
      </w:pPr>
    </w:p>
    <w:p w14:paraId="30A39989" w14:textId="31A1A9EB" w:rsidR="0082387C" w:rsidRPr="005D070B" w:rsidRDefault="00E46DBE" w:rsidP="00E46DBE">
      <w:pPr>
        <w:spacing w:line="360" w:lineRule="auto"/>
        <w:rPr>
          <w:rFonts w:ascii="Arial" w:hAnsi="Arial" w:cs="Arial"/>
          <w:sz w:val="23"/>
          <w:szCs w:val="23"/>
        </w:rPr>
      </w:pPr>
      <w:r w:rsidRPr="005D070B">
        <w:rPr>
          <w:rFonts w:ascii="Arial" w:hAnsi="Arial" w:cs="Arial"/>
          <w:sz w:val="23"/>
          <w:szCs w:val="23"/>
        </w:rPr>
        <w:t xml:space="preserve">Superdrug Stores plc (2024) Corporate Governance Statement – </w:t>
      </w:r>
      <w:r w:rsidRPr="005D070B">
        <w:rPr>
          <w:rFonts w:ascii="Arial" w:hAnsi="Arial" w:cs="Arial"/>
          <w:i/>
          <w:iCs/>
          <w:sz w:val="23"/>
          <w:szCs w:val="23"/>
        </w:rPr>
        <w:t>Financial Year Ended 28th December 2024</w:t>
      </w:r>
      <w:r w:rsidRPr="005D070B">
        <w:rPr>
          <w:rFonts w:ascii="Arial" w:hAnsi="Arial" w:cs="Arial"/>
          <w:sz w:val="23"/>
          <w:szCs w:val="23"/>
        </w:rPr>
        <w:t xml:space="preserve">. Available at: </w:t>
      </w:r>
      <w:hyperlink r:id="rId26" w:history="1">
        <w:r w:rsidRPr="005D070B">
          <w:rPr>
            <w:rStyle w:val="Hyperlink"/>
            <w:rFonts w:ascii="Arial" w:hAnsi="Arial" w:cs="Arial"/>
            <w:sz w:val="23"/>
            <w:szCs w:val="23"/>
          </w:rPr>
          <w:t>https://media.superdrug.com/medias/sys_master/root/h38/hdd/12639883755550/superdrugstoresplc-corporategovernancestatement-2024/superdrugstoresplc-corporategovernancestatement-2024.pdf</w:t>
        </w:r>
      </w:hyperlink>
      <w:r w:rsidRPr="005D070B">
        <w:rPr>
          <w:rFonts w:ascii="Arial" w:hAnsi="Arial" w:cs="Arial"/>
          <w:sz w:val="23"/>
          <w:szCs w:val="23"/>
        </w:rPr>
        <w:t xml:space="preserve"> </w:t>
      </w:r>
    </w:p>
    <w:p w14:paraId="7336F91B" w14:textId="77777777" w:rsidR="0082387C" w:rsidRPr="005D070B" w:rsidRDefault="0082387C" w:rsidP="00BF3A53">
      <w:pPr>
        <w:spacing w:line="360" w:lineRule="auto"/>
        <w:jc w:val="both"/>
        <w:rPr>
          <w:rFonts w:ascii="Arial" w:hAnsi="Arial" w:cs="Arial"/>
          <w:sz w:val="23"/>
          <w:szCs w:val="23"/>
        </w:rPr>
      </w:pPr>
    </w:p>
    <w:sectPr w:rsidR="0082387C" w:rsidRPr="005D070B" w:rsidSect="003C7A54">
      <w:headerReference w:type="default" r:id="rId27"/>
      <w:pgSz w:w="11906" w:h="16838"/>
      <w:pgMar w:top="1440" w:right="1440" w:bottom="1440" w:left="1440" w:header="10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7DEE6" w14:textId="77777777" w:rsidR="00B87D68" w:rsidRDefault="00B87D68">
      <w:pPr>
        <w:spacing w:after="0" w:line="240" w:lineRule="auto"/>
      </w:pPr>
      <w:r>
        <w:separator/>
      </w:r>
    </w:p>
  </w:endnote>
  <w:endnote w:type="continuationSeparator" w:id="0">
    <w:p w14:paraId="42114FF4" w14:textId="77777777" w:rsidR="00B87D68" w:rsidRDefault="00B87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5CDA2" w14:textId="77777777" w:rsidR="00B87D68" w:rsidRDefault="00B87D68">
      <w:pPr>
        <w:spacing w:after="0" w:line="240" w:lineRule="auto"/>
      </w:pPr>
      <w:r>
        <w:rPr>
          <w:color w:val="000000"/>
        </w:rPr>
        <w:separator/>
      </w:r>
    </w:p>
  </w:footnote>
  <w:footnote w:type="continuationSeparator" w:id="0">
    <w:p w14:paraId="2742B309" w14:textId="77777777" w:rsidR="00B87D68" w:rsidRDefault="00B87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9986D" w14:textId="44FF027F" w:rsidR="000214EA" w:rsidRDefault="003C7A54">
    <w:pPr>
      <w:pStyle w:val="Header"/>
    </w:pPr>
    <w:r w:rsidRPr="003C7A54">
      <w:rPr>
        <w:noProof/>
      </w:rPr>
      <w:drawing>
        <wp:anchor distT="0" distB="0" distL="114300" distR="114300" simplePos="0" relativeHeight="251658240" behindDoc="1" locked="0" layoutInCell="1" allowOverlap="1" wp14:anchorId="060F8D85" wp14:editId="41E05FED">
          <wp:simplePos x="0" y="0"/>
          <wp:positionH relativeFrom="margin">
            <wp:posOffset>4794766</wp:posOffset>
          </wp:positionH>
          <wp:positionV relativeFrom="paragraph">
            <wp:posOffset>-386080</wp:posOffset>
          </wp:positionV>
          <wp:extent cx="1605915" cy="641985"/>
          <wp:effectExtent l="0" t="0" r="0" b="5715"/>
          <wp:wrapTight wrapText="bothSides">
            <wp:wrapPolygon edited="0">
              <wp:start x="0" y="0"/>
              <wp:lineTo x="0" y="14742"/>
              <wp:lineTo x="2050" y="21151"/>
              <wp:lineTo x="17936" y="21151"/>
              <wp:lineTo x="21267" y="16024"/>
              <wp:lineTo x="21267" y="11537"/>
              <wp:lineTo x="19986" y="11537"/>
              <wp:lineTo x="20498" y="3205"/>
              <wp:lineTo x="19473" y="1282"/>
              <wp:lineTo x="15374" y="0"/>
              <wp:lineTo x="0" y="0"/>
            </wp:wrapPolygon>
          </wp:wrapTight>
          <wp:docPr id="947294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94786" name=""/>
                  <pic:cNvPicPr/>
                </pic:nvPicPr>
                <pic:blipFill>
                  <a:blip r:embed="rId1">
                    <a:extLst>
                      <a:ext uri="{28A0092B-C50C-407E-A947-70E740481C1C}">
                        <a14:useLocalDpi xmlns:a14="http://schemas.microsoft.com/office/drawing/2010/main" val="0"/>
                      </a:ext>
                    </a:extLst>
                  </a:blip>
                  <a:stretch>
                    <a:fillRect/>
                  </a:stretch>
                </pic:blipFill>
                <pic:spPr>
                  <a:xfrm>
                    <a:off x="0" y="0"/>
                    <a:ext cx="1605915" cy="6419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7E4"/>
    <w:multiLevelType w:val="hybridMultilevel"/>
    <w:tmpl w:val="0ABA03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52ECA"/>
    <w:multiLevelType w:val="hybridMultilevel"/>
    <w:tmpl w:val="91BC5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B01D1"/>
    <w:multiLevelType w:val="hybridMultilevel"/>
    <w:tmpl w:val="E0884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480C52"/>
    <w:multiLevelType w:val="hybridMultilevel"/>
    <w:tmpl w:val="9632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715238"/>
    <w:multiLevelType w:val="hybridMultilevel"/>
    <w:tmpl w:val="CDE6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84320"/>
    <w:multiLevelType w:val="hybridMultilevel"/>
    <w:tmpl w:val="BF0240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12E71"/>
    <w:multiLevelType w:val="hybridMultilevel"/>
    <w:tmpl w:val="5756F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2B77BE"/>
    <w:multiLevelType w:val="multilevel"/>
    <w:tmpl w:val="05223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9020A67"/>
    <w:multiLevelType w:val="hybridMultilevel"/>
    <w:tmpl w:val="784C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F81DCA"/>
    <w:multiLevelType w:val="hybridMultilevel"/>
    <w:tmpl w:val="1D7A1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17D84"/>
    <w:multiLevelType w:val="hybridMultilevel"/>
    <w:tmpl w:val="0914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F2980"/>
    <w:multiLevelType w:val="hybridMultilevel"/>
    <w:tmpl w:val="7DFA45AC"/>
    <w:lvl w:ilvl="0" w:tplc="6314851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A76933"/>
    <w:multiLevelType w:val="hybridMultilevel"/>
    <w:tmpl w:val="1952D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44D23"/>
    <w:multiLevelType w:val="hybridMultilevel"/>
    <w:tmpl w:val="77B4D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F3691"/>
    <w:multiLevelType w:val="hybridMultilevel"/>
    <w:tmpl w:val="4AD6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35691B"/>
    <w:multiLevelType w:val="hybridMultilevel"/>
    <w:tmpl w:val="24649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B2E93"/>
    <w:multiLevelType w:val="hybridMultilevel"/>
    <w:tmpl w:val="D7BA7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10BD0"/>
    <w:multiLevelType w:val="hybridMultilevel"/>
    <w:tmpl w:val="ACE0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F531C6"/>
    <w:multiLevelType w:val="hybridMultilevel"/>
    <w:tmpl w:val="53EE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7C1D76"/>
    <w:multiLevelType w:val="hybridMultilevel"/>
    <w:tmpl w:val="CCF67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20262"/>
    <w:multiLevelType w:val="hybridMultilevel"/>
    <w:tmpl w:val="127A2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B4547"/>
    <w:multiLevelType w:val="hybridMultilevel"/>
    <w:tmpl w:val="E9A6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455B0"/>
    <w:multiLevelType w:val="hybridMultilevel"/>
    <w:tmpl w:val="12908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685248"/>
    <w:multiLevelType w:val="hybridMultilevel"/>
    <w:tmpl w:val="B570F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0655BC8"/>
    <w:multiLevelType w:val="hybridMultilevel"/>
    <w:tmpl w:val="A73A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1342F"/>
    <w:multiLevelType w:val="hybridMultilevel"/>
    <w:tmpl w:val="4CBAD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65743"/>
    <w:multiLevelType w:val="hybridMultilevel"/>
    <w:tmpl w:val="CD32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D3C6D"/>
    <w:multiLevelType w:val="hybridMultilevel"/>
    <w:tmpl w:val="D1A2C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FE5F40"/>
    <w:multiLevelType w:val="hybridMultilevel"/>
    <w:tmpl w:val="DB6A2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905F2B"/>
    <w:multiLevelType w:val="hybridMultilevel"/>
    <w:tmpl w:val="8F342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6D40FEB"/>
    <w:multiLevelType w:val="hybridMultilevel"/>
    <w:tmpl w:val="BCC2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E2073C"/>
    <w:multiLevelType w:val="hybridMultilevel"/>
    <w:tmpl w:val="91A29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B64830"/>
    <w:multiLevelType w:val="hybridMultilevel"/>
    <w:tmpl w:val="374842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0E3584"/>
    <w:multiLevelType w:val="hybridMultilevel"/>
    <w:tmpl w:val="9B06B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F01590"/>
    <w:multiLevelType w:val="hybridMultilevel"/>
    <w:tmpl w:val="F478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1523F2"/>
    <w:multiLevelType w:val="hybridMultilevel"/>
    <w:tmpl w:val="4B80D7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843919"/>
    <w:multiLevelType w:val="hybridMultilevel"/>
    <w:tmpl w:val="BD84E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701998"/>
    <w:multiLevelType w:val="hybridMultilevel"/>
    <w:tmpl w:val="07DE3C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15A05"/>
    <w:multiLevelType w:val="hybridMultilevel"/>
    <w:tmpl w:val="76DE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6F01BB"/>
    <w:multiLevelType w:val="hybridMultilevel"/>
    <w:tmpl w:val="FE3C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330A62"/>
    <w:multiLevelType w:val="hybridMultilevel"/>
    <w:tmpl w:val="F7B4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724910">
    <w:abstractNumId w:val="7"/>
  </w:num>
  <w:num w:numId="2" w16cid:durableId="1130628685">
    <w:abstractNumId w:val="18"/>
  </w:num>
  <w:num w:numId="3" w16cid:durableId="1580093966">
    <w:abstractNumId w:val="39"/>
  </w:num>
  <w:num w:numId="4" w16cid:durableId="1613514985">
    <w:abstractNumId w:val="38"/>
  </w:num>
  <w:num w:numId="5" w16cid:durableId="1055008887">
    <w:abstractNumId w:val="1"/>
  </w:num>
  <w:num w:numId="6" w16cid:durableId="1430390323">
    <w:abstractNumId w:val="28"/>
  </w:num>
  <w:num w:numId="7" w16cid:durableId="1848015997">
    <w:abstractNumId w:val="31"/>
  </w:num>
  <w:num w:numId="8" w16cid:durableId="231744384">
    <w:abstractNumId w:val="4"/>
  </w:num>
  <w:num w:numId="9" w16cid:durableId="2036618022">
    <w:abstractNumId w:val="26"/>
  </w:num>
  <w:num w:numId="10" w16cid:durableId="69088462">
    <w:abstractNumId w:val="12"/>
  </w:num>
  <w:num w:numId="11" w16cid:durableId="472724330">
    <w:abstractNumId w:val="17"/>
  </w:num>
  <w:num w:numId="12" w16cid:durableId="780148309">
    <w:abstractNumId w:val="19"/>
  </w:num>
  <w:num w:numId="13" w16cid:durableId="435366508">
    <w:abstractNumId w:val="9"/>
  </w:num>
  <w:num w:numId="14" w16cid:durableId="678508822">
    <w:abstractNumId w:val="22"/>
  </w:num>
  <w:num w:numId="15" w16cid:durableId="240331735">
    <w:abstractNumId w:val="30"/>
  </w:num>
  <w:num w:numId="16" w16cid:durableId="596836986">
    <w:abstractNumId w:val="40"/>
  </w:num>
  <w:num w:numId="17" w16cid:durableId="1005086405">
    <w:abstractNumId w:val="14"/>
  </w:num>
  <w:num w:numId="18" w16cid:durableId="91631892">
    <w:abstractNumId w:val="36"/>
  </w:num>
  <w:num w:numId="19" w16cid:durableId="1584299570">
    <w:abstractNumId w:val="10"/>
  </w:num>
  <w:num w:numId="20" w16cid:durableId="2056617973">
    <w:abstractNumId w:val="2"/>
  </w:num>
  <w:num w:numId="21" w16cid:durableId="1759860333">
    <w:abstractNumId w:val="24"/>
  </w:num>
  <w:num w:numId="22" w16cid:durableId="1378165744">
    <w:abstractNumId w:val="6"/>
  </w:num>
  <w:num w:numId="23" w16cid:durableId="1379010053">
    <w:abstractNumId w:val="13"/>
  </w:num>
  <w:num w:numId="24" w16cid:durableId="1015233356">
    <w:abstractNumId w:val="15"/>
  </w:num>
  <w:num w:numId="25" w16cid:durableId="1529368890">
    <w:abstractNumId w:val="8"/>
  </w:num>
  <w:num w:numId="26" w16cid:durableId="1284076898">
    <w:abstractNumId w:val="16"/>
  </w:num>
  <w:num w:numId="27" w16cid:durableId="462305821">
    <w:abstractNumId w:val="21"/>
  </w:num>
  <w:num w:numId="28" w16cid:durableId="1102456946">
    <w:abstractNumId w:val="37"/>
  </w:num>
  <w:num w:numId="29" w16cid:durableId="612708411">
    <w:abstractNumId w:val="20"/>
  </w:num>
  <w:num w:numId="30" w16cid:durableId="855271582">
    <w:abstractNumId w:val="35"/>
  </w:num>
  <w:num w:numId="31" w16cid:durableId="767770132">
    <w:abstractNumId w:val="32"/>
  </w:num>
  <w:num w:numId="32" w16cid:durableId="2082553938">
    <w:abstractNumId w:val="34"/>
  </w:num>
  <w:num w:numId="33" w16cid:durableId="1126584074">
    <w:abstractNumId w:val="3"/>
  </w:num>
  <w:num w:numId="34" w16cid:durableId="1489328352">
    <w:abstractNumId w:val="25"/>
  </w:num>
  <w:num w:numId="35" w16cid:durableId="825048653">
    <w:abstractNumId w:val="23"/>
  </w:num>
  <w:num w:numId="36" w16cid:durableId="1728604409">
    <w:abstractNumId w:val="29"/>
  </w:num>
  <w:num w:numId="37" w16cid:durableId="1224681597">
    <w:abstractNumId w:val="33"/>
  </w:num>
  <w:num w:numId="38" w16cid:durableId="42604195">
    <w:abstractNumId w:val="11"/>
  </w:num>
  <w:num w:numId="39" w16cid:durableId="1189828295">
    <w:abstractNumId w:val="27"/>
  </w:num>
  <w:num w:numId="40" w16cid:durableId="1862936201">
    <w:abstractNumId w:val="5"/>
  </w:num>
  <w:num w:numId="41" w16cid:durableId="1106926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D4"/>
    <w:rsid w:val="00000F0A"/>
    <w:rsid w:val="000114F4"/>
    <w:rsid w:val="000214EA"/>
    <w:rsid w:val="00053588"/>
    <w:rsid w:val="001067BC"/>
    <w:rsid w:val="00110789"/>
    <w:rsid w:val="00115AD8"/>
    <w:rsid w:val="001C527C"/>
    <w:rsid w:val="001C5E60"/>
    <w:rsid w:val="001E5FDA"/>
    <w:rsid w:val="00200E3A"/>
    <w:rsid w:val="00211DDB"/>
    <w:rsid w:val="00245F11"/>
    <w:rsid w:val="002505C2"/>
    <w:rsid w:val="002A7D37"/>
    <w:rsid w:val="002D1C85"/>
    <w:rsid w:val="0032696C"/>
    <w:rsid w:val="00336CB6"/>
    <w:rsid w:val="003402E9"/>
    <w:rsid w:val="00342C95"/>
    <w:rsid w:val="00346EB6"/>
    <w:rsid w:val="0039374C"/>
    <w:rsid w:val="003B43B6"/>
    <w:rsid w:val="003C7A54"/>
    <w:rsid w:val="0041619E"/>
    <w:rsid w:val="00451AB0"/>
    <w:rsid w:val="004719A0"/>
    <w:rsid w:val="00495DDC"/>
    <w:rsid w:val="004C3D86"/>
    <w:rsid w:val="005315FA"/>
    <w:rsid w:val="00565301"/>
    <w:rsid w:val="005C4E7E"/>
    <w:rsid w:val="005D070B"/>
    <w:rsid w:val="005D3634"/>
    <w:rsid w:val="005E3304"/>
    <w:rsid w:val="005E363A"/>
    <w:rsid w:val="005F50F2"/>
    <w:rsid w:val="005F6CFD"/>
    <w:rsid w:val="00615D0C"/>
    <w:rsid w:val="00663C64"/>
    <w:rsid w:val="00666CAC"/>
    <w:rsid w:val="00686CE4"/>
    <w:rsid w:val="006C07D4"/>
    <w:rsid w:val="00762785"/>
    <w:rsid w:val="00793D9F"/>
    <w:rsid w:val="007D1A6D"/>
    <w:rsid w:val="00802DE7"/>
    <w:rsid w:val="0082387C"/>
    <w:rsid w:val="0085192F"/>
    <w:rsid w:val="008A3194"/>
    <w:rsid w:val="00924885"/>
    <w:rsid w:val="00926327"/>
    <w:rsid w:val="009277F1"/>
    <w:rsid w:val="009340DD"/>
    <w:rsid w:val="009427DB"/>
    <w:rsid w:val="009770E5"/>
    <w:rsid w:val="009A0662"/>
    <w:rsid w:val="009B0E5D"/>
    <w:rsid w:val="009D0806"/>
    <w:rsid w:val="009E76E7"/>
    <w:rsid w:val="00A22998"/>
    <w:rsid w:val="00A36105"/>
    <w:rsid w:val="00A602D9"/>
    <w:rsid w:val="00A85413"/>
    <w:rsid w:val="00AC3983"/>
    <w:rsid w:val="00AD4EF9"/>
    <w:rsid w:val="00AF5FF8"/>
    <w:rsid w:val="00B07F0E"/>
    <w:rsid w:val="00B40DE8"/>
    <w:rsid w:val="00B4651A"/>
    <w:rsid w:val="00B65F11"/>
    <w:rsid w:val="00B75941"/>
    <w:rsid w:val="00B87D68"/>
    <w:rsid w:val="00BC79C4"/>
    <w:rsid w:val="00BF3A53"/>
    <w:rsid w:val="00C077A9"/>
    <w:rsid w:val="00C12ECC"/>
    <w:rsid w:val="00C5079D"/>
    <w:rsid w:val="00C720DF"/>
    <w:rsid w:val="00C841B5"/>
    <w:rsid w:val="00CC2757"/>
    <w:rsid w:val="00CC35AC"/>
    <w:rsid w:val="00CC414E"/>
    <w:rsid w:val="00D07964"/>
    <w:rsid w:val="00D56C45"/>
    <w:rsid w:val="00DB02CE"/>
    <w:rsid w:val="00DB6413"/>
    <w:rsid w:val="00E46DBE"/>
    <w:rsid w:val="00E62593"/>
    <w:rsid w:val="00E745F1"/>
    <w:rsid w:val="00F91EA9"/>
    <w:rsid w:val="00FD2C1A"/>
    <w:rsid w:val="00FE0EDD"/>
    <w:rsid w:val="00FF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10CD5"/>
  <w15:docId w15:val="{8721FB1E-911D-418F-9203-2EE0A4C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Heading2"/>
    <w:next w:val="Normal"/>
    <w:link w:val="Heading1Char"/>
    <w:uiPriority w:val="9"/>
    <w:qFormat/>
    <w:rsid w:val="00E46DBE"/>
    <w:pPr>
      <w:spacing w:line="360" w:lineRule="auto"/>
      <w:jc w:val="center"/>
      <w:outlineLvl w:val="0"/>
    </w:pPr>
    <w:rPr>
      <w:b/>
      <w:sz w:val="33"/>
      <w:szCs w:val="33"/>
    </w:rPr>
  </w:style>
  <w:style w:type="paragraph" w:styleId="Heading2">
    <w:name w:val="heading 2"/>
    <w:basedOn w:val="Normal"/>
    <w:next w:val="Normal"/>
    <w:link w:val="Heading2Char"/>
    <w:uiPriority w:val="9"/>
    <w:unhideWhenUsed/>
    <w:qFormat/>
    <w:rsid w:val="00E46DBE"/>
    <w:pPr>
      <w:outlineLvl w:val="1"/>
    </w:pPr>
    <w:rPr>
      <w:rFonts w:ascii="Arial" w:hAnsi="Arial" w:cs="Arial"/>
      <w:sz w:val="32"/>
      <w:szCs w:val="20"/>
      <w:u w:val="single"/>
    </w:rPr>
  </w:style>
  <w:style w:type="paragraph" w:styleId="Heading3">
    <w:name w:val="heading 3"/>
    <w:basedOn w:val="Normal"/>
    <w:next w:val="Normal"/>
    <w:link w:val="Heading3Char"/>
    <w:uiPriority w:val="9"/>
    <w:unhideWhenUsed/>
    <w:qFormat/>
    <w:rsid w:val="00E46DBE"/>
    <w:pPr>
      <w:keepNext/>
      <w:keepLines/>
      <w:spacing w:before="40" w:after="0" w:line="360" w:lineRule="auto"/>
      <w:outlineLvl w:val="2"/>
    </w:pPr>
    <w:rPr>
      <w:rFonts w:asciiTheme="majorHAnsi" w:eastAsiaTheme="majorEastAsia" w:hAnsiTheme="majorHAnsi" w:cstheme="majorBidi"/>
      <w:b/>
      <w:bCs/>
      <w:sz w:val="29"/>
      <w:szCs w:val="2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customStyle="1" w:styleId="Heading2Char">
    <w:name w:val="Heading 2 Char"/>
    <w:basedOn w:val="DefaultParagraphFont"/>
    <w:link w:val="Heading2"/>
    <w:uiPriority w:val="9"/>
    <w:rsid w:val="00E46DBE"/>
    <w:rPr>
      <w:rFonts w:ascii="Arial" w:hAnsi="Arial" w:cs="Arial"/>
      <w:sz w:val="32"/>
      <w:szCs w:val="20"/>
      <w:u w:val="single"/>
    </w:rPr>
  </w:style>
  <w:style w:type="character" w:customStyle="1" w:styleId="Heading1Char">
    <w:name w:val="Heading 1 Char"/>
    <w:basedOn w:val="DefaultParagraphFont"/>
    <w:link w:val="Heading1"/>
    <w:uiPriority w:val="9"/>
    <w:rsid w:val="00E46DBE"/>
    <w:rPr>
      <w:rFonts w:ascii="Arial" w:hAnsi="Arial" w:cs="Arial"/>
      <w:b/>
      <w:sz w:val="33"/>
      <w:szCs w:val="33"/>
      <w:u w:val="single"/>
    </w:rPr>
  </w:style>
  <w:style w:type="character" w:customStyle="1" w:styleId="Heading3Char">
    <w:name w:val="Heading 3 Char"/>
    <w:basedOn w:val="DefaultParagraphFont"/>
    <w:link w:val="Heading3"/>
    <w:uiPriority w:val="9"/>
    <w:rsid w:val="00E46DBE"/>
    <w:rPr>
      <w:rFonts w:asciiTheme="majorHAnsi" w:eastAsiaTheme="majorEastAsia" w:hAnsiTheme="majorHAnsi" w:cstheme="majorBidi"/>
      <w:b/>
      <w:bCs/>
      <w:sz w:val="29"/>
      <w:szCs w:val="29"/>
      <w:u w:val="single"/>
    </w:rPr>
  </w:style>
  <w:style w:type="paragraph" w:styleId="TOCHeading">
    <w:name w:val="TOC Heading"/>
    <w:basedOn w:val="Heading1"/>
    <w:next w:val="Normal"/>
    <w:uiPriority w:val="39"/>
    <w:unhideWhenUsed/>
    <w:qFormat/>
    <w:rsid w:val="00C720DF"/>
    <w:pPr>
      <w:suppressAutoHyphens w:val="0"/>
      <w:autoSpaceDN/>
      <w:spacing w:line="259" w:lineRule="auto"/>
      <w:textAlignment w:val="auto"/>
      <w:outlineLvl w:val="9"/>
    </w:pPr>
    <w:rPr>
      <w:kern w:val="0"/>
      <w:lang w:val="en-US"/>
    </w:rPr>
  </w:style>
  <w:style w:type="paragraph" w:styleId="TOC2">
    <w:name w:val="toc 2"/>
    <w:basedOn w:val="Normal"/>
    <w:next w:val="Normal"/>
    <w:autoRedefine/>
    <w:uiPriority w:val="39"/>
    <w:unhideWhenUsed/>
    <w:rsid w:val="00C720DF"/>
    <w:pPr>
      <w:spacing w:after="100"/>
      <w:ind w:left="220"/>
    </w:pPr>
  </w:style>
  <w:style w:type="paragraph" w:styleId="TOC1">
    <w:name w:val="toc 1"/>
    <w:basedOn w:val="Normal"/>
    <w:next w:val="Normal"/>
    <w:autoRedefine/>
    <w:uiPriority w:val="39"/>
    <w:unhideWhenUsed/>
    <w:rsid w:val="00C720DF"/>
    <w:pPr>
      <w:spacing w:after="100"/>
    </w:pPr>
  </w:style>
  <w:style w:type="paragraph" w:styleId="TOC3">
    <w:name w:val="toc 3"/>
    <w:basedOn w:val="Normal"/>
    <w:next w:val="Normal"/>
    <w:autoRedefine/>
    <w:uiPriority w:val="39"/>
    <w:unhideWhenUsed/>
    <w:rsid w:val="00C720DF"/>
    <w:pPr>
      <w:spacing w:after="100"/>
      <w:ind w:left="440"/>
    </w:pPr>
  </w:style>
  <w:style w:type="character" w:styleId="Hyperlink">
    <w:name w:val="Hyperlink"/>
    <w:basedOn w:val="DefaultParagraphFont"/>
    <w:uiPriority w:val="99"/>
    <w:unhideWhenUsed/>
    <w:rsid w:val="00C720DF"/>
    <w:rPr>
      <w:color w:val="0563C1" w:themeColor="hyperlink"/>
      <w:u w:val="single"/>
    </w:rPr>
  </w:style>
  <w:style w:type="character" w:styleId="UnresolvedMention">
    <w:name w:val="Unresolved Mention"/>
    <w:basedOn w:val="DefaultParagraphFont"/>
    <w:uiPriority w:val="99"/>
    <w:semiHidden/>
    <w:unhideWhenUsed/>
    <w:rsid w:val="00110789"/>
    <w:rPr>
      <w:color w:val="605E5C"/>
      <w:shd w:val="clear" w:color="auto" w:fill="E1DFDD"/>
    </w:rPr>
  </w:style>
  <w:style w:type="table" w:styleId="GridTable5Dark-Accent5">
    <w:name w:val="Grid Table 5 Dark Accent 5"/>
    <w:basedOn w:val="TableNormal"/>
    <w:uiPriority w:val="50"/>
    <w:rsid w:val="00B65F11"/>
    <w:pPr>
      <w:autoSpaceDN/>
      <w:spacing w:after="0" w:line="240" w:lineRule="auto"/>
      <w:textAlignment w:val="auto"/>
    </w:pPr>
    <w:rPr>
      <w:rFonts w:asciiTheme="minorHAnsi" w:eastAsiaTheme="minorHAnsi" w:hAnsiTheme="minorHAnsi" w:cstheme="minorBidi"/>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NoSpacing">
    <w:name w:val="No Spacing"/>
    <w:uiPriority w:val="1"/>
    <w:qFormat/>
    <w:rsid w:val="00B65F11"/>
    <w:pPr>
      <w:suppressAutoHyphens/>
      <w:spacing w:after="0" w:line="240" w:lineRule="auto"/>
    </w:pPr>
  </w:style>
  <w:style w:type="table" w:styleId="TableGrid">
    <w:name w:val="Table Grid"/>
    <w:basedOn w:val="TableNormal"/>
    <w:uiPriority w:val="39"/>
    <w:rsid w:val="00823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82387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3-Accent4">
    <w:name w:val="List Table 3 Accent 4"/>
    <w:basedOn w:val="TableNormal"/>
    <w:uiPriority w:val="48"/>
    <w:rsid w:val="0082387C"/>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5Dark-Accent4">
    <w:name w:val="Grid Table 5 Dark Accent 4"/>
    <w:basedOn w:val="TableNormal"/>
    <w:uiPriority w:val="50"/>
    <w:rsid w:val="008238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watson.com/wp-content/uploads/2025/06/AS-Watson-SR-2024.pdf" TargetMode="External"/><Relationship Id="rId13" Type="http://schemas.openxmlformats.org/officeDocument/2006/relationships/hyperlink" Target="https://doi.org/10.1080/23311975.2024.2364841" TargetMode="External"/><Relationship Id="rId18" Type="http://schemas.openxmlformats.org/officeDocument/2006/relationships/hyperlink" Target="https://doi.org/10.1016/j.jretconser.2023.103592" TargetMode="External"/><Relationship Id="rId26" Type="http://schemas.openxmlformats.org/officeDocument/2006/relationships/hyperlink" Target="https://media.superdrug.com/medias/sys_master/root/h38/hdd/12639883755550/superdrugstoresplc-corporategovernancestatement-2024/superdrugstoresplc-corporategovernancestatement-2024.pdf" TargetMode="External"/><Relationship Id="rId3" Type="http://schemas.openxmlformats.org/officeDocument/2006/relationships/settings" Target="settings.xml"/><Relationship Id="rId21" Type="http://schemas.openxmlformats.org/officeDocument/2006/relationships/hyperlink" Target="https://doi.org/10.1080/23311975.2024.2321877" TargetMode="External"/><Relationship Id="rId7" Type="http://schemas.openxmlformats.org/officeDocument/2006/relationships/image" Target="media/image1.png"/><Relationship Id="rId12" Type="http://schemas.openxmlformats.org/officeDocument/2006/relationships/hyperlink" Target="https://doi.org/10.3390/jtaer20010002" TargetMode="External"/><Relationship Id="rId17" Type="http://schemas.openxmlformats.org/officeDocument/2006/relationships/hyperlink" Target="https://www.gov.uk/government/publications/social-media-endorsements-guidance-for-content-creators" TargetMode="External"/><Relationship Id="rId25" Type="http://schemas.openxmlformats.org/officeDocument/2006/relationships/hyperlink" Target="https://media.superdrug.com/custom-content/documents/press-release/superdrug-financials-2022.pdf" TargetMode="External"/><Relationship Id="rId2" Type="http://schemas.openxmlformats.org/officeDocument/2006/relationships/styles" Target="styles.xml"/><Relationship Id="rId16" Type="http://schemas.openxmlformats.org/officeDocument/2006/relationships/hyperlink" Target="https://doi.org/10.1108/MD-05-2022-0613" TargetMode="External"/><Relationship Id="rId20" Type="http://schemas.openxmlformats.org/officeDocument/2006/relationships/hyperlink" Target="https://doi.org/10.1186/s40691-022-00323-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a.org.uk/static/3f7df70c-ca5c-499c-8aaa56e8b3e9572e/ASA-influencer-ad-disclosure-report.pdf" TargetMode="External"/><Relationship Id="rId24" Type="http://schemas.openxmlformats.org/officeDocument/2006/relationships/hyperlink" Target="https://doi.org/10.1080/23311975.2023.2292487" TargetMode="External"/><Relationship Id="rId5" Type="http://schemas.openxmlformats.org/officeDocument/2006/relationships/footnotes" Target="footnotes.xml"/><Relationship Id="rId15" Type="http://schemas.openxmlformats.org/officeDocument/2006/relationships/hyperlink" Target="https://britishbeautycouncil.com/value-of-beauty-2025-download/" TargetMode="External"/><Relationship Id="rId23" Type="http://schemas.openxmlformats.org/officeDocument/2006/relationships/hyperlink" Target="https://www.ons.gov.uk/businessindustryandtrade/retailindustry/bulletins/retailsales/december2024" TargetMode="External"/><Relationship Id="rId28" Type="http://schemas.openxmlformats.org/officeDocument/2006/relationships/fontTable" Target="fontTable.xml"/><Relationship Id="rId10" Type="http://schemas.openxmlformats.org/officeDocument/2006/relationships/hyperlink" Target="https://doi.org/10.21511/im.20(3).2024.21" TargetMode="External"/><Relationship Id="rId19" Type="http://schemas.openxmlformats.org/officeDocument/2006/relationships/hyperlink" Target="https://doi.org/10.1007/s10257-023-00640-4" TargetMode="External"/><Relationship Id="rId4" Type="http://schemas.openxmlformats.org/officeDocument/2006/relationships/webSettings" Target="webSettings.xml"/><Relationship Id="rId9" Type="http://schemas.openxmlformats.org/officeDocument/2006/relationships/hyperlink" Target="https://doi.org/10.1016/j.jretconser.2023.103663" TargetMode="External"/><Relationship Id="rId14" Type="http://schemas.openxmlformats.org/officeDocument/2006/relationships/hyperlink" Target="https://doi.org/10.1080/09593969.2023.2256491" TargetMode="External"/><Relationship Id="rId22" Type="http://schemas.openxmlformats.org/officeDocument/2006/relationships/hyperlink" Target="https://www.ofcom.org.uk/siteassets/resources/documents/research-and-data/online-research/online-nation/2024/online-nation-2024-report.pdf"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4633</Words>
  <Characters>26412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Hicham Chaibi</cp:lastModifiedBy>
  <cp:revision>2</cp:revision>
  <dcterms:created xsi:type="dcterms:W3CDTF">2026-04-22T08:29:00Z</dcterms:created>
  <dcterms:modified xsi:type="dcterms:W3CDTF">2026-04-22T08:29:00Z</dcterms:modified>
</cp:coreProperties>
</file>