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722" w:rsidRPr="003319AE" w:rsidRDefault="009F4722">
      <w:r w:rsidRPr="003319AE">
        <w:t>Sam Harrison                                                                                                                   11/01/18</w:t>
      </w:r>
      <w:r w:rsidR="00D530C7" w:rsidRPr="003319AE">
        <w:br/>
      </w:r>
    </w:p>
    <w:p w:rsidR="009F4722" w:rsidRPr="003319AE" w:rsidRDefault="00D530C7" w:rsidP="00AA1B0E">
      <w:pPr>
        <w:ind w:firstLine="720"/>
      </w:pPr>
      <w:r w:rsidRPr="003319AE">
        <w:t xml:space="preserve">What does Sartre mean when he contends that humans are condemned to be free? </w:t>
      </w:r>
    </w:p>
    <w:p w:rsidR="003F063D" w:rsidRDefault="000C3DD0" w:rsidP="003F063D">
      <w:pPr>
        <w:spacing w:before="240"/>
      </w:pPr>
      <w:r>
        <w:tab/>
      </w:r>
      <w:r w:rsidR="003F063D">
        <w:t>“</w:t>
      </w:r>
      <w:r w:rsidR="003F063D" w:rsidRPr="003F063D">
        <w:t>We are left alone, without excuse. That is what I mean when I say that man is condemned to be free. Condemned, because he did not create himself, yet is nevertheless at liberty, and from the moment that he is thrown into this world he is responsible for everything he does.</w:t>
      </w:r>
      <w:r w:rsidR="003F063D">
        <w:t xml:space="preserve">” </w:t>
      </w:r>
    </w:p>
    <w:p w:rsidR="003F063D" w:rsidRPr="003319AE" w:rsidRDefault="003F063D" w:rsidP="003F063D">
      <w:pPr>
        <w:spacing w:before="240"/>
        <w:ind w:left="4320" w:firstLine="720"/>
      </w:pPr>
      <w:r>
        <w:t>From Existentialism as a Humanism.</w:t>
      </w:r>
    </w:p>
    <w:p w:rsidR="003F063D" w:rsidRDefault="003F063D"/>
    <w:p w:rsidR="009F4722" w:rsidRPr="003319AE" w:rsidRDefault="000C3DD0" w:rsidP="003F063D">
      <w:pPr>
        <w:ind w:firstLine="720"/>
      </w:pPr>
      <w:r>
        <w:t>In this essay I am going to look at the core concepts that surround Sartre’s meaning of freedom</w:t>
      </w:r>
      <w:r w:rsidR="0014746E">
        <w:t xml:space="preserve"> and why these concepts leave us in a position of being condemned</w:t>
      </w:r>
      <w:r>
        <w:t>. Our freedom begins by understanding that human consciousness is outside of the causal chain</w:t>
      </w:r>
      <w:r w:rsidR="009F043C">
        <w:t>.</w:t>
      </w:r>
      <w:r>
        <w:t xml:space="preserve"> </w:t>
      </w:r>
      <w:r w:rsidR="009F043C">
        <w:t>T</w:t>
      </w:r>
      <w:r>
        <w:t>herefore</w:t>
      </w:r>
      <w:r w:rsidR="009F043C">
        <w:t>,</w:t>
      </w:r>
      <w:r>
        <w:t xml:space="preserve"> understanding how our “passions” and </w:t>
      </w:r>
      <w:r w:rsidR="0014746E">
        <w:t xml:space="preserve">how </w:t>
      </w:r>
      <w:r>
        <w:t xml:space="preserve">our relationship to our “situation” or “facticity” are independent of the causal chain is the key to understanding what Sartre means by freedom. Also, I propose that when Sartre </w:t>
      </w:r>
      <w:r w:rsidR="001852B4">
        <w:t>says,</w:t>
      </w:r>
      <w:r>
        <w:t xml:space="preserve"> </w:t>
      </w:r>
      <w:r w:rsidR="000E05A1">
        <w:t>“</w:t>
      </w:r>
      <w:r>
        <w:t>we are free</w:t>
      </w:r>
      <w:r w:rsidR="000E05A1">
        <w:t>”</w:t>
      </w:r>
      <w:r>
        <w:t xml:space="preserve">, I think that to </w:t>
      </w:r>
      <w:r w:rsidR="001852B4">
        <w:t>say,</w:t>
      </w:r>
      <w:r>
        <w:t xml:space="preserve"> </w:t>
      </w:r>
      <w:r w:rsidR="000E05A1">
        <w:t>“</w:t>
      </w:r>
      <w:r>
        <w:t>we are free to choose</w:t>
      </w:r>
      <w:r w:rsidR="000E05A1">
        <w:t>”</w:t>
      </w:r>
      <w:r>
        <w:t>, is closer to what he means. I will also look at the concepts of anguish</w:t>
      </w:r>
      <w:r w:rsidR="009124A4">
        <w:t>,</w:t>
      </w:r>
      <w:r>
        <w:t xml:space="preserve"> </w:t>
      </w:r>
      <w:r w:rsidR="004C08A2">
        <w:t>abandonment</w:t>
      </w:r>
      <w:r w:rsidR="009124A4">
        <w:t>,</w:t>
      </w:r>
      <w:r w:rsidR="004C08A2">
        <w:t xml:space="preserve"> despair </w:t>
      </w:r>
      <w:r>
        <w:t>and bad faith and how they relate to our capacity of choice, responsibility</w:t>
      </w:r>
      <w:r w:rsidR="00AA1B0E">
        <w:t>, and freedom. A repeated issue that I have encountered in understanding the concepts that Sartre puts forward, is that he stretches the uses of words quite far, but that to use the meanings as he defines them is the only way to have a coherent understanding of the system that he proposes.</w:t>
      </w:r>
    </w:p>
    <w:p w:rsidR="00004711" w:rsidRPr="003319AE" w:rsidRDefault="00AA1B0E">
      <w:r>
        <w:rPr>
          <w:rStyle w:val="ind"/>
        </w:rPr>
        <w:t xml:space="preserve">                    </w:t>
      </w:r>
      <w:r w:rsidR="000E05A1">
        <w:rPr>
          <w:rStyle w:val="ind"/>
        </w:rPr>
        <w:t>“</w:t>
      </w:r>
      <w:r w:rsidR="00945C41" w:rsidRPr="003319AE">
        <w:rPr>
          <w:rStyle w:val="ind"/>
        </w:rPr>
        <w:t>Condemn</w:t>
      </w:r>
      <w:r>
        <w:rPr>
          <w:rStyle w:val="ind"/>
        </w:rPr>
        <w:t>-to</w:t>
      </w:r>
      <w:r w:rsidR="009F4722" w:rsidRPr="003319AE">
        <w:rPr>
          <w:rStyle w:val="ind"/>
        </w:rPr>
        <w:t xml:space="preserve"> force someone to endure or accept something unpleasant.</w:t>
      </w:r>
      <w:r w:rsidR="000E05A1">
        <w:rPr>
          <w:rStyle w:val="ind"/>
        </w:rPr>
        <w:t>”</w:t>
      </w:r>
      <w:r>
        <w:rPr>
          <w:rStyle w:val="FootnoteReference"/>
        </w:rPr>
        <w:footnoteReference w:id="1"/>
      </w:r>
    </w:p>
    <w:p w:rsidR="00041A89" w:rsidRPr="003319AE" w:rsidRDefault="00CB69E8" w:rsidP="00AA1B0E">
      <w:pPr>
        <w:spacing w:before="240"/>
        <w:ind w:firstLine="720"/>
      </w:pPr>
      <w:r w:rsidRPr="003319AE">
        <w:t>To understand what he means by the word freedom I think that you have to understand the interrelated concepts that fit into his system as a whole.</w:t>
      </w:r>
      <w:r w:rsidR="0014746E">
        <w:t xml:space="preserve"> I</w:t>
      </w:r>
      <w:r w:rsidR="00E7590F" w:rsidRPr="003319AE">
        <w:t xml:space="preserve">n trying to understand what Sartre means when he says that </w:t>
      </w:r>
      <w:r w:rsidRPr="003319AE">
        <w:t xml:space="preserve">the </w:t>
      </w:r>
      <w:r w:rsidR="00E7590F" w:rsidRPr="003319AE">
        <w:t>human</w:t>
      </w:r>
      <w:r w:rsidRPr="003319AE">
        <w:t xml:space="preserve"> being</w:t>
      </w:r>
      <w:r w:rsidR="00E7590F" w:rsidRPr="003319AE">
        <w:t xml:space="preserve"> is free</w:t>
      </w:r>
      <w:r w:rsidR="00F53FE5" w:rsidRPr="003319AE">
        <w:t>, the</w:t>
      </w:r>
      <w:r w:rsidR="00E7590F" w:rsidRPr="003319AE">
        <w:t xml:space="preserve"> first thing to understand is that he thinks that consciousness is outside of the causal chain</w:t>
      </w:r>
      <w:r w:rsidR="009F043C">
        <w:t>.</w:t>
      </w:r>
      <w:r w:rsidR="00F53FE5" w:rsidRPr="003319AE">
        <w:t xml:space="preserve"> </w:t>
      </w:r>
      <w:r w:rsidR="009F043C">
        <w:t>T</w:t>
      </w:r>
      <w:r w:rsidR="00F53FE5" w:rsidRPr="003319AE">
        <w:t>his distinguishes man from the world around him and it is the capacity of choice that is at the essence of man that makes him free</w:t>
      </w:r>
      <w:r w:rsidR="009F043C">
        <w:t>:</w:t>
      </w:r>
      <w:r w:rsidR="00F53FE5" w:rsidRPr="003319AE">
        <w:t xml:space="preserve"> “what I call freedom is thus impossible to distinguish from the being of human reality. Man is not first of being and </w:t>
      </w:r>
      <w:r w:rsidRPr="003319AE">
        <w:t>free</w:t>
      </w:r>
      <w:r w:rsidR="00F53FE5" w:rsidRPr="003319AE">
        <w:t xml:space="preserve"> afterw</w:t>
      </w:r>
      <w:r w:rsidRPr="003319AE">
        <w:t>a</w:t>
      </w:r>
      <w:r w:rsidR="00F53FE5" w:rsidRPr="003319AE">
        <w:t>rds; there is no difference between the being of man and his being free”</w:t>
      </w:r>
      <w:r w:rsidR="000E745E">
        <w:rPr>
          <w:rStyle w:val="FootnoteReference"/>
        </w:rPr>
        <w:footnoteReference w:id="2"/>
      </w:r>
      <w:r w:rsidR="00F53FE5" w:rsidRPr="003319AE">
        <w:t xml:space="preserve">. Sartre uses the word freedom in a way that is closer to the word choice, or having the ability to choose. </w:t>
      </w:r>
      <w:r w:rsidRPr="003319AE">
        <w:t>This ability to choose, or our freedom</w:t>
      </w:r>
      <w:r w:rsidR="000E745E">
        <w:t>,</w:t>
      </w:r>
      <w:r w:rsidRPr="003319AE">
        <w:t xml:space="preserve"> is possessed by all men</w:t>
      </w:r>
      <w:r w:rsidR="009F043C">
        <w:t>.</w:t>
      </w:r>
      <w:r w:rsidRPr="003319AE">
        <w:t xml:space="preserve"> </w:t>
      </w:r>
      <w:r w:rsidR="009F043C">
        <w:t>I</w:t>
      </w:r>
      <w:r w:rsidRPr="003319AE">
        <w:t>t is one and indivisible, but it is not a property that we can attain</w:t>
      </w:r>
      <w:r w:rsidR="00FC240F" w:rsidRPr="003319AE">
        <w:t xml:space="preserve"> or own. Our freedom is that nothing determines our actions. This is how there is a nothing at the heart of our existence</w:t>
      </w:r>
      <w:r w:rsidR="00FC240F" w:rsidRPr="003319AE">
        <w:rPr>
          <w:rStyle w:val="FootnoteReference"/>
        </w:rPr>
        <w:footnoteReference w:id="3"/>
      </w:r>
      <w:r w:rsidRPr="003319AE">
        <w:t>. It is something</w:t>
      </w:r>
      <w:r w:rsidR="00FC240F" w:rsidRPr="003319AE">
        <w:t xml:space="preserve"> that is inescapable from us. Although we do</w:t>
      </w:r>
      <w:r w:rsidR="000E745E">
        <w:t xml:space="preserve"> sometimes</w:t>
      </w:r>
      <w:r w:rsidR="00FC240F" w:rsidRPr="003319AE">
        <w:t xml:space="preserve"> deny that we are free</w:t>
      </w:r>
      <w:r w:rsidR="007757FF">
        <w:t>,</w:t>
      </w:r>
      <w:r w:rsidR="00FC240F" w:rsidRPr="003319AE">
        <w:t xml:space="preserve"> actually we always are.</w:t>
      </w:r>
    </w:p>
    <w:p w:rsidR="00041A89" w:rsidRPr="003319AE" w:rsidRDefault="00A24929" w:rsidP="00B215B7">
      <w:pPr>
        <w:spacing w:before="240"/>
      </w:pPr>
      <w:r w:rsidRPr="003319AE">
        <w:tab/>
        <w:t xml:space="preserve">Sartre looks at the two areas </w:t>
      </w:r>
      <w:r w:rsidR="00B215B7" w:rsidRPr="003319AE">
        <w:t>that he considers to be the traditional obstacles to understanding that we are free.</w:t>
      </w:r>
      <w:r w:rsidRPr="003319AE">
        <w:t xml:space="preserve"> Firstly, there are the passions</w:t>
      </w:r>
      <w:r w:rsidR="00795E5C">
        <w:t>;</w:t>
      </w:r>
      <w:r w:rsidRPr="003319AE">
        <w:t xml:space="preserve"> which </w:t>
      </w:r>
      <w:r w:rsidR="00E94BD7" w:rsidRPr="003319AE">
        <w:t xml:space="preserve">is </w:t>
      </w:r>
      <w:r w:rsidRPr="003319AE">
        <w:t>our internal world. And then there is our situation</w:t>
      </w:r>
      <w:r w:rsidR="00795E5C">
        <w:t>;</w:t>
      </w:r>
      <w:bookmarkStart w:id="0" w:name="_GoBack"/>
      <w:bookmarkEnd w:id="0"/>
      <w:r w:rsidRPr="003319AE">
        <w:t xml:space="preserve"> the external world.</w:t>
      </w:r>
      <w:r w:rsidR="00B215B7" w:rsidRPr="003319AE">
        <w:t xml:space="preserve"> To many people our emotional responses are not something that we consider </w:t>
      </w:r>
      <w:r w:rsidR="005A2F0B" w:rsidRPr="003319AE">
        <w:t>having</w:t>
      </w:r>
      <w:r w:rsidR="00B215B7" w:rsidRPr="003319AE">
        <w:t xml:space="preserve"> control over</w:t>
      </w:r>
      <w:r w:rsidR="001924AC">
        <w:t>.</w:t>
      </w:r>
      <w:r w:rsidR="00B215B7" w:rsidRPr="003319AE">
        <w:t xml:space="preserve"> </w:t>
      </w:r>
      <w:r w:rsidR="001924AC">
        <w:t>M</w:t>
      </w:r>
      <w:r w:rsidR="00B215B7" w:rsidRPr="003319AE">
        <w:t xml:space="preserve">any people feel that our emotional responses are given to us, either by genetics, or upbringing, </w:t>
      </w:r>
      <w:r w:rsidR="001924AC">
        <w:t>and</w:t>
      </w:r>
      <w:r w:rsidR="00B215B7" w:rsidRPr="003319AE">
        <w:t xml:space="preserve"> that we are in control of our feelings.</w:t>
      </w:r>
      <w:r w:rsidR="00E94BD7" w:rsidRPr="003319AE">
        <w:t xml:space="preserve"> Sartre tries to make the case that this is an incorrect way of looking at our emotions. He does this by broadening, clarifying, and redefining how our emotions, intentions, and actions work. He gives the </w:t>
      </w:r>
      <w:r w:rsidR="00E94BD7" w:rsidRPr="003319AE">
        <w:lastRenderedPageBreak/>
        <w:t>example of anger, rather than saying that because somebody has wronged me I am now angry (a response), we should understand that our anger is a way of dealing with the wrong behaviour of somebody towards me, it is a way of engaging with the world</w:t>
      </w:r>
      <w:r w:rsidR="00B1050B" w:rsidRPr="003319AE">
        <w:t xml:space="preserve">. </w:t>
      </w:r>
      <w:r w:rsidR="00941516" w:rsidRPr="003319AE">
        <w:t xml:space="preserve">It is our decision to see that this behaviour is wrong, it is our aims and intentions for ourselves which shape the feelings that we have towards the behaviours of others. Our emotional responses do not stand in isolation from our aims, intentions, and actions. They are bound together in an inexplicable unity, and at the heart of that unity there is the capacity of choice. </w:t>
      </w:r>
      <w:r w:rsidR="004D1C7C" w:rsidRPr="003319AE">
        <w:t>“Ultimately, motives, intentions and actions are not free separate things, but form an indissoluble unity.”</w:t>
      </w:r>
      <w:r w:rsidR="004D1C7C" w:rsidRPr="003319AE">
        <w:rPr>
          <w:rStyle w:val="FootnoteReference"/>
        </w:rPr>
        <w:footnoteReference w:id="4"/>
      </w:r>
      <w:r w:rsidR="004D1C7C" w:rsidRPr="003319AE">
        <w:t xml:space="preserve"> </w:t>
      </w:r>
      <w:r w:rsidR="00941516" w:rsidRPr="003319AE">
        <w:t xml:space="preserve">We ultimately choose the direction of our lives. </w:t>
      </w:r>
      <w:r w:rsidR="00B1050B" w:rsidRPr="003319AE">
        <w:t>Now</w:t>
      </w:r>
      <w:r w:rsidR="001924AC">
        <w:t>,</w:t>
      </w:r>
      <w:r w:rsidR="00B1050B" w:rsidRPr="003319AE">
        <w:t xml:space="preserve"> in order to explain how this way of engaging with the world </w:t>
      </w:r>
      <w:r w:rsidR="004D1C7C" w:rsidRPr="003319AE">
        <w:t>as</w:t>
      </w:r>
      <w:r w:rsidR="00B1050B" w:rsidRPr="003319AE">
        <w:t xml:space="preserve"> a choice</w:t>
      </w:r>
      <w:r w:rsidR="004D1C7C" w:rsidRPr="003319AE">
        <w:t xml:space="preserve"> begins</w:t>
      </w:r>
      <w:r w:rsidR="00B1050B" w:rsidRPr="003319AE">
        <w:t>, he introduce</w:t>
      </w:r>
      <w:r w:rsidR="00941516" w:rsidRPr="003319AE">
        <w:t>s</w:t>
      </w:r>
      <w:r w:rsidR="00B1050B" w:rsidRPr="003319AE">
        <w:t xml:space="preserve"> </w:t>
      </w:r>
      <w:r w:rsidR="00941516" w:rsidRPr="003319AE">
        <w:t xml:space="preserve">the </w:t>
      </w:r>
      <w:r w:rsidR="00B1050B" w:rsidRPr="003319AE">
        <w:t>concept</w:t>
      </w:r>
      <w:r w:rsidR="00941516" w:rsidRPr="003319AE">
        <w:t xml:space="preserve"> of the “original choice” or “fundamental project”</w:t>
      </w:r>
      <w:r w:rsidR="000E745E">
        <w:t>.</w:t>
      </w:r>
      <w:r w:rsidR="00941516" w:rsidRPr="003319AE">
        <w:t xml:space="preserve"> </w:t>
      </w:r>
      <w:r w:rsidR="000E745E">
        <w:t>T</w:t>
      </w:r>
      <w:r w:rsidR="00941516" w:rsidRPr="003319AE">
        <w:t>his is a point in somebody’s life, usually in childhood or as someone is becoming an adult,</w:t>
      </w:r>
      <w:r w:rsidR="004D1C7C" w:rsidRPr="003319AE">
        <w:t xml:space="preserve"> where one chooses what sort of person they are going to be. This is a defining moment where the direction of one’s life is chosen</w:t>
      </w:r>
      <w:r w:rsidR="001924AC">
        <w:t xml:space="preserve"> - w</w:t>
      </w:r>
      <w:r w:rsidR="004D1C7C" w:rsidRPr="003319AE">
        <w:t>hen we choose</w:t>
      </w:r>
      <w:r w:rsidR="004F39E6" w:rsidRPr="003319AE">
        <w:t xml:space="preserve"> </w:t>
      </w:r>
      <w:r w:rsidR="000E745E">
        <w:t>how we are going to respond</w:t>
      </w:r>
      <w:r w:rsidR="004F39E6" w:rsidRPr="003319AE">
        <w:t xml:space="preserve"> to the world. This point is demonstrated in some of Sartre’s novels where some of the characters as they are becoming of age make decisions about who they will be as their life continues. For example, when somebody chooses to become a devout Catholic, or a Marxist, at this point somebody is making the </w:t>
      </w:r>
      <w:r w:rsidR="00650FD9" w:rsidRPr="003319AE">
        <w:t>“</w:t>
      </w:r>
      <w:r w:rsidR="004F39E6" w:rsidRPr="003319AE">
        <w:t>fundamental act</w:t>
      </w:r>
      <w:r w:rsidR="00650FD9" w:rsidRPr="003319AE">
        <w:t>”</w:t>
      </w:r>
      <w:r w:rsidR="004F39E6" w:rsidRPr="003319AE">
        <w:t xml:space="preserve"> of freedom. From this point on we are free to maintain our fundamental project and we are </w:t>
      </w:r>
      <w:r w:rsidR="005A2F0B" w:rsidRPr="003319AE">
        <w:t xml:space="preserve">also </w:t>
      </w:r>
      <w:r w:rsidR="004F39E6" w:rsidRPr="003319AE">
        <w:t>free to change our fundamental project</w:t>
      </w:r>
      <w:r w:rsidR="00650FD9" w:rsidRPr="003319AE">
        <w:t xml:space="preserve"> (undergo a radical conversion)</w:t>
      </w:r>
      <w:r w:rsidR="004F39E6" w:rsidRPr="003319AE">
        <w:t>, but we are free all the time.</w:t>
      </w:r>
      <w:r w:rsidR="00650FD9" w:rsidRPr="003319AE">
        <w:t xml:space="preserve"> </w:t>
      </w:r>
    </w:p>
    <w:p w:rsidR="00650FD9" w:rsidRPr="003319AE" w:rsidRDefault="00650FD9" w:rsidP="00B215B7">
      <w:pPr>
        <w:spacing w:before="240"/>
      </w:pPr>
      <w:r w:rsidRPr="003319AE">
        <w:tab/>
        <w:t>This “fundamental act of freedom” does have some problems in its explanation. Because our actions are responses to the world that we choose based upon our aims and intentions, how do we choose “or act” before we have made our “original choice”</w:t>
      </w:r>
      <w:r w:rsidR="001924AC">
        <w:t>?</w:t>
      </w:r>
      <w:r w:rsidRPr="003319AE">
        <w:t xml:space="preserve"> Sartre recognises this difficulty in explaining how we can </w:t>
      </w:r>
      <w:r w:rsidR="000E745E">
        <w:t>choose</w:t>
      </w:r>
      <w:r w:rsidRPr="003319AE">
        <w:t xml:space="preserve"> an original choice before we have made an original choice, so he states that the first original choice does not have reasons that support it.</w:t>
      </w:r>
      <w:r w:rsidR="008221C9" w:rsidRPr="003319AE">
        <w:t xml:space="preserve"> This is an obvious stretch of the word choice since a choice that is made without reason is not what most people consider a rational choice. It is this point that Sartre considers to be a source of anguish. Anguish is that we </w:t>
      </w:r>
      <w:r w:rsidR="00A728BF" w:rsidRPr="003319AE">
        <w:t>must</w:t>
      </w:r>
      <w:r w:rsidR="008221C9" w:rsidRPr="003319AE">
        <w:t xml:space="preserve"> take responsibility for our situation in the world, but that we did not make a rational choice of what that situation is.</w:t>
      </w:r>
    </w:p>
    <w:p w:rsidR="008221C9" w:rsidRPr="003319AE" w:rsidRDefault="008221C9" w:rsidP="00B215B7">
      <w:pPr>
        <w:spacing w:before="240"/>
      </w:pPr>
      <w:r w:rsidRPr="003319AE">
        <w:tab/>
        <w:t>Our situation, or the external world, is the other area that most people do not consider that they have freedom in.</w:t>
      </w:r>
      <w:r w:rsidR="00C8314C" w:rsidRPr="003319AE">
        <w:t xml:space="preserve"> Sartre stated, “that the slave is as free in his chains as his master”</w:t>
      </w:r>
      <w:r w:rsidR="00C8314C" w:rsidRPr="003319AE">
        <w:rPr>
          <w:rStyle w:val="FootnoteReference"/>
        </w:rPr>
        <w:footnoteReference w:id="5"/>
      </w:r>
      <w:r w:rsidR="00C8314C" w:rsidRPr="003319AE">
        <w:t xml:space="preserve"> the freedom that he is talking about here is obviously not the freedom of his </w:t>
      </w:r>
      <w:r w:rsidR="00361D9F" w:rsidRPr="003319AE">
        <w:t>situation,</w:t>
      </w:r>
      <w:r w:rsidR="00C8314C" w:rsidRPr="003319AE">
        <w:t xml:space="preserve"> but it is the freedom to choose. The slave</w:t>
      </w:r>
      <w:r w:rsidR="001924AC">
        <w:t xml:space="preserve"> i</w:t>
      </w:r>
      <w:r w:rsidR="00C8314C" w:rsidRPr="003319AE">
        <w:t xml:space="preserve">s free to choose to break his chains, he is free to choose to escape, he is free to choose to keep his head down and get on with his work. It is not that he will get whatever it is that he desires but </w:t>
      </w:r>
      <w:r w:rsidR="00F65DE8" w:rsidRPr="003319AE">
        <w:t xml:space="preserve">that </w:t>
      </w:r>
      <w:r w:rsidR="00C8314C" w:rsidRPr="003319AE">
        <w:t>he can choose what he desires. Sartre uses the term facticity, there are facts in the external world which surround us that we cannot overcome, but this fact</w:t>
      </w:r>
      <w:r w:rsidR="00FD3947" w:rsidRPr="003319AE">
        <w:t>icity is not the boundary of freedom but is the point from where our choices begin. Understanding the situation that we are living in is to understand the arena of choice, freedom is to choose how we are going to be in the world. Freedom is not a question of comparative liberty in our situations but of how we choose ourselves</w:t>
      </w:r>
      <w:r w:rsidR="00F65DE8" w:rsidRPr="003319AE">
        <w:t xml:space="preserve"> as we move through our facticity</w:t>
      </w:r>
      <w:r w:rsidR="00FD3947" w:rsidRPr="003319AE">
        <w:t>.</w:t>
      </w:r>
    </w:p>
    <w:p w:rsidR="00361D9F" w:rsidRPr="003319AE" w:rsidRDefault="00361D9F" w:rsidP="00B215B7">
      <w:pPr>
        <w:spacing w:before="240"/>
      </w:pPr>
      <w:r w:rsidRPr="003319AE">
        <w:tab/>
        <w:t xml:space="preserve">By using the word </w:t>
      </w:r>
      <w:r w:rsidR="001924AC">
        <w:t>“</w:t>
      </w:r>
      <w:r w:rsidRPr="003319AE">
        <w:t>condemn</w:t>
      </w:r>
      <w:r w:rsidR="001924AC">
        <w:t>”</w:t>
      </w:r>
      <w:r w:rsidRPr="003319AE">
        <w:t xml:space="preserve"> to define our relationship to our freedo</w:t>
      </w:r>
      <w:r w:rsidR="0088607E">
        <w:t>m,</w:t>
      </w:r>
      <w:r w:rsidRPr="003319AE">
        <w:t xml:space="preserve"> Sartre highlights that our freedom is </w:t>
      </w:r>
      <w:r w:rsidR="0088607E">
        <w:t xml:space="preserve">both </w:t>
      </w:r>
      <w:r w:rsidRPr="003319AE">
        <w:t>inescapable from us, like a sentence that we have been given</w:t>
      </w:r>
      <w:r w:rsidR="0088607E">
        <w:t>,</w:t>
      </w:r>
      <w:r w:rsidRPr="003319AE">
        <w:t xml:space="preserve"> </w:t>
      </w:r>
      <w:r w:rsidR="0088607E">
        <w:t>a</w:t>
      </w:r>
      <w:r w:rsidRPr="003319AE">
        <w:t>nd also that our freedom is something that can be unpleasant to us. This unpleasantness takes the form in what Sartre calls anguish</w:t>
      </w:r>
      <w:r w:rsidR="008867D3">
        <w:t xml:space="preserve">, </w:t>
      </w:r>
      <w:r w:rsidR="00B43A2B">
        <w:t xml:space="preserve">which comes from our </w:t>
      </w:r>
      <w:r w:rsidR="008867D3">
        <w:t>abandonment</w:t>
      </w:r>
      <w:r w:rsidR="0088607E">
        <w:t>,</w:t>
      </w:r>
      <w:r w:rsidR="008867D3">
        <w:t xml:space="preserve"> and </w:t>
      </w:r>
      <w:r w:rsidR="00B43A2B">
        <w:t xml:space="preserve">freedom and </w:t>
      </w:r>
      <w:r w:rsidR="008867D3">
        <w:t>despair</w:t>
      </w:r>
      <w:r w:rsidR="00B43A2B">
        <w:t>, which come from our apprehension of our facticity</w:t>
      </w:r>
      <w:r w:rsidRPr="003319AE">
        <w:t>.</w:t>
      </w:r>
      <w:r w:rsidR="00DE4921" w:rsidRPr="003319AE">
        <w:t xml:space="preserve"> Anguish and freedom seem to be connected in multiple </w:t>
      </w:r>
      <w:r w:rsidR="00DE4921" w:rsidRPr="003319AE">
        <w:lastRenderedPageBreak/>
        <w:t xml:space="preserve">ways. </w:t>
      </w:r>
      <w:r w:rsidR="00DA648C">
        <w:t xml:space="preserve">It </w:t>
      </w:r>
      <w:r w:rsidR="00B43A2B">
        <w:t xml:space="preserve">was </w:t>
      </w:r>
      <w:r w:rsidR="00DA648C">
        <w:t xml:space="preserve">while Sartre was explaining about abandonment that he used the term “condemn”. It is the freedom that we have, because there is no God, that we can feel the anguish of abandonment. </w:t>
      </w:r>
      <w:r w:rsidR="007C554C">
        <w:t>As Dostoevsky once wrote “If God was dead, then everything would be permitted.”</w:t>
      </w:r>
      <w:r w:rsidR="00144F14">
        <w:rPr>
          <w:rStyle w:val="FootnoteReference"/>
        </w:rPr>
        <w:footnoteReference w:id="6"/>
      </w:r>
      <w:r w:rsidR="007C554C">
        <w:t xml:space="preserve"> And for Sartre there is definitely no God, </w:t>
      </w:r>
      <w:r w:rsidR="00B43A2B">
        <w:t xml:space="preserve">and </w:t>
      </w:r>
      <w:r w:rsidR="007C554C">
        <w:t xml:space="preserve">as such, the openness of possibility is a source of anguish. The absence of a God or </w:t>
      </w:r>
      <w:r w:rsidR="00B43A2B">
        <w:t xml:space="preserve">an </w:t>
      </w:r>
      <w:r w:rsidR="007C554C">
        <w:t xml:space="preserve">ultimate source of instruction </w:t>
      </w:r>
      <w:r w:rsidR="00B43A2B">
        <w:t>and</w:t>
      </w:r>
      <w:r w:rsidR="007C554C">
        <w:t xml:space="preserve"> direction is another source of anguish </w:t>
      </w:r>
      <w:r w:rsidR="00152F28">
        <w:t>that</w:t>
      </w:r>
      <w:r w:rsidR="007C554C">
        <w:t xml:space="preserve"> is a consequence of our abandoned situation</w:t>
      </w:r>
      <w:r w:rsidR="00B43A2B">
        <w:t>.</w:t>
      </w:r>
      <w:r w:rsidR="007C554C">
        <w:t xml:space="preserve"> </w:t>
      </w:r>
      <w:r w:rsidR="00B43A2B">
        <w:t>W</w:t>
      </w:r>
      <w:r w:rsidR="007C554C">
        <w:t xml:space="preserve">e have no one to turn to tell us what to do. </w:t>
      </w:r>
      <w:r w:rsidR="00DE4921" w:rsidRPr="003319AE">
        <w:t xml:space="preserve">There is anguish in our contemplation and awareness of our capacity of choice, or our freedom. Knowing that we will always be responsible for our choices, and always be in the position of making choices, is a source of anguish. That there is no ultimate guidance to our choices, that there is an absurdity to our choices, and that there are no ultimate reasons outside of the choices by which they can be justified, </w:t>
      </w:r>
      <w:r w:rsidR="00B43A2B">
        <w:t>these are all</w:t>
      </w:r>
      <w:r w:rsidR="00DE4921" w:rsidRPr="003319AE">
        <w:t xml:space="preserve"> source</w:t>
      </w:r>
      <w:r w:rsidR="00B43A2B">
        <w:t>s</w:t>
      </w:r>
      <w:r w:rsidR="00DE4921" w:rsidRPr="003319AE">
        <w:t xml:space="preserve"> of anguish. Th</w:t>
      </w:r>
      <w:r w:rsidR="00DA648C">
        <w:t>at</w:t>
      </w:r>
      <w:r w:rsidR="00DE4921" w:rsidRPr="003319AE">
        <w:t xml:space="preserve"> </w:t>
      </w:r>
      <w:r w:rsidR="00B43A2B">
        <w:t xml:space="preserve">a </w:t>
      </w:r>
      <w:r w:rsidR="00DE4921" w:rsidRPr="003319AE">
        <w:t>choice includes a commitment to that choice</w:t>
      </w:r>
      <w:r w:rsidR="007F4E93" w:rsidRPr="003319AE">
        <w:t xml:space="preserve">, and a potential sacrifice to that choice is </w:t>
      </w:r>
      <w:r w:rsidR="00B43A2B">
        <w:t xml:space="preserve">also </w:t>
      </w:r>
      <w:r w:rsidR="007F4E93" w:rsidRPr="003319AE">
        <w:t xml:space="preserve">a source of anguish. </w:t>
      </w:r>
      <w:r w:rsidR="0088607E">
        <w:t>I</w:t>
      </w:r>
      <w:r w:rsidR="007F4E93" w:rsidRPr="003319AE">
        <w:t xml:space="preserve">n describing the anguish of responsibility that comes with choice, </w:t>
      </w:r>
      <w:r w:rsidR="0088607E">
        <w:t xml:space="preserve">Sartre </w:t>
      </w:r>
      <w:r w:rsidR="007F4E93" w:rsidRPr="003319AE">
        <w:t xml:space="preserve">gives the example of an officer in the Army who knows that when he gives an order to begin an attack some of his men may die and be wounded. The officer knows that </w:t>
      </w:r>
      <w:r w:rsidR="0088607E">
        <w:t xml:space="preserve">it </w:t>
      </w:r>
      <w:r w:rsidR="007F4E93" w:rsidRPr="003319AE">
        <w:t>is he who is making the decision and that it is he who is responsible for the consequences. Knowing his situation is a source of inescapable anguish.</w:t>
      </w:r>
    </w:p>
    <w:p w:rsidR="00DA6592" w:rsidRDefault="007F4E93" w:rsidP="00F22959">
      <w:pPr>
        <w:spacing w:before="240"/>
      </w:pPr>
      <w:r w:rsidRPr="003319AE">
        <w:tab/>
      </w:r>
      <w:r w:rsidR="000E05A1">
        <w:t>Sartre uses the term d</w:t>
      </w:r>
      <w:r w:rsidR="00DA6592">
        <w:t xml:space="preserve">espair </w:t>
      </w:r>
      <w:r w:rsidR="000E05A1">
        <w:t xml:space="preserve">as an attitude as well as a feeling. Our world </w:t>
      </w:r>
      <w:r w:rsidR="00DA6592">
        <w:t>is bound by</w:t>
      </w:r>
      <w:r w:rsidR="00B1626F">
        <w:t xml:space="preserve"> our</w:t>
      </w:r>
      <w:r w:rsidR="00DA6592">
        <w:t xml:space="preserve"> facticity</w:t>
      </w:r>
      <w:r w:rsidR="0088607E">
        <w:t xml:space="preserve"> and</w:t>
      </w:r>
      <w:r w:rsidR="00DA6592">
        <w:t xml:space="preserve"> </w:t>
      </w:r>
      <w:r w:rsidR="000E05A1">
        <w:t xml:space="preserve">there is only a </w:t>
      </w:r>
      <w:r w:rsidR="00DA6592">
        <w:t xml:space="preserve">probability of </w:t>
      </w:r>
      <w:r w:rsidR="006A63F8">
        <w:t>plans turning out how we want them to</w:t>
      </w:r>
      <w:r w:rsidR="00DA6592">
        <w:t>.</w:t>
      </w:r>
      <w:r w:rsidR="000E05A1">
        <w:t xml:space="preserve"> </w:t>
      </w:r>
      <w:r w:rsidR="001852B4">
        <w:t>Therefore,</w:t>
      </w:r>
      <w:r w:rsidR="006A63F8">
        <w:t xml:space="preserve"> Sartre recommends </w:t>
      </w:r>
      <w:r w:rsidR="00701BD4">
        <w:t xml:space="preserve">that we have </w:t>
      </w:r>
      <w:r w:rsidR="006A63F8">
        <w:t>an acceptance of these probabilities</w:t>
      </w:r>
      <w:r w:rsidR="00701BD4">
        <w:t xml:space="preserve"> and that we live within the </w:t>
      </w:r>
      <w:r w:rsidR="001852B4">
        <w:t>feasibility</w:t>
      </w:r>
      <w:r w:rsidR="00701BD4">
        <w:t xml:space="preserve"> of them as a way of dealing with despair.</w:t>
      </w:r>
      <w:r w:rsidR="006A63F8">
        <w:t xml:space="preserve"> </w:t>
      </w:r>
    </w:p>
    <w:p w:rsidR="00041A89" w:rsidRDefault="00B1626F" w:rsidP="003F063D">
      <w:pPr>
        <w:spacing w:before="240"/>
        <w:ind w:firstLine="720"/>
      </w:pPr>
      <w:r>
        <w:t xml:space="preserve">After describing the potential sources of anguish, </w:t>
      </w:r>
      <w:r w:rsidR="00F22959" w:rsidRPr="003319AE">
        <w:t xml:space="preserve">Sartre asserts, </w:t>
      </w:r>
      <w:r w:rsidR="003F063D">
        <w:t>“</w:t>
      </w:r>
      <w:r w:rsidR="00F22959" w:rsidRPr="003319AE">
        <w:t>it is not surprising that for the greatest part of the time we escape from anguish into bad faith”</w:t>
      </w:r>
      <w:r w:rsidR="00F22959" w:rsidRPr="003319AE">
        <w:rPr>
          <w:rStyle w:val="FootnoteReference"/>
        </w:rPr>
        <w:footnoteReference w:id="7"/>
      </w:r>
      <w:r w:rsidR="0088607E">
        <w:t>.</w:t>
      </w:r>
      <w:r w:rsidR="00F22959" w:rsidRPr="003319AE">
        <w:t xml:space="preserve"> </w:t>
      </w:r>
      <w:r w:rsidR="0088607E">
        <w:t>T</w:t>
      </w:r>
      <w:r w:rsidR="00F22959" w:rsidRPr="003319AE">
        <w:t>o escape the inescapable anguish of responsibility we employ the defence mechanism that is “bad faith” (mauvaise foi), a “</w:t>
      </w:r>
      <w:r w:rsidR="00F22959" w:rsidRPr="003319AE">
        <w:rPr>
          <w:i/>
        </w:rPr>
        <w:t>lie to the soul”</w:t>
      </w:r>
      <w:r w:rsidR="00F22959" w:rsidRPr="003319AE">
        <w:rPr>
          <w:rStyle w:val="FootnoteReference"/>
          <w:i/>
        </w:rPr>
        <w:footnoteReference w:id="8"/>
      </w:r>
      <w:r w:rsidR="00F22959" w:rsidRPr="003319AE">
        <w:rPr>
          <w:i/>
        </w:rPr>
        <w:t xml:space="preserve">. </w:t>
      </w:r>
      <w:r w:rsidR="00F22959" w:rsidRPr="003319AE">
        <w:t>The translation from French to</w:t>
      </w:r>
      <w:r w:rsidR="00F22959" w:rsidRPr="003319AE">
        <w:rPr>
          <w:i/>
        </w:rPr>
        <w:t xml:space="preserve"> “a lie to the soul” </w:t>
      </w:r>
      <w:r w:rsidR="00F22959" w:rsidRPr="003319AE">
        <w:t xml:space="preserve">is important because it highlights the fact </w:t>
      </w:r>
      <w:r>
        <w:t xml:space="preserve">that bad faith is a choice, </w:t>
      </w:r>
      <w:r w:rsidR="0088607E">
        <w:t xml:space="preserve">and </w:t>
      </w:r>
      <w:r w:rsidR="00F22959" w:rsidRPr="003319AE">
        <w:t>that for there to be a lie there has to be knowledge of the truth</w:t>
      </w:r>
      <w:r w:rsidR="00C40F94">
        <w:t xml:space="preserve"> - </w:t>
      </w:r>
      <w:r w:rsidR="00F22959" w:rsidRPr="003319AE">
        <w:t xml:space="preserve">it cannot be an ignorant mistake. For Sartre to maintain his position of fundamental </w:t>
      </w:r>
      <w:r w:rsidR="007757FF" w:rsidRPr="003319AE">
        <w:t>choice</w:t>
      </w:r>
      <w:r w:rsidR="007757FF">
        <w:t>,</w:t>
      </w:r>
      <w:r w:rsidR="007757FF" w:rsidRPr="003319AE">
        <w:t xml:space="preserve"> bad</w:t>
      </w:r>
      <w:r w:rsidR="00F22959" w:rsidRPr="003319AE">
        <w:t xml:space="preserve"> faith has to be a choice to reject our capacity for choice. To live in bad faith is still a choice.</w:t>
      </w:r>
      <w:r w:rsidR="00AB3F36" w:rsidRPr="003319AE">
        <w:t xml:space="preserve"> But what is the nature of this choice? It seems that once again Sartre is stretching the word “choice” </w:t>
      </w:r>
      <w:r w:rsidR="001147C3" w:rsidRPr="003319AE">
        <w:t>to its very limits, but in order to see how his doctrines are coherent to him, we have to employ his meanings of the word. When most people consider what a choice is, they consider some element of rationality to be essential</w:t>
      </w:r>
      <w:r w:rsidR="00C40F94">
        <w:t>.</w:t>
      </w:r>
      <w:r w:rsidR="001147C3" w:rsidRPr="003319AE">
        <w:t xml:space="preserve"> </w:t>
      </w:r>
      <w:r w:rsidR="00C40F94">
        <w:t>I</w:t>
      </w:r>
      <w:r w:rsidR="001147C3" w:rsidRPr="003319AE">
        <w:t>f there is no rationality involved in coming to a decision</w:t>
      </w:r>
      <w:r w:rsidR="00C40F94">
        <w:t>,</w:t>
      </w:r>
      <w:r w:rsidR="001147C3" w:rsidRPr="003319AE">
        <w:t xml:space="preserve"> we don’t consider it a meaningful choice. But, for Sartre, t</w:t>
      </w:r>
      <w:r w:rsidR="00AB3F36" w:rsidRPr="003319AE">
        <w:t>o flick a coin is still a method of choice.</w:t>
      </w:r>
      <w:r w:rsidR="00721215" w:rsidRPr="003319AE">
        <w:t xml:space="preserve"> To go for an aimless walk, sometimes turning left and sometimes turning right may appear to be devoid of the choices to either turn left or right, but the choice was made to take an aimless walk. Sartre does not agree with Freud’s proposition that there is an unconscious, but he does seem to allow for the non</w:t>
      </w:r>
      <w:r w:rsidR="001A0F74" w:rsidRPr="003319AE">
        <w:t>-</w:t>
      </w:r>
      <w:r w:rsidR="00721215" w:rsidRPr="003319AE">
        <w:t xml:space="preserve">rational, or pre-rational in decision-making. </w:t>
      </w:r>
      <w:r w:rsidR="001A0F74" w:rsidRPr="003319AE">
        <w:t>So,</w:t>
      </w:r>
      <w:r w:rsidR="00721215" w:rsidRPr="003319AE">
        <w:t xml:space="preserve"> to understand what he means by choice, we need to allow for the capacity of non</w:t>
      </w:r>
      <w:r w:rsidR="001A0F74" w:rsidRPr="003319AE">
        <w:t>-</w:t>
      </w:r>
      <w:r w:rsidR="00721215" w:rsidRPr="003319AE">
        <w:t>rational or pre-rational decision-making.</w:t>
      </w:r>
    </w:p>
    <w:p w:rsidR="00BF27F2" w:rsidRDefault="00BF27F2" w:rsidP="003F063D">
      <w:pPr>
        <w:spacing w:before="240"/>
        <w:ind w:firstLine="720"/>
      </w:pPr>
      <w:r>
        <w:lastRenderedPageBreak/>
        <w:t>To conclude, I think that the system of ideas that Sartre has constructed does form a workable explanation of how human being</w:t>
      </w:r>
      <w:r w:rsidR="00C40F94">
        <w:t>s</w:t>
      </w:r>
      <w:r>
        <w:t xml:space="preserve"> exist in the world</w:t>
      </w:r>
      <w:r w:rsidR="00C40F94">
        <w:t>.</w:t>
      </w:r>
      <w:r>
        <w:t xml:space="preserve"> </w:t>
      </w:r>
      <w:r w:rsidR="00C40F94">
        <w:t>However,</w:t>
      </w:r>
      <w:r>
        <w:t xml:space="preserve"> his system does rely on </w:t>
      </w:r>
      <w:r w:rsidR="00C043B4">
        <w:t>certain presuppositions that have been assumed</w:t>
      </w:r>
      <w:r w:rsidR="00EC461C">
        <w:t>, but</w:t>
      </w:r>
      <w:r w:rsidR="00C40F94">
        <w:t xml:space="preserve"> are</w:t>
      </w:r>
      <w:r w:rsidR="00EC461C">
        <w:t xml:space="preserve"> questionable</w:t>
      </w:r>
      <w:r w:rsidR="00C043B4">
        <w:t>. Firstly, that there is a deep unity of human consciousness</w:t>
      </w:r>
      <w:r w:rsidR="006425F8">
        <w:t>: the mind can only have one consistent voice and aim</w:t>
      </w:r>
      <w:r w:rsidR="00C40F94">
        <w:t>.</w:t>
      </w:r>
      <w:r w:rsidR="00C043B4">
        <w:t xml:space="preserve"> </w:t>
      </w:r>
      <w:r w:rsidR="00C40F94">
        <w:t>S</w:t>
      </w:r>
      <w:r w:rsidR="00C043B4">
        <w:t xml:space="preserve">econd, that there is no unconscious part of our minds, </w:t>
      </w:r>
      <w:r w:rsidR="00C40F94">
        <w:t>and finally</w:t>
      </w:r>
      <w:r w:rsidR="00C043B4">
        <w:t xml:space="preserve">, that the mind is outside (or fully outside) the causal chain of matter. Whilst these presuppositions maybe incorrect, </w:t>
      </w:r>
      <w:r w:rsidR="00C40F94">
        <w:t>and would invalidate Sartre’s position of absolute freedom and absolute responsibility</w:t>
      </w:r>
      <w:r w:rsidR="001B6EA8">
        <w:t>,</w:t>
      </w:r>
      <w:r w:rsidR="00C40F94">
        <w:t xml:space="preserve"> </w:t>
      </w:r>
      <w:r w:rsidR="00C043B4">
        <w:t xml:space="preserve">I think that most of Sartre’s description of freedom and the capacity of choice </w:t>
      </w:r>
      <w:r w:rsidR="001B6EA8">
        <w:t>is</w:t>
      </w:r>
      <w:r w:rsidR="00C043B4">
        <w:t xml:space="preserve"> still valuable</w:t>
      </w:r>
      <w:r w:rsidR="001B6EA8">
        <w:t xml:space="preserve"> because it </w:t>
      </w:r>
      <w:r w:rsidR="00643634">
        <w:t>elucidates</w:t>
      </w:r>
      <w:r w:rsidR="001B6EA8">
        <w:t xml:space="preserve"> how fundamental freedom is</w:t>
      </w:r>
      <w:r w:rsidR="00643634">
        <w:t xml:space="preserve"> to the human condition</w:t>
      </w:r>
      <w:r w:rsidR="00C043B4">
        <w:t>.</w:t>
      </w:r>
    </w:p>
    <w:p w:rsidR="004C08A2" w:rsidRDefault="004C08A2" w:rsidP="00D3487F">
      <w:pPr>
        <w:spacing w:before="240"/>
      </w:pPr>
    </w:p>
    <w:p w:rsidR="0014746E" w:rsidRDefault="0014746E">
      <w:pPr>
        <w:spacing w:before="240"/>
      </w:pPr>
    </w:p>
    <w:p w:rsidR="003F063D" w:rsidRDefault="007757FF">
      <w:pPr>
        <w:spacing w:before="240"/>
      </w:pPr>
      <w:r>
        <w:t>Bibliography</w:t>
      </w:r>
    </w:p>
    <w:p w:rsidR="001852B4" w:rsidRDefault="001852B4">
      <w:pPr>
        <w:spacing w:before="240"/>
      </w:pPr>
      <w:r>
        <w:t>Manser</w:t>
      </w:r>
      <w:r>
        <w:t>. A</w:t>
      </w:r>
      <w:r>
        <w:t>,</w:t>
      </w:r>
      <w:r>
        <w:rPr>
          <w:i/>
        </w:rPr>
        <w:t xml:space="preserve"> Sartre. A philosophic study,</w:t>
      </w:r>
      <w:r>
        <w:t xml:space="preserve"> The Athlone Press, London, 1966</w:t>
      </w:r>
      <w:r>
        <w:t>.</w:t>
      </w:r>
    </w:p>
    <w:p w:rsidR="001852B4" w:rsidRDefault="001852B4">
      <w:pPr>
        <w:spacing w:before="240"/>
      </w:pPr>
      <w:r w:rsidRPr="001852B4">
        <w:t xml:space="preserve">Sartre. </w:t>
      </w:r>
      <w:r>
        <w:t>J</w:t>
      </w:r>
      <w:r w:rsidR="00BD4DF9">
        <w:t>-</w:t>
      </w:r>
      <w:r>
        <w:t xml:space="preserve">P, </w:t>
      </w:r>
      <w:r w:rsidRPr="001852B4">
        <w:rPr>
          <w:i/>
        </w:rPr>
        <w:t xml:space="preserve">Existentialism </w:t>
      </w:r>
      <w:r w:rsidR="001B6EA8">
        <w:rPr>
          <w:i/>
        </w:rPr>
        <w:t>A</w:t>
      </w:r>
      <w:r w:rsidRPr="001852B4">
        <w:rPr>
          <w:i/>
        </w:rPr>
        <w:t>s A Humanism</w:t>
      </w:r>
      <w:r w:rsidRPr="001852B4">
        <w:t>. Trans. by Philip Mairet. Public Lecture, 1946.</w:t>
      </w:r>
    </w:p>
    <w:p w:rsidR="004A64FA" w:rsidRPr="004A64FA" w:rsidRDefault="004A64FA">
      <w:pPr>
        <w:spacing w:before="240"/>
      </w:pPr>
      <w:r>
        <w:t>Sartre. J</w:t>
      </w:r>
      <w:r w:rsidR="00BD4DF9">
        <w:t>-</w:t>
      </w:r>
      <w:r>
        <w:t xml:space="preserve">P, </w:t>
      </w:r>
      <w:r>
        <w:rPr>
          <w:i/>
        </w:rPr>
        <w:t>Being and Nothingness,</w:t>
      </w:r>
      <w:r>
        <w:t xml:space="preserve"> Trans. by Hazel Barnes, Philosophical Library, New York, 1956.</w:t>
      </w:r>
    </w:p>
    <w:p w:rsidR="004A64FA" w:rsidRPr="004A64FA" w:rsidRDefault="004A64FA">
      <w:pPr>
        <w:spacing w:before="240"/>
      </w:pPr>
    </w:p>
    <w:sectPr w:rsidR="004A64FA" w:rsidRPr="004A64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2D54" w:rsidRDefault="00742D54" w:rsidP="00FC240F">
      <w:pPr>
        <w:spacing w:after="0" w:line="240" w:lineRule="auto"/>
      </w:pPr>
      <w:r>
        <w:separator/>
      </w:r>
    </w:p>
  </w:endnote>
  <w:endnote w:type="continuationSeparator" w:id="0">
    <w:p w:rsidR="00742D54" w:rsidRDefault="00742D54" w:rsidP="00FC2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2D54" w:rsidRDefault="00742D54" w:rsidP="00FC240F">
      <w:pPr>
        <w:spacing w:after="0" w:line="240" w:lineRule="auto"/>
      </w:pPr>
      <w:r>
        <w:separator/>
      </w:r>
    </w:p>
  </w:footnote>
  <w:footnote w:type="continuationSeparator" w:id="0">
    <w:p w:rsidR="00742D54" w:rsidRDefault="00742D54" w:rsidP="00FC240F">
      <w:pPr>
        <w:spacing w:after="0" w:line="240" w:lineRule="auto"/>
      </w:pPr>
      <w:r>
        <w:continuationSeparator/>
      </w:r>
    </w:p>
  </w:footnote>
  <w:footnote w:id="1">
    <w:p w:rsidR="00AA1B0E" w:rsidRDefault="00AA1B0E">
      <w:pPr>
        <w:pStyle w:val="FootnoteText"/>
      </w:pPr>
      <w:r>
        <w:rPr>
          <w:rStyle w:val="FootnoteReference"/>
        </w:rPr>
        <w:footnoteRef/>
      </w:r>
      <w:r>
        <w:t xml:space="preserve"> Oxford dictionary definition of Condemn.</w:t>
      </w:r>
      <w:r w:rsidR="004434CD">
        <w:t xml:space="preserve"> Def. 2.1</w:t>
      </w:r>
    </w:p>
  </w:footnote>
  <w:footnote w:id="2">
    <w:p w:rsidR="000E745E" w:rsidRDefault="000E745E">
      <w:pPr>
        <w:pStyle w:val="FootnoteText"/>
      </w:pPr>
      <w:r>
        <w:rPr>
          <w:rStyle w:val="FootnoteReference"/>
        </w:rPr>
        <w:footnoteRef/>
      </w:r>
      <w:r>
        <w:t xml:space="preserve"> </w:t>
      </w:r>
      <w:r>
        <w:t xml:space="preserve">Sartre. J-P, </w:t>
      </w:r>
      <w:r>
        <w:rPr>
          <w:i/>
        </w:rPr>
        <w:t>Being and Nothingness,</w:t>
      </w:r>
      <w:r>
        <w:t xml:space="preserve"> Trans. by Hazel Barnes, Philosophical Library, New York, 1956, Pg. </w:t>
      </w:r>
      <w:r>
        <w:t>61</w:t>
      </w:r>
      <w:r>
        <w:t>.</w:t>
      </w:r>
    </w:p>
  </w:footnote>
  <w:footnote w:id="3">
    <w:p w:rsidR="00FC240F" w:rsidRPr="00A24929" w:rsidRDefault="00FC240F">
      <w:pPr>
        <w:pStyle w:val="FootnoteText"/>
      </w:pPr>
      <w:r>
        <w:rPr>
          <w:rStyle w:val="FootnoteReference"/>
        </w:rPr>
        <w:footnoteRef/>
      </w:r>
      <w:r>
        <w:t xml:space="preserve"> </w:t>
      </w:r>
      <w:r w:rsidR="00A24929">
        <w:t>A</w:t>
      </w:r>
      <w:r>
        <w:t>. Mans</w:t>
      </w:r>
      <w:r w:rsidR="00B215B7">
        <w:t>e</w:t>
      </w:r>
      <w:r>
        <w:t>r,</w:t>
      </w:r>
      <w:r>
        <w:rPr>
          <w:i/>
        </w:rPr>
        <w:t xml:space="preserve"> Sartre</w:t>
      </w:r>
      <w:r w:rsidR="00A24929">
        <w:rPr>
          <w:i/>
        </w:rPr>
        <w:t>. A philosophic study,</w:t>
      </w:r>
      <w:r w:rsidR="00A24929">
        <w:t xml:space="preserve"> The Athlone Press, London, 1966, page 117.</w:t>
      </w:r>
    </w:p>
  </w:footnote>
  <w:footnote w:id="4">
    <w:p w:rsidR="004D1C7C" w:rsidRDefault="004D1C7C">
      <w:pPr>
        <w:pStyle w:val="FootnoteText"/>
      </w:pPr>
      <w:r>
        <w:rPr>
          <w:rStyle w:val="FootnoteReference"/>
        </w:rPr>
        <w:footnoteRef/>
      </w:r>
      <w:r w:rsidR="004A64FA">
        <w:t>Sartre. J</w:t>
      </w:r>
      <w:r w:rsidR="0014746E">
        <w:t>-</w:t>
      </w:r>
      <w:r w:rsidR="004A64FA">
        <w:t xml:space="preserve">P, </w:t>
      </w:r>
      <w:r w:rsidR="004A64FA">
        <w:rPr>
          <w:i/>
        </w:rPr>
        <w:t>Being and Nothingness,</w:t>
      </w:r>
      <w:r w:rsidR="004A64FA">
        <w:t xml:space="preserve"> Trans. by Hazel Barnes, Philosophical Library, New York, 1956</w:t>
      </w:r>
      <w:r w:rsidR="00144F14">
        <w:t>,</w:t>
      </w:r>
      <w:r w:rsidR="004A64FA">
        <w:t xml:space="preserve"> Pg. </w:t>
      </w:r>
      <w:r w:rsidR="004A64FA">
        <w:t>527</w:t>
      </w:r>
      <w:r w:rsidR="00144F14">
        <w:t>.</w:t>
      </w:r>
      <w:r>
        <w:t xml:space="preserve"> </w:t>
      </w:r>
    </w:p>
  </w:footnote>
  <w:footnote w:id="5">
    <w:p w:rsidR="00C8314C" w:rsidRDefault="00C8314C">
      <w:pPr>
        <w:pStyle w:val="FootnoteText"/>
      </w:pPr>
      <w:r>
        <w:rPr>
          <w:rStyle w:val="FootnoteReference"/>
        </w:rPr>
        <w:footnoteRef/>
      </w:r>
      <w:r w:rsidR="004A64FA">
        <w:t>Sartre. J</w:t>
      </w:r>
      <w:r w:rsidR="0014746E">
        <w:t>-</w:t>
      </w:r>
      <w:r w:rsidR="004A64FA">
        <w:t xml:space="preserve">P, </w:t>
      </w:r>
      <w:r w:rsidR="004A64FA">
        <w:rPr>
          <w:i/>
        </w:rPr>
        <w:t>Being and Nothingness,</w:t>
      </w:r>
      <w:r w:rsidR="004A64FA">
        <w:t xml:space="preserve"> Trans. by Hazel Barnes, Philosophical Library, New York, 1956</w:t>
      </w:r>
      <w:r w:rsidR="004A64FA">
        <w:t>,</w:t>
      </w:r>
      <w:r w:rsidR="004A64FA">
        <w:t xml:space="preserve"> Pg. 6</w:t>
      </w:r>
      <w:r w:rsidR="004A64FA">
        <w:t>34</w:t>
      </w:r>
      <w:r w:rsidR="00144F14">
        <w:t>.</w:t>
      </w:r>
    </w:p>
  </w:footnote>
  <w:footnote w:id="6">
    <w:p w:rsidR="00144F14" w:rsidRPr="0014746E" w:rsidRDefault="00144F14" w:rsidP="00144F14">
      <w:pPr>
        <w:spacing w:before="240"/>
        <w:rPr>
          <w:sz w:val="20"/>
          <w:szCs w:val="20"/>
        </w:rPr>
      </w:pPr>
      <w:r>
        <w:rPr>
          <w:rStyle w:val="FootnoteReference"/>
        </w:rPr>
        <w:footnoteRef/>
      </w:r>
      <w:r>
        <w:t xml:space="preserve"> </w:t>
      </w:r>
      <w:r w:rsidRPr="0014746E">
        <w:rPr>
          <w:sz w:val="20"/>
          <w:szCs w:val="20"/>
        </w:rPr>
        <w:t>Sartre. J</w:t>
      </w:r>
      <w:r w:rsidR="0014746E" w:rsidRPr="0014746E">
        <w:rPr>
          <w:sz w:val="20"/>
          <w:szCs w:val="20"/>
        </w:rPr>
        <w:t>-</w:t>
      </w:r>
      <w:r w:rsidRPr="0014746E">
        <w:rPr>
          <w:sz w:val="20"/>
          <w:szCs w:val="20"/>
        </w:rPr>
        <w:t xml:space="preserve">P, </w:t>
      </w:r>
      <w:r w:rsidRPr="0014746E">
        <w:rPr>
          <w:i/>
          <w:sz w:val="20"/>
          <w:szCs w:val="20"/>
        </w:rPr>
        <w:t>Existentialism Is A Humanism</w:t>
      </w:r>
      <w:r w:rsidRPr="0014746E">
        <w:rPr>
          <w:sz w:val="20"/>
          <w:szCs w:val="20"/>
        </w:rPr>
        <w:t>. Trans. by Philip Mairet. Public Lecture, 1946.</w:t>
      </w:r>
    </w:p>
  </w:footnote>
  <w:footnote w:id="7">
    <w:p w:rsidR="00F22959" w:rsidRPr="0014746E" w:rsidRDefault="00F22959" w:rsidP="004A64FA">
      <w:pPr>
        <w:spacing w:before="240"/>
        <w:rPr>
          <w:sz w:val="20"/>
          <w:szCs w:val="20"/>
        </w:rPr>
      </w:pPr>
      <w:r w:rsidRPr="0014746E">
        <w:rPr>
          <w:rStyle w:val="FootnoteReference"/>
          <w:sz w:val="20"/>
          <w:szCs w:val="20"/>
        </w:rPr>
        <w:footnoteRef/>
      </w:r>
      <w:r w:rsidRPr="0014746E">
        <w:rPr>
          <w:sz w:val="20"/>
          <w:szCs w:val="20"/>
        </w:rPr>
        <w:t xml:space="preserve"> </w:t>
      </w:r>
      <w:r w:rsidR="004A64FA" w:rsidRPr="0014746E">
        <w:rPr>
          <w:sz w:val="20"/>
          <w:szCs w:val="20"/>
        </w:rPr>
        <w:t>Sartre. J</w:t>
      </w:r>
      <w:r w:rsidR="0014746E" w:rsidRPr="0014746E">
        <w:rPr>
          <w:sz w:val="20"/>
          <w:szCs w:val="20"/>
        </w:rPr>
        <w:t>-</w:t>
      </w:r>
      <w:r w:rsidR="004A64FA" w:rsidRPr="0014746E">
        <w:rPr>
          <w:sz w:val="20"/>
          <w:szCs w:val="20"/>
        </w:rPr>
        <w:t xml:space="preserve">P, </w:t>
      </w:r>
      <w:r w:rsidR="004A64FA" w:rsidRPr="0014746E">
        <w:rPr>
          <w:i/>
          <w:sz w:val="20"/>
          <w:szCs w:val="20"/>
        </w:rPr>
        <w:t>Being and Nothingness,</w:t>
      </w:r>
      <w:r w:rsidR="004A64FA" w:rsidRPr="0014746E">
        <w:rPr>
          <w:sz w:val="20"/>
          <w:szCs w:val="20"/>
        </w:rPr>
        <w:t xml:space="preserve"> Trans. by Hazel Barnes, Philosophical Library, New York, 1956</w:t>
      </w:r>
      <w:r w:rsidR="00144F14" w:rsidRPr="0014746E">
        <w:rPr>
          <w:sz w:val="20"/>
          <w:szCs w:val="20"/>
        </w:rPr>
        <w:t>,</w:t>
      </w:r>
      <w:r w:rsidR="004A64FA" w:rsidRPr="0014746E">
        <w:rPr>
          <w:sz w:val="20"/>
          <w:szCs w:val="20"/>
        </w:rPr>
        <w:t xml:space="preserve"> Pg. 642</w:t>
      </w:r>
      <w:r w:rsidR="00144F14" w:rsidRPr="0014746E">
        <w:rPr>
          <w:sz w:val="20"/>
          <w:szCs w:val="20"/>
        </w:rPr>
        <w:t>.</w:t>
      </w:r>
    </w:p>
  </w:footnote>
  <w:footnote w:id="8">
    <w:p w:rsidR="00F22959" w:rsidRPr="0014746E" w:rsidRDefault="00F22959" w:rsidP="004A64FA">
      <w:pPr>
        <w:spacing w:before="240"/>
        <w:rPr>
          <w:sz w:val="20"/>
          <w:szCs w:val="20"/>
        </w:rPr>
      </w:pPr>
      <w:r w:rsidRPr="0014746E">
        <w:rPr>
          <w:rStyle w:val="FootnoteReference"/>
          <w:sz w:val="20"/>
          <w:szCs w:val="20"/>
        </w:rPr>
        <w:footnoteRef/>
      </w:r>
      <w:r w:rsidR="004A64FA" w:rsidRPr="0014746E">
        <w:rPr>
          <w:sz w:val="20"/>
          <w:szCs w:val="20"/>
        </w:rPr>
        <w:t xml:space="preserve">A. </w:t>
      </w:r>
      <w:r w:rsidR="004A64FA" w:rsidRPr="0014746E">
        <w:rPr>
          <w:sz w:val="20"/>
          <w:szCs w:val="20"/>
        </w:rPr>
        <w:t>Manser,</w:t>
      </w:r>
      <w:r w:rsidR="004A64FA" w:rsidRPr="0014746E">
        <w:rPr>
          <w:i/>
          <w:sz w:val="20"/>
          <w:szCs w:val="20"/>
        </w:rPr>
        <w:t xml:space="preserve"> Sartre</w:t>
      </w:r>
      <w:r w:rsidR="004A64FA" w:rsidRPr="0014746E">
        <w:rPr>
          <w:i/>
          <w:sz w:val="20"/>
          <w:szCs w:val="20"/>
        </w:rPr>
        <w:t>,</w:t>
      </w:r>
      <w:r w:rsidR="004A64FA" w:rsidRPr="0014746E">
        <w:rPr>
          <w:i/>
          <w:sz w:val="20"/>
          <w:szCs w:val="20"/>
        </w:rPr>
        <w:t xml:space="preserve"> A philosophic study,</w:t>
      </w:r>
      <w:r w:rsidR="004A64FA" w:rsidRPr="0014746E">
        <w:rPr>
          <w:sz w:val="20"/>
          <w:szCs w:val="20"/>
        </w:rPr>
        <w:t xml:space="preserve"> The Athlone Press, London, 1966</w:t>
      </w:r>
      <w:r w:rsidR="004A64FA" w:rsidRPr="0014746E">
        <w:rPr>
          <w:sz w:val="20"/>
          <w:szCs w:val="20"/>
        </w:rPr>
        <w:t>, Pg. 59</w:t>
      </w:r>
      <w:r w:rsidR="00144F14" w:rsidRPr="0014746E">
        <w:rPr>
          <w:sz w:val="20"/>
          <w:szCs w:val="20"/>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0C7"/>
    <w:rsid w:val="00004711"/>
    <w:rsid w:val="00041A89"/>
    <w:rsid w:val="000C3DD0"/>
    <w:rsid w:val="000E05A1"/>
    <w:rsid w:val="000E745E"/>
    <w:rsid w:val="001147C3"/>
    <w:rsid w:val="00144F14"/>
    <w:rsid w:val="0014746E"/>
    <w:rsid w:val="00152F28"/>
    <w:rsid w:val="001852B4"/>
    <w:rsid w:val="001924AC"/>
    <w:rsid w:val="001A0F74"/>
    <w:rsid w:val="001A4174"/>
    <w:rsid w:val="001B6EA8"/>
    <w:rsid w:val="002005E8"/>
    <w:rsid w:val="003319AE"/>
    <w:rsid w:val="00361D9F"/>
    <w:rsid w:val="0037270F"/>
    <w:rsid w:val="003F063D"/>
    <w:rsid w:val="004434CD"/>
    <w:rsid w:val="00457983"/>
    <w:rsid w:val="004A64FA"/>
    <w:rsid w:val="004C08A2"/>
    <w:rsid w:val="004D1C7C"/>
    <w:rsid w:val="004F39E6"/>
    <w:rsid w:val="00501FE4"/>
    <w:rsid w:val="005A2F0B"/>
    <w:rsid w:val="005E05B7"/>
    <w:rsid w:val="006425F8"/>
    <w:rsid w:val="00643116"/>
    <w:rsid w:val="00643634"/>
    <w:rsid w:val="00650FD9"/>
    <w:rsid w:val="006A63F8"/>
    <w:rsid w:val="00701BD4"/>
    <w:rsid w:val="00721215"/>
    <w:rsid w:val="00742D54"/>
    <w:rsid w:val="007757FF"/>
    <w:rsid w:val="00795E5C"/>
    <w:rsid w:val="007C554C"/>
    <w:rsid w:val="007F4E93"/>
    <w:rsid w:val="008221C9"/>
    <w:rsid w:val="0088607E"/>
    <w:rsid w:val="008867D3"/>
    <w:rsid w:val="009124A4"/>
    <w:rsid w:val="009143E0"/>
    <w:rsid w:val="00937FB9"/>
    <w:rsid w:val="00941516"/>
    <w:rsid w:val="00945C41"/>
    <w:rsid w:val="009F043C"/>
    <w:rsid w:val="009F4722"/>
    <w:rsid w:val="00A1342D"/>
    <w:rsid w:val="00A142FC"/>
    <w:rsid w:val="00A24929"/>
    <w:rsid w:val="00A728BF"/>
    <w:rsid w:val="00A76D7C"/>
    <w:rsid w:val="00AA1B0E"/>
    <w:rsid w:val="00AB3F36"/>
    <w:rsid w:val="00B1050B"/>
    <w:rsid w:val="00B1626F"/>
    <w:rsid w:val="00B215B7"/>
    <w:rsid w:val="00B43A2B"/>
    <w:rsid w:val="00B655B7"/>
    <w:rsid w:val="00B8360B"/>
    <w:rsid w:val="00BB175F"/>
    <w:rsid w:val="00BD4DF9"/>
    <w:rsid w:val="00BF27F2"/>
    <w:rsid w:val="00C043B4"/>
    <w:rsid w:val="00C40F94"/>
    <w:rsid w:val="00C8314C"/>
    <w:rsid w:val="00CB69E8"/>
    <w:rsid w:val="00D3487F"/>
    <w:rsid w:val="00D530C7"/>
    <w:rsid w:val="00D90FC8"/>
    <w:rsid w:val="00DA648C"/>
    <w:rsid w:val="00DA6592"/>
    <w:rsid w:val="00DE4921"/>
    <w:rsid w:val="00E32F78"/>
    <w:rsid w:val="00E7590F"/>
    <w:rsid w:val="00E94BD7"/>
    <w:rsid w:val="00EC461C"/>
    <w:rsid w:val="00F22959"/>
    <w:rsid w:val="00F53FE5"/>
    <w:rsid w:val="00F65DE8"/>
    <w:rsid w:val="00FC240F"/>
    <w:rsid w:val="00FD3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5BDDB2"/>
  <w15:chartTrackingRefBased/>
  <w15:docId w15:val="{7F1EACFA-5832-45DC-A807-86D5FC37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983"/>
    <w:pPr>
      <w:ind w:left="720"/>
      <w:contextualSpacing/>
    </w:pPr>
  </w:style>
  <w:style w:type="character" w:customStyle="1" w:styleId="ind">
    <w:name w:val="ind"/>
    <w:basedOn w:val="DefaultParagraphFont"/>
    <w:rsid w:val="009F4722"/>
  </w:style>
  <w:style w:type="paragraph" w:styleId="FootnoteText">
    <w:name w:val="footnote text"/>
    <w:basedOn w:val="Normal"/>
    <w:link w:val="FootnoteTextChar"/>
    <w:uiPriority w:val="99"/>
    <w:semiHidden/>
    <w:unhideWhenUsed/>
    <w:rsid w:val="00FC24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240F"/>
    <w:rPr>
      <w:sz w:val="20"/>
      <w:szCs w:val="20"/>
    </w:rPr>
  </w:style>
  <w:style w:type="character" w:styleId="FootnoteReference">
    <w:name w:val="footnote reference"/>
    <w:basedOn w:val="DefaultParagraphFont"/>
    <w:uiPriority w:val="99"/>
    <w:semiHidden/>
    <w:unhideWhenUsed/>
    <w:rsid w:val="00FC24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E71E1-2F59-4B39-A322-88CA4253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4</Pages>
  <Words>2171</Words>
  <Characters>9991</Characters>
  <Application>Microsoft Office Word</Application>
  <DocSecurity>0</DocSecurity>
  <Lines>136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 (1601920)</dc:creator>
  <cp:keywords/>
  <dc:description/>
  <cp:lastModifiedBy>Sam Harrison (1601920)</cp:lastModifiedBy>
  <cp:revision>26</cp:revision>
  <dcterms:created xsi:type="dcterms:W3CDTF">2017-11-15T09:23:00Z</dcterms:created>
  <dcterms:modified xsi:type="dcterms:W3CDTF">2018-01-15T16:05:00Z</dcterms:modified>
</cp:coreProperties>
</file>