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4946" w:rsidRDefault="00281751" w:rsidP="00A07A30">
      <w:pPr>
        <w:spacing w:line="360" w:lineRule="auto"/>
        <w:jc w:val="center"/>
        <w:rPr>
          <w:b/>
        </w:rPr>
      </w:pPr>
      <w:bookmarkStart w:id="0" w:name="_GoBack"/>
      <w:bookmarkEnd w:id="0"/>
      <w:r w:rsidRPr="00304BB0">
        <w:rPr>
          <w:b/>
        </w:rPr>
        <w:t xml:space="preserve">How do Sex and Gender Beliefs Shape Social </w:t>
      </w:r>
      <w:proofErr w:type="gramStart"/>
      <w:r w:rsidRPr="00304BB0">
        <w:rPr>
          <w:b/>
        </w:rPr>
        <w:t>Life?-</w:t>
      </w:r>
      <w:proofErr w:type="gramEnd"/>
      <w:r w:rsidRPr="00304BB0">
        <w:rPr>
          <w:b/>
        </w:rPr>
        <w:t>1000 words</w:t>
      </w:r>
    </w:p>
    <w:p w:rsidR="00A07A30" w:rsidRPr="00304BB0" w:rsidRDefault="00A07A30" w:rsidP="00A07A30">
      <w:pPr>
        <w:spacing w:line="360" w:lineRule="auto"/>
        <w:jc w:val="center"/>
        <w:rPr>
          <w:b/>
        </w:rPr>
      </w:pPr>
    </w:p>
    <w:p w:rsidR="00D34E79" w:rsidRDefault="00304BB0" w:rsidP="00A07A30">
      <w:pPr>
        <w:spacing w:line="360" w:lineRule="auto"/>
        <w:ind w:firstLine="720"/>
      </w:pPr>
      <w:r>
        <w:t xml:space="preserve">Different societies’ concepts of sex and gender shape patterns of living throughout social institutions around the world. Whereas sex refers to an individual’s biological characteristics, </w:t>
      </w:r>
      <w:r w:rsidR="00D34E79">
        <w:t>“Gender is theorized as a basic principle of social structure and cultural interpretation. Rather than being a specialized area within an accepted domain, gende</w:t>
      </w:r>
      <w:r w:rsidR="00986A50">
        <w:t>r is the patterning of difference</w:t>
      </w:r>
      <w:r w:rsidR="00D34E79">
        <w:t xml:space="preserve"> and domination through </w:t>
      </w:r>
      <w:r w:rsidR="00986A50">
        <w:t>distinctions</w:t>
      </w:r>
      <w:r w:rsidR="00D34E79">
        <w:t xml:space="preserve"> between women and man and is integ</w:t>
      </w:r>
      <w:r>
        <w:t xml:space="preserve">ral to many societal processes” (Acker, 1992, 565). Sex, rather than gender, references the shape, type, and biology of an individual; in contrast gender, is regarded as a social construct whose ideals, roles, and influence vary across groups. </w:t>
      </w:r>
    </w:p>
    <w:p w:rsidR="00D34E79" w:rsidRDefault="00304BB0" w:rsidP="00A07A30">
      <w:pPr>
        <w:spacing w:line="360" w:lineRule="auto"/>
      </w:pPr>
      <w:r>
        <w:tab/>
        <w:t>In reference to gender, “</w:t>
      </w:r>
      <w:r w:rsidR="00D34E79">
        <w:t xml:space="preserve">Institutions are ‘an enduring set of ideas about how to accomplish goals and are widely recognized as important in a society” </w:t>
      </w:r>
      <w:r w:rsidR="00541234">
        <w:t>(</w:t>
      </w:r>
      <w:r>
        <w:t xml:space="preserve">Martin, 2004, </w:t>
      </w:r>
      <w:r w:rsidR="00D34E79">
        <w:t>1252</w:t>
      </w:r>
      <w:r>
        <w:t xml:space="preserve">). Gender, then, is seen as social expectations that are often associated with specific body types (i.e. male, female). </w:t>
      </w:r>
      <w:r w:rsidR="00541234">
        <w:t xml:space="preserve">Whereas the sex of an individual </w:t>
      </w:r>
      <w:r w:rsidR="00A07A30">
        <w:t>may often follow</w:t>
      </w:r>
      <w:r w:rsidR="00541234">
        <w:t xml:space="preserve"> </w:t>
      </w:r>
      <w:r w:rsidR="00A07A30">
        <w:t xml:space="preserve">a </w:t>
      </w:r>
      <w:r w:rsidR="00541234">
        <w:t>more a set pattern of belief across many cultures, (penis=male, vagina=female), the pos</w:t>
      </w:r>
      <w:r w:rsidR="00A07A30">
        <w:t xml:space="preserve">sibilities for understanding individual </w:t>
      </w:r>
      <w:r w:rsidR="00541234">
        <w:t>roles based on gender constructs are far greater, as concepts of gender vary cross-culturally.</w:t>
      </w:r>
    </w:p>
    <w:p w:rsidR="00A07A30" w:rsidRDefault="00541234" w:rsidP="00A07A30">
      <w:pPr>
        <w:spacing w:line="360" w:lineRule="auto"/>
        <w:ind w:firstLine="720"/>
      </w:pPr>
      <w:r>
        <w:t>In an article regarding the concepts of gender, West and Zimmerman maintain that gender roles are something that are consciously maintained and reflected through the daily actions of the individual. According to their research,</w:t>
      </w:r>
    </w:p>
    <w:p w:rsidR="00A07A30" w:rsidRDefault="00541234" w:rsidP="00A07A30">
      <w:pPr>
        <w:spacing w:line="360" w:lineRule="auto"/>
        <w:ind w:left="720"/>
      </w:pPr>
      <w:r>
        <w:t xml:space="preserve">Doing gender </w:t>
      </w:r>
      <w:r w:rsidRPr="00A07A30">
        <w:t>involves</w:t>
      </w:r>
      <w:r w:rsidR="00A07A30">
        <w:t xml:space="preserve"> </w:t>
      </w:r>
      <w:r w:rsidRPr="00A07A30">
        <w:t>socially</w:t>
      </w:r>
      <w:r>
        <w:t xml:space="preserve"> guided perceptual, interactional, and micropolitical activities that cast particular pursuits as pursuits of expressions of masculine and feminine ‘natures.’</w:t>
      </w:r>
      <w:r>
        <w:t xml:space="preserve"> […] We argue […] </w:t>
      </w:r>
      <w:r>
        <w:t xml:space="preserve">that participants in interaction organize their various and manifold activities to reflect or express gender, and they are disposed to perceive the behavior of others in a similar light </w:t>
      </w:r>
      <w:r>
        <w:t xml:space="preserve">(1992, </w:t>
      </w:r>
      <w:r>
        <w:t>127</w:t>
      </w:r>
      <w:r>
        <w:t>)</w:t>
      </w:r>
      <w:r w:rsidR="009840B6">
        <w:t>.</w:t>
      </w:r>
    </w:p>
    <w:p w:rsidR="009840B6" w:rsidRDefault="009840B6" w:rsidP="00A07A30">
      <w:pPr>
        <w:spacing w:line="360" w:lineRule="auto"/>
        <w:ind w:firstLine="720"/>
      </w:pPr>
      <w:r>
        <w:t xml:space="preserve">In their article, “Introduction: The Concept of Gender,” Conway, Bourque, and Scott suggest that in the past, understandings of sex and gender where not as clearly defined in academic disciplines as they appear to be today. Consequently, they relay, “Mead </w:t>
      </w:r>
      <w:r>
        <w:t>has raised the revolutionary idea that concepts of gender were cultural, not biological and that they could vary widely in different environments</w:t>
      </w:r>
      <w:r>
        <w:t>”</w:t>
      </w:r>
      <w:r w:rsidR="00A07A30">
        <w:t xml:space="preserve"> </w:t>
      </w:r>
      <w:r>
        <w:t>(1987, 22). Additionally, “</w:t>
      </w:r>
      <w:r>
        <w:t xml:space="preserve">The production of culturally appropriate forms of male and female behavior is a central function of social authority and is </w:t>
      </w:r>
      <w:r>
        <w:lastRenderedPageBreak/>
        <w:t>mediated by the complex interactions of a wide range of economic, social, political, and religious institutions</w:t>
      </w:r>
      <w:r>
        <w:t>”</w:t>
      </w:r>
      <w:r w:rsidR="00A07A30">
        <w:t xml:space="preserve"> </w:t>
      </w:r>
      <w:r>
        <w:t xml:space="preserve">(Conway, Bourque, Scott, 1987, </w:t>
      </w:r>
      <w:r>
        <w:t>22</w:t>
      </w:r>
      <w:r>
        <w:t>).</w:t>
      </w:r>
    </w:p>
    <w:p w:rsidR="008C694F" w:rsidRDefault="008C694F" w:rsidP="00A07A30">
      <w:pPr>
        <w:spacing w:line="360" w:lineRule="auto"/>
        <w:ind w:firstLine="720"/>
      </w:pPr>
      <w:r>
        <w:t xml:space="preserve">Cultural constructions of gender can be seen in a variety of different groups. For instance, as evidenced by Malinowski, the Trobriand Islanders have very distinct understandings of cultural roles based on gender affinity. </w:t>
      </w:r>
      <w:r w:rsidR="00FE3D92">
        <w:t xml:space="preserve">In his work, “Argonauts of the Western Pacific,” Malinowski details the </w:t>
      </w:r>
      <w:r w:rsidR="00255873">
        <w:t xml:space="preserve">Kula ring exchange Trobriand males undertake. As described in Malinowski’s book, this complex social arrangement is reserved for those of the male gender, rather than everyone (Malinowski, 1932). </w:t>
      </w:r>
    </w:p>
    <w:p w:rsidR="00FE3D92" w:rsidRDefault="00255873" w:rsidP="00A07A30">
      <w:pPr>
        <w:spacing w:line="360" w:lineRule="auto"/>
        <w:ind w:firstLine="720"/>
      </w:pPr>
      <w:r>
        <w:t>In contrast, Annette Wiener’s work with the Trobrian</w:t>
      </w:r>
      <w:r w:rsidR="00827BCA">
        <w:t>d</w:t>
      </w:r>
      <w:r>
        <w:t xml:space="preserve"> Islanders emphasizes the important role women play in this society. As understood from her research, within this particular society, women play an important part in promoting social cohesion. Prestige and property are passed through matrilineal descent</w:t>
      </w:r>
      <w:r w:rsidR="00827BCA">
        <w:t>, and women</w:t>
      </w:r>
      <w:r>
        <w:t xml:space="preserve"> </w:t>
      </w:r>
      <w:r w:rsidR="00827BCA">
        <w:t xml:space="preserve">conduct many of the society’s day-to-day affairs (Weiner, 1988). </w:t>
      </w:r>
    </w:p>
    <w:p w:rsidR="00255873" w:rsidRDefault="00255873" w:rsidP="00A07A30">
      <w:pPr>
        <w:spacing w:line="360" w:lineRule="auto"/>
        <w:ind w:left="720"/>
      </w:pPr>
      <w:r w:rsidRPr="00827BCA">
        <w:t>Malinowski and a host of other male observers had failed to see women's central place in Trobriand exchange: that in fixating so totally on men's exchanges of yams in </w:t>
      </w:r>
      <w:proofErr w:type="spellStart"/>
      <w:r w:rsidRPr="00827BCA">
        <w:t>urigubuand</w:t>
      </w:r>
      <w:proofErr w:type="spellEnd"/>
      <w:r w:rsidRPr="00827BCA">
        <w:t xml:space="preserve"> of shell valuables in the </w:t>
      </w:r>
      <w:proofErr w:type="spellStart"/>
      <w:r w:rsidRPr="00827BCA">
        <w:t>kula</w:t>
      </w:r>
      <w:proofErr w:type="spellEnd"/>
      <w:r w:rsidRPr="00827BCA">
        <w:t xml:space="preserve">, they had ignored women's exchanges of banana leaf bundles and skirts, most importantly at mortuary distributions. In her </w:t>
      </w:r>
      <w:r w:rsidR="00827BCA" w:rsidRPr="00827BCA">
        <w:t xml:space="preserve">[Wiener] </w:t>
      </w:r>
      <w:r w:rsidRPr="00827BCA">
        <w:t xml:space="preserve">reassessment of the relations of the sexes in the </w:t>
      </w:r>
      <w:proofErr w:type="spellStart"/>
      <w:r w:rsidRPr="00827BCA">
        <w:t>Trobriands</w:t>
      </w:r>
      <w:proofErr w:type="spellEnd"/>
      <w:r w:rsidRPr="00827BCA">
        <w:t xml:space="preserve"> she portrayed men as controlling events in historical time and space (the social domain) and women as controlling events in ahistorical time and space (the cosmological domain</w:t>
      </w:r>
      <w:r w:rsidR="00827BCA" w:rsidRPr="00827BCA">
        <w:t>) (Jolly, 1992, 38).</w:t>
      </w:r>
    </w:p>
    <w:p w:rsidR="00827BCA" w:rsidRDefault="00827BCA" w:rsidP="00A07A30">
      <w:pPr>
        <w:spacing w:line="360" w:lineRule="auto"/>
      </w:pPr>
      <w:r>
        <w:tab/>
        <w:t>As seen in these various accounts, social concepts of gender construct specific patterns of behavior for individuals in this group. Each gender represented (male and female) displays sp</w:t>
      </w:r>
      <w:r w:rsidR="00144902">
        <w:t>ecific methods of conducts based on social expectations and group acceptance. These roles are acknowledged by the individuals in these groups by their continued practice of specific rituals and actions undertaken by both genders (Marshall, 1995). Mortuary ceremonies, in particular,</w:t>
      </w:r>
      <w:r w:rsidR="003E1AA0">
        <w:t xml:space="preserve"> emphasize these principles, where women take part:</w:t>
      </w:r>
    </w:p>
    <w:p w:rsidR="00144902" w:rsidRDefault="003E1AA0" w:rsidP="00A07A30">
      <w:pPr>
        <w:spacing w:line="360" w:lineRule="auto"/>
        <w:ind w:left="720"/>
      </w:pPr>
      <w:r>
        <w:t>[…] giving and receiving bundles of narrow strip of dried banana leaves and decorated fibrous skirts. The day’s proceedings came to an end when women presented fiber skirts and men carried objects of male wealth […] the men, meantime, distributed yams and taro to those who had come from neighboring hamlets (</w:t>
      </w:r>
      <w:proofErr w:type="spellStart"/>
      <w:r>
        <w:t>Lindenbaum</w:t>
      </w:r>
      <w:proofErr w:type="spellEnd"/>
      <w:r w:rsidR="004A4B34">
        <w:t>, 1977, 799)</w:t>
      </w:r>
      <w:r w:rsidR="00E926E4">
        <w:t>.</w:t>
      </w:r>
    </w:p>
    <w:p w:rsidR="006B69C4" w:rsidRDefault="00E926E4" w:rsidP="00A07A30">
      <w:pPr>
        <w:spacing w:line="360" w:lineRule="auto"/>
        <w:ind w:firstLine="720"/>
      </w:pPr>
      <w:r>
        <w:lastRenderedPageBreak/>
        <w:t xml:space="preserve">In other </w:t>
      </w:r>
      <w:r w:rsidR="006B69C4">
        <w:t>cultures</w:t>
      </w:r>
      <w:r>
        <w:t>, such as the Yanomamo of South American, relationships between sex and gender are understood</w:t>
      </w:r>
      <w:r w:rsidR="00A07A30">
        <w:t xml:space="preserve"> and represented</w:t>
      </w:r>
      <w:r>
        <w:t xml:space="preserve"> far differently in the daily life of this society. In this </w:t>
      </w:r>
      <w:r w:rsidR="006B69C4">
        <w:t>group</w:t>
      </w:r>
      <w:r>
        <w:t>, t</w:t>
      </w:r>
      <w:r w:rsidR="006B69C4">
        <w:t>he men (where male is understood to be as a result of both sex and gender) are responsible for upholding</w:t>
      </w:r>
      <w:r w:rsidR="00A07A30">
        <w:t xml:space="preserve"> </w:t>
      </w:r>
      <w:r w:rsidR="006B69C4">
        <w:t>the spiritual environment in which they believe, while the women are relegated more to the maintaining of the daily physical environment in which they live (</w:t>
      </w:r>
      <w:proofErr w:type="spellStart"/>
      <w:r w:rsidR="006B69C4">
        <w:t>Chagnon</w:t>
      </w:r>
      <w:proofErr w:type="spellEnd"/>
      <w:r w:rsidR="006B69C4">
        <w:t xml:space="preserve">, 1968). </w:t>
      </w:r>
    </w:p>
    <w:p w:rsidR="006B69C4" w:rsidRPr="007C03DF" w:rsidRDefault="006B69C4" w:rsidP="00A07A30">
      <w:pPr>
        <w:spacing w:line="360" w:lineRule="auto"/>
        <w:ind w:firstLine="720"/>
      </w:pPr>
      <w:r w:rsidRPr="007C03DF">
        <w:t xml:space="preserve">Additionally, the </w:t>
      </w:r>
      <w:proofErr w:type="spellStart"/>
      <w:r w:rsidRPr="007C03DF">
        <w:t>Mbuti</w:t>
      </w:r>
      <w:proofErr w:type="spellEnd"/>
      <w:r w:rsidRPr="007C03DF">
        <w:t xml:space="preserve"> of the </w:t>
      </w:r>
      <w:proofErr w:type="spellStart"/>
      <w:r w:rsidRPr="007C03DF">
        <w:t>Ituri</w:t>
      </w:r>
      <w:proofErr w:type="spellEnd"/>
      <w:r w:rsidRPr="007C03DF">
        <w:t xml:space="preserve"> Forest, construct the roles, characteristics, and meaning of gender differently tha</w:t>
      </w:r>
      <w:r w:rsidR="00E77D0B" w:rsidRPr="007C03DF">
        <w:t xml:space="preserve">n other tribes </w:t>
      </w:r>
      <w:r w:rsidR="007C03DF">
        <w:t>and peoples. As kin is a gender-</w:t>
      </w:r>
      <w:r w:rsidR="00E77D0B" w:rsidRPr="007C03DF">
        <w:t>neutral expression in this culture, words such as sibling or grandparent do not distinguish b</w:t>
      </w:r>
      <w:r w:rsidR="00A07A30" w:rsidRPr="007C03DF">
        <w:t xml:space="preserve">etween a different sex or </w:t>
      </w:r>
      <w:r w:rsidR="00E77D0B" w:rsidRPr="007C03DF">
        <w:t>gender</w:t>
      </w:r>
      <w:r w:rsidR="007C03DF" w:rsidRPr="007C03DF">
        <w:t xml:space="preserve"> (</w:t>
      </w:r>
      <w:proofErr w:type="spellStart"/>
      <w:r w:rsidR="007C03DF" w:rsidRPr="007C03DF">
        <w:t>Turnabll</w:t>
      </w:r>
      <w:proofErr w:type="spellEnd"/>
      <w:r w:rsidR="007C03DF" w:rsidRPr="007C03DF">
        <w:t>, 1961)</w:t>
      </w:r>
      <w:r w:rsidR="00E77D0B" w:rsidRPr="007C03DF">
        <w:t xml:space="preserve">. Additionally, this tribe’s gender roles for parents with small children differ far greater from that of the typical 1950s American housewife. Rather than </w:t>
      </w:r>
      <w:r w:rsidR="00A07A30" w:rsidRPr="007C03DF">
        <w:t>typically relegating</w:t>
      </w:r>
      <w:r w:rsidR="00E77D0B" w:rsidRPr="007C03DF">
        <w:t xml:space="preserve"> </w:t>
      </w:r>
      <w:r w:rsidR="00A07A30" w:rsidRPr="007C03DF">
        <w:t xml:space="preserve">the </w:t>
      </w:r>
      <w:r w:rsidR="00E77D0B" w:rsidRPr="007C03DF">
        <w:t xml:space="preserve">task of rearing the children to the mother, as was common in American during this time period, the </w:t>
      </w:r>
      <w:proofErr w:type="spellStart"/>
      <w:r w:rsidR="00E77D0B" w:rsidRPr="007C03DF">
        <w:t>Mbuti</w:t>
      </w:r>
      <w:proofErr w:type="spellEnd"/>
      <w:r w:rsidR="00E77D0B" w:rsidRPr="007C03DF">
        <w:t xml:space="preserve"> alternate the responsibility of tending children between parents, with the </w:t>
      </w:r>
      <w:r w:rsidR="00A07A30" w:rsidRPr="007C03DF">
        <w:t>father taking over the upkeep</w:t>
      </w:r>
      <w:r w:rsidR="00E77D0B" w:rsidRPr="007C03DF">
        <w:t xml:space="preserve"> of the child when solid food is introduced </w:t>
      </w:r>
      <w:r w:rsidR="00A07A30" w:rsidRPr="007C03DF">
        <w:t>into</w:t>
      </w:r>
      <w:r w:rsidR="00E77D0B" w:rsidRPr="007C03DF">
        <w:t xml:space="preserve"> the baby’s diet</w:t>
      </w:r>
      <w:r w:rsidR="007C03DF" w:rsidRPr="007C03DF">
        <w:t xml:space="preserve"> (Mosco, 1987)</w:t>
      </w:r>
      <w:r w:rsidR="00E77D0B" w:rsidRPr="007C03DF">
        <w:t xml:space="preserve">. </w:t>
      </w:r>
    </w:p>
    <w:p w:rsidR="00E77D0B" w:rsidRPr="00E77D0B" w:rsidRDefault="003B0063" w:rsidP="00A07A30">
      <w:pPr>
        <w:spacing w:line="360" w:lineRule="auto"/>
        <w:ind w:firstLine="720"/>
      </w:pPr>
      <w:r>
        <w:t xml:space="preserve">As evidenced in the societies discussed, understandings of sex and gender are not intrinsically understood to be the same among every society. Rather, whereas sex is most often a construct based on biological characteristics, the concept </w:t>
      </w:r>
      <w:r w:rsidR="00A07A30">
        <w:t>of gender varies widely across cultures</w:t>
      </w:r>
      <w:r>
        <w:t xml:space="preserve">, as gender is a fluid social institution that is influenced by the opinions and experiences of each group. In many societies, gender is used as a means of displaying and enforcing cultural expectations of acceptable behavior. It is an expression of what each society expects a person to be, rather than what he/ she may or may not feel about the himself/herself.  </w:t>
      </w:r>
    </w:p>
    <w:p w:rsidR="006B69C4" w:rsidRDefault="006B69C4" w:rsidP="00A07A30">
      <w:pPr>
        <w:spacing w:line="360" w:lineRule="auto"/>
        <w:ind w:firstLine="720"/>
      </w:pPr>
    </w:p>
    <w:p w:rsidR="00FE3D92" w:rsidRDefault="00FE3D92" w:rsidP="00A07A30">
      <w:pPr>
        <w:spacing w:line="360" w:lineRule="auto"/>
        <w:ind w:firstLine="720"/>
      </w:pPr>
    </w:p>
    <w:p w:rsidR="00541234" w:rsidRDefault="00541234"/>
    <w:p w:rsidR="00541234" w:rsidRDefault="00541234"/>
    <w:p w:rsidR="003B0858" w:rsidRDefault="003B0858"/>
    <w:p w:rsidR="00304BB0" w:rsidRDefault="00304BB0"/>
    <w:p w:rsidR="00304BB0" w:rsidRDefault="00304BB0"/>
    <w:p w:rsidR="00304BB0" w:rsidRDefault="00304BB0"/>
    <w:p w:rsidR="00304BB0" w:rsidRDefault="00304BB0"/>
    <w:p w:rsidR="00304BB0" w:rsidRDefault="00304BB0"/>
    <w:p w:rsidR="00A07A30" w:rsidRDefault="00A07A30" w:rsidP="003B0063">
      <w:pPr>
        <w:jc w:val="center"/>
        <w:rPr>
          <w:b/>
        </w:rPr>
      </w:pPr>
    </w:p>
    <w:p w:rsidR="00A07A30" w:rsidRDefault="00A07A30" w:rsidP="003B0063">
      <w:pPr>
        <w:jc w:val="center"/>
        <w:rPr>
          <w:b/>
        </w:rPr>
      </w:pPr>
    </w:p>
    <w:p w:rsidR="00A07A30" w:rsidRDefault="00A07A30" w:rsidP="003B0063">
      <w:pPr>
        <w:jc w:val="center"/>
        <w:rPr>
          <w:b/>
        </w:rPr>
      </w:pPr>
    </w:p>
    <w:p w:rsidR="00A07A30" w:rsidRDefault="00A07A30" w:rsidP="003B0063">
      <w:pPr>
        <w:jc w:val="center"/>
        <w:rPr>
          <w:b/>
        </w:rPr>
      </w:pPr>
    </w:p>
    <w:p w:rsidR="00304BB0" w:rsidRDefault="00304BB0" w:rsidP="003B0063">
      <w:pPr>
        <w:jc w:val="center"/>
        <w:rPr>
          <w:b/>
        </w:rPr>
      </w:pPr>
      <w:r w:rsidRPr="003B0063">
        <w:rPr>
          <w:b/>
        </w:rPr>
        <w:t>References</w:t>
      </w:r>
    </w:p>
    <w:p w:rsidR="001072B5" w:rsidRPr="003B0063" w:rsidRDefault="001072B5" w:rsidP="003B0063">
      <w:pPr>
        <w:jc w:val="center"/>
        <w:rPr>
          <w:b/>
        </w:rPr>
      </w:pPr>
    </w:p>
    <w:p w:rsidR="00304BB0" w:rsidRDefault="00304BB0" w:rsidP="001072B5">
      <w:pPr>
        <w:spacing w:line="360" w:lineRule="auto"/>
        <w:ind w:left="630" w:hanging="630"/>
      </w:pPr>
      <w:r>
        <w:t xml:space="preserve">Acker, J. (1992). ‘From Sex Roles to Gendered Institutions,’ </w:t>
      </w:r>
      <w:r w:rsidRPr="00D34E79">
        <w:rPr>
          <w:i/>
        </w:rPr>
        <w:t>American Sociological Association</w:t>
      </w:r>
      <w:r>
        <w:t>. Vol. 21;5, pp. 565.</w:t>
      </w:r>
    </w:p>
    <w:p w:rsidR="00E926E4" w:rsidRDefault="00E926E4" w:rsidP="001072B5">
      <w:pPr>
        <w:spacing w:line="360" w:lineRule="auto"/>
        <w:ind w:left="630" w:hanging="630"/>
      </w:pPr>
      <w:proofErr w:type="spellStart"/>
      <w:r>
        <w:t>Chagnon</w:t>
      </w:r>
      <w:proofErr w:type="spellEnd"/>
      <w:r>
        <w:t>, N. (1968). </w:t>
      </w:r>
      <w:r w:rsidRPr="00786F48">
        <w:rPr>
          <w:i/>
        </w:rPr>
        <w:t>Yanomamö, T</w:t>
      </w:r>
      <w:r>
        <w:rPr>
          <w:i/>
        </w:rPr>
        <w:t>he F</w:t>
      </w:r>
      <w:r w:rsidRPr="00786F48">
        <w:rPr>
          <w:i/>
        </w:rPr>
        <w:t>ierce people</w:t>
      </w:r>
      <w:r w:rsidRPr="001C758C">
        <w:t>. New York: Holt, Rinehart and Winston.</w:t>
      </w:r>
    </w:p>
    <w:p w:rsidR="009840B6" w:rsidRDefault="009840B6" w:rsidP="001072B5">
      <w:pPr>
        <w:spacing w:line="360" w:lineRule="auto"/>
        <w:ind w:left="630" w:hanging="630"/>
      </w:pPr>
      <w:r>
        <w:t xml:space="preserve">Conway, J., Bourque S., Scott J., (1987), ‘Introduction: The Concept of Gender’ </w:t>
      </w:r>
      <w:r w:rsidRPr="00986A50">
        <w:rPr>
          <w:i/>
        </w:rPr>
        <w:t>Daedalus</w:t>
      </w:r>
      <w:r>
        <w:t>. Vol 116;4, pg. 21-30.</w:t>
      </w:r>
    </w:p>
    <w:p w:rsidR="00827BCA" w:rsidRDefault="00827BCA" w:rsidP="001072B5">
      <w:pPr>
        <w:spacing w:line="360" w:lineRule="auto"/>
        <w:ind w:left="630" w:hanging="630"/>
      </w:pPr>
      <w:r>
        <w:t xml:space="preserve">Jolly, M. (1992) ‘Banana Leaf Bundles and Skirts: A Pacific Penelope’s Web’ in Carrier, J. (ed.). </w:t>
      </w:r>
      <w:r w:rsidRPr="00E6380A">
        <w:rPr>
          <w:i/>
        </w:rPr>
        <w:t>History and Tradition in Melanesian Anthropology</w:t>
      </w:r>
      <w:r>
        <w:t>. Berkeley; University of California Press, pp 38.</w:t>
      </w:r>
    </w:p>
    <w:p w:rsidR="00827BCA" w:rsidRDefault="00E926E4" w:rsidP="001072B5">
      <w:pPr>
        <w:spacing w:line="360" w:lineRule="auto"/>
        <w:ind w:left="630" w:hanging="630"/>
      </w:pPr>
      <w:proofErr w:type="spellStart"/>
      <w:r>
        <w:t>Lindebaum</w:t>
      </w:r>
      <w:proofErr w:type="spellEnd"/>
      <w:r>
        <w:t>, S. (1977). ‘Reviewed Work:</w:t>
      </w:r>
      <w:r w:rsidRPr="003E1AA0">
        <w:rPr>
          <w:rFonts w:ascii="Arial" w:hAnsi="Arial" w:cs="Arial"/>
          <w:i/>
          <w:iCs/>
          <w:color w:val="333333"/>
          <w:sz w:val="21"/>
          <w:szCs w:val="21"/>
          <w:shd w:val="clear" w:color="auto" w:fill="FFFFFF"/>
        </w:rPr>
        <w:t xml:space="preserve"> </w:t>
      </w:r>
      <w:r w:rsidRPr="003E1AA0">
        <w:t>Women of Value, Men of Renown: New Perspectives in Trobriand Exchange</w:t>
      </w:r>
      <w:r>
        <w:t xml:space="preserve">,’ </w:t>
      </w:r>
      <w:r w:rsidRPr="004A4B34">
        <w:rPr>
          <w:i/>
        </w:rPr>
        <w:t xml:space="preserve">American </w:t>
      </w:r>
      <w:proofErr w:type="spellStart"/>
      <w:r w:rsidRPr="004A4B34">
        <w:rPr>
          <w:i/>
        </w:rPr>
        <w:t>Enthnologist</w:t>
      </w:r>
      <w:proofErr w:type="spellEnd"/>
      <w:r>
        <w:t>. Vol 4;4, pp. 799-801.</w:t>
      </w:r>
    </w:p>
    <w:p w:rsidR="00255873" w:rsidRPr="00FE3D92" w:rsidRDefault="00255873" w:rsidP="001072B5">
      <w:pPr>
        <w:spacing w:line="360" w:lineRule="auto"/>
        <w:ind w:left="630" w:hanging="630"/>
      </w:pPr>
      <w:r>
        <w:t xml:space="preserve">Malinowski, B. (1932) </w:t>
      </w:r>
      <w:r w:rsidRPr="00FE3D92">
        <w:rPr>
          <w:i/>
          <w:u w:val="single"/>
        </w:rPr>
        <w:t>Argonauts of the Western Pacific</w:t>
      </w:r>
      <w:r>
        <w:t>. London: George Routledge &amp;Sons, Ltd.</w:t>
      </w:r>
    </w:p>
    <w:p w:rsidR="00541234" w:rsidRDefault="00144902" w:rsidP="001072B5">
      <w:pPr>
        <w:spacing w:line="360" w:lineRule="auto"/>
        <w:ind w:left="630" w:hanging="630"/>
      </w:pPr>
      <w:r>
        <w:t xml:space="preserve">Marshall, T, (1995). </w:t>
      </w:r>
      <w:r>
        <w:rPr>
          <w:i/>
        </w:rPr>
        <w:t>The Unholy Paradise</w:t>
      </w:r>
      <w:r>
        <w:t xml:space="preserve">. [online video] Available </w:t>
      </w:r>
      <w:proofErr w:type="gramStart"/>
      <w:r>
        <w:t>at :</w:t>
      </w:r>
      <w:proofErr w:type="gramEnd"/>
      <w:r>
        <w:t xml:space="preserve"> </w:t>
      </w:r>
      <w:hyperlink r:id="rId4" w:history="1">
        <w:r w:rsidRPr="00867278">
          <w:rPr>
            <w:rStyle w:val="Hyperlink"/>
          </w:rPr>
          <w:t>https://www</w:t>
        </w:r>
        <w:r w:rsidRPr="00867278">
          <w:rPr>
            <w:rStyle w:val="Hyperlink"/>
          </w:rPr>
          <w:t>.</w:t>
        </w:r>
        <w:r w:rsidRPr="00867278">
          <w:rPr>
            <w:rStyle w:val="Hyperlink"/>
          </w:rPr>
          <w:t>youtube.com/watch?v=FWE-kpOoBv8</w:t>
        </w:r>
      </w:hyperlink>
    </w:p>
    <w:p w:rsidR="00541234" w:rsidRDefault="00541234" w:rsidP="001072B5">
      <w:pPr>
        <w:spacing w:line="360" w:lineRule="auto"/>
        <w:ind w:left="630" w:hanging="630"/>
      </w:pPr>
      <w:r>
        <w:t xml:space="preserve">Martin, P. (2004). ‘Gender as Social Institution.’ </w:t>
      </w:r>
      <w:r w:rsidRPr="00D34E79">
        <w:rPr>
          <w:i/>
        </w:rPr>
        <w:t>Social Forces</w:t>
      </w:r>
      <w:r>
        <w:t xml:space="preserve">. Vol. 82;4, pp. 1249-1273. </w:t>
      </w:r>
    </w:p>
    <w:p w:rsidR="007C03DF" w:rsidRDefault="007C03DF" w:rsidP="007C03DF">
      <w:pPr>
        <w:pStyle w:val="paragraph"/>
        <w:spacing w:before="0" w:beforeAutospacing="0" w:after="0" w:afterAutospacing="0" w:line="360" w:lineRule="auto"/>
        <w:ind w:left="567" w:hanging="567"/>
        <w:textAlignment w:val="baseline"/>
      </w:pPr>
      <w:proofErr w:type="spellStart"/>
      <w:r w:rsidRPr="008C50FE">
        <w:rPr>
          <w:rStyle w:val="normaltextrun"/>
        </w:rPr>
        <w:t>Mosko</w:t>
      </w:r>
      <w:proofErr w:type="spellEnd"/>
      <w:r w:rsidRPr="008C50FE">
        <w:rPr>
          <w:rStyle w:val="normaltextrun"/>
        </w:rPr>
        <w:t xml:space="preserve">, M. (1987) ‘The Symbols of “Forest”: A Structural Analysis of </w:t>
      </w:r>
      <w:proofErr w:type="spellStart"/>
      <w:r w:rsidRPr="008C50FE">
        <w:rPr>
          <w:rStyle w:val="normaltextrun"/>
        </w:rPr>
        <w:t>Mbuti</w:t>
      </w:r>
      <w:proofErr w:type="spellEnd"/>
      <w:r w:rsidRPr="008C50FE">
        <w:rPr>
          <w:rStyle w:val="normaltextrun"/>
        </w:rPr>
        <w:t xml:space="preserve"> Culture and Social Organization,’ </w:t>
      </w:r>
      <w:r w:rsidRPr="008C50FE">
        <w:rPr>
          <w:rStyle w:val="normaltextrun"/>
          <w:i/>
          <w:iCs/>
        </w:rPr>
        <w:t>American Anthropological Association. Vol 89:4, pp. 896-913.</w:t>
      </w:r>
      <w:r w:rsidRPr="008C50FE">
        <w:rPr>
          <w:rStyle w:val="eop"/>
        </w:rPr>
        <w:t> </w:t>
      </w:r>
    </w:p>
    <w:p w:rsidR="007C03DF" w:rsidRDefault="007C03DF" w:rsidP="007C03DF">
      <w:pPr>
        <w:spacing w:line="360" w:lineRule="auto"/>
        <w:ind w:left="630" w:hanging="630"/>
      </w:pPr>
      <w:proofErr w:type="spellStart"/>
      <w:r>
        <w:t>Turnball</w:t>
      </w:r>
      <w:proofErr w:type="spellEnd"/>
      <w:r>
        <w:t xml:space="preserve">, C. (1961). </w:t>
      </w:r>
      <w:r w:rsidRPr="007C03DF">
        <w:rPr>
          <w:i/>
          <w:u w:val="single"/>
        </w:rPr>
        <w:t>The Forest People</w:t>
      </w:r>
      <w:r>
        <w:t>. New York: Simon &amp; Schuster.</w:t>
      </w:r>
    </w:p>
    <w:p w:rsidR="00541234" w:rsidRDefault="00827BCA" w:rsidP="001072B5">
      <w:pPr>
        <w:spacing w:line="360" w:lineRule="auto"/>
        <w:ind w:left="630" w:hanging="630"/>
      </w:pPr>
      <w:r>
        <w:t xml:space="preserve">Weiner, A. (1988). </w:t>
      </w:r>
      <w:r w:rsidRPr="00827BCA">
        <w:rPr>
          <w:i/>
          <w:u w:val="single"/>
        </w:rPr>
        <w:t xml:space="preserve">The </w:t>
      </w:r>
      <w:proofErr w:type="spellStart"/>
      <w:r w:rsidRPr="00827BCA">
        <w:rPr>
          <w:i/>
          <w:u w:val="single"/>
        </w:rPr>
        <w:t>Trobrianders</w:t>
      </w:r>
      <w:proofErr w:type="spellEnd"/>
      <w:r w:rsidRPr="00827BCA">
        <w:rPr>
          <w:i/>
          <w:u w:val="single"/>
        </w:rPr>
        <w:t xml:space="preserve"> of Papua New Guinea</w:t>
      </w:r>
      <w:r>
        <w:t xml:space="preserve">. </w:t>
      </w:r>
      <w:proofErr w:type="spellStart"/>
      <w:r>
        <w:t>Belmount</w:t>
      </w:r>
      <w:proofErr w:type="spellEnd"/>
      <w:r>
        <w:t xml:space="preserve">: Wadsworth Publishing Co. Inc. </w:t>
      </w:r>
    </w:p>
    <w:p w:rsidR="00304BB0" w:rsidRDefault="009840B6" w:rsidP="001072B5">
      <w:pPr>
        <w:spacing w:line="360" w:lineRule="auto"/>
        <w:ind w:left="630" w:hanging="630"/>
      </w:pPr>
      <w:r>
        <w:t xml:space="preserve">West, C. and Zimmerman, D. (1987). ‘Doing Gender,’ </w:t>
      </w:r>
      <w:r w:rsidRPr="003B0858">
        <w:rPr>
          <w:i/>
        </w:rPr>
        <w:t>Gender and Society</w:t>
      </w:r>
      <w:r>
        <w:t>. Vol 1;2, pp. 123-151.</w:t>
      </w:r>
    </w:p>
    <w:p w:rsidR="007C03DF" w:rsidRPr="007C03DF" w:rsidRDefault="007C03DF" w:rsidP="001072B5">
      <w:pPr>
        <w:spacing w:line="360" w:lineRule="auto"/>
        <w:ind w:left="630" w:hanging="630"/>
      </w:pPr>
    </w:p>
    <w:sectPr w:rsidR="007C03DF" w:rsidRPr="007C03DF" w:rsidSect="006072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51"/>
    <w:rsid w:val="00085510"/>
    <w:rsid w:val="001072B5"/>
    <w:rsid w:val="001346F4"/>
    <w:rsid w:val="00144902"/>
    <w:rsid w:val="00255873"/>
    <w:rsid w:val="00281751"/>
    <w:rsid w:val="00304BB0"/>
    <w:rsid w:val="003B0063"/>
    <w:rsid w:val="003B0858"/>
    <w:rsid w:val="003E1AA0"/>
    <w:rsid w:val="004A4B34"/>
    <w:rsid w:val="00534946"/>
    <w:rsid w:val="00541234"/>
    <w:rsid w:val="0060720F"/>
    <w:rsid w:val="006B69C4"/>
    <w:rsid w:val="007C03DF"/>
    <w:rsid w:val="00827BCA"/>
    <w:rsid w:val="00893B04"/>
    <w:rsid w:val="008B2AF5"/>
    <w:rsid w:val="008C694F"/>
    <w:rsid w:val="009840B6"/>
    <w:rsid w:val="00986A50"/>
    <w:rsid w:val="00A07A30"/>
    <w:rsid w:val="00BD04B6"/>
    <w:rsid w:val="00D34E79"/>
    <w:rsid w:val="00DB5E5B"/>
    <w:rsid w:val="00E1233F"/>
    <w:rsid w:val="00E6380A"/>
    <w:rsid w:val="00E77D0B"/>
    <w:rsid w:val="00E926E4"/>
    <w:rsid w:val="00FE3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72A71A2"/>
  <w14:defaultImageDpi w14:val="32767"/>
  <w15:chartTrackingRefBased/>
  <w15:docId w15:val="{31E3180E-D81B-A94F-9116-2ABA216FB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587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3D92"/>
    <w:rPr>
      <w:color w:val="0563C1" w:themeColor="hyperlink"/>
      <w:u w:val="single"/>
    </w:rPr>
  </w:style>
  <w:style w:type="character" w:styleId="UnresolvedMention">
    <w:name w:val="Unresolved Mention"/>
    <w:basedOn w:val="DefaultParagraphFont"/>
    <w:uiPriority w:val="99"/>
    <w:rsid w:val="00FE3D92"/>
    <w:rPr>
      <w:color w:val="808080"/>
      <w:shd w:val="clear" w:color="auto" w:fill="E6E6E6"/>
    </w:rPr>
  </w:style>
  <w:style w:type="character" w:styleId="FollowedHyperlink">
    <w:name w:val="FollowedHyperlink"/>
    <w:basedOn w:val="DefaultParagraphFont"/>
    <w:uiPriority w:val="99"/>
    <w:semiHidden/>
    <w:unhideWhenUsed/>
    <w:rsid w:val="001072B5"/>
    <w:rPr>
      <w:color w:val="954F72" w:themeColor="followedHyperlink"/>
      <w:u w:val="single"/>
    </w:rPr>
  </w:style>
  <w:style w:type="paragraph" w:customStyle="1" w:styleId="paragraph">
    <w:name w:val="paragraph"/>
    <w:basedOn w:val="Normal"/>
    <w:rsid w:val="007C03DF"/>
    <w:pPr>
      <w:spacing w:before="100" w:beforeAutospacing="1" w:after="100" w:afterAutospacing="1"/>
    </w:pPr>
    <w:rPr>
      <w:lang w:val="en-GB" w:eastAsia="en-GB"/>
    </w:rPr>
  </w:style>
  <w:style w:type="character" w:customStyle="1" w:styleId="normaltextrun">
    <w:name w:val="normaltextrun"/>
    <w:basedOn w:val="DefaultParagraphFont"/>
    <w:rsid w:val="007C03DF"/>
  </w:style>
  <w:style w:type="character" w:customStyle="1" w:styleId="eop">
    <w:name w:val="eop"/>
    <w:basedOn w:val="DefaultParagraphFont"/>
    <w:rsid w:val="007C0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752663">
      <w:bodyDiv w:val="1"/>
      <w:marLeft w:val="0"/>
      <w:marRight w:val="0"/>
      <w:marTop w:val="0"/>
      <w:marBottom w:val="0"/>
      <w:divBdr>
        <w:top w:val="none" w:sz="0" w:space="0" w:color="auto"/>
        <w:left w:val="none" w:sz="0" w:space="0" w:color="auto"/>
        <w:bottom w:val="none" w:sz="0" w:space="0" w:color="auto"/>
        <w:right w:val="none" w:sz="0" w:space="0" w:color="auto"/>
      </w:divBdr>
    </w:div>
    <w:div w:id="1942833025">
      <w:bodyDiv w:val="1"/>
      <w:marLeft w:val="0"/>
      <w:marRight w:val="0"/>
      <w:marTop w:val="0"/>
      <w:marBottom w:val="0"/>
      <w:divBdr>
        <w:top w:val="none" w:sz="0" w:space="0" w:color="auto"/>
        <w:left w:val="none" w:sz="0" w:space="0" w:color="auto"/>
        <w:bottom w:val="none" w:sz="0" w:space="0" w:color="auto"/>
        <w:right w:val="none" w:sz="0" w:space="0" w:color="auto"/>
      </w:divBdr>
    </w:div>
    <w:div w:id="212337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FWE-kpOoBv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4</Pages>
  <Words>1248</Words>
  <Characters>7119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Prettyman</dc:creator>
  <cp:keywords/>
  <dc:description/>
  <cp:lastModifiedBy>Toby Prettyman</cp:lastModifiedBy>
  <cp:revision>10</cp:revision>
  <dcterms:created xsi:type="dcterms:W3CDTF">2018-10-05T16:09:00Z</dcterms:created>
  <dcterms:modified xsi:type="dcterms:W3CDTF">2018-10-05T20:24:00Z</dcterms:modified>
</cp:coreProperties>
</file>