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47466014"/>
        <w:docPartObj>
          <w:docPartGallery w:val="Cover Pages"/>
          <w:docPartUnique/>
        </w:docPartObj>
      </w:sdtPr>
      <w:sdtContent>
        <w:p w14:paraId="7CCDD6CF" w14:textId="58B0243F" w:rsidR="00663511" w:rsidRDefault="00663511">
          <w:r>
            <w:rPr>
              <w:noProof/>
            </w:rPr>
            <mc:AlternateContent>
              <mc:Choice Requires="wpg">
                <w:drawing>
                  <wp:anchor distT="0" distB="0" distL="114300" distR="114300" simplePos="0" relativeHeight="251658243" behindDoc="0" locked="0" layoutInCell="1" allowOverlap="1" wp14:anchorId="7FB6CC9D" wp14:editId="22D4A85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220879" id="Group 157"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534AA41D" wp14:editId="7186C13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572F7CF" w14:textId="47BC4619" w:rsidR="00663511" w:rsidRPr="00FA3E60" w:rsidRDefault="00663511" w:rsidP="00FA3E60">
                                    <w:pPr>
                                      <w:pStyle w:val="NoSpacing"/>
                                      <w:spacing w:line="480" w:lineRule="auto"/>
                                      <w:jc w:val="right"/>
                                      <w:rPr>
                                        <w:rFonts w:ascii="Arial" w:hAnsi="Arial" w:cs="Arial"/>
                                        <w:color w:val="595959" w:themeColor="text1" w:themeTint="A6"/>
                                        <w:sz w:val="28"/>
                                        <w:szCs w:val="28"/>
                                      </w:rPr>
                                    </w:pPr>
                                    <w:r w:rsidRPr="00FA3E60">
                                      <w:rPr>
                                        <w:rFonts w:ascii="Arial" w:hAnsi="Arial" w:cs="Arial"/>
                                        <w:color w:val="595959" w:themeColor="text1" w:themeTint="A6"/>
                                        <w:sz w:val="28"/>
                                        <w:szCs w:val="28"/>
                                      </w:rPr>
                                      <w:t>Charlie Hughes (2400697)</w:t>
                                    </w:r>
                                  </w:p>
                                </w:sdtContent>
                              </w:sdt>
                              <w:p w14:paraId="0699BDDC" w14:textId="75CA54AC" w:rsidR="00663511" w:rsidRPr="00FA3E60" w:rsidRDefault="00000000" w:rsidP="00FA3E60">
                                <w:pPr>
                                  <w:pStyle w:val="NoSpacing"/>
                                  <w:spacing w:line="480" w:lineRule="auto"/>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63511" w:rsidRPr="00FA3E60">
                                      <w:rPr>
                                        <w:rFonts w:ascii="Arial" w:hAnsi="Arial" w:cs="Arial"/>
                                        <w:color w:val="595959" w:themeColor="text1" w:themeTint="A6"/>
                                        <w:sz w:val="18"/>
                                        <w:szCs w:val="18"/>
                                      </w:rPr>
                                      <w:t>2400697@student.uwtsd.ac.uk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34AA41D"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572F7CF" w14:textId="47BC4619" w:rsidR="00663511" w:rsidRPr="00FA3E60" w:rsidRDefault="00663511" w:rsidP="00FA3E60">
                              <w:pPr>
                                <w:pStyle w:val="NoSpacing"/>
                                <w:spacing w:line="480" w:lineRule="auto"/>
                                <w:jc w:val="right"/>
                                <w:rPr>
                                  <w:rFonts w:ascii="Arial" w:hAnsi="Arial" w:cs="Arial"/>
                                  <w:color w:val="595959" w:themeColor="text1" w:themeTint="A6"/>
                                  <w:sz w:val="28"/>
                                  <w:szCs w:val="28"/>
                                </w:rPr>
                              </w:pPr>
                              <w:r w:rsidRPr="00FA3E60">
                                <w:rPr>
                                  <w:rFonts w:ascii="Arial" w:hAnsi="Arial" w:cs="Arial"/>
                                  <w:color w:val="595959" w:themeColor="text1" w:themeTint="A6"/>
                                  <w:sz w:val="28"/>
                                  <w:szCs w:val="28"/>
                                </w:rPr>
                                <w:t>Charlie Hughes (2400697)</w:t>
                              </w:r>
                            </w:p>
                          </w:sdtContent>
                        </w:sdt>
                        <w:p w14:paraId="0699BDDC" w14:textId="75CA54AC" w:rsidR="00663511" w:rsidRPr="00FA3E60" w:rsidRDefault="00000000" w:rsidP="00FA3E60">
                          <w:pPr>
                            <w:pStyle w:val="NoSpacing"/>
                            <w:spacing w:line="480" w:lineRule="auto"/>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63511" w:rsidRPr="00FA3E60">
                                <w:rPr>
                                  <w:rFonts w:ascii="Arial" w:hAnsi="Arial" w:cs="Arial"/>
                                  <w:color w:val="595959" w:themeColor="text1" w:themeTint="A6"/>
                                  <w:sz w:val="18"/>
                                  <w:szCs w:val="18"/>
                                </w:rPr>
                                <w:t>2400697@student.uwtsd.ac.uk</w:t>
                              </w:r>
                            </w:sdtContent>
                          </w:sdt>
                        </w:p>
                      </w:txbxContent>
                    </v:textbox>
                    <w10:wrap type="square" anchorx="page" anchory="page"/>
                  </v:shape>
                </w:pict>
              </mc:Fallback>
            </mc:AlternateContent>
          </w:r>
        </w:p>
        <w:p w14:paraId="19F17C4A" w14:textId="5C2D7AC0" w:rsidR="00663511" w:rsidRDefault="00FA3E60">
          <w:r>
            <w:rPr>
              <w:noProof/>
            </w:rPr>
            <mc:AlternateContent>
              <mc:Choice Requires="wps">
                <w:drawing>
                  <wp:anchor distT="0" distB="0" distL="114300" distR="114300" simplePos="0" relativeHeight="251658242" behindDoc="0" locked="0" layoutInCell="1" allowOverlap="1" wp14:anchorId="59AECB78" wp14:editId="57CAEC7E">
                    <wp:simplePos x="0" y="0"/>
                    <wp:positionH relativeFrom="margin">
                      <wp:align>center</wp:align>
                    </wp:positionH>
                    <wp:positionV relativeFrom="page">
                      <wp:posOffset>7350125</wp:posOffset>
                    </wp:positionV>
                    <wp:extent cx="7315200" cy="1009650"/>
                    <wp:effectExtent l="0" t="0" r="0" b="127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179876" w14:textId="60493FB4" w:rsidR="00663511" w:rsidRPr="00FA3E60" w:rsidRDefault="00663511" w:rsidP="00FA3E60">
                                <w:pPr>
                                  <w:pStyle w:val="NoSpacing"/>
                                  <w:spacing w:line="480" w:lineRule="auto"/>
                                  <w:jc w:val="right"/>
                                  <w:rPr>
                                    <w:rFonts w:ascii="Arial" w:hAnsi="Arial" w:cs="Arial"/>
                                    <w:color w:val="156082" w:themeColor="accent1"/>
                                    <w:sz w:val="28"/>
                                    <w:szCs w:val="28"/>
                                  </w:rPr>
                                </w:pPr>
                                <w:r w:rsidRPr="00FA3E60">
                                  <w:rPr>
                                    <w:rFonts w:ascii="Arial" w:hAnsi="Arial" w:cs="Arial"/>
                                    <w:color w:val="156082" w:themeColor="accent1"/>
                                    <w:sz w:val="28"/>
                                    <w:szCs w:val="28"/>
                                  </w:rPr>
                                  <w:t>Sadie France</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E40CEB9" w14:textId="7B94EB4C" w:rsidR="00663511" w:rsidRDefault="00663511" w:rsidP="00663511">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9AECB78" id="Text Box 161" o:spid="_x0000_s1027" type="#_x0000_t202" style="position:absolute;margin-left:0;margin-top:578.75pt;width:8in;height:79.5pt;z-index:25165824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" filled="f" stroked="f" strokeweight=".5pt">
                    <v:textbox style="mso-fit-shape-to-text:t" inset="126pt,0,54pt,0">
                      <w:txbxContent>
                        <w:p w14:paraId="72179876" w14:textId="60493FB4" w:rsidR="00663511" w:rsidRPr="00FA3E60" w:rsidRDefault="00663511" w:rsidP="00FA3E60">
                          <w:pPr>
                            <w:pStyle w:val="NoSpacing"/>
                            <w:spacing w:line="480" w:lineRule="auto"/>
                            <w:jc w:val="right"/>
                            <w:rPr>
                              <w:rFonts w:ascii="Arial" w:hAnsi="Arial" w:cs="Arial"/>
                              <w:color w:val="156082" w:themeColor="accent1"/>
                              <w:sz w:val="28"/>
                              <w:szCs w:val="28"/>
                            </w:rPr>
                          </w:pPr>
                          <w:r w:rsidRPr="00FA3E60">
                            <w:rPr>
                              <w:rFonts w:ascii="Arial" w:hAnsi="Arial" w:cs="Arial"/>
                              <w:color w:val="156082" w:themeColor="accent1"/>
                              <w:sz w:val="28"/>
                              <w:szCs w:val="28"/>
                            </w:rPr>
                            <w:t>Sadie France</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E40CEB9" w14:textId="7B94EB4C" w:rsidR="00663511" w:rsidRDefault="00663511" w:rsidP="00663511">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14:anchorId="765B5D5A" wp14:editId="182F083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3270" cy="4282440"/>
                    <wp:effectExtent l="0" t="0" r="0" b="3810"/>
                    <wp:wrapSquare wrapText="bothSides"/>
                    <wp:docPr id="154" name="Text Box 163"/>
                    <wp:cNvGraphicFramePr/>
                    <a:graphic xmlns:a="http://schemas.openxmlformats.org/drawingml/2006/main">
                      <a:graphicData uri="http://schemas.microsoft.com/office/word/2010/wordprocessingShape">
                        <wps:wsp>
                          <wps:cNvSpPr txBox="1"/>
                          <wps:spPr>
                            <a:xfrm>
                              <a:off x="0" y="0"/>
                              <a:ext cx="7113270" cy="4282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719549" w14:textId="0535C809" w:rsidR="00663511" w:rsidRPr="00FA3E60" w:rsidRDefault="00000000" w:rsidP="00FA3E60">
                                <w:pPr>
                                  <w:spacing w:line="480" w:lineRule="auto"/>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FA3E60" w:rsidRPr="00FA3E60">
                                      <w:rPr>
                                        <w:rFonts w:ascii="Arial" w:hAnsi="Arial" w:cs="Arial"/>
                                        <w:caps/>
                                        <w:color w:val="156082" w:themeColor="accent1"/>
                                        <w:sz w:val="64"/>
                                        <w:szCs w:val="64"/>
                                      </w:rPr>
                                      <w:t>Evidence based policing: the tool for problem solving</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A78D0D5" w14:textId="1AE86D54" w:rsidR="00663511" w:rsidRPr="00FA3E60" w:rsidRDefault="00663511" w:rsidP="00FA3E60">
                                    <w:pPr>
                                      <w:spacing w:line="480" w:lineRule="auto"/>
                                      <w:jc w:val="right"/>
                                      <w:rPr>
                                        <w:rFonts w:ascii="Arial" w:hAnsi="Arial" w:cs="Arial"/>
                                        <w:smallCaps/>
                                        <w:color w:val="404040" w:themeColor="text1" w:themeTint="BF"/>
                                        <w:sz w:val="36"/>
                                        <w:szCs w:val="36"/>
                                      </w:rPr>
                                    </w:pPr>
                                    <w:r w:rsidRPr="00FA3E60">
                                      <w:rPr>
                                        <w:rFonts w:ascii="Arial" w:hAnsi="Arial" w:cs="Arial"/>
                                        <w:color w:val="404040" w:themeColor="text1" w:themeTint="BF"/>
                                        <w:sz w:val="36"/>
                                        <w:szCs w:val="36"/>
                                      </w:rPr>
                                      <w:t>BMPL4016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65B5D5A" id="Text Box 163" o:spid="_x0000_s1028" type="#_x0000_t202" style="position:absolute;margin-left:0;margin-top:0;width:560.1pt;height:337.2pt;z-index:251658240;visibility:visible;mso-wrap-style:square;mso-width-percent:0;mso-height-percent:0;mso-top-percent:300;mso-wrap-distance-left:9pt;mso-wrap-distance-top:0;mso-wrap-distance-right:9pt;mso-wrap-distance-bottom:0;mso-position-horizontal:center;mso-position-horizontal-relative:page;mso-position-vertical-relative:page;mso-width-percent:0;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" filled="f" stroked="f" strokeweight=".5pt">
                    <v:textbox inset="126pt,0,54pt,0">
                      <w:txbxContent>
                        <w:p w14:paraId="32719549" w14:textId="0535C809" w:rsidR="00663511" w:rsidRPr="00FA3E60" w:rsidRDefault="00000000" w:rsidP="00FA3E60">
                          <w:pPr>
                            <w:spacing w:line="480" w:lineRule="auto"/>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FA3E60" w:rsidRPr="00FA3E60">
                                <w:rPr>
                                  <w:rFonts w:ascii="Arial" w:hAnsi="Arial" w:cs="Arial"/>
                                  <w:caps/>
                                  <w:color w:val="156082" w:themeColor="accent1"/>
                                  <w:sz w:val="64"/>
                                  <w:szCs w:val="64"/>
                                </w:rPr>
                                <w:t>Evidence based policing: the tool for problem solving</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A78D0D5" w14:textId="1AE86D54" w:rsidR="00663511" w:rsidRPr="00FA3E60" w:rsidRDefault="00663511" w:rsidP="00FA3E60">
                              <w:pPr>
                                <w:spacing w:line="480" w:lineRule="auto"/>
                                <w:jc w:val="right"/>
                                <w:rPr>
                                  <w:rFonts w:ascii="Arial" w:hAnsi="Arial" w:cs="Arial"/>
                                  <w:smallCaps/>
                                  <w:color w:val="404040" w:themeColor="text1" w:themeTint="BF"/>
                                  <w:sz w:val="36"/>
                                  <w:szCs w:val="36"/>
                                </w:rPr>
                              </w:pPr>
                              <w:r w:rsidRPr="00FA3E60">
                                <w:rPr>
                                  <w:rFonts w:ascii="Arial" w:hAnsi="Arial" w:cs="Arial"/>
                                  <w:color w:val="404040" w:themeColor="text1" w:themeTint="BF"/>
                                  <w:sz w:val="36"/>
                                  <w:szCs w:val="36"/>
                                </w:rPr>
                                <w:t>BMPL4016</w:t>
                              </w:r>
                            </w:p>
                          </w:sdtContent>
                        </w:sdt>
                      </w:txbxContent>
                    </v:textbox>
                    <w10:wrap type="square" anchorx="page" anchory="page"/>
                  </v:shape>
                </w:pict>
              </mc:Fallback>
            </mc:AlternateContent>
          </w:r>
          <w:r w:rsidR="00663511">
            <w:br w:type="page"/>
          </w:r>
        </w:p>
      </w:sdtContent>
    </w:sdt>
    <w:sdt>
      <w:sdtPr>
        <w:rPr>
          <w:rFonts w:asciiTheme="minorHAnsi" w:eastAsiaTheme="minorEastAsia" w:hAnsiTheme="minorHAnsi" w:cs="Times New Roman"/>
          <w:color w:val="auto"/>
          <w:sz w:val="22"/>
          <w:szCs w:val="22"/>
        </w:rPr>
        <w:id w:val="-1442140850"/>
        <w:docPartObj>
          <w:docPartGallery w:val="Table of Contents"/>
          <w:docPartUnique/>
        </w:docPartObj>
      </w:sdtPr>
      <w:sdtContent>
        <w:p w14:paraId="07D9254B" w14:textId="25DE1CDB" w:rsidR="006C5981" w:rsidRPr="00FA3E60" w:rsidRDefault="006C5981" w:rsidP="00FA3E60">
          <w:pPr>
            <w:pStyle w:val="TOCHeading"/>
            <w:spacing w:line="480" w:lineRule="auto"/>
            <w:rPr>
              <w:rFonts w:ascii="Arial" w:hAnsi="Arial" w:cs="Arial"/>
              <w:sz w:val="24"/>
              <w:szCs w:val="24"/>
              <w:u w:val="single"/>
            </w:rPr>
          </w:pPr>
          <w:r w:rsidRPr="00FA3E60">
            <w:rPr>
              <w:rFonts w:ascii="Arial" w:hAnsi="Arial" w:cs="Arial"/>
              <w:sz w:val="24"/>
              <w:szCs w:val="24"/>
              <w:u w:val="single"/>
            </w:rPr>
            <w:t>Table of Contents</w:t>
          </w:r>
        </w:p>
        <w:p w14:paraId="3078714F" w14:textId="2A387A7B" w:rsidR="006C5981" w:rsidRPr="00FA3E60" w:rsidRDefault="00FA3E60" w:rsidP="00FA3E60">
          <w:pPr>
            <w:pStyle w:val="TOC1"/>
            <w:spacing w:line="480" w:lineRule="auto"/>
            <w:rPr>
              <w:rFonts w:ascii="Arial" w:hAnsi="Arial" w:cs="Arial"/>
              <w:sz w:val="24"/>
              <w:szCs w:val="24"/>
            </w:rPr>
          </w:pPr>
          <w:r w:rsidRPr="00FA3E60">
            <w:rPr>
              <w:rFonts w:ascii="Arial" w:hAnsi="Arial" w:cs="Arial"/>
              <w:sz w:val="24"/>
              <w:szCs w:val="24"/>
            </w:rPr>
            <w:t>Introduction</w:t>
          </w:r>
          <w:r w:rsidR="006C5981" w:rsidRPr="00FA3E60">
            <w:rPr>
              <w:rFonts w:ascii="Arial" w:hAnsi="Arial" w:cs="Arial"/>
              <w:sz w:val="24"/>
              <w:szCs w:val="24"/>
            </w:rPr>
            <w:ptab w:relativeTo="margin" w:alignment="right" w:leader="dot"/>
          </w:r>
          <w:r w:rsidRPr="00FA3E60">
            <w:rPr>
              <w:rFonts w:ascii="Arial" w:hAnsi="Arial" w:cs="Arial"/>
              <w:sz w:val="24"/>
              <w:szCs w:val="24"/>
            </w:rPr>
            <w:t>2</w:t>
          </w:r>
        </w:p>
        <w:p w14:paraId="62CBBD69" w14:textId="77777777" w:rsidR="00FA3E60" w:rsidRPr="00FA3E60" w:rsidRDefault="00FA3E60" w:rsidP="00FA3E60">
          <w:pPr>
            <w:pStyle w:val="TOC2"/>
            <w:spacing w:line="480" w:lineRule="auto"/>
            <w:ind w:left="0"/>
            <w:rPr>
              <w:rFonts w:ascii="Arial" w:hAnsi="Arial" w:cs="Arial"/>
              <w:sz w:val="24"/>
              <w:szCs w:val="24"/>
            </w:rPr>
          </w:pPr>
          <w:r w:rsidRPr="00FA3E60">
            <w:rPr>
              <w:rFonts w:ascii="Arial" w:hAnsi="Arial" w:cs="Arial"/>
              <w:sz w:val="24"/>
              <w:szCs w:val="24"/>
            </w:rPr>
            <w:t>Main Body</w:t>
          </w:r>
          <w:r w:rsidR="006C5981" w:rsidRPr="00FA3E60">
            <w:rPr>
              <w:rFonts w:ascii="Arial" w:hAnsi="Arial" w:cs="Arial"/>
              <w:sz w:val="24"/>
              <w:szCs w:val="24"/>
            </w:rPr>
            <w:ptab w:relativeTo="margin" w:alignment="right" w:leader="dot"/>
          </w:r>
          <w:r w:rsidR="006C5981" w:rsidRPr="00FA3E60">
            <w:rPr>
              <w:rFonts w:ascii="Arial" w:hAnsi="Arial" w:cs="Arial"/>
              <w:sz w:val="24"/>
              <w:szCs w:val="24"/>
            </w:rPr>
            <w:t>2</w:t>
          </w:r>
        </w:p>
        <w:p w14:paraId="63BBE562" w14:textId="68F2A1B2" w:rsidR="006C5981" w:rsidRPr="00FA3E60" w:rsidRDefault="00FA3E60" w:rsidP="00FA3E60">
          <w:pPr>
            <w:pStyle w:val="TOC2"/>
            <w:spacing w:line="480" w:lineRule="auto"/>
            <w:ind w:left="0"/>
            <w:rPr>
              <w:rFonts w:ascii="Arial" w:hAnsi="Arial" w:cs="Arial"/>
              <w:sz w:val="24"/>
              <w:szCs w:val="24"/>
            </w:rPr>
          </w:pPr>
          <w:r w:rsidRPr="00FA3E60">
            <w:rPr>
              <w:rFonts w:ascii="Arial" w:hAnsi="Arial" w:cs="Arial"/>
              <w:sz w:val="24"/>
              <w:szCs w:val="24"/>
            </w:rPr>
            <w:t>Conclusion</w:t>
          </w:r>
          <w:r w:rsidR="006C5981" w:rsidRPr="00FA3E60">
            <w:rPr>
              <w:rFonts w:ascii="Arial" w:hAnsi="Arial" w:cs="Arial"/>
              <w:sz w:val="24"/>
              <w:szCs w:val="24"/>
            </w:rPr>
            <w:ptab w:relativeTo="margin" w:alignment="right" w:leader="dot"/>
          </w:r>
          <w:r w:rsidRPr="00FA3E60">
            <w:rPr>
              <w:rFonts w:ascii="Arial" w:hAnsi="Arial" w:cs="Arial"/>
              <w:sz w:val="24"/>
              <w:szCs w:val="24"/>
            </w:rPr>
            <w:t>7</w:t>
          </w:r>
        </w:p>
        <w:p w14:paraId="5C66A5D0" w14:textId="7EBFC662" w:rsidR="006C5981" w:rsidRPr="00FA3E60" w:rsidRDefault="00FA3E60" w:rsidP="00FA3E60">
          <w:pPr>
            <w:pStyle w:val="TOC1"/>
            <w:spacing w:line="480" w:lineRule="auto"/>
          </w:pPr>
          <w:r w:rsidRPr="00FA3E60">
            <w:rPr>
              <w:rFonts w:ascii="Arial" w:hAnsi="Arial" w:cs="Arial"/>
              <w:sz w:val="24"/>
              <w:szCs w:val="24"/>
            </w:rPr>
            <w:t>Reference List</w:t>
          </w:r>
          <w:r w:rsidR="006C5981" w:rsidRPr="00FA3E60">
            <w:rPr>
              <w:rFonts w:ascii="Arial" w:hAnsi="Arial" w:cs="Arial"/>
              <w:sz w:val="24"/>
              <w:szCs w:val="24"/>
            </w:rPr>
            <w:ptab w:relativeTo="margin" w:alignment="right" w:leader="dot"/>
          </w:r>
          <w:r w:rsidRPr="00FA3E60">
            <w:rPr>
              <w:rFonts w:ascii="Arial" w:hAnsi="Arial" w:cs="Arial"/>
              <w:sz w:val="24"/>
              <w:szCs w:val="24"/>
            </w:rPr>
            <w:t>9</w:t>
          </w:r>
        </w:p>
      </w:sdtContent>
    </w:sdt>
    <w:p w14:paraId="5FE3A852" w14:textId="77777777" w:rsidR="007415EC" w:rsidRDefault="007415EC" w:rsidP="00CA77E0">
      <w:pPr>
        <w:spacing w:line="480" w:lineRule="auto"/>
      </w:pPr>
    </w:p>
    <w:p w14:paraId="4E0B84CD" w14:textId="77777777" w:rsidR="00663511" w:rsidRDefault="00663511" w:rsidP="00CA77E0">
      <w:pPr>
        <w:spacing w:line="480" w:lineRule="auto"/>
      </w:pPr>
    </w:p>
    <w:p w14:paraId="371CE575" w14:textId="77777777" w:rsidR="00663511" w:rsidRDefault="00663511" w:rsidP="00CA77E0">
      <w:pPr>
        <w:spacing w:line="480" w:lineRule="auto"/>
      </w:pPr>
    </w:p>
    <w:p w14:paraId="6B70BFA9" w14:textId="77777777" w:rsidR="00663511" w:rsidRDefault="00663511" w:rsidP="00CA77E0">
      <w:pPr>
        <w:spacing w:line="480" w:lineRule="auto"/>
      </w:pPr>
    </w:p>
    <w:p w14:paraId="3CCC184D" w14:textId="77777777" w:rsidR="00663511" w:rsidRDefault="00663511" w:rsidP="00CA77E0">
      <w:pPr>
        <w:spacing w:line="480" w:lineRule="auto"/>
      </w:pPr>
    </w:p>
    <w:p w14:paraId="6493E204" w14:textId="77777777" w:rsidR="00663511" w:rsidRDefault="00663511" w:rsidP="00CA77E0">
      <w:pPr>
        <w:spacing w:line="480" w:lineRule="auto"/>
      </w:pPr>
    </w:p>
    <w:p w14:paraId="34E8E68E" w14:textId="77777777" w:rsidR="00663511" w:rsidRDefault="00663511" w:rsidP="00CA77E0">
      <w:pPr>
        <w:spacing w:line="480" w:lineRule="auto"/>
      </w:pPr>
    </w:p>
    <w:p w14:paraId="19E66A62" w14:textId="77777777" w:rsidR="00663511" w:rsidRDefault="00663511" w:rsidP="00CA77E0">
      <w:pPr>
        <w:spacing w:line="480" w:lineRule="auto"/>
      </w:pPr>
    </w:p>
    <w:p w14:paraId="0C95454E" w14:textId="77777777" w:rsidR="00663511" w:rsidRDefault="00663511" w:rsidP="00CA77E0">
      <w:pPr>
        <w:spacing w:line="480" w:lineRule="auto"/>
      </w:pPr>
    </w:p>
    <w:p w14:paraId="209C2FB9" w14:textId="77777777" w:rsidR="00663511" w:rsidRDefault="00663511" w:rsidP="00CA77E0">
      <w:pPr>
        <w:spacing w:line="480" w:lineRule="auto"/>
      </w:pPr>
    </w:p>
    <w:p w14:paraId="734EECF3" w14:textId="77777777" w:rsidR="00663511" w:rsidRDefault="00663511" w:rsidP="00CA77E0">
      <w:pPr>
        <w:spacing w:line="480" w:lineRule="auto"/>
      </w:pPr>
    </w:p>
    <w:p w14:paraId="3283941F" w14:textId="77777777" w:rsidR="00663511" w:rsidRDefault="00663511" w:rsidP="00CA77E0">
      <w:pPr>
        <w:spacing w:line="480" w:lineRule="auto"/>
      </w:pPr>
    </w:p>
    <w:p w14:paraId="4240B4F9" w14:textId="77777777" w:rsidR="00663511" w:rsidRDefault="00663511" w:rsidP="00CA77E0">
      <w:pPr>
        <w:spacing w:line="480" w:lineRule="auto"/>
      </w:pPr>
    </w:p>
    <w:p w14:paraId="7636DBD8" w14:textId="77777777" w:rsidR="00CA77E0" w:rsidRDefault="00CA77E0" w:rsidP="00CA77E0">
      <w:pPr>
        <w:spacing w:line="480" w:lineRule="auto"/>
      </w:pPr>
    </w:p>
    <w:p w14:paraId="100B2549" w14:textId="77777777" w:rsidR="00645126" w:rsidRDefault="00645126" w:rsidP="00CA77E0">
      <w:pPr>
        <w:spacing w:line="480" w:lineRule="auto"/>
        <w:rPr>
          <w:rFonts w:ascii="Arial" w:hAnsi="Arial" w:cs="Arial"/>
          <w:u w:val="single"/>
        </w:rPr>
      </w:pPr>
    </w:p>
    <w:p w14:paraId="4EAFC253" w14:textId="5ABFED9A" w:rsidR="00CA77E0" w:rsidRDefault="00663511" w:rsidP="00CA77E0">
      <w:pPr>
        <w:spacing w:line="480" w:lineRule="auto"/>
        <w:rPr>
          <w:rFonts w:ascii="Arial" w:hAnsi="Arial" w:cs="Arial"/>
          <w:u w:val="single"/>
        </w:rPr>
      </w:pPr>
      <w:r w:rsidRPr="00AA0188">
        <w:rPr>
          <w:rFonts w:ascii="Arial" w:hAnsi="Arial" w:cs="Arial"/>
          <w:u w:val="single"/>
        </w:rPr>
        <w:lastRenderedPageBreak/>
        <w:t>Introduction:</w:t>
      </w:r>
    </w:p>
    <w:p w14:paraId="719FFF84" w14:textId="77777777" w:rsidR="00FA3E60" w:rsidRPr="00CA77E0" w:rsidRDefault="00FA3E60" w:rsidP="00CA77E0">
      <w:pPr>
        <w:spacing w:line="480" w:lineRule="auto"/>
        <w:rPr>
          <w:rFonts w:ascii="Arial" w:hAnsi="Arial" w:cs="Arial"/>
          <w:u w:val="single"/>
        </w:rPr>
      </w:pPr>
    </w:p>
    <w:p w14:paraId="4153F9B0"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Evidence-based policing (EBP) is a strategic approach that integrates empirical research into law enforcement to enhance accountability, effectiveness, and public trust. Institutions such as the College of Policing (CoP) promote EBP to ensure that modern policing strategies are grounded in scientifically backed methods rather than traditional practices or individual intuition (CoP, 2024). One key model within EBP is Problem-Oriented Policing (POP), developed by Herman Goldstein. This report will explore the application of the POP model within a UK policing context, assessing its impact on crime reduction and public safety. It will evaluate the role of evidence in shaping policing decisions, highlighting how empirical research supports effective problem-solving. Additionally, the report will examine the strengths and limitations of the POP model. Using real-world examples from UK police forces, it will illustrate the practical application of POP. By critically analysing its benefits and challenges, this report aims to provide a comprehensive understanding of POP’s role in modern policing and its potential to enhance law enforcement effectiveness across the UK. </w:t>
      </w:r>
    </w:p>
    <w:p w14:paraId="4D9EB36C"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 </w:t>
      </w:r>
    </w:p>
    <w:p w14:paraId="5C5611F2"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u w:val="single"/>
        </w:rPr>
        <w:t>Main Body:</w:t>
      </w:r>
      <w:r w:rsidRPr="00A21AB7">
        <w:rPr>
          <w:rFonts w:ascii="Arial" w:hAnsi="Arial" w:cs="Arial"/>
        </w:rPr>
        <w:t> </w:t>
      </w:r>
    </w:p>
    <w:p w14:paraId="6CFB5757"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 </w:t>
      </w:r>
    </w:p>
    <w:p w14:paraId="01528A10"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 xml:space="preserve">The Society of Evidence Based Policing [SEBP] (2025) defines EBP as the practise and philosophy of using the best available research </w:t>
      </w:r>
      <w:proofErr w:type="gramStart"/>
      <w:r w:rsidRPr="00A21AB7">
        <w:rPr>
          <w:rFonts w:ascii="Arial" w:hAnsi="Arial" w:cs="Arial"/>
        </w:rPr>
        <w:t>in order to</w:t>
      </w:r>
      <w:proofErr w:type="gramEnd"/>
      <w:r w:rsidRPr="00A21AB7">
        <w:rPr>
          <w:rFonts w:ascii="Arial" w:hAnsi="Arial" w:cs="Arial"/>
        </w:rPr>
        <w:t xml:space="preserve"> evaluate and guide decisions in policing. It aims to enhance professional judgement and experience through vetted and vigorous research. It can be used to inform anything within a policing context, from the organisational structure to specific strategies in combating </w:t>
      </w:r>
      <w:r w:rsidRPr="00A21AB7">
        <w:rPr>
          <w:rFonts w:ascii="Arial" w:hAnsi="Arial" w:cs="Arial"/>
        </w:rPr>
        <w:lastRenderedPageBreak/>
        <w:t>crime. EBP is composed of three main principles; Using the scientific method to analyse what is effective versus ineffective, its application across all levels of policing and how it places a heavy emphasis on the prevention of crime itself. This approach is particularly relevant in modern day policing. Where, ever evolving crime trends, complex social issues and high levels of public scrutiny necessitates more strategic and transparent decision making from constabularies. As highlighted by Low and Owen-Evans (2024), public trust and confidence in police is very low at this moment in time and one of the ways to garner this trust back is through effective EBP. </w:t>
      </w:r>
    </w:p>
    <w:p w14:paraId="56873930"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 </w:t>
      </w:r>
    </w:p>
    <w:p w14:paraId="1CA9DB2E"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A key model withing EBP is Problem-Oriented Policing (POP), developed by Herman Goldstein in the late 1970s. POP advocates for both a systematic and proactive approach to crime reduction by focusing on the underlying causes of reoccurring crimes rather than simply responding to incidents as they happen. It pushes police to not only improve current efforts but calls for a major change in the direction of those efforts (Goldstein, 1990, p32). This shift from reactive to preventative policing allows constabularies to develop long term solutions that address public safety concerns and persistent crime patterns. </w:t>
      </w:r>
    </w:p>
    <w:p w14:paraId="3B4A3280"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 </w:t>
      </w:r>
    </w:p>
    <w:p w14:paraId="28803A95"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 xml:space="preserve">POP itself is operationalised through the SARA (Scanning, Analysis, Response, Assessment) model. This gives POP a structured method for identifying and addressing problems. It begins with Scanning, identifying recurring crime issues and their impact on the community. Analysis then examines the root causes and contributing factors. Based on this, the Response phase implements targeted strategies such as community engagement or increased patrols. Finally, the most </w:t>
      </w:r>
      <w:r w:rsidRPr="00A21AB7">
        <w:rPr>
          <w:rFonts w:ascii="Arial" w:hAnsi="Arial" w:cs="Arial"/>
        </w:rPr>
        <w:lastRenderedPageBreak/>
        <w:t>important step is Assessment. This measures the overall effectiveness of the strategies through crime rates and public perception, adjusting when and where necessary. Following this model ensures proactive, data-driven crime prevention (Newburn, 2008, p.383). </w:t>
      </w:r>
    </w:p>
    <w:p w14:paraId="5A54370D"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 </w:t>
      </w:r>
    </w:p>
    <w:p w14:paraId="6BD0CE27"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Overall, since the implementation of POP and with agencies such as the CoP promoting its use, it has become a widely integrated method for preventing crime throughout England and Wales. By relying on data-driven decision-making, law enforcement agencies can allocate resources more efficiently, foster stronger relationships with local communities, and reduce repeat victimisation (Sidebottom et al., 2020, pp. 30-34). This is further highlighted by the Greater London Authority (2022), where an analysis of POP showed a 33.8% reduction in crime and disorder. This demonstrates the effectiveness of targeted, evidence-based strategies in addressing persistent issues and enhancing public safety. </w:t>
      </w:r>
    </w:p>
    <w:p w14:paraId="4481A59B"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 </w:t>
      </w:r>
    </w:p>
    <w:p w14:paraId="3CBAF377"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 xml:space="preserve">Despite its significant advantages, the effective implantation of POP can be challenging. According to Wood et al. (2024), many constabularies face resource restraints, data quality issues and an inherent institutional resistance to change. Additionally, the effectiveness of POP interventions themselves can vary depending on the accuracy of data analysts, poor management and the cooperation of external agencies. This is further supported by Newburn and </w:t>
      </w:r>
      <w:proofErr w:type="spellStart"/>
      <w:r w:rsidRPr="00A21AB7">
        <w:rPr>
          <w:rFonts w:ascii="Arial" w:hAnsi="Arial" w:cs="Arial"/>
        </w:rPr>
        <w:t>Neyroud</w:t>
      </w:r>
      <w:proofErr w:type="spellEnd"/>
      <w:r w:rsidRPr="00A21AB7">
        <w:rPr>
          <w:rFonts w:ascii="Arial" w:hAnsi="Arial" w:cs="Arial"/>
        </w:rPr>
        <w:t xml:space="preserve"> (2008) as they suppose that different agencies can experience friction when working together due to different operational objectives and organisational structures. However, when applied </w:t>
      </w:r>
      <w:r w:rsidRPr="00A21AB7">
        <w:rPr>
          <w:rFonts w:ascii="Arial" w:hAnsi="Arial" w:cs="Arial"/>
        </w:rPr>
        <w:lastRenderedPageBreak/>
        <w:t>effectively, POP has been shown to significantly reduce crime and disorder, making it a vital tool in any police forces arsenal. </w:t>
      </w:r>
    </w:p>
    <w:p w14:paraId="6B1AF2FF"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 </w:t>
      </w:r>
    </w:p>
    <w:p w14:paraId="03E90784"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The vital importance of evidence in decision-making in policing cannot be overstated, as it provides the very backbone for more informed, accountable and effective practises. This is partly why POP has shown to have a profound effect when used strategically. This can be seen through enhanced effectiveness of strategies. By ensuring law enforcement adopts interventions and strategies that are proven work, it results in statistically significant reductions in crime and disorder when compared to the more traditional policing methods. This is shown through Hinkle et al., (2024) where a comprehensive meta-analysis of POP showed a 33.8% relative reduction in crime and disorder, this is also supported by the previously mentioned Greater London Authority (2022). Additionally, Mitchell and Lewis (2017) note that true EBP demands transparency and open dialogue within communities. This transparency will necessitate a higher degree of accountability. By the public being more knowledgeable about how a police force operates it will naturally help avoid disproportionate uses of force and intrusion (Sherman, 2023, p.20). </w:t>
      </w:r>
    </w:p>
    <w:p w14:paraId="1DD21591"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 </w:t>
      </w:r>
    </w:p>
    <w:p w14:paraId="1F922183"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 xml:space="preserve">Moreover, EBP can be crucial in optimising resource allocation. For example, if a constabulary decides to increase patrols to reduce crime but lacks knowledge of where the crime hotspots are, the impact is likely to be minimal. However, an experiment in the USA showed that when Philadelphia foot patrols were directed at specific areas known for crime, it led to a 23% reduction in crime in those areas (Ratcliffe et al., 2011, p. 809). This is further supported by Ratcliffe et al. (2021, pp. </w:t>
      </w:r>
      <w:r w:rsidRPr="00A21AB7">
        <w:rPr>
          <w:rFonts w:ascii="Arial" w:hAnsi="Arial" w:cs="Arial"/>
        </w:rPr>
        <w:lastRenderedPageBreak/>
        <w:t>15-41), where deploying marked cars in crime hotspots resulted in a 31% reduction in crime, with an additional 40% decrease in crime over the next eight hours after the patrol vehicles were used. These results highlight the effectiveness of correct resource allocation when taking a proactive approach in combatting crime. Finally, using POP encourages ongoing adaptation and evaluation of policing strategies. This will lead to continuous improvement within a police force over all areas. This will create a culture of learning and further refinement of processes ensure that the constabulary will stay ahead of emerging challenges within a community (British Transport Police Authority, 2009, pp. 4-7). </w:t>
      </w:r>
    </w:p>
    <w:p w14:paraId="441C5D28"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 </w:t>
      </w:r>
    </w:p>
    <w:p w14:paraId="0F2E94B6"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 xml:space="preserve">Several Police forces in the UK have successfully implemented the POP model </w:t>
      </w:r>
      <w:proofErr w:type="gramStart"/>
      <w:r w:rsidRPr="00A21AB7">
        <w:rPr>
          <w:rFonts w:ascii="Arial" w:hAnsi="Arial" w:cs="Arial"/>
        </w:rPr>
        <w:t>in regards to</w:t>
      </w:r>
      <w:proofErr w:type="gramEnd"/>
      <w:r w:rsidRPr="00A21AB7">
        <w:rPr>
          <w:rFonts w:ascii="Arial" w:hAnsi="Arial" w:cs="Arial"/>
        </w:rPr>
        <w:t xml:space="preserve"> tackling specific crime issues within their communities. This has been achieved through a systematic approach to problem solving and community engagement. For example, Greater Manchester Police (GMP) established local prevention hubs throughout the city with the aim to reduce anti-social behaviour. These hubs would use the SARA model to ensure a structured, data driven approach was used when tackling the local problems. These hubs would work with various partners, local agencies and charities throughout the city to ensure that local problems were addressed in a way that showed effective results. So much so that Tameside’s Neighbourhood Prevention Hub was honoured with a prestigious force award for its excellent results in improving the community (GMP, 2024). By focusing on the roots of criminality and increasing their effort to prevent crime happening, it has led to a remarkable improvement to local communities by stopping the perpetual cycle of repeat victims and criminals. </w:t>
      </w:r>
    </w:p>
    <w:p w14:paraId="090BC10B"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lastRenderedPageBreak/>
        <w:t> </w:t>
      </w:r>
    </w:p>
    <w:p w14:paraId="22F97BF2"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 xml:space="preserve">Another notable initiative that GMP used within the POP model was Operation Castle. The aim of this operation was to reduce burglaries across Manchester. Burglary is stated to account for 30% of all neighbourhood crime offences (GMP, 2021), highlighting how serious an issue it is to local communities. This </w:t>
      </w:r>
      <w:proofErr w:type="gramStart"/>
      <w:r w:rsidRPr="00A21AB7">
        <w:rPr>
          <w:rFonts w:ascii="Arial" w:hAnsi="Arial" w:cs="Arial"/>
        </w:rPr>
        <w:t>particular crime</w:t>
      </w:r>
      <w:proofErr w:type="gramEnd"/>
      <w:r w:rsidRPr="00A21AB7">
        <w:rPr>
          <w:rFonts w:ascii="Arial" w:hAnsi="Arial" w:cs="Arial"/>
        </w:rPr>
        <w:t xml:space="preserve"> can be devastating to local communities by making people feel unsafe, even in their own homes. To combat this issue, Operation Castle was introduced. Its aim was to understand why this was a big problem in the first place. Following that, GMP worked with local communities and switched up how they dealt with burglaries in general to ensure that all burglary calls were attended to promptly and that more resources were allocated to ensure they had constables who specifically tackled this issue. Within 12 months of this operation, GMP were able to solve 68.7% more residential burglaries than the previous year and that the number of people arrested on suspicion of burglary rose by 42.1% (GMP, 2021). Overall, these two examples of POP put into practise show the remarkable results that data driven, community-oriented police practises can achieve when done effectively.  </w:t>
      </w:r>
    </w:p>
    <w:p w14:paraId="5814A830"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 </w:t>
      </w:r>
    </w:p>
    <w:p w14:paraId="2B8518E6"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u w:val="single"/>
        </w:rPr>
        <w:t>Conclusion:</w:t>
      </w:r>
      <w:r w:rsidRPr="00A21AB7">
        <w:rPr>
          <w:rFonts w:ascii="Arial" w:hAnsi="Arial" w:cs="Arial"/>
        </w:rPr>
        <w:t> </w:t>
      </w:r>
    </w:p>
    <w:p w14:paraId="2C18F2C4"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 </w:t>
      </w:r>
    </w:p>
    <w:p w14:paraId="5426206B"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 xml:space="preserve">EBP, particularly through the POP model, plays a crucial role in modern day policing. By addressing the root causes of crime rather than just responding to incidents, POP allows for a structured and data-driven approach to policing. This is demonstrated through initiatives like Operation Castle and GMP’s Neighbourhood Prevention Hubs, which have both shown measurable reductions in crime and disorder. Despite </w:t>
      </w:r>
      <w:r w:rsidRPr="00A21AB7">
        <w:rPr>
          <w:rFonts w:ascii="Arial" w:hAnsi="Arial" w:cs="Arial"/>
        </w:rPr>
        <w:lastRenderedPageBreak/>
        <w:t>its effectiveness, challenges such as resource constraints, institutional resistance, and data quality issues can hinder its implementation. However, when applied correctly, POP significantly improves policing outcomes, enhances community relations and optimises resource allocation.  </w:t>
      </w:r>
    </w:p>
    <w:p w14:paraId="55B69331"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 </w:t>
      </w:r>
    </w:p>
    <w:p w14:paraId="5839B556" w14:textId="77777777" w:rsidR="00A21AB7" w:rsidRPr="00A21AB7" w:rsidRDefault="00A21AB7" w:rsidP="00A21AB7">
      <w:pPr>
        <w:tabs>
          <w:tab w:val="left" w:pos="8112"/>
        </w:tabs>
        <w:spacing w:line="480" w:lineRule="auto"/>
        <w:rPr>
          <w:rFonts w:ascii="Arial" w:hAnsi="Arial" w:cs="Arial"/>
        </w:rPr>
      </w:pPr>
      <w:r w:rsidRPr="00A21AB7">
        <w:rPr>
          <w:rFonts w:ascii="Arial" w:hAnsi="Arial" w:cs="Arial"/>
        </w:rPr>
        <w:t>As crime evolves and public trust remains a pressing issue, embedding the evidence-based strategies within policing becomes ever more vital. By prioritising data-driven decision making and proactive problem-solving, law enforcement can ensure a more effective, transparent and accountable approach to public safety. </w:t>
      </w:r>
    </w:p>
    <w:p w14:paraId="1630619C" w14:textId="270FC25F" w:rsidR="00663511" w:rsidRPr="00AA0188" w:rsidRDefault="00663511" w:rsidP="00CA77E0">
      <w:pPr>
        <w:tabs>
          <w:tab w:val="left" w:pos="8112"/>
        </w:tabs>
        <w:spacing w:line="480" w:lineRule="auto"/>
        <w:rPr>
          <w:rFonts w:ascii="Arial" w:hAnsi="Arial" w:cs="Arial"/>
          <w:b/>
          <w:bCs/>
          <w:u w:val="single"/>
        </w:rPr>
      </w:pPr>
    </w:p>
    <w:p w14:paraId="00DACBE5" w14:textId="77777777" w:rsidR="00B90C78" w:rsidRPr="00AA0188" w:rsidRDefault="00B90C78" w:rsidP="00CA77E0">
      <w:pPr>
        <w:tabs>
          <w:tab w:val="left" w:pos="8112"/>
        </w:tabs>
        <w:spacing w:line="480" w:lineRule="auto"/>
        <w:rPr>
          <w:rFonts w:ascii="Arial" w:hAnsi="Arial" w:cs="Arial"/>
          <w:b/>
          <w:bCs/>
          <w:u w:val="single"/>
        </w:rPr>
      </w:pPr>
    </w:p>
    <w:p w14:paraId="183E3F51" w14:textId="77777777" w:rsidR="00B90C78" w:rsidRPr="00AA0188" w:rsidRDefault="00B90C78" w:rsidP="00CA77E0">
      <w:pPr>
        <w:tabs>
          <w:tab w:val="left" w:pos="8112"/>
        </w:tabs>
        <w:spacing w:line="480" w:lineRule="auto"/>
        <w:rPr>
          <w:rFonts w:ascii="Arial" w:hAnsi="Arial" w:cs="Arial"/>
          <w:b/>
          <w:bCs/>
          <w:u w:val="single"/>
        </w:rPr>
      </w:pPr>
    </w:p>
    <w:p w14:paraId="59C12FF7" w14:textId="77777777" w:rsidR="00CA77E0" w:rsidRDefault="00CA77E0" w:rsidP="00CA77E0">
      <w:pPr>
        <w:spacing w:line="480" w:lineRule="auto"/>
        <w:rPr>
          <w:rFonts w:ascii="Arial" w:hAnsi="Arial" w:cs="Arial"/>
          <w:b/>
          <w:bCs/>
          <w:u w:val="single"/>
        </w:rPr>
      </w:pPr>
    </w:p>
    <w:p w14:paraId="6879DDB8" w14:textId="77777777" w:rsidR="00CA77E0" w:rsidRDefault="00CA77E0" w:rsidP="00CA77E0">
      <w:pPr>
        <w:spacing w:line="480" w:lineRule="auto"/>
        <w:rPr>
          <w:rFonts w:ascii="Arial" w:hAnsi="Arial" w:cs="Arial"/>
          <w:u w:val="single"/>
        </w:rPr>
      </w:pPr>
    </w:p>
    <w:p w14:paraId="5C6AE419" w14:textId="77777777" w:rsidR="00CA77E0" w:rsidRDefault="00CA77E0" w:rsidP="00CA77E0">
      <w:pPr>
        <w:spacing w:line="480" w:lineRule="auto"/>
        <w:rPr>
          <w:rFonts w:ascii="Arial" w:hAnsi="Arial" w:cs="Arial"/>
          <w:u w:val="single"/>
        </w:rPr>
      </w:pPr>
    </w:p>
    <w:p w14:paraId="7E4D3CCA" w14:textId="77777777" w:rsidR="00CA77E0" w:rsidRDefault="00CA77E0" w:rsidP="00CA77E0">
      <w:pPr>
        <w:spacing w:line="480" w:lineRule="auto"/>
        <w:rPr>
          <w:rFonts w:ascii="Arial" w:hAnsi="Arial" w:cs="Arial"/>
          <w:u w:val="single"/>
        </w:rPr>
      </w:pPr>
    </w:p>
    <w:p w14:paraId="592C2345" w14:textId="77777777" w:rsidR="00CA77E0" w:rsidRDefault="00CA77E0" w:rsidP="00CA77E0">
      <w:pPr>
        <w:spacing w:line="480" w:lineRule="auto"/>
        <w:rPr>
          <w:rFonts w:ascii="Arial" w:hAnsi="Arial" w:cs="Arial"/>
          <w:u w:val="single"/>
        </w:rPr>
      </w:pPr>
    </w:p>
    <w:p w14:paraId="1DD25792" w14:textId="77777777" w:rsidR="00CA77E0" w:rsidRDefault="00CA77E0" w:rsidP="00CA77E0">
      <w:pPr>
        <w:spacing w:line="480" w:lineRule="auto"/>
        <w:rPr>
          <w:rFonts w:ascii="Arial" w:hAnsi="Arial" w:cs="Arial"/>
          <w:u w:val="single"/>
        </w:rPr>
      </w:pPr>
    </w:p>
    <w:p w14:paraId="39904404" w14:textId="77777777" w:rsidR="00CA77E0" w:rsidRDefault="00CA77E0" w:rsidP="00CA77E0">
      <w:pPr>
        <w:spacing w:line="480" w:lineRule="auto"/>
        <w:rPr>
          <w:rFonts w:ascii="Arial" w:hAnsi="Arial" w:cs="Arial"/>
          <w:u w:val="single"/>
        </w:rPr>
      </w:pPr>
    </w:p>
    <w:p w14:paraId="6001A8D8" w14:textId="77777777" w:rsidR="00CA77E0" w:rsidRDefault="00CA77E0" w:rsidP="00CA77E0">
      <w:pPr>
        <w:spacing w:line="480" w:lineRule="auto"/>
        <w:rPr>
          <w:rFonts w:ascii="Arial" w:hAnsi="Arial" w:cs="Arial"/>
          <w:u w:val="single"/>
        </w:rPr>
      </w:pPr>
    </w:p>
    <w:p w14:paraId="27D6B293" w14:textId="77777777" w:rsidR="00CA77E0" w:rsidRDefault="00CA77E0" w:rsidP="00CA77E0">
      <w:pPr>
        <w:spacing w:line="480" w:lineRule="auto"/>
        <w:rPr>
          <w:rFonts w:ascii="Arial" w:hAnsi="Arial" w:cs="Arial"/>
          <w:u w:val="single"/>
        </w:rPr>
      </w:pPr>
    </w:p>
    <w:p w14:paraId="6BFC44E0" w14:textId="3AB75F7B" w:rsidR="00F54275" w:rsidRPr="00AA0188" w:rsidRDefault="00F54275" w:rsidP="00CA77E0">
      <w:pPr>
        <w:spacing w:line="480" w:lineRule="auto"/>
        <w:rPr>
          <w:rFonts w:ascii="Arial" w:hAnsi="Arial" w:cs="Arial"/>
          <w:u w:val="single"/>
        </w:rPr>
      </w:pPr>
      <w:r w:rsidRPr="00AA0188">
        <w:rPr>
          <w:rFonts w:ascii="Arial" w:hAnsi="Arial" w:cs="Arial"/>
          <w:u w:val="single"/>
        </w:rPr>
        <w:lastRenderedPageBreak/>
        <w:t>Reference List:</w:t>
      </w:r>
    </w:p>
    <w:p w14:paraId="249A55F7" w14:textId="0677C5E4" w:rsidR="00F54275" w:rsidRPr="00AA0188" w:rsidRDefault="004177FE" w:rsidP="00CA77E0">
      <w:pPr>
        <w:spacing w:line="480" w:lineRule="auto"/>
        <w:rPr>
          <w:rFonts w:ascii="Arial" w:hAnsi="Arial" w:cs="Arial"/>
        </w:rPr>
      </w:pPr>
      <w:r w:rsidRPr="00AA0188">
        <w:rPr>
          <w:rFonts w:ascii="Arial" w:hAnsi="Arial" w:cs="Arial"/>
        </w:rPr>
        <w:t xml:space="preserve">British Transport Police Authority (2009) </w:t>
      </w:r>
      <w:r w:rsidRPr="00AA0188">
        <w:rPr>
          <w:rFonts w:ascii="Arial" w:hAnsi="Arial" w:cs="Arial"/>
          <w:i/>
          <w:iCs/>
        </w:rPr>
        <w:t>NISP consultation document</w:t>
      </w:r>
      <w:r w:rsidRPr="00AA0188">
        <w:rPr>
          <w:rFonts w:ascii="Arial" w:hAnsi="Arial" w:cs="Arial"/>
        </w:rPr>
        <w:t xml:space="preserve">. Available at: </w:t>
      </w:r>
      <w:hyperlink r:id="rId8" w:tgtFrame="_new" w:history="1">
        <w:r w:rsidRPr="00AA0188">
          <w:rPr>
            <w:rStyle w:val="Hyperlink"/>
            <w:rFonts w:ascii="Arial" w:hAnsi="Arial" w:cs="Arial"/>
          </w:rPr>
          <w:t>https://btpa.police.uk/membersarea/apagems/2009gems/a/123/NISP%20Consultation%20Document.pdf</w:t>
        </w:r>
      </w:hyperlink>
      <w:r w:rsidRPr="00AA0188">
        <w:rPr>
          <w:rFonts w:ascii="Arial" w:hAnsi="Arial" w:cs="Arial"/>
        </w:rPr>
        <w:t xml:space="preserve"> (Accessed: 21 February 2025).</w:t>
      </w:r>
    </w:p>
    <w:p w14:paraId="6411DD34" w14:textId="0ECA0858" w:rsidR="00F54275" w:rsidRPr="00AA0188" w:rsidRDefault="00F54275" w:rsidP="00CA77E0">
      <w:pPr>
        <w:spacing w:line="480" w:lineRule="auto"/>
        <w:rPr>
          <w:rFonts w:ascii="Arial" w:hAnsi="Arial" w:cs="Arial"/>
        </w:rPr>
      </w:pPr>
      <w:r w:rsidRPr="00AA0188">
        <w:rPr>
          <w:rFonts w:ascii="Arial" w:hAnsi="Arial" w:cs="Arial"/>
        </w:rPr>
        <w:t>College of Policing (2024). </w:t>
      </w:r>
      <w:r w:rsidRPr="00AA0188">
        <w:rPr>
          <w:rFonts w:ascii="Arial" w:hAnsi="Arial" w:cs="Arial"/>
          <w:i/>
          <w:iCs/>
        </w:rPr>
        <w:t>Evidence-based policing</w:t>
      </w:r>
      <w:r w:rsidRPr="00AA0188">
        <w:rPr>
          <w:rFonts w:ascii="Arial" w:hAnsi="Arial" w:cs="Arial"/>
        </w:rPr>
        <w:t xml:space="preserve">. College of Policing. Available at: </w:t>
      </w:r>
      <w:hyperlink r:id="rId9" w:history="1">
        <w:r w:rsidRPr="00AA0188">
          <w:rPr>
            <w:rStyle w:val="Hyperlink"/>
            <w:rFonts w:ascii="Arial" w:hAnsi="Arial" w:cs="Arial"/>
          </w:rPr>
          <w:t>https://www.college.police.uk/research/evidence-based-policing-EBP</w:t>
        </w:r>
      </w:hyperlink>
      <w:r w:rsidRPr="00AA0188">
        <w:rPr>
          <w:rFonts w:ascii="Arial" w:hAnsi="Arial" w:cs="Arial"/>
        </w:rPr>
        <w:t xml:space="preserve">. </w:t>
      </w:r>
      <w:r w:rsidR="00460DC8" w:rsidRPr="00AA0188">
        <w:rPr>
          <w:rFonts w:ascii="Arial" w:hAnsi="Arial" w:cs="Arial"/>
        </w:rPr>
        <w:t>(</w:t>
      </w:r>
      <w:r w:rsidRPr="00AA0188">
        <w:rPr>
          <w:rFonts w:ascii="Arial" w:hAnsi="Arial" w:cs="Arial"/>
        </w:rPr>
        <w:t>Accessed</w:t>
      </w:r>
      <w:r w:rsidR="007944E9" w:rsidRPr="00AA0188">
        <w:rPr>
          <w:rFonts w:ascii="Arial" w:hAnsi="Arial" w:cs="Arial"/>
        </w:rPr>
        <w:t>:</w:t>
      </w:r>
      <w:r w:rsidR="00460DC8" w:rsidRPr="00AA0188">
        <w:rPr>
          <w:rFonts w:ascii="Arial" w:hAnsi="Arial" w:cs="Arial"/>
        </w:rPr>
        <w:t xml:space="preserve"> </w:t>
      </w:r>
      <w:r w:rsidRPr="00AA0188">
        <w:rPr>
          <w:rFonts w:ascii="Arial" w:hAnsi="Arial" w:cs="Arial"/>
        </w:rPr>
        <w:t>18</w:t>
      </w:r>
      <w:r w:rsidR="00460DC8" w:rsidRPr="00AA0188">
        <w:rPr>
          <w:rFonts w:ascii="Arial" w:hAnsi="Arial" w:cs="Arial"/>
        </w:rPr>
        <w:t xml:space="preserve"> February </w:t>
      </w:r>
      <w:r w:rsidRPr="00AA0188">
        <w:rPr>
          <w:rFonts w:ascii="Arial" w:hAnsi="Arial" w:cs="Arial"/>
        </w:rPr>
        <w:t>2025)</w:t>
      </w:r>
      <w:r w:rsidR="00B808FA" w:rsidRPr="00AA0188">
        <w:rPr>
          <w:rFonts w:ascii="Arial" w:hAnsi="Arial" w:cs="Arial"/>
        </w:rPr>
        <w:t xml:space="preserve">. </w:t>
      </w:r>
    </w:p>
    <w:p w14:paraId="4683FEA0" w14:textId="3A2818D0" w:rsidR="00055CA9" w:rsidRPr="00AA0188" w:rsidRDefault="00055CA9" w:rsidP="00CA77E0">
      <w:pPr>
        <w:spacing w:line="480" w:lineRule="auto"/>
        <w:rPr>
          <w:rFonts w:ascii="Arial" w:hAnsi="Arial" w:cs="Arial"/>
        </w:rPr>
      </w:pPr>
      <w:r w:rsidRPr="00AA0188">
        <w:rPr>
          <w:rFonts w:ascii="Arial" w:hAnsi="Arial" w:cs="Arial"/>
        </w:rPr>
        <w:t>Goldstein, H. (1990). </w:t>
      </w:r>
      <w:r w:rsidRPr="00AA0188">
        <w:rPr>
          <w:rFonts w:ascii="Arial" w:hAnsi="Arial" w:cs="Arial"/>
          <w:i/>
          <w:iCs/>
        </w:rPr>
        <w:t>Problem oriented policing</w:t>
      </w:r>
      <w:r w:rsidRPr="00AA0188">
        <w:rPr>
          <w:rFonts w:ascii="Arial" w:hAnsi="Arial" w:cs="Arial"/>
        </w:rPr>
        <w:t>. Philadelphia: Temple Univ. Pr.</w:t>
      </w:r>
      <w:r w:rsidR="00527698" w:rsidRPr="00AA0188">
        <w:rPr>
          <w:rFonts w:ascii="Arial" w:hAnsi="Arial" w:cs="Arial"/>
        </w:rPr>
        <w:t>, p</w:t>
      </w:r>
      <w:r w:rsidR="005A0E2A" w:rsidRPr="00AA0188">
        <w:rPr>
          <w:rFonts w:ascii="Arial" w:hAnsi="Arial" w:cs="Arial"/>
        </w:rPr>
        <w:t>.</w:t>
      </w:r>
      <w:r w:rsidR="007E4364" w:rsidRPr="00AA0188">
        <w:rPr>
          <w:rFonts w:ascii="Arial" w:hAnsi="Arial" w:cs="Arial"/>
        </w:rPr>
        <w:t xml:space="preserve"> </w:t>
      </w:r>
      <w:r w:rsidR="00527698" w:rsidRPr="00AA0188">
        <w:rPr>
          <w:rFonts w:ascii="Arial" w:hAnsi="Arial" w:cs="Arial"/>
        </w:rPr>
        <w:t>32.</w:t>
      </w:r>
    </w:p>
    <w:p w14:paraId="6432D7F0" w14:textId="4D3B8AD4" w:rsidR="00A5769A" w:rsidRPr="00AA0188" w:rsidRDefault="00D70BB5" w:rsidP="00CA77E0">
      <w:pPr>
        <w:spacing w:line="480" w:lineRule="auto"/>
        <w:rPr>
          <w:rFonts w:ascii="Arial" w:hAnsi="Arial" w:cs="Arial"/>
        </w:rPr>
      </w:pPr>
      <w:r w:rsidRPr="00AA0188">
        <w:rPr>
          <w:rFonts w:ascii="Arial" w:hAnsi="Arial" w:cs="Arial"/>
        </w:rPr>
        <w:t xml:space="preserve">Greater </w:t>
      </w:r>
      <w:r w:rsidR="00A5769A" w:rsidRPr="00AA0188">
        <w:rPr>
          <w:rFonts w:ascii="Arial" w:hAnsi="Arial" w:cs="Arial"/>
        </w:rPr>
        <w:t>London A</w:t>
      </w:r>
      <w:r w:rsidR="008D796C" w:rsidRPr="00AA0188">
        <w:rPr>
          <w:rFonts w:ascii="Arial" w:hAnsi="Arial" w:cs="Arial"/>
        </w:rPr>
        <w:t>uthority</w:t>
      </w:r>
      <w:r w:rsidR="00A5769A" w:rsidRPr="00AA0188">
        <w:rPr>
          <w:rFonts w:ascii="Arial" w:hAnsi="Arial" w:cs="Arial"/>
        </w:rPr>
        <w:t xml:space="preserve"> (2022). </w:t>
      </w:r>
      <w:r w:rsidR="00A5769A" w:rsidRPr="00AA0188">
        <w:rPr>
          <w:rFonts w:ascii="Arial" w:hAnsi="Arial" w:cs="Arial"/>
          <w:i/>
          <w:iCs/>
        </w:rPr>
        <w:t>Problem-oriented policing</w:t>
      </w:r>
      <w:r w:rsidR="00A5769A" w:rsidRPr="00AA0188">
        <w:rPr>
          <w:rFonts w:ascii="Arial" w:hAnsi="Arial" w:cs="Arial"/>
        </w:rPr>
        <w:t xml:space="preserve">. Available at: </w:t>
      </w:r>
      <w:hyperlink r:id="rId10" w:history="1">
        <w:r w:rsidR="00A5769A" w:rsidRPr="00AA0188">
          <w:rPr>
            <w:rStyle w:val="Hyperlink"/>
            <w:rFonts w:ascii="Arial" w:hAnsi="Arial" w:cs="Arial"/>
          </w:rPr>
          <w:t>https://www.london.gov.uk/who-we-are/what-london-assembly-does/questions-mayor/find-an-answer/problem-oriented-policing</w:t>
        </w:r>
      </w:hyperlink>
      <w:r w:rsidR="00A5769A" w:rsidRPr="00AA0188">
        <w:rPr>
          <w:rFonts w:ascii="Arial" w:hAnsi="Arial" w:cs="Arial"/>
        </w:rPr>
        <w:t xml:space="preserve">. </w:t>
      </w:r>
      <w:r w:rsidR="00DE5D1E" w:rsidRPr="00AA0188">
        <w:rPr>
          <w:rFonts w:ascii="Arial" w:hAnsi="Arial" w:cs="Arial"/>
        </w:rPr>
        <w:t>(</w:t>
      </w:r>
      <w:r w:rsidR="00A5769A" w:rsidRPr="00AA0188">
        <w:rPr>
          <w:rFonts w:ascii="Arial" w:hAnsi="Arial" w:cs="Arial"/>
        </w:rPr>
        <w:t>Ac</w:t>
      </w:r>
      <w:r w:rsidR="00AA581A" w:rsidRPr="00AA0188">
        <w:rPr>
          <w:rFonts w:ascii="Arial" w:hAnsi="Arial" w:cs="Arial"/>
        </w:rPr>
        <w:t>cessed:</w:t>
      </w:r>
      <w:r w:rsidR="00EA2560" w:rsidRPr="00AA0188">
        <w:rPr>
          <w:rFonts w:ascii="Arial" w:hAnsi="Arial" w:cs="Arial"/>
        </w:rPr>
        <w:t xml:space="preserve"> </w:t>
      </w:r>
      <w:r w:rsidR="00460DC8" w:rsidRPr="00AA0188">
        <w:rPr>
          <w:rFonts w:ascii="Arial" w:hAnsi="Arial" w:cs="Arial"/>
        </w:rPr>
        <w:t>19 February 2025</w:t>
      </w:r>
      <w:r w:rsidRPr="00AA0188">
        <w:rPr>
          <w:rFonts w:ascii="Arial" w:hAnsi="Arial" w:cs="Arial"/>
        </w:rPr>
        <w:t>)</w:t>
      </w:r>
      <w:r w:rsidR="00EA2560" w:rsidRPr="00AA0188">
        <w:rPr>
          <w:rFonts w:ascii="Arial" w:hAnsi="Arial" w:cs="Arial"/>
        </w:rPr>
        <w:t>.</w:t>
      </w:r>
    </w:p>
    <w:p w14:paraId="789C8E04" w14:textId="061993E4" w:rsidR="00DF3EC9" w:rsidRPr="00AA0188" w:rsidRDefault="00DF3EC9" w:rsidP="00CA77E0">
      <w:pPr>
        <w:spacing w:line="480" w:lineRule="auto"/>
        <w:rPr>
          <w:rFonts w:ascii="Arial" w:hAnsi="Arial" w:cs="Arial"/>
        </w:rPr>
      </w:pPr>
      <w:r w:rsidRPr="00AA0188">
        <w:rPr>
          <w:rFonts w:ascii="Arial" w:hAnsi="Arial" w:cs="Arial"/>
        </w:rPr>
        <w:t xml:space="preserve">Greater Manchester Police (2021) </w:t>
      </w:r>
      <w:r w:rsidRPr="00AA0188">
        <w:rPr>
          <w:rFonts w:ascii="Arial" w:hAnsi="Arial" w:cs="Arial"/>
          <w:i/>
          <w:iCs/>
        </w:rPr>
        <w:t>Operation Castle</w:t>
      </w:r>
      <w:r w:rsidRPr="00AA0188">
        <w:rPr>
          <w:rFonts w:ascii="Arial" w:hAnsi="Arial" w:cs="Arial"/>
        </w:rPr>
        <w:t xml:space="preserve">. Available at: </w:t>
      </w:r>
      <w:hyperlink r:id="rId11" w:tgtFrame="_new" w:history="1">
        <w:r w:rsidRPr="00AA0188">
          <w:rPr>
            <w:rStyle w:val="Hyperlink"/>
            <w:rFonts w:ascii="Arial" w:hAnsi="Arial" w:cs="Arial"/>
          </w:rPr>
          <w:t>https://www.gmp.police.uk/police-forces/greater-manchester-police/areas/greater-manchester-force-content/c/campaigns/2021/operation-castle2/</w:t>
        </w:r>
      </w:hyperlink>
      <w:r w:rsidRPr="00AA0188">
        <w:rPr>
          <w:rFonts w:ascii="Arial" w:hAnsi="Arial" w:cs="Arial"/>
        </w:rPr>
        <w:t xml:space="preserve"> (Accessed: 2</w:t>
      </w:r>
      <w:r w:rsidR="005B7E2B" w:rsidRPr="00AA0188">
        <w:rPr>
          <w:rFonts w:ascii="Arial" w:hAnsi="Arial" w:cs="Arial"/>
        </w:rPr>
        <w:t>7</w:t>
      </w:r>
      <w:r w:rsidRPr="00AA0188">
        <w:rPr>
          <w:rFonts w:ascii="Arial" w:hAnsi="Arial" w:cs="Arial"/>
        </w:rPr>
        <w:t xml:space="preserve"> February 2025).</w:t>
      </w:r>
    </w:p>
    <w:p w14:paraId="0049D2B5" w14:textId="2FB9D12D" w:rsidR="0091023A" w:rsidRPr="00AA0188" w:rsidRDefault="0091023A" w:rsidP="00CA77E0">
      <w:pPr>
        <w:spacing w:line="480" w:lineRule="auto"/>
        <w:rPr>
          <w:rFonts w:ascii="Arial" w:hAnsi="Arial" w:cs="Arial"/>
        </w:rPr>
      </w:pPr>
      <w:r w:rsidRPr="00AA0188">
        <w:rPr>
          <w:rFonts w:ascii="Arial" w:hAnsi="Arial" w:cs="Arial"/>
        </w:rPr>
        <w:t xml:space="preserve">Greater Manchester Police (2024) </w:t>
      </w:r>
      <w:r w:rsidRPr="00AA0188">
        <w:rPr>
          <w:rFonts w:ascii="Arial" w:hAnsi="Arial" w:cs="Arial"/>
          <w:i/>
          <w:iCs/>
        </w:rPr>
        <w:t>Stopping crime and tackling its roots: How our prevention hubs solve problems in the community</w:t>
      </w:r>
      <w:r w:rsidRPr="00AA0188">
        <w:rPr>
          <w:rFonts w:ascii="Arial" w:hAnsi="Arial" w:cs="Arial"/>
        </w:rPr>
        <w:t xml:space="preserve">. Available at: </w:t>
      </w:r>
      <w:hyperlink r:id="rId12" w:tgtFrame="_new" w:history="1">
        <w:r w:rsidRPr="00AA0188">
          <w:rPr>
            <w:rStyle w:val="Hyperlink"/>
            <w:rFonts w:ascii="Arial" w:hAnsi="Arial" w:cs="Arial"/>
          </w:rPr>
          <w:t>https://www.gmp.police.uk/news/greater-manchester/news/news/2024/may/stopping-crime-and-tackling-its-roots-how-our-prevention-hubs-solve-problems-in-the-community/</w:t>
        </w:r>
      </w:hyperlink>
      <w:r w:rsidRPr="00AA0188">
        <w:rPr>
          <w:rFonts w:ascii="Arial" w:hAnsi="Arial" w:cs="Arial"/>
        </w:rPr>
        <w:t xml:space="preserve"> (Accessed: 27 February 2025).</w:t>
      </w:r>
    </w:p>
    <w:p w14:paraId="2F8A2529" w14:textId="2C21D27D" w:rsidR="00FE60A1" w:rsidRPr="00AA0188" w:rsidRDefault="00FE60A1" w:rsidP="00CA77E0">
      <w:pPr>
        <w:spacing w:line="480" w:lineRule="auto"/>
        <w:rPr>
          <w:rFonts w:ascii="Arial" w:hAnsi="Arial" w:cs="Arial"/>
        </w:rPr>
      </w:pPr>
      <w:r w:rsidRPr="00AA0188">
        <w:rPr>
          <w:rFonts w:ascii="Arial" w:hAnsi="Arial" w:cs="Arial"/>
        </w:rPr>
        <w:t xml:space="preserve">Hinkle, J.C., Weisburd, D., Telep, C.W. and Petersen, K. (2024) ‘When is problem-oriented policing most effective? A systematic examination of heterogeneity in effect sizes for reducing crime and disorder’, </w:t>
      </w:r>
      <w:r w:rsidRPr="00AA0188">
        <w:rPr>
          <w:rFonts w:ascii="Arial" w:hAnsi="Arial" w:cs="Arial"/>
          <w:i/>
          <w:iCs/>
        </w:rPr>
        <w:t>Policing: A Journal of Policy and Practice</w:t>
      </w:r>
      <w:r w:rsidRPr="00AA0188">
        <w:rPr>
          <w:rFonts w:ascii="Arial" w:hAnsi="Arial" w:cs="Arial"/>
        </w:rPr>
        <w:t xml:space="preserve">, 18, </w:t>
      </w:r>
      <w:r w:rsidRPr="00AA0188">
        <w:rPr>
          <w:rFonts w:ascii="Arial" w:hAnsi="Arial" w:cs="Arial"/>
        </w:rPr>
        <w:lastRenderedPageBreak/>
        <w:t xml:space="preserve">paae053. Available at: </w:t>
      </w:r>
      <w:hyperlink r:id="rId13" w:tgtFrame="_new" w:history="1">
        <w:r w:rsidRPr="00AA0188">
          <w:rPr>
            <w:rStyle w:val="Hyperlink"/>
            <w:rFonts w:ascii="Arial" w:hAnsi="Arial" w:cs="Arial"/>
          </w:rPr>
          <w:t>https://doi.org/10.1093/police/paae053</w:t>
        </w:r>
      </w:hyperlink>
      <w:r w:rsidRPr="00AA0188">
        <w:rPr>
          <w:rFonts w:ascii="Arial" w:hAnsi="Arial" w:cs="Arial"/>
        </w:rPr>
        <w:t>. (Accessed: 19 February 2025).</w:t>
      </w:r>
    </w:p>
    <w:p w14:paraId="54D15EE6" w14:textId="14DEEDAC" w:rsidR="006C2329" w:rsidRPr="00AA0188" w:rsidRDefault="006C2329" w:rsidP="00CA77E0">
      <w:pPr>
        <w:spacing w:line="480" w:lineRule="auto"/>
        <w:rPr>
          <w:rFonts w:ascii="Arial" w:hAnsi="Arial" w:cs="Arial"/>
        </w:rPr>
      </w:pPr>
      <w:r w:rsidRPr="00AA0188">
        <w:rPr>
          <w:rFonts w:ascii="Arial" w:hAnsi="Arial" w:cs="Arial"/>
        </w:rPr>
        <w:t>Low, N. and Owen-Evans, R. (2024). </w:t>
      </w:r>
      <w:r w:rsidRPr="00AA0188">
        <w:rPr>
          <w:rFonts w:ascii="Arial" w:hAnsi="Arial" w:cs="Arial"/>
          <w:i/>
          <w:iCs/>
        </w:rPr>
        <w:t>Public trust and confidence in the police</w:t>
      </w:r>
      <w:r w:rsidRPr="00AA0188">
        <w:rPr>
          <w:rFonts w:ascii="Arial" w:hAnsi="Arial" w:cs="Arial"/>
        </w:rPr>
        <w:t xml:space="preserve">. [online] UK </w:t>
      </w:r>
      <w:r w:rsidR="004F775B" w:rsidRPr="00AA0188">
        <w:rPr>
          <w:rFonts w:ascii="Arial" w:hAnsi="Arial" w:cs="Arial"/>
        </w:rPr>
        <w:t>Parliament.</w:t>
      </w:r>
      <w:r w:rsidRPr="00AA0188">
        <w:rPr>
          <w:rFonts w:ascii="Arial" w:hAnsi="Arial" w:cs="Arial"/>
        </w:rPr>
        <w:t xml:space="preserve"> Available at: </w:t>
      </w:r>
      <w:hyperlink r:id="rId14" w:history="1">
        <w:r w:rsidR="00B52703" w:rsidRPr="00AA0188">
          <w:rPr>
            <w:rStyle w:val="Hyperlink"/>
            <w:rFonts w:ascii="Arial" w:hAnsi="Arial" w:cs="Arial"/>
          </w:rPr>
          <w:t>https://post.parliament.uk/public-trust-and-confidence-in-the-police/</w:t>
        </w:r>
      </w:hyperlink>
      <w:r w:rsidR="00B52703" w:rsidRPr="00AA0188">
        <w:rPr>
          <w:rFonts w:ascii="Arial" w:hAnsi="Arial" w:cs="Arial"/>
        </w:rPr>
        <w:t xml:space="preserve">. </w:t>
      </w:r>
      <w:r w:rsidR="00460DC8" w:rsidRPr="00AA0188">
        <w:rPr>
          <w:rFonts w:ascii="Arial" w:hAnsi="Arial" w:cs="Arial"/>
        </w:rPr>
        <w:t>(</w:t>
      </w:r>
      <w:r w:rsidR="00B52703" w:rsidRPr="00AA0188">
        <w:rPr>
          <w:rFonts w:ascii="Arial" w:hAnsi="Arial" w:cs="Arial"/>
        </w:rPr>
        <w:t>Accessed</w:t>
      </w:r>
      <w:r w:rsidR="007944E9" w:rsidRPr="00AA0188">
        <w:rPr>
          <w:rFonts w:ascii="Arial" w:hAnsi="Arial" w:cs="Arial"/>
        </w:rPr>
        <w:t>:</w:t>
      </w:r>
      <w:r w:rsidR="00B52703" w:rsidRPr="00AA0188">
        <w:rPr>
          <w:rFonts w:ascii="Arial" w:hAnsi="Arial" w:cs="Arial"/>
        </w:rPr>
        <w:t xml:space="preserve"> 18</w:t>
      </w:r>
      <w:r w:rsidR="000460BD" w:rsidRPr="00AA0188">
        <w:rPr>
          <w:rFonts w:ascii="Arial" w:hAnsi="Arial" w:cs="Arial"/>
        </w:rPr>
        <w:t xml:space="preserve"> February </w:t>
      </w:r>
      <w:r w:rsidR="00B52703" w:rsidRPr="00AA0188">
        <w:rPr>
          <w:rFonts w:ascii="Arial" w:hAnsi="Arial" w:cs="Arial"/>
        </w:rPr>
        <w:t>2025)</w:t>
      </w:r>
      <w:r w:rsidR="007944E9" w:rsidRPr="00AA0188">
        <w:rPr>
          <w:rFonts w:ascii="Arial" w:hAnsi="Arial" w:cs="Arial"/>
        </w:rPr>
        <w:t>.</w:t>
      </w:r>
    </w:p>
    <w:p w14:paraId="2A71C30D" w14:textId="3953F856" w:rsidR="007460EE" w:rsidRPr="00AA0188" w:rsidRDefault="007460EE" w:rsidP="00CA77E0">
      <w:pPr>
        <w:spacing w:line="480" w:lineRule="auto"/>
        <w:rPr>
          <w:rFonts w:ascii="Arial" w:hAnsi="Arial" w:cs="Arial"/>
        </w:rPr>
      </w:pPr>
      <w:r w:rsidRPr="00AA0188">
        <w:rPr>
          <w:rFonts w:ascii="Arial" w:hAnsi="Arial" w:cs="Arial"/>
        </w:rPr>
        <w:t xml:space="preserve">Mitchell, R.J. and Lewis, S. (2017) ‘Intention is not method, belief is not evidence, rank is not proof: Ethical policing needs evidence-based decision making’, </w:t>
      </w:r>
      <w:r w:rsidRPr="00AA0188">
        <w:rPr>
          <w:rFonts w:ascii="Arial" w:hAnsi="Arial" w:cs="Arial"/>
          <w:i/>
          <w:iCs/>
        </w:rPr>
        <w:t>International Journal of Emergency Services</w:t>
      </w:r>
      <w:r w:rsidRPr="00AA0188">
        <w:rPr>
          <w:rFonts w:ascii="Arial" w:hAnsi="Arial" w:cs="Arial"/>
        </w:rPr>
        <w:t xml:space="preserve">, 6(3), pp. 188–199. </w:t>
      </w:r>
    </w:p>
    <w:p w14:paraId="6179A399" w14:textId="54D0804F" w:rsidR="005537FF" w:rsidRPr="00AA0188" w:rsidRDefault="005537FF" w:rsidP="00CA77E0">
      <w:pPr>
        <w:spacing w:line="480" w:lineRule="auto"/>
        <w:rPr>
          <w:rFonts w:ascii="Arial" w:hAnsi="Arial" w:cs="Arial"/>
        </w:rPr>
      </w:pPr>
      <w:r w:rsidRPr="00AA0188">
        <w:rPr>
          <w:rFonts w:ascii="Arial" w:hAnsi="Arial" w:cs="Arial"/>
        </w:rPr>
        <w:t xml:space="preserve">Newburn, T. and </w:t>
      </w:r>
      <w:proofErr w:type="spellStart"/>
      <w:r w:rsidRPr="00AA0188">
        <w:rPr>
          <w:rFonts w:ascii="Arial" w:hAnsi="Arial" w:cs="Arial"/>
        </w:rPr>
        <w:t>Neyroud</w:t>
      </w:r>
      <w:proofErr w:type="spellEnd"/>
      <w:r w:rsidRPr="00AA0188">
        <w:rPr>
          <w:rFonts w:ascii="Arial" w:hAnsi="Arial" w:cs="Arial"/>
        </w:rPr>
        <w:t xml:space="preserve">, P. (2008) </w:t>
      </w:r>
      <w:r w:rsidRPr="00AA0188">
        <w:rPr>
          <w:rFonts w:ascii="Arial" w:hAnsi="Arial" w:cs="Arial"/>
          <w:i/>
          <w:iCs/>
        </w:rPr>
        <w:t>Dictionary of policing</w:t>
      </w:r>
      <w:r w:rsidRPr="00AA0188">
        <w:rPr>
          <w:rFonts w:ascii="Arial" w:hAnsi="Arial" w:cs="Arial"/>
        </w:rPr>
        <w:t>. Cullompton, Devon: Willan Publishing</w:t>
      </w:r>
      <w:r w:rsidR="00D212AA" w:rsidRPr="00AA0188">
        <w:rPr>
          <w:rFonts w:ascii="Arial" w:hAnsi="Arial" w:cs="Arial"/>
        </w:rPr>
        <w:t>, pp</w:t>
      </w:r>
      <w:r w:rsidR="00E06358" w:rsidRPr="00AA0188">
        <w:rPr>
          <w:rFonts w:ascii="Arial" w:hAnsi="Arial" w:cs="Arial"/>
        </w:rPr>
        <w:t>.</w:t>
      </w:r>
      <w:r w:rsidR="00D212AA" w:rsidRPr="00AA0188">
        <w:rPr>
          <w:rFonts w:ascii="Arial" w:hAnsi="Arial" w:cs="Arial"/>
        </w:rPr>
        <w:t>148-149.</w:t>
      </w:r>
    </w:p>
    <w:p w14:paraId="4F790D80" w14:textId="2F4CB037" w:rsidR="00DF1D4C" w:rsidRPr="00AA0188" w:rsidRDefault="00DF1D4C" w:rsidP="00CA77E0">
      <w:pPr>
        <w:spacing w:line="480" w:lineRule="auto"/>
        <w:rPr>
          <w:rFonts w:ascii="Arial" w:hAnsi="Arial" w:cs="Arial"/>
        </w:rPr>
      </w:pPr>
      <w:r w:rsidRPr="00AA0188">
        <w:rPr>
          <w:rFonts w:ascii="Arial" w:hAnsi="Arial" w:cs="Arial"/>
        </w:rPr>
        <w:t>Newburn, T. (2008). </w:t>
      </w:r>
      <w:r w:rsidRPr="00AA0188">
        <w:rPr>
          <w:rFonts w:ascii="Arial" w:hAnsi="Arial" w:cs="Arial"/>
          <w:i/>
          <w:iCs/>
        </w:rPr>
        <w:t>Handbook of Policing</w:t>
      </w:r>
      <w:r w:rsidRPr="00AA0188">
        <w:rPr>
          <w:rFonts w:ascii="Arial" w:hAnsi="Arial" w:cs="Arial"/>
        </w:rPr>
        <w:t xml:space="preserve">. 2nd ed. </w:t>
      </w:r>
      <w:proofErr w:type="spellStart"/>
      <w:proofErr w:type="gramStart"/>
      <w:r w:rsidR="008F0418" w:rsidRPr="00AA0188">
        <w:rPr>
          <w:rFonts w:ascii="Arial" w:hAnsi="Arial" w:cs="Arial"/>
        </w:rPr>
        <w:t>Oregon:</w:t>
      </w:r>
      <w:r w:rsidRPr="00AA0188">
        <w:rPr>
          <w:rFonts w:ascii="Arial" w:hAnsi="Arial" w:cs="Arial"/>
        </w:rPr>
        <w:t>Willan</w:t>
      </w:r>
      <w:proofErr w:type="spellEnd"/>
      <w:proofErr w:type="gramEnd"/>
      <w:r w:rsidRPr="00AA0188">
        <w:rPr>
          <w:rFonts w:ascii="Arial" w:hAnsi="Arial" w:cs="Arial"/>
        </w:rPr>
        <w:t xml:space="preserve"> Publishing, p</w:t>
      </w:r>
      <w:r w:rsidR="00E06358" w:rsidRPr="00AA0188">
        <w:rPr>
          <w:rFonts w:ascii="Arial" w:hAnsi="Arial" w:cs="Arial"/>
        </w:rPr>
        <w:t>.</w:t>
      </w:r>
      <w:r w:rsidR="007E4364" w:rsidRPr="00AA0188">
        <w:rPr>
          <w:rFonts w:ascii="Arial" w:hAnsi="Arial" w:cs="Arial"/>
        </w:rPr>
        <w:t xml:space="preserve"> </w:t>
      </w:r>
      <w:r w:rsidRPr="00AA0188">
        <w:rPr>
          <w:rFonts w:ascii="Arial" w:hAnsi="Arial" w:cs="Arial"/>
        </w:rPr>
        <w:t>383.</w:t>
      </w:r>
    </w:p>
    <w:p w14:paraId="2889F0E1" w14:textId="77777777" w:rsidR="007D5A4F" w:rsidRPr="00AA0188" w:rsidRDefault="007D5A4F" w:rsidP="00CA77E0">
      <w:pPr>
        <w:spacing w:line="480" w:lineRule="auto"/>
        <w:rPr>
          <w:rFonts w:ascii="Arial" w:hAnsi="Arial" w:cs="Arial"/>
        </w:rPr>
      </w:pPr>
      <w:r w:rsidRPr="007D5A4F">
        <w:rPr>
          <w:rFonts w:ascii="Arial" w:hAnsi="Arial" w:cs="Arial"/>
        </w:rPr>
        <w:t xml:space="preserve">Ratcliffe, J.H., Taniguchi, T., Groff, E.R. and Wood, J.D. (2011) ‘The Philadelphia foot patrol experiment: A randomized controlled trial of police patrol effectiveness in violent crime hotspots’, </w:t>
      </w:r>
      <w:r w:rsidRPr="007D5A4F">
        <w:rPr>
          <w:rFonts w:ascii="Arial" w:hAnsi="Arial" w:cs="Arial"/>
          <w:i/>
          <w:iCs/>
        </w:rPr>
        <w:t>Journal of Experimental Criminology</w:t>
      </w:r>
      <w:r w:rsidRPr="007D5A4F">
        <w:rPr>
          <w:rFonts w:ascii="Arial" w:hAnsi="Arial" w:cs="Arial"/>
        </w:rPr>
        <w:t>, 7(4), pp. 809–832.</w:t>
      </w:r>
    </w:p>
    <w:p w14:paraId="48DF6E31" w14:textId="42F50B8C" w:rsidR="00B24094" w:rsidRPr="007D5A4F" w:rsidRDefault="00B24094" w:rsidP="00CA77E0">
      <w:pPr>
        <w:spacing w:line="480" w:lineRule="auto"/>
        <w:rPr>
          <w:rFonts w:ascii="Arial" w:hAnsi="Arial" w:cs="Arial"/>
        </w:rPr>
      </w:pPr>
      <w:r w:rsidRPr="00AA0188">
        <w:rPr>
          <w:rFonts w:ascii="Arial" w:hAnsi="Arial" w:cs="Arial"/>
        </w:rPr>
        <w:t xml:space="preserve">Ratcliffe, J.H., Taylor, R.B., Askey, A.P. et al. (2021) ‘The Philadelphia predictive policing experiment’, </w:t>
      </w:r>
      <w:r w:rsidRPr="00AA0188">
        <w:rPr>
          <w:rFonts w:ascii="Arial" w:hAnsi="Arial" w:cs="Arial"/>
          <w:i/>
          <w:iCs/>
        </w:rPr>
        <w:t>Journal of Experimental Criminology</w:t>
      </w:r>
      <w:r w:rsidRPr="00AA0188">
        <w:rPr>
          <w:rFonts w:ascii="Arial" w:hAnsi="Arial" w:cs="Arial"/>
        </w:rPr>
        <w:t xml:space="preserve">, 17, pp. 15–41. Available at: </w:t>
      </w:r>
      <w:hyperlink r:id="rId15" w:tgtFrame="_new" w:history="1">
        <w:r w:rsidRPr="00AA0188">
          <w:rPr>
            <w:rStyle w:val="Hyperlink"/>
            <w:rFonts w:ascii="Arial" w:hAnsi="Arial" w:cs="Arial"/>
          </w:rPr>
          <w:t>https://doi.org/10.1007/s11292-019-09400-2</w:t>
        </w:r>
      </w:hyperlink>
      <w:r w:rsidRPr="00AA0188">
        <w:rPr>
          <w:rFonts w:ascii="Arial" w:hAnsi="Arial" w:cs="Arial"/>
        </w:rPr>
        <w:t>.</w:t>
      </w:r>
      <w:r w:rsidR="007E60C9" w:rsidRPr="00AA0188">
        <w:rPr>
          <w:rFonts w:ascii="Arial" w:hAnsi="Arial" w:cs="Arial"/>
        </w:rPr>
        <w:t xml:space="preserve"> (Accessed: 21 February 2025).</w:t>
      </w:r>
    </w:p>
    <w:p w14:paraId="3E4CE8A8" w14:textId="1BC4C08D" w:rsidR="00EA0896" w:rsidRPr="00AA0188" w:rsidRDefault="00EA0896" w:rsidP="00CA77E0">
      <w:pPr>
        <w:spacing w:line="480" w:lineRule="auto"/>
        <w:rPr>
          <w:rFonts w:ascii="Arial" w:hAnsi="Arial" w:cs="Arial"/>
        </w:rPr>
      </w:pPr>
      <w:r w:rsidRPr="00AA0188">
        <w:rPr>
          <w:rFonts w:ascii="Arial" w:hAnsi="Arial" w:cs="Arial"/>
        </w:rPr>
        <w:t xml:space="preserve">Sherman, L.W. (2023) ‘Three tiers for evidence-based policing: Targeting “minimalist” policing with a risk-adjusted disparity index’, in Weisburd, D., Jonathan-Zamir, T., Perry, G. and </w:t>
      </w:r>
      <w:proofErr w:type="spellStart"/>
      <w:r w:rsidRPr="00AA0188">
        <w:rPr>
          <w:rFonts w:ascii="Arial" w:hAnsi="Arial" w:cs="Arial"/>
        </w:rPr>
        <w:t>Hasisi</w:t>
      </w:r>
      <w:proofErr w:type="spellEnd"/>
      <w:r w:rsidRPr="00AA0188">
        <w:rPr>
          <w:rFonts w:ascii="Arial" w:hAnsi="Arial" w:cs="Arial"/>
        </w:rPr>
        <w:t xml:space="preserve">, B. (eds.) </w:t>
      </w:r>
      <w:r w:rsidRPr="00AA0188">
        <w:rPr>
          <w:rFonts w:ascii="Arial" w:hAnsi="Arial" w:cs="Arial"/>
          <w:i/>
          <w:iCs/>
        </w:rPr>
        <w:t>The future of evidence-based policing</w:t>
      </w:r>
      <w:r w:rsidRPr="00AA0188">
        <w:rPr>
          <w:rFonts w:ascii="Arial" w:hAnsi="Arial" w:cs="Arial"/>
        </w:rPr>
        <w:t xml:space="preserve">. Cambridge: Cambridge University Press, pp. 19–43. </w:t>
      </w:r>
    </w:p>
    <w:p w14:paraId="64CAC85E" w14:textId="27DBF0C5" w:rsidR="00142CF4" w:rsidRPr="00AA0188" w:rsidRDefault="00142CF4" w:rsidP="00CA77E0">
      <w:pPr>
        <w:spacing w:line="480" w:lineRule="auto"/>
        <w:rPr>
          <w:rFonts w:ascii="Arial" w:hAnsi="Arial" w:cs="Arial"/>
        </w:rPr>
      </w:pPr>
      <w:r w:rsidRPr="00AA0188">
        <w:rPr>
          <w:rFonts w:ascii="Arial" w:hAnsi="Arial" w:cs="Arial"/>
        </w:rPr>
        <w:t xml:space="preserve">Sidebottom, A., Bullock, K., Armitage, R., Ashby, M., </w:t>
      </w:r>
      <w:proofErr w:type="spellStart"/>
      <w:r w:rsidRPr="00AA0188">
        <w:rPr>
          <w:rFonts w:ascii="Arial" w:hAnsi="Arial" w:cs="Arial"/>
        </w:rPr>
        <w:t>Clemmow</w:t>
      </w:r>
      <w:proofErr w:type="spellEnd"/>
      <w:r w:rsidRPr="00AA0188">
        <w:rPr>
          <w:rFonts w:ascii="Arial" w:hAnsi="Arial" w:cs="Arial"/>
        </w:rPr>
        <w:t xml:space="preserve">, C., Kirby, S., Laycock, G. and Tilley, N. (2020) </w:t>
      </w:r>
      <w:r w:rsidRPr="00AA0188">
        <w:rPr>
          <w:rFonts w:ascii="Arial" w:hAnsi="Arial" w:cs="Arial"/>
          <w:i/>
          <w:iCs/>
        </w:rPr>
        <w:t xml:space="preserve">Problem-oriented policing in England and Wales: </w:t>
      </w:r>
      <w:r w:rsidRPr="00AA0188">
        <w:rPr>
          <w:rFonts w:ascii="Arial" w:hAnsi="Arial" w:cs="Arial"/>
          <w:i/>
          <w:iCs/>
        </w:rPr>
        <w:lastRenderedPageBreak/>
        <w:t>Practices, processes and principles</w:t>
      </w:r>
      <w:r w:rsidRPr="00AA0188">
        <w:rPr>
          <w:rFonts w:ascii="Arial" w:hAnsi="Arial" w:cs="Arial"/>
        </w:rPr>
        <w:t xml:space="preserve">. Available at: </w:t>
      </w:r>
      <w:hyperlink r:id="rId16" w:tgtFrame="_new" w:history="1">
        <w:r w:rsidRPr="00AA0188">
          <w:rPr>
            <w:rStyle w:val="Hyperlink"/>
            <w:rFonts w:ascii="Arial" w:hAnsi="Arial" w:cs="Arial"/>
          </w:rPr>
          <w:t>https://static1.squarespace.com/static/5b7ea2794cde7a79e7c00582/t/66a8db290ff8682040b32852/1722342185858/Problem_Oriented_Policing_in_England_and.pdf</w:t>
        </w:r>
      </w:hyperlink>
      <w:r w:rsidRPr="00AA0188">
        <w:rPr>
          <w:rFonts w:ascii="Arial" w:hAnsi="Arial" w:cs="Arial"/>
        </w:rPr>
        <w:t xml:space="preserve"> (Accessed: 19 February 2025).</w:t>
      </w:r>
    </w:p>
    <w:p w14:paraId="05320356" w14:textId="5607461A" w:rsidR="00BC3E93" w:rsidRPr="00AA0188" w:rsidRDefault="00BC3E93" w:rsidP="00CA77E0">
      <w:pPr>
        <w:spacing w:line="480" w:lineRule="auto"/>
        <w:rPr>
          <w:rFonts w:ascii="Arial" w:hAnsi="Arial" w:cs="Arial"/>
        </w:rPr>
      </w:pPr>
      <w:r w:rsidRPr="00AA0188">
        <w:rPr>
          <w:rFonts w:ascii="Arial" w:hAnsi="Arial" w:cs="Arial"/>
        </w:rPr>
        <w:t>S</w:t>
      </w:r>
      <w:r w:rsidR="00615700" w:rsidRPr="00AA0188">
        <w:rPr>
          <w:rFonts w:ascii="Arial" w:hAnsi="Arial" w:cs="Arial"/>
        </w:rPr>
        <w:t>ociety of Evidence Based Policing</w:t>
      </w:r>
      <w:r w:rsidR="0098585F" w:rsidRPr="00AA0188">
        <w:rPr>
          <w:rFonts w:ascii="Arial" w:hAnsi="Arial" w:cs="Arial"/>
        </w:rPr>
        <w:t xml:space="preserve"> (SEBP)</w:t>
      </w:r>
      <w:r w:rsidRPr="00AA0188">
        <w:rPr>
          <w:rFonts w:ascii="Arial" w:hAnsi="Arial" w:cs="Arial"/>
        </w:rPr>
        <w:t>. (2025). </w:t>
      </w:r>
      <w:r w:rsidRPr="00AA0188">
        <w:rPr>
          <w:rFonts w:ascii="Arial" w:hAnsi="Arial" w:cs="Arial"/>
          <w:i/>
          <w:iCs/>
        </w:rPr>
        <w:t>What is evidence-based policing?</w:t>
      </w:r>
      <w:r w:rsidR="002E52AF" w:rsidRPr="00AA0188">
        <w:rPr>
          <w:rFonts w:ascii="Arial" w:hAnsi="Arial" w:cs="Arial"/>
          <w:i/>
          <w:iCs/>
        </w:rPr>
        <w:t xml:space="preserve"> </w:t>
      </w:r>
      <w:r w:rsidRPr="00AA0188">
        <w:rPr>
          <w:rFonts w:ascii="Arial" w:hAnsi="Arial" w:cs="Arial"/>
        </w:rPr>
        <w:t>Available at:</w:t>
      </w:r>
      <w:r w:rsidRPr="00AA0188">
        <w:rPr>
          <w:rFonts w:ascii="Arial" w:hAnsi="Arial" w:cs="Arial"/>
          <w:u w:val="single"/>
        </w:rPr>
        <w:t xml:space="preserve"> </w:t>
      </w:r>
      <w:hyperlink r:id="rId17" w:history="1">
        <w:r w:rsidRPr="00AA0188">
          <w:rPr>
            <w:rStyle w:val="Hyperlink"/>
            <w:rFonts w:ascii="Arial" w:hAnsi="Arial" w:cs="Arial"/>
          </w:rPr>
          <w:t>https://www.sebp.police.uk/about/what-is-ebp</w:t>
        </w:r>
      </w:hyperlink>
      <w:r w:rsidRPr="00AA0188">
        <w:rPr>
          <w:rFonts w:ascii="Arial" w:hAnsi="Arial" w:cs="Arial"/>
        </w:rPr>
        <w:t xml:space="preserve">. </w:t>
      </w:r>
      <w:r w:rsidR="00460DC8" w:rsidRPr="00AA0188">
        <w:rPr>
          <w:rFonts w:ascii="Arial" w:hAnsi="Arial" w:cs="Arial"/>
        </w:rPr>
        <w:t>(</w:t>
      </w:r>
      <w:r w:rsidR="00520EC1" w:rsidRPr="00AA0188">
        <w:rPr>
          <w:rFonts w:ascii="Arial" w:hAnsi="Arial" w:cs="Arial"/>
        </w:rPr>
        <w:t>Accessed</w:t>
      </w:r>
      <w:r w:rsidR="007944E9" w:rsidRPr="00AA0188">
        <w:rPr>
          <w:rFonts w:ascii="Arial" w:hAnsi="Arial" w:cs="Arial"/>
        </w:rPr>
        <w:t>:</w:t>
      </w:r>
      <w:r w:rsidR="00520EC1" w:rsidRPr="00AA0188">
        <w:rPr>
          <w:rFonts w:ascii="Arial" w:hAnsi="Arial" w:cs="Arial"/>
        </w:rPr>
        <w:t xml:space="preserve"> 1</w:t>
      </w:r>
      <w:r w:rsidR="00142CF4" w:rsidRPr="00AA0188">
        <w:rPr>
          <w:rFonts w:ascii="Arial" w:hAnsi="Arial" w:cs="Arial"/>
        </w:rPr>
        <w:t xml:space="preserve">8 February </w:t>
      </w:r>
      <w:r w:rsidR="00520EC1" w:rsidRPr="00AA0188">
        <w:rPr>
          <w:rFonts w:ascii="Arial" w:hAnsi="Arial" w:cs="Arial"/>
        </w:rPr>
        <w:t>2025).</w:t>
      </w:r>
    </w:p>
    <w:p w14:paraId="0019A163" w14:textId="2C1100DA" w:rsidR="001C0E8D" w:rsidRPr="001C0E8D" w:rsidRDefault="00E85051" w:rsidP="00CA77E0">
      <w:pPr>
        <w:spacing w:line="480" w:lineRule="auto"/>
        <w:rPr>
          <w:rFonts w:ascii="Arial" w:hAnsi="Arial" w:cs="Arial"/>
        </w:rPr>
      </w:pPr>
      <w:r w:rsidRPr="00AA0188">
        <w:rPr>
          <w:rFonts w:ascii="Arial" w:hAnsi="Arial" w:cs="Arial"/>
        </w:rPr>
        <w:t xml:space="preserve">Wood, D., Bradshaw, S., Dickens, T., Parker-McLeod, J. and Davis, C. (2024) </w:t>
      </w:r>
      <w:r w:rsidRPr="00AA0188">
        <w:rPr>
          <w:rFonts w:ascii="Arial" w:hAnsi="Arial" w:cs="Arial"/>
          <w:i/>
          <w:iCs/>
        </w:rPr>
        <w:t>Blackstone’s handbook for policing students 2024</w:t>
      </w:r>
      <w:r w:rsidRPr="00AA0188">
        <w:rPr>
          <w:rFonts w:ascii="Arial" w:hAnsi="Arial" w:cs="Arial"/>
        </w:rPr>
        <w:t>. Oxford: Oxford University Press, USA</w:t>
      </w:r>
      <w:r w:rsidR="00D212AA" w:rsidRPr="00AA0188">
        <w:rPr>
          <w:rFonts w:ascii="Arial" w:hAnsi="Arial" w:cs="Arial"/>
        </w:rPr>
        <w:t xml:space="preserve">, </w:t>
      </w:r>
      <w:r w:rsidR="00FB0E64" w:rsidRPr="00AA0188">
        <w:rPr>
          <w:rFonts w:ascii="Arial" w:hAnsi="Arial" w:cs="Arial"/>
        </w:rPr>
        <w:t>P</w:t>
      </w:r>
      <w:r w:rsidR="00E06358" w:rsidRPr="00AA0188">
        <w:rPr>
          <w:rFonts w:ascii="Arial" w:hAnsi="Arial" w:cs="Arial"/>
        </w:rPr>
        <w:t>.</w:t>
      </w:r>
      <w:r w:rsidR="007E4364" w:rsidRPr="00AA0188">
        <w:rPr>
          <w:rFonts w:ascii="Arial" w:hAnsi="Arial" w:cs="Arial"/>
        </w:rPr>
        <w:t xml:space="preserve"> </w:t>
      </w:r>
      <w:r w:rsidR="00FB0E64" w:rsidRPr="00AA0188">
        <w:rPr>
          <w:rFonts w:ascii="Arial" w:hAnsi="Arial" w:cs="Arial"/>
        </w:rPr>
        <w:t>202.</w:t>
      </w:r>
    </w:p>
    <w:p w14:paraId="725105D7" w14:textId="77777777" w:rsidR="001C0E8D" w:rsidRPr="001C0E8D" w:rsidRDefault="001C0E8D" w:rsidP="001C0E8D">
      <w:r w:rsidRPr="001C0E8D">
        <w:t>‌</w:t>
      </w:r>
    </w:p>
    <w:p w14:paraId="1D6D7FA7" w14:textId="77777777" w:rsidR="00A82333" w:rsidRDefault="00A82333" w:rsidP="00BC3E93"/>
    <w:p w14:paraId="6AB6B1FD" w14:textId="77777777" w:rsidR="00BC3E93" w:rsidRPr="00BC3E93" w:rsidRDefault="00BC3E93" w:rsidP="00BC3E93">
      <w:pPr>
        <w:rPr>
          <w:b/>
          <w:bCs/>
          <w:u w:val="single"/>
        </w:rPr>
      </w:pPr>
      <w:r w:rsidRPr="00BC3E93">
        <w:rPr>
          <w:b/>
          <w:bCs/>
          <w:u w:val="single"/>
        </w:rPr>
        <w:t>‌</w:t>
      </w:r>
    </w:p>
    <w:p w14:paraId="66361FB1" w14:textId="404AF6E5" w:rsidR="00BC3E93" w:rsidRPr="00055CA9" w:rsidRDefault="00BC3E93" w:rsidP="00055CA9">
      <w:pPr>
        <w:rPr>
          <w:b/>
          <w:bCs/>
          <w:u w:val="single"/>
        </w:rPr>
      </w:pPr>
      <w:r>
        <w:rPr>
          <w:b/>
          <w:bCs/>
          <w:u w:val="single"/>
        </w:rPr>
        <w:t xml:space="preserve"> </w:t>
      </w:r>
    </w:p>
    <w:p w14:paraId="50CC1505" w14:textId="77777777" w:rsidR="00055CA9" w:rsidRPr="00055CA9" w:rsidRDefault="00055CA9" w:rsidP="00055CA9">
      <w:pPr>
        <w:rPr>
          <w:b/>
          <w:bCs/>
          <w:u w:val="single"/>
        </w:rPr>
      </w:pPr>
      <w:r w:rsidRPr="00055CA9">
        <w:rPr>
          <w:b/>
          <w:bCs/>
          <w:u w:val="single"/>
        </w:rPr>
        <w:t>‌</w:t>
      </w:r>
    </w:p>
    <w:p w14:paraId="0556EA00" w14:textId="77777777" w:rsidR="00055CA9" w:rsidRPr="00F54275" w:rsidRDefault="00055CA9" w:rsidP="00F54275">
      <w:pPr>
        <w:rPr>
          <w:b/>
          <w:bCs/>
          <w:u w:val="single"/>
        </w:rPr>
      </w:pPr>
    </w:p>
    <w:p w14:paraId="1C600050" w14:textId="77777777" w:rsidR="00F54275" w:rsidRPr="00F54275" w:rsidRDefault="00F54275" w:rsidP="00F54275">
      <w:pPr>
        <w:rPr>
          <w:b/>
          <w:bCs/>
          <w:u w:val="single"/>
        </w:rPr>
      </w:pPr>
      <w:r w:rsidRPr="00F54275">
        <w:rPr>
          <w:b/>
          <w:bCs/>
          <w:u w:val="single"/>
        </w:rPr>
        <w:t>‌</w:t>
      </w:r>
    </w:p>
    <w:p w14:paraId="71524B87" w14:textId="77777777" w:rsidR="00F54275" w:rsidRPr="00663511" w:rsidRDefault="00F54275">
      <w:pPr>
        <w:rPr>
          <w:b/>
          <w:bCs/>
          <w:u w:val="single"/>
        </w:rPr>
      </w:pPr>
    </w:p>
    <w:sectPr w:rsidR="00F54275" w:rsidRPr="00663511" w:rsidSect="0066351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511"/>
    <w:rsid w:val="000024CA"/>
    <w:rsid w:val="000061DB"/>
    <w:rsid w:val="000076A2"/>
    <w:rsid w:val="00031797"/>
    <w:rsid w:val="000460BD"/>
    <w:rsid w:val="000471AD"/>
    <w:rsid w:val="00050C3A"/>
    <w:rsid w:val="00053127"/>
    <w:rsid w:val="00055CA9"/>
    <w:rsid w:val="00073F2D"/>
    <w:rsid w:val="00082AF0"/>
    <w:rsid w:val="00083FE3"/>
    <w:rsid w:val="000947E9"/>
    <w:rsid w:val="000953B8"/>
    <w:rsid w:val="00095884"/>
    <w:rsid w:val="0009651D"/>
    <w:rsid w:val="000A7611"/>
    <w:rsid w:val="000B5DB4"/>
    <w:rsid w:val="000C153A"/>
    <w:rsid w:val="000C4F9B"/>
    <w:rsid w:val="000D06FD"/>
    <w:rsid w:val="000D6172"/>
    <w:rsid w:val="000E5C09"/>
    <w:rsid w:val="000F6438"/>
    <w:rsid w:val="000F7EDF"/>
    <w:rsid w:val="00101D7F"/>
    <w:rsid w:val="001111A5"/>
    <w:rsid w:val="0011456A"/>
    <w:rsid w:val="00121288"/>
    <w:rsid w:val="001320E1"/>
    <w:rsid w:val="001353AB"/>
    <w:rsid w:val="00142CF4"/>
    <w:rsid w:val="00142E70"/>
    <w:rsid w:val="00147E41"/>
    <w:rsid w:val="00155081"/>
    <w:rsid w:val="0018050F"/>
    <w:rsid w:val="0018494F"/>
    <w:rsid w:val="00185BA9"/>
    <w:rsid w:val="00194837"/>
    <w:rsid w:val="001966A5"/>
    <w:rsid w:val="001A41CE"/>
    <w:rsid w:val="001C0E8D"/>
    <w:rsid w:val="001E0F91"/>
    <w:rsid w:val="001F2F49"/>
    <w:rsid w:val="001F789A"/>
    <w:rsid w:val="002175F9"/>
    <w:rsid w:val="00220D8E"/>
    <w:rsid w:val="002546AB"/>
    <w:rsid w:val="002607A0"/>
    <w:rsid w:val="00270424"/>
    <w:rsid w:val="00287833"/>
    <w:rsid w:val="0029517C"/>
    <w:rsid w:val="00295EC9"/>
    <w:rsid w:val="002A7EEB"/>
    <w:rsid w:val="002B1243"/>
    <w:rsid w:val="002C0E30"/>
    <w:rsid w:val="002E3D3C"/>
    <w:rsid w:val="002E52AF"/>
    <w:rsid w:val="002F1EF0"/>
    <w:rsid w:val="00303F30"/>
    <w:rsid w:val="00320422"/>
    <w:rsid w:val="00322619"/>
    <w:rsid w:val="00322AE3"/>
    <w:rsid w:val="00331223"/>
    <w:rsid w:val="00350B05"/>
    <w:rsid w:val="0036192F"/>
    <w:rsid w:val="00361D35"/>
    <w:rsid w:val="0037411E"/>
    <w:rsid w:val="00380BCC"/>
    <w:rsid w:val="003829FD"/>
    <w:rsid w:val="00386473"/>
    <w:rsid w:val="003B50B9"/>
    <w:rsid w:val="003C5A02"/>
    <w:rsid w:val="003C62CE"/>
    <w:rsid w:val="003C7103"/>
    <w:rsid w:val="003C72F5"/>
    <w:rsid w:val="003D31BA"/>
    <w:rsid w:val="003D658D"/>
    <w:rsid w:val="003E2A9C"/>
    <w:rsid w:val="003F4C7F"/>
    <w:rsid w:val="003F6FC1"/>
    <w:rsid w:val="0040030A"/>
    <w:rsid w:val="00407DBC"/>
    <w:rsid w:val="00407EB9"/>
    <w:rsid w:val="00412779"/>
    <w:rsid w:val="004177FE"/>
    <w:rsid w:val="00433673"/>
    <w:rsid w:val="00445C9D"/>
    <w:rsid w:val="0045345C"/>
    <w:rsid w:val="00456439"/>
    <w:rsid w:val="00460DC8"/>
    <w:rsid w:val="0046609D"/>
    <w:rsid w:val="00472AD2"/>
    <w:rsid w:val="00481414"/>
    <w:rsid w:val="004A2B42"/>
    <w:rsid w:val="004A4B75"/>
    <w:rsid w:val="004B1932"/>
    <w:rsid w:val="004C7C72"/>
    <w:rsid w:val="004D15EC"/>
    <w:rsid w:val="004D273A"/>
    <w:rsid w:val="004D29B0"/>
    <w:rsid w:val="004D3377"/>
    <w:rsid w:val="004D4C97"/>
    <w:rsid w:val="004E556C"/>
    <w:rsid w:val="004F3FFC"/>
    <w:rsid w:val="004F775B"/>
    <w:rsid w:val="004F7A2A"/>
    <w:rsid w:val="00500E13"/>
    <w:rsid w:val="00501B09"/>
    <w:rsid w:val="00516255"/>
    <w:rsid w:val="0051744D"/>
    <w:rsid w:val="00520EC1"/>
    <w:rsid w:val="00527698"/>
    <w:rsid w:val="00533373"/>
    <w:rsid w:val="005443E3"/>
    <w:rsid w:val="005537FF"/>
    <w:rsid w:val="00562300"/>
    <w:rsid w:val="00562691"/>
    <w:rsid w:val="00582B89"/>
    <w:rsid w:val="005857FB"/>
    <w:rsid w:val="00585D6A"/>
    <w:rsid w:val="0059537C"/>
    <w:rsid w:val="0059687F"/>
    <w:rsid w:val="005A0E2A"/>
    <w:rsid w:val="005A71FC"/>
    <w:rsid w:val="005A7E21"/>
    <w:rsid w:val="005B7E2B"/>
    <w:rsid w:val="005D6720"/>
    <w:rsid w:val="005E0603"/>
    <w:rsid w:val="005E28F4"/>
    <w:rsid w:val="005E4ED1"/>
    <w:rsid w:val="005E54C1"/>
    <w:rsid w:val="005F7ED8"/>
    <w:rsid w:val="00606952"/>
    <w:rsid w:val="00607672"/>
    <w:rsid w:val="00612E65"/>
    <w:rsid w:val="00615700"/>
    <w:rsid w:val="00622B5A"/>
    <w:rsid w:val="00640CE8"/>
    <w:rsid w:val="00643919"/>
    <w:rsid w:val="00645126"/>
    <w:rsid w:val="006452DC"/>
    <w:rsid w:val="0065024F"/>
    <w:rsid w:val="006555C7"/>
    <w:rsid w:val="006611F0"/>
    <w:rsid w:val="00662362"/>
    <w:rsid w:val="00663511"/>
    <w:rsid w:val="00663FCA"/>
    <w:rsid w:val="00664DCB"/>
    <w:rsid w:val="006772B4"/>
    <w:rsid w:val="0068203D"/>
    <w:rsid w:val="006875C2"/>
    <w:rsid w:val="00693ECE"/>
    <w:rsid w:val="006946F4"/>
    <w:rsid w:val="006955AC"/>
    <w:rsid w:val="006B25B0"/>
    <w:rsid w:val="006B347B"/>
    <w:rsid w:val="006B34F0"/>
    <w:rsid w:val="006C2329"/>
    <w:rsid w:val="006C5981"/>
    <w:rsid w:val="006C6178"/>
    <w:rsid w:val="006E6BFA"/>
    <w:rsid w:val="006F0C2F"/>
    <w:rsid w:val="006F55BB"/>
    <w:rsid w:val="007059F0"/>
    <w:rsid w:val="00713897"/>
    <w:rsid w:val="00721DBD"/>
    <w:rsid w:val="00722CDD"/>
    <w:rsid w:val="00730DD0"/>
    <w:rsid w:val="00740622"/>
    <w:rsid w:val="007415EC"/>
    <w:rsid w:val="00744DF5"/>
    <w:rsid w:val="007460EE"/>
    <w:rsid w:val="00753BA0"/>
    <w:rsid w:val="007614F3"/>
    <w:rsid w:val="00763CFB"/>
    <w:rsid w:val="00765244"/>
    <w:rsid w:val="007661F0"/>
    <w:rsid w:val="00772CD7"/>
    <w:rsid w:val="007744EC"/>
    <w:rsid w:val="007831F0"/>
    <w:rsid w:val="00785DD7"/>
    <w:rsid w:val="00790069"/>
    <w:rsid w:val="007944E9"/>
    <w:rsid w:val="00794C0C"/>
    <w:rsid w:val="00796259"/>
    <w:rsid w:val="007A7EA9"/>
    <w:rsid w:val="007B135F"/>
    <w:rsid w:val="007B7E46"/>
    <w:rsid w:val="007C2671"/>
    <w:rsid w:val="007C2AF3"/>
    <w:rsid w:val="007C7A65"/>
    <w:rsid w:val="007D4396"/>
    <w:rsid w:val="007D5A4F"/>
    <w:rsid w:val="007E4364"/>
    <w:rsid w:val="007E60C9"/>
    <w:rsid w:val="007F6735"/>
    <w:rsid w:val="00803D01"/>
    <w:rsid w:val="00813FEA"/>
    <w:rsid w:val="00816093"/>
    <w:rsid w:val="008231B2"/>
    <w:rsid w:val="00833AA2"/>
    <w:rsid w:val="00841696"/>
    <w:rsid w:val="00850C9A"/>
    <w:rsid w:val="008559C9"/>
    <w:rsid w:val="00890803"/>
    <w:rsid w:val="00890FA4"/>
    <w:rsid w:val="00891106"/>
    <w:rsid w:val="00894773"/>
    <w:rsid w:val="00896735"/>
    <w:rsid w:val="00896DA4"/>
    <w:rsid w:val="008A17EC"/>
    <w:rsid w:val="008B2ACF"/>
    <w:rsid w:val="008B2DE9"/>
    <w:rsid w:val="008B71DA"/>
    <w:rsid w:val="008C4F49"/>
    <w:rsid w:val="008D0292"/>
    <w:rsid w:val="008D0DD1"/>
    <w:rsid w:val="008D5F1D"/>
    <w:rsid w:val="008D796C"/>
    <w:rsid w:val="008F0418"/>
    <w:rsid w:val="008F1C6D"/>
    <w:rsid w:val="008F1D8F"/>
    <w:rsid w:val="008F717E"/>
    <w:rsid w:val="0091023A"/>
    <w:rsid w:val="00915A29"/>
    <w:rsid w:val="009207D5"/>
    <w:rsid w:val="00922768"/>
    <w:rsid w:val="00930100"/>
    <w:rsid w:val="00932D8B"/>
    <w:rsid w:val="00945515"/>
    <w:rsid w:val="00945CB6"/>
    <w:rsid w:val="00947024"/>
    <w:rsid w:val="00954DD9"/>
    <w:rsid w:val="009610B9"/>
    <w:rsid w:val="00966C09"/>
    <w:rsid w:val="00970050"/>
    <w:rsid w:val="009750B0"/>
    <w:rsid w:val="009765FD"/>
    <w:rsid w:val="0098372A"/>
    <w:rsid w:val="0098585F"/>
    <w:rsid w:val="00987686"/>
    <w:rsid w:val="009A03A8"/>
    <w:rsid w:val="009A0A9A"/>
    <w:rsid w:val="009A21FA"/>
    <w:rsid w:val="009A7137"/>
    <w:rsid w:val="009C3B2B"/>
    <w:rsid w:val="009C448B"/>
    <w:rsid w:val="009C4528"/>
    <w:rsid w:val="009C7152"/>
    <w:rsid w:val="009D2C3D"/>
    <w:rsid w:val="009E6214"/>
    <w:rsid w:val="009F3FA9"/>
    <w:rsid w:val="009F6AEF"/>
    <w:rsid w:val="00A00497"/>
    <w:rsid w:val="00A00EA3"/>
    <w:rsid w:val="00A10D0E"/>
    <w:rsid w:val="00A178C3"/>
    <w:rsid w:val="00A2053F"/>
    <w:rsid w:val="00A21AB7"/>
    <w:rsid w:val="00A23D5A"/>
    <w:rsid w:val="00A30B18"/>
    <w:rsid w:val="00A30FC8"/>
    <w:rsid w:val="00A337F6"/>
    <w:rsid w:val="00A424F9"/>
    <w:rsid w:val="00A45DA5"/>
    <w:rsid w:val="00A45FEE"/>
    <w:rsid w:val="00A5769A"/>
    <w:rsid w:val="00A62F18"/>
    <w:rsid w:val="00A7050B"/>
    <w:rsid w:val="00A72C4A"/>
    <w:rsid w:val="00A7327A"/>
    <w:rsid w:val="00A758CA"/>
    <w:rsid w:val="00A82333"/>
    <w:rsid w:val="00A90C88"/>
    <w:rsid w:val="00A91E4A"/>
    <w:rsid w:val="00A9469C"/>
    <w:rsid w:val="00A95DA5"/>
    <w:rsid w:val="00AA0188"/>
    <w:rsid w:val="00AA581A"/>
    <w:rsid w:val="00AD37D5"/>
    <w:rsid w:val="00AD5574"/>
    <w:rsid w:val="00B147FA"/>
    <w:rsid w:val="00B15806"/>
    <w:rsid w:val="00B24094"/>
    <w:rsid w:val="00B25C55"/>
    <w:rsid w:val="00B318DE"/>
    <w:rsid w:val="00B31C01"/>
    <w:rsid w:val="00B35752"/>
    <w:rsid w:val="00B50FB2"/>
    <w:rsid w:val="00B52703"/>
    <w:rsid w:val="00B56EF1"/>
    <w:rsid w:val="00B60B10"/>
    <w:rsid w:val="00B61D4B"/>
    <w:rsid w:val="00B6475E"/>
    <w:rsid w:val="00B7041F"/>
    <w:rsid w:val="00B808FA"/>
    <w:rsid w:val="00B84FCC"/>
    <w:rsid w:val="00B86559"/>
    <w:rsid w:val="00B90C78"/>
    <w:rsid w:val="00B96D10"/>
    <w:rsid w:val="00BA0C54"/>
    <w:rsid w:val="00BA29CB"/>
    <w:rsid w:val="00BA6752"/>
    <w:rsid w:val="00BC3E93"/>
    <w:rsid w:val="00BC479D"/>
    <w:rsid w:val="00BD5710"/>
    <w:rsid w:val="00BD5EF0"/>
    <w:rsid w:val="00BE5FE3"/>
    <w:rsid w:val="00BF4B5C"/>
    <w:rsid w:val="00BF5268"/>
    <w:rsid w:val="00C03C21"/>
    <w:rsid w:val="00C05944"/>
    <w:rsid w:val="00C124F1"/>
    <w:rsid w:val="00C67BFD"/>
    <w:rsid w:val="00C7159D"/>
    <w:rsid w:val="00C7280F"/>
    <w:rsid w:val="00C802DD"/>
    <w:rsid w:val="00CA1A25"/>
    <w:rsid w:val="00CA77E0"/>
    <w:rsid w:val="00CA7BAF"/>
    <w:rsid w:val="00CB3B02"/>
    <w:rsid w:val="00CC16F8"/>
    <w:rsid w:val="00CD02EE"/>
    <w:rsid w:val="00CD6CD8"/>
    <w:rsid w:val="00CF1BF6"/>
    <w:rsid w:val="00CF2251"/>
    <w:rsid w:val="00CF47E7"/>
    <w:rsid w:val="00D015DF"/>
    <w:rsid w:val="00D04E60"/>
    <w:rsid w:val="00D07941"/>
    <w:rsid w:val="00D10DAA"/>
    <w:rsid w:val="00D14209"/>
    <w:rsid w:val="00D212AA"/>
    <w:rsid w:val="00D30107"/>
    <w:rsid w:val="00D32EFD"/>
    <w:rsid w:val="00D44AC7"/>
    <w:rsid w:val="00D6080C"/>
    <w:rsid w:val="00D61995"/>
    <w:rsid w:val="00D70BB5"/>
    <w:rsid w:val="00D72123"/>
    <w:rsid w:val="00D73E7F"/>
    <w:rsid w:val="00D740A6"/>
    <w:rsid w:val="00D757C4"/>
    <w:rsid w:val="00D81B16"/>
    <w:rsid w:val="00D83312"/>
    <w:rsid w:val="00DB4CE2"/>
    <w:rsid w:val="00DC2A0B"/>
    <w:rsid w:val="00DD1071"/>
    <w:rsid w:val="00DD1A31"/>
    <w:rsid w:val="00DE47CA"/>
    <w:rsid w:val="00DE5D1E"/>
    <w:rsid w:val="00DE72CF"/>
    <w:rsid w:val="00DF11A3"/>
    <w:rsid w:val="00DF1D4C"/>
    <w:rsid w:val="00DF2084"/>
    <w:rsid w:val="00DF2828"/>
    <w:rsid w:val="00DF39D7"/>
    <w:rsid w:val="00DF3EC9"/>
    <w:rsid w:val="00DF57CD"/>
    <w:rsid w:val="00E00025"/>
    <w:rsid w:val="00E06358"/>
    <w:rsid w:val="00E1346F"/>
    <w:rsid w:val="00E1558B"/>
    <w:rsid w:val="00E33D00"/>
    <w:rsid w:val="00E35A01"/>
    <w:rsid w:val="00E63A44"/>
    <w:rsid w:val="00E6495A"/>
    <w:rsid w:val="00E74885"/>
    <w:rsid w:val="00E828F4"/>
    <w:rsid w:val="00E85051"/>
    <w:rsid w:val="00E9040D"/>
    <w:rsid w:val="00E95F0B"/>
    <w:rsid w:val="00EA0896"/>
    <w:rsid w:val="00EA1C76"/>
    <w:rsid w:val="00EA2560"/>
    <w:rsid w:val="00EB6F26"/>
    <w:rsid w:val="00EC1537"/>
    <w:rsid w:val="00EC1741"/>
    <w:rsid w:val="00EC27EC"/>
    <w:rsid w:val="00EC375C"/>
    <w:rsid w:val="00ED2F63"/>
    <w:rsid w:val="00EE490D"/>
    <w:rsid w:val="00EF110A"/>
    <w:rsid w:val="00F010B6"/>
    <w:rsid w:val="00F13C6A"/>
    <w:rsid w:val="00F208EA"/>
    <w:rsid w:val="00F318BC"/>
    <w:rsid w:val="00F33C12"/>
    <w:rsid w:val="00F41B59"/>
    <w:rsid w:val="00F445FC"/>
    <w:rsid w:val="00F54275"/>
    <w:rsid w:val="00F57039"/>
    <w:rsid w:val="00F70144"/>
    <w:rsid w:val="00F71EC6"/>
    <w:rsid w:val="00F726BC"/>
    <w:rsid w:val="00F83176"/>
    <w:rsid w:val="00F87023"/>
    <w:rsid w:val="00F91D1A"/>
    <w:rsid w:val="00F97005"/>
    <w:rsid w:val="00FA3E60"/>
    <w:rsid w:val="00FB0E64"/>
    <w:rsid w:val="00FB0F4A"/>
    <w:rsid w:val="00FB2E34"/>
    <w:rsid w:val="00FE0836"/>
    <w:rsid w:val="00FE27D0"/>
    <w:rsid w:val="00FE60A1"/>
    <w:rsid w:val="0B658E9B"/>
    <w:rsid w:val="3CEE7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76D81"/>
  <w15:chartTrackingRefBased/>
  <w15:docId w15:val="{44A22E08-F79F-47AE-ADF9-08FF2480C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5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35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35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35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35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35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35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35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35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5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35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35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35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35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35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35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35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3511"/>
    <w:rPr>
      <w:rFonts w:eastAsiaTheme="majorEastAsia" w:cstheme="majorBidi"/>
      <w:color w:val="272727" w:themeColor="text1" w:themeTint="D8"/>
    </w:rPr>
  </w:style>
  <w:style w:type="paragraph" w:styleId="Title">
    <w:name w:val="Title"/>
    <w:basedOn w:val="Normal"/>
    <w:next w:val="Normal"/>
    <w:link w:val="TitleChar"/>
    <w:uiPriority w:val="10"/>
    <w:qFormat/>
    <w:rsid w:val="006635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35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35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35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3511"/>
    <w:pPr>
      <w:spacing w:before="160"/>
      <w:jc w:val="center"/>
    </w:pPr>
    <w:rPr>
      <w:i/>
      <w:iCs/>
      <w:color w:val="404040" w:themeColor="text1" w:themeTint="BF"/>
    </w:rPr>
  </w:style>
  <w:style w:type="character" w:customStyle="1" w:styleId="QuoteChar">
    <w:name w:val="Quote Char"/>
    <w:basedOn w:val="DefaultParagraphFont"/>
    <w:link w:val="Quote"/>
    <w:uiPriority w:val="29"/>
    <w:rsid w:val="00663511"/>
    <w:rPr>
      <w:i/>
      <w:iCs/>
      <w:color w:val="404040" w:themeColor="text1" w:themeTint="BF"/>
    </w:rPr>
  </w:style>
  <w:style w:type="paragraph" w:styleId="ListParagraph">
    <w:name w:val="List Paragraph"/>
    <w:basedOn w:val="Normal"/>
    <w:uiPriority w:val="34"/>
    <w:qFormat/>
    <w:rsid w:val="00663511"/>
    <w:pPr>
      <w:ind w:left="720"/>
      <w:contextualSpacing/>
    </w:pPr>
  </w:style>
  <w:style w:type="character" w:styleId="IntenseEmphasis">
    <w:name w:val="Intense Emphasis"/>
    <w:basedOn w:val="DefaultParagraphFont"/>
    <w:uiPriority w:val="21"/>
    <w:qFormat/>
    <w:rsid w:val="00663511"/>
    <w:rPr>
      <w:i/>
      <w:iCs/>
      <w:color w:val="0F4761" w:themeColor="accent1" w:themeShade="BF"/>
    </w:rPr>
  </w:style>
  <w:style w:type="paragraph" w:styleId="IntenseQuote">
    <w:name w:val="Intense Quote"/>
    <w:basedOn w:val="Normal"/>
    <w:next w:val="Normal"/>
    <w:link w:val="IntenseQuoteChar"/>
    <w:uiPriority w:val="30"/>
    <w:qFormat/>
    <w:rsid w:val="006635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3511"/>
    <w:rPr>
      <w:i/>
      <w:iCs/>
      <w:color w:val="0F4761" w:themeColor="accent1" w:themeShade="BF"/>
    </w:rPr>
  </w:style>
  <w:style w:type="character" w:styleId="IntenseReference">
    <w:name w:val="Intense Reference"/>
    <w:basedOn w:val="DefaultParagraphFont"/>
    <w:uiPriority w:val="32"/>
    <w:qFormat/>
    <w:rsid w:val="00663511"/>
    <w:rPr>
      <w:b/>
      <w:bCs/>
      <w:smallCaps/>
      <w:color w:val="0F4761" w:themeColor="accent1" w:themeShade="BF"/>
      <w:spacing w:val="5"/>
    </w:rPr>
  </w:style>
  <w:style w:type="paragraph" w:styleId="NoSpacing">
    <w:name w:val="No Spacing"/>
    <w:link w:val="NoSpacingChar"/>
    <w:uiPriority w:val="1"/>
    <w:qFormat/>
    <w:rsid w:val="0066351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63511"/>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663511"/>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663511"/>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FA3E60"/>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663511"/>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F54275"/>
    <w:rPr>
      <w:color w:val="467886" w:themeColor="hyperlink"/>
      <w:u w:val="single"/>
    </w:rPr>
  </w:style>
  <w:style w:type="character" w:styleId="UnresolvedMention">
    <w:name w:val="Unresolved Mention"/>
    <w:basedOn w:val="DefaultParagraphFont"/>
    <w:uiPriority w:val="99"/>
    <w:semiHidden/>
    <w:unhideWhenUsed/>
    <w:rsid w:val="00F54275"/>
    <w:rPr>
      <w:color w:val="605E5C"/>
      <w:shd w:val="clear" w:color="auto" w:fill="E1DFDD"/>
    </w:rPr>
  </w:style>
  <w:style w:type="character" w:styleId="FollowedHyperlink">
    <w:name w:val="FollowedHyperlink"/>
    <w:basedOn w:val="DefaultParagraphFont"/>
    <w:uiPriority w:val="99"/>
    <w:semiHidden/>
    <w:unhideWhenUsed/>
    <w:rsid w:val="006F0C2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827569">
      <w:bodyDiv w:val="1"/>
      <w:marLeft w:val="0"/>
      <w:marRight w:val="0"/>
      <w:marTop w:val="0"/>
      <w:marBottom w:val="0"/>
      <w:divBdr>
        <w:top w:val="none" w:sz="0" w:space="0" w:color="auto"/>
        <w:left w:val="none" w:sz="0" w:space="0" w:color="auto"/>
        <w:bottom w:val="none" w:sz="0" w:space="0" w:color="auto"/>
        <w:right w:val="none" w:sz="0" w:space="0" w:color="auto"/>
      </w:divBdr>
    </w:div>
    <w:div w:id="125004560">
      <w:bodyDiv w:val="1"/>
      <w:marLeft w:val="0"/>
      <w:marRight w:val="0"/>
      <w:marTop w:val="0"/>
      <w:marBottom w:val="0"/>
      <w:divBdr>
        <w:top w:val="none" w:sz="0" w:space="0" w:color="auto"/>
        <w:left w:val="none" w:sz="0" w:space="0" w:color="auto"/>
        <w:bottom w:val="none" w:sz="0" w:space="0" w:color="auto"/>
        <w:right w:val="none" w:sz="0" w:space="0" w:color="auto"/>
      </w:divBdr>
    </w:div>
    <w:div w:id="125314237">
      <w:bodyDiv w:val="1"/>
      <w:marLeft w:val="0"/>
      <w:marRight w:val="0"/>
      <w:marTop w:val="0"/>
      <w:marBottom w:val="0"/>
      <w:divBdr>
        <w:top w:val="none" w:sz="0" w:space="0" w:color="auto"/>
        <w:left w:val="none" w:sz="0" w:space="0" w:color="auto"/>
        <w:bottom w:val="none" w:sz="0" w:space="0" w:color="auto"/>
        <w:right w:val="none" w:sz="0" w:space="0" w:color="auto"/>
      </w:divBdr>
    </w:div>
    <w:div w:id="155847009">
      <w:bodyDiv w:val="1"/>
      <w:marLeft w:val="0"/>
      <w:marRight w:val="0"/>
      <w:marTop w:val="0"/>
      <w:marBottom w:val="0"/>
      <w:divBdr>
        <w:top w:val="none" w:sz="0" w:space="0" w:color="auto"/>
        <w:left w:val="none" w:sz="0" w:space="0" w:color="auto"/>
        <w:bottom w:val="none" w:sz="0" w:space="0" w:color="auto"/>
        <w:right w:val="none" w:sz="0" w:space="0" w:color="auto"/>
      </w:divBdr>
    </w:div>
    <w:div w:id="177619531">
      <w:bodyDiv w:val="1"/>
      <w:marLeft w:val="0"/>
      <w:marRight w:val="0"/>
      <w:marTop w:val="0"/>
      <w:marBottom w:val="0"/>
      <w:divBdr>
        <w:top w:val="none" w:sz="0" w:space="0" w:color="auto"/>
        <w:left w:val="none" w:sz="0" w:space="0" w:color="auto"/>
        <w:bottom w:val="none" w:sz="0" w:space="0" w:color="auto"/>
        <w:right w:val="none" w:sz="0" w:space="0" w:color="auto"/>
      </w:divBdr>
    </w:div>
    <w:div w:id="340931325">
      <w:bodyDiv w:val="1"/>
      <w:marLeft w:val="0"/>
      <w:marRight w:val="0"/>
      <w:marTop w:val="0"/>
      <w:marBottom w:val="0"/>
      <w:divBdr>
        <w:top w:val="none" w:sz="0" w:space="0" w:color="auto"/>
        <w:left w:val="none" w:sz="0" w:space="0" w:color="auto"/>
        <w:bottom w:val="none" w:sz="0" w:space="0" w:color="auto"/>
        <w:right w:val="none" w:sz="0" w:space="0" w:color="auto"/>
      </w:divBdr>
    </w:div>
    <w:div w:id="393702043">
      <w:bodyDiv w:val="1"/>
      <w:marLeft w:val="0"/>
      <w:marRight w:val="0"/>
      <w:marTop w:val="0"/>
      <w:marBottom w:val="0"/>
      <w:divBdr>
        <w:top w:val="none" w:sz="0" w:space="0" w:color="auto"/>
        <w:left w:val="none" w:sz="0" w:space="0" w:color="auto"/>
        <w:bottom w:val="none" w:sz="0" w:space="0" w:color="auto"/>
        <w:right w:val="none" w:sz="0" w:space="0" w:color="auto"/>
      </w:divBdr>
    </w:div>
    <w:div w:id="591201658">
      <w:bodyDiv w:val="1"/>
      <w:marLeft w:val="0"/>
      <w:marRight w:val="0"/>
      <w:marTop w:val="0"/>
      <w:marBottom w:val="0"/>
      <w:divBdr>
        <w:top w:val="none" w:sz="0" w:space="0" w:color="auto"/>
        <w:left w:val="none" w:sz="0" w:space="0" w:color="auto"/>
        <w:bottom w:val="none" w:sz="0" w:space="0" w:color="auto"/>
        <w:right w:val="none" w:sz="0" w:space="0" w:color="auto"/>
      </w:divBdr>
    </w:div>
    <w:div w:id="720060130">
      <w:bodyDiv w:val="1"/>
      <w:marLeft w:val="0"/>
      <w:marRight w:val="0"/>
      <w:marTop w:val="0"/>
      <w:marBottom w:val="0"/>
      <w:divBdr>
        <w:top w:val="none" w:sz="0" w:space="0" w:color="auto"/>
        <w:left w:val="none" w:sz="0" w:space="0" w:color="auto"/>
        <w:bottom w:val="none" w:sz="0" w:space="0" w:color="auto"/>
        <w:right w:val="none" w:sz="0" w:space="0" w:color="auto"/>
      </w:divBdr>
      <w:divsChild>
        <w:div w:id="1018578124">
          <w:marLeft w:val="0"/>
          <w:marRight w:val="0"/>
          <w:marTop w:val="0"/>
          <w:marBottom w:val="0"/>
          <w:divBdr>
            <w:top w:val="none" w:sz="0" w:space="0" w:color="auto"/>
            <w:left w:val="none" w:sz="0" w:space="0" w:color="auto"/>
            <w:bottom w:val="none" w:sz="0" w:space="0" w:color="auto"/>
            <w:right w:val="none" w:sz="0" w:space="0" w:color="auto"/>
          </w:divBdr>
        </w:div>
        <w:div w:id="1971521173">
          <w:marLeft w:val="0"/>
          <w:marRight w:val="0"/>
          <w:marTop w:val="0"/>
          <w:marBottom w:val="0"/>
          <w:divBdr>
            <w:top w:val="none" w:sz="0" w:space="0" w:color="auto"/>
            <w:left w:val="none" w:sz="0" w:space="0" w:color="auto"/>
            <w:bottom w:val="none" w:sz="0" w:space="0" w:color="auto"/>
            <w:right w:val="none" w:sz="0" w:space="0" w:color="auto"/>
          </w:divBdr>
        </w:div>
        <w:div w:id="20135327">
          <w:marLeft w:val="0"/>
          <w:marRight w:val="0"/>
          <w:marTop w:val="0"/>
          <w:marBottom w:val="0"/>
          <w:divBdr>
            <w:top w:val="none" w:sz="0" w:space="0" w:color="auto"/>
            <w:left w:val="none" w:sz="0" w:space="0" w:color="auto"/>
            <w:bottom w:val="none" w:sz="0" w:space="0" w:color="auto"/>
            <w:right w:val="none" w:sz="0" w:space="0" w:color="auto"/>
          </w:divBdr>
        </w:div>
        <w:div w:id="676621170">
          <w:marLeft w:val="0"/>
          <w:marRight w:val="0"/>
          <w:marTop w:val="0"/>
          <w:marBottom w:val="0"/>
          <w:divBdr>
            <w:top w:val="none" w:sz="0" w:space="0" w:color="auto"/>
            <w:left w:val="none" w:sz="0" w:space="0" w:color="auto"/>
            <w:bottom w:val="none" w:sz="0" w:space="0" w:color="auto"/>
            <w:right w:val="none" w:sz="0" w:space="0" w:color="auto"/>
          </w:divBdr>
        </w:div>
        <w:div w:id="681200151">
          <w:marLeft w:val="0"/>
          <w:marRight w:val="0"/>
          <w:marTop w:val="0"/>
          <w:marBottom w:val="0"/>
          <w:divBdr>
            <w:top w:val="none" w:sz="0" w:space="0" w:color="auto"/>
            <w:left w:val="none" w:sz="0" w:space="0" w:color="auto"/>
            <w:bottom w:val="none" w:sz="0" w:space="0" w:color="auto"/>
            <w:right w:val="none" w:sz="0" w:space="0" w:color="auto"/>
          </w:divBdr>
        </w:div>
        <w:div w:id="1771851540">
          <w:marLeft w:val="0"/>
          <w:marRight w:val="0"/>
          <w:marTop w:val="0"/>
          <w:marBottom w:val="0"/>
          <w:divBdr>
            <w:top w:val="none" w:sz="0" w:space="0" w:color="auto"/>
            <w:left w:val="none" w:sz="0" w:space="0" w:color="auto"/>
            <w:bottom w:val="none" w:sz="0" w:space="0" w:color="auto"/>
            <w:right w:val="none" w:sz="0" w:space="0" w:color="auto"/>
          </w:divBdr>
        </w:div>
        <w:div w:id="1637756474">
          <w:marLeft w:val="0"/>
          <w:marRight w:val="0"/>
          <w:marTop w:val="0"/>
          <w:marBottom w:val="0"/>
          <w:divBdr>
            <w:top w:val="none" w:sz="0" w:space="0" w:color="auto"/>
            <w:left w:val="none" w:sz="0" w:space="0" w:color="auto"/>
            <w:bottom w:val="none" w:sz="0" w:space="0" w:color="auto"/>
            <w:right w:val="none" w:sz="0" w:space="0" w:color="auto"/>
          </w:divBdr>
        </w:div>
        <w:div w:id="135756872">
          <w:marLeft w:val="0"/>
          <w:marRight w:val="0"/>
          <w:marTop w:val="0"/>
          <w:marBottom w:val="0"/>
          <w:divBdr>
            <w:top w:val="none" w:sz="0" w:space="0" w:color="auto"/>
            <w:left w:val="none" w:sz="0" w:space="0" w:color="auto"/>
            <w:bottom w:val="none" w:sz="0" w:space="0" w:color="auto"/>
            <w:right w:val="none" w:sz="0" w:space="0" w:color="auto"/>
          </w:divBdr>
        </w:div>
        <w:div w:id="1968579274">
          <w:marLeft w:val="0"/>
          <w:marRight w:val="0"/>
          <w:marTop w:val="0"/>
          <w:marBottom w:val="0"/>
          <w:divBdr>
            <w:top w:val="none" w:sz="0" w:space="0" w:color="auto"/>
            <w:left w:val="none" w:sz="0" w:space="0" w:color="auto"/>
            <w:bottom w:val="none" w:sz="0" w:space="0" w:color="auto"/>
            <w:right w:val="none" w:sz="0" w:space="0" w:color="auto"/>
          </w:divBdr>
        </w:div>
        <w:div w:id="667513301">
          <w:marLeft w:val="0"/>
          <w:marRight w:val="0"/>
          <w:marTop w:val="0"/>
          <w:marBottom w:val="0"/>
          <w:divBdr>
            <w:top w:val="none" w:sz="0" w:space="0" w:color="auto"/>
            <w:left w:val="none" w:sz="0" w:space="0" w:color="auto"/>
            <w:bottom w:val="none" w:sz="0" w:space="0" w:color="auto"/>
            <w:right w:val="none" w:sz="0" w:space="0" w:color="auto"/>
          </w:divBdr>
        </w:div>
        <w:div w:id="609320612">
          <w:marLeft w:val="0"/>
          <w:marRight w:val="0"/>
          <w:marTop w:val="0"/>
          <w:marBottom w:val="0"/>
          <w:divBdr>
            <w:top w:val="none" w:sz="0" w:space="0" w:color="auto"/>
            <w:left w:val="none" w:sz="0" w:space="0" w:color="auto"/>
            <w:bottom w:val="none" w:sz="0" w:space="0" w:color="auto"/>
            <w:right w:val="none" w:sz="0" w:space="0" w:color="auto"/>
          </w:divBdr>
        </w:div>
        <w:div w:id="65614502">
          <w:marLeft w:val="0"/>
          <w:marRight w:val="0"/>
          <w:marTop w:val="0"/>
          <w:marBottom w:val="0"/>
          <w:divBdr>
            <w:top w:val="none" w:sz="0" w:space="0" w:color="auto"/>
            <w:left w:val="none" w:sz="0" w:space="0" w:color="auto"/>
            <w:bottom w:val="none" w:sz="0" w:space="0" w:color="auto"/>
            <w:right w:val="none" w:sz="0" w:space="0" w:color="auto"/>
          </w:divBdr>
        </w:div>
        <w:div w:id="566502539">
          <w:marLeft w:val="0"/>
          <w:marRight w:val="0"/>
          <w:marTop w:val="0"/>
          <w:marBottom w:val="0"/>
          <w:divBdr>
            <w:top w:val="none" w:sz="0" w:space="0" w:color="auto"/>
            <w:left w:val="none" w:sz="0" w:space="0" w:color="auto"/>
            <w:bottom w:val="none" w:sz="0" w:space="0" w:color="auto"/>
            <w:right w:val="none" w:sz="0" w:space="0" w:color="auto"/>
          </w:divBdr>
        </w:div>
        <w:div w:id="2136100688">
          <w:marLeft w:val="0"/>
          <w:marRight w:val="0"/>
          <w:marTop w:val="0"/>
          <w:marBottom w:val="0"/>
          <w:divBdr>
            <w:top w:val="none" w:sz="0" w:space="0" w:color="auto"/>
            <w:left w:val="none" w:sz="0" w:space="0" w:color="auto"/>
            <w:bottom w:val="none" w:sz="0" w:space="0" w:color="auto"/>
            <w:right w:val="none" w:sz="0" w:space="0" w:color="auto"/>
          </w:divBdr>
        </w:div>
        <w:div w:id="1130905200">
          <w:marLeft w:val="0"/>
          <w:marRight w:val="0"/>
          <w:marTop w:val="0"/>
          <w:marBottom w:val="0"/>
          <w:divBdr>
            <w:top w:val="none" w:sz="0" w:space="0" w:color="auto"/>
            <w:left w:val="none" w:sz="0" w:space="0" w:color="auto"/>
            <w:bottom w:val="none" w:sz="0" w:space="0" w:color="auto"/>
            <w:right w:val="none" w:sz="0" w:space="0" w:color="auto"/>
          </w:divBdr>
        </w:div>
        <w:div w:id="1802840023">
          <w:marLeft w:val="0"/>
          <w:marRight w:val="0"/>
          <w:marTop w:val="0"/>
          <w:marBottom w:val="0"/>
          <w:divBdr>
            <w:top w:val="none" w:sz="0" w:space="0" w:color="auto"/>
            <w:left w:val="none" w:sz="0" w:space="0" w:color="auto"/>
            <w:bottom w:val="none" w:sz="0" w:space="0" w:color="auto"/>
            <w:right w:val="none" w:sz="0" w:space="0" w:color="auto"/>
          </w:divBdr>
        </w:div>
        <w:div w:id="1953973784">
          <w:marLeft w:val="0"/>
          <w:marRight w:val="0"/>
          <w:marTop w:val="0"/>
          <w:marBottom w:val="0"/>
          <w:divBdr>
            <w:top w:val="none" w:sz="0" w:space="0" w:color="auto"/>
            <w:left w:val="none" w:sz="0" w:space="0" w:color="auto"/>
            <w:bottom w:val="none" w:sz="0" w:space="0" w:color="auto"/>
            <w:right w:val="none" w:sz="0" w:space="0" w:color="auto"/>
          </w:divBdr>
        </w:div>
        <w:div w:id="287325614">
          <w:marLeft w:val="0"/>
          <w:marRight w:val="0"/>
          <w:marTop w:val="0"/>
          <w:marBottom w:val="0"/>
          <w:divBdr>
            <w:top w:val="none" w:sz="0" w:space="0" w:color="auto"/>
            <w:left w:val="none" w:sz="0" w:space="0" w:color="auto"/>
            <w:bottom w:val="none" w:sz="0" w:space="0" w:color="auto"/>
            <w:right w:val="none" w:sz="0" w:space="0" w:color="auto"/>
          </w:divBdr>
        </w:div>
        <w:div w:id="1263949338">
          <w:marLeft w:val="0"/>
          <w:marRight w:val="0"/>
          <w:marTop w:val="0"/>
          <w:marBottom w:val="0"/>
          <w:divBdr>
            <w:top w:val="none" w:sz="0" w:space="0" w:color="auto"/>
            <w:left w:val="none" w:sz="0" w:space="0" w:color="auto"/>
            <w:bottom w:val="none" w:sz="0" w:space="0" w:color="auto"/>
            <w:right w:val="none" w:sz="0" w:space="0" w:color="auto"/>
          </w:divBdr>
        </w:div>
        <w:div w:id="1183862868">
          <w:marLeft w:val="0"/>
          <w:marRight w:val="0"/>
          <w:marTop w:val="0"/>
          <w:marBottom w:val="0"/>
          <w:divBdr>
            <w:top w:val="none" w:sz="0" w:space="0" w:color="auto"/>
            <w:left w:val="none" w:sz="0" w:space="0" w:color="auto"/>
            <w:bottom w:val="none" w:sz="0" w:space="0" w:color="auto"/>
            <w:right w:val="none" w:sz="0" w:space="0" w:color="auto"/>
          </w:divBdr>
        </w:div>
        <w:div w:id="1189831765">
          <w:marLeft w:val="0"/>
          <w:marRight w:val="0"/>
          <w:marTop w:val="0"/>
          <w:marBottom w:val="0"/>
          <w:divBdr>
            <w:top w:val="none" w:sz="0" w:space="0" w:color="auto"/>
            <w:left w:val="none" w:sz="0" w:space="0" w:color="auto"/>
            <w:bottom w:val="none" w:sz="0" w:space="0" w:color="auto"/>
            <w:right w:val="none" w:sz="0" w:space="0" w:color="auto"/>
          </w:divBdr>
        </w:div>
        <w:div w:id="823008080">
          <w:marLeft w:val="0"/>
          <w:marRight w:val="0"/>
          <w:marTop w:val="0"/>
          <w:marBottom w:val="0"/>
          <w:divBdr>
            <w:top w:val="none" w:sz="0" w:space="0" w:color="auto"/>
            <w:left w:val="none" w:sz="0" w:space="0" w:color="auto"/>
            <w:bottom w:val="none" w:sz="0" w:space="0" w:color="auto"/>
            <w:right w:val="none" w:sz="0" w:space="0" w:color="auto"/>
          </w:divBdr>
        </w:div>
        <w:div w:id="1362702982">
          <w:marLeft w:val="0"/>
          <w:marRight w:val="0"/>
          <w:marTop w:val="0"/>
          <w:marBottom w:val="0"/>
          <w:divBdr>
            <w:top w:val="none" w:sz="0" w:space="0" w:color="auto"/>
            <w:left w:val="none" w:sz="0" w:space="0" w:color="auto"/>
            <w:bottom w:val="none" w:sz="0" w:space="0" w:color="auto"/>
            <w:right w:val="none" w:sz="0" w:space="0" w:color="auto"/>
          </w:divBdr>
        </w:div>
        <w:div w:id="1448425066">
          <w:marLeft w:val="0"/>
          <w:marRight w:val="0"/>
          <w:marTop w:val="0"/>
          <w:marBottom w:val="0"/>
          <w:divBdr>
            <w:top w:val="none" w:sz="0" w:space="0" w:color="auto"/>
            <w:left w:val="none" w:sz="0" w:space="0" w:color="auto"/>
            <w:bottom w:val="none" w:sz="0" w:space="0" w:color="auto"/>
            <w:right w:val="none" w:sz="0" w:space="0" w:color="auto"/>
          </w:divBdr>
        </w:div>
        <w:div w:id="312636919">
          <w:marLeft w:val="0"/>
          <w:marRight w:val="0"/>
          <w:marTop w:val="0"/>
          <w:marBottom w:val="0"/>
          <w:divBdr>
            <w:top w:val="none" w:sz="0" w:space="0" w:color="auto"/>
            <w:left w:val="none" w:sz="0" w:space="0" w:color="auto"/>
            <w:bottom w:val="none" w:sz="0" w:space="0" w:color="auto"/>
            <w:right w:val="none" w:sz="0" w:space="0" w:color="auto"/>
          </w:divBdr>
        </w:div>
        <w:div w:id="1054045811">
          <w:marLeft w:val="0"/>
          <w:marRight w:val="0"/>
          <w:marTop w:val="0"/>
          <w:marBottom w:val="0"/>
          <w:divBdr>
            <w:top w:val="none" w:sz="0" w:space="0" w:color="auto"/>
            <w:left w:val="none" w:sz="0" w:space="0" w:color="auto"/>
            <w:bottom w:val="none" w:sz="0" w:space="0" w:color="auto"/>
            <w:right w:val="none" w:sz="0" w:space="0" w:color="auto"/>
          </w:divBdr>
        </w:div>
        <w:div w:id="992677626">
          <w:marLeft w:val="0"/>
          <w:marRight w:val="0"/>
          <w:marTop w:val="0"/>
          <w:marBottom w:val="0"/>
          <w:divBdr>
            <w:top w:val="none" w:sz="0" w:space="0" w:color="auto"/>
            <w:left w:val="none" w:sz="0" w:space="0" w:color="auto"/>
            <w:bottom w:val="none" w:sz="0" w:space="0" w:color="auto"/>
            <w:right w:val="none" w:sz="0" w:space="0" w:color="auto"/>
          </w:divBdr>
        </w:div>
      </w:divsChild>
    </w:div>
    <w:div w:id="803743262">
      <w:bodyDiv w:val="1"/>
      <w:marLeft w:val="0"/>
      <w:marRight w:val="0"/>
      <w:marTop w:val="0"/>
      <w:marBottom w:val="0"/>
      <w:divBdr>
        <w:top w:val="none" w:sz="0" w:space="0" w:color="auto"/>
        <w:left w:val="none" w:sz="0" w:space="0" w:color="auto"/>
        <w:bottom w:val="none" w:sz="0" w:space="0" w:color="auto"/>
        <w:right w:val="none" w:sz="0" w:space="0" w:color="auto"/>
      </w:divBdr>
    </w:div>
    <w:div w:id="872763837">
      <w:bodyDiv w:val="1"/>
      <w:marLeft w:val="0"/>
      <w:marRight w:val="0"/>
      <w:marTop w:val="0"/>
      <w:marBottom w:val="0"/>
      <w:divBdr>
        <w:top w:val="none" w:sz="0" w:space="0" w:color="auto"/>
        <w:left w:val="none" w:sz="0" w:space="0" w:color="auto"/>
        <w:bottom w:val="none" w:sz="0" w:space="0" w:color="auto"/>
        <w:right w:val="none" w:sz="0" w:space="0" w:color="auto"/>
      </w:divBdr>
    </w:div>
    <w:div w:id="879249814">
      <w:bodyDiv w:val="1"/>
      <w:marLeft w:val="0"/>
      <w:marRight w:val="0"/>
      <w:marTop w:val="0"/>
      <w:marBottom w:val="0"/>
      <w:divBdr>
        <w:top w:val="none" w:sz="0" w:space="0" w:color="auto"/>
        <w:left w:val="none" w:sz="0" w:space="0" w:color="auto"/>
        <w:bottom w:val="none" w:sz="0" w:space="0" w:color="auto"/>
        <w:right w:val="none" w:sz="0" w:space="0" w:color="auto"/>
      </w:divBdr>
    </w:div>
    <w:div w:id="971599778">
      <w:bodyDiv w:val="1"/>
      <w:marLeft w:val="0"/>
      <w:marRight w:val="0"/>
      <w:marTop w:val="0"/>
      <w:marBottom w:val="0"/>
      <w:divBdr>
        <w:top w:val="none" w:sz="0" w:space="0" w:color="auto"/>
        <w:left w:val="none" w:sz="0" w:space="0" w:color="auto"/>
        <w:bottom w:val="none" w:sz="0" w:space="0" w:color="auto"/>
        <w:right w:val="none" w:sz="0" w:space="0" w:color="auto"/>
      </w:divBdr>
    </w:div>
    <w:div w:id="973951426">
      <w:bodyDiv w:val="1"/>
      <w:marLeft w:val="0"/>
      <w:marRight w:val="0"/>
      <w:marTop w:val="0"/>
      <w:marBottom w:val="0"/>
      <w:divBdr>
        <w:top w:val="none" w:sz="0" w:space="0" w:color="auto"/>
        <w:left w:val="none" w:sz="0" w:space="0" w:color="auto"/>
        <w:bottom w:val="none" w:sz="0" w:space="0" w:color="auto"/>
        <w:right w:val="none" w:sz="0" w:space="0" w:color="auto"/>
      </w:divBdr>
      <w:divsChild>
        <w:div w:id="61031248">
          <w:marLeft w:val="0"/>
          <w:marRight w:val="0"/>
          <w:marTop w:val="0"/>
          <w:marBottom w:val="0"/>
          <w:divBdr>
            <w:top w:val="none" w:sz="0" w:space="0" w:color="auto"/>
            <w:left w:val="none" w:sz="0" w:space="0" w:color="auto"/>
            <w:bottom w:val="none" w:sz="0" w:space="0" w:color="auto"/>
            <w:right w:val="none" w:sz="0" w:space="0" w:color="auto"/>
          </w:divBdr>
        </w:div>
        <w:div w:id="1647778967">
          <w:marLeft w:val="0"/>
          <w:marRight w:val="0"/>
          <w:marTop w:val="0"/>
          <w:marBottom w:val="0"/>
          <w:divBdr>
            <w:top w:val="none" w:sz="0" w:space="0" w:color="auto"/>
            <w:left w:val="none" w:sz="0" w:space="0" w:color="auto"/>
            <w:bottom w:val="none" w:sz="0" w:space="0" w:color="auto"/>
            <w:right w:val="none" w:sz="0" w:space="0" w:color="auto"/>
          </w:divBdr>
        </w:div>
        <w:div w:id="1408377746">
          <w:marLeft w:val="0"/>
          <w:marRight w:val="0"/>
          <w:marTop w:val="0"/>
          <w:marBottom w:val="0"/>
          <w:divBdr>
            <w:top w:val="none" w:sz="0" w:space="0" w:color="auto"/>
            <w:left w:val="none" w:sz="0" w:space="0" w:color="auto"/>
            <w:bottom w:val="none" w:sz="0" w:space="0" w:color="auto"/>
            <w:right w:val="none" w:sz="0" w:space="0" w:color="auto"/>
          </w:divBdr>
        </w:div>
        <w:div w:id="449780811">
          <w:marLeft w:val="0"/>
          <w:marRight w:val="0"/>
          <w:marTop w:val="0"/>
          <w:marBottom w:val="0"/>
          <w:divBdr>
            <w:top w:val="none" w:sz="0" w:space="0" w:color="auto"/>
            <w:left w:val="none" w:sz="0" w:space="0" w:color="auto"/>
            <w:bottom w:val="none" w:sz="0" w:space="0" w:color="auto"/>
            <w:right w:val="none" w:sz="0" w:space="0" w:color="auto"/>
          </w:divBdr>
        </w:div>
        <w:div w:id="38557469">
          <w:marLeft w:val="0"/>
          <w:marRight w:val="0"/>
          <w:marTop w:val="0"/>
          <w:marBottom w:val="0"/>
          <w:divBdr>
            <w:top w:val="none" w:sz="0" w:space="0" w:color="auto"/>
            <w:left w:val="none" w:sz="0" w:space="0" w:color="auto"/>
            <w:bottom w:val="none" w:sz="0" w:space="0" w:color="auto"/>
            <w:right w:val="none" w:sz="0" w:space="0" w:color="auto"/>
          </w:divBdr>
        </w:div>
        <w:div w:id="53165133">
          <w:marLeft w:val="0"/>
          <w:marRight w:val="0"/>
          <w:marTop w:val="0"/>
          <w:marBottom w:val="0"/>
          <w:divBdr>
            <w:top w:val="none" w:sz="0" w:space="0" w:color="auto"/>
            <w:left w:val="none" w:sz="0" w:space="0" w:color="auto"/>
            <w:bottom w:val="none" w:sz="0" w:space="0" w:color="auto"/>
            <w:right w:val="none" w:sz="0" w:space="0" w:color="auto"/>
          </w:divBdr>
        </w:div>
        <w:div w:id="2011329430">
          <w:marLeft w:val="0"/>
          <w:marRight w:val="0"/>
          <w:marTop w:val="0"/>
          <w:marBottom w:val="0"/>
          <w:divBdr>
            <w:top w:val="none" w:sz="0" w:space="0" w:color="auto"/>
            <w:left w:val="none" w:sz="0" w:space="0" w:color="auto"/>
            <w:bottom w:val="none" w:sz="0" w:space="0" w:color="auto"/>
            <w:right w:val="none" w:sz="0" w:space="0" w:color="auto"/>
          </w:divBdr>
        </w:div>
        <w:div w:id="1794521543">
          <w:marLeft w:val="0"/>
          <w:marRight w:val="0"/>
          <w:marTop w:val="0"/>
          <w:marBottom w:val="0"/>
          <w:divBdr>
            <w:top w:val="none" w:sz="0" w:space="0" w:color="auto"/>
            <w:left w:val="none" w:sz="0" w:space="0" w:color="auto"/>
            <w:bottom w:val="none" w:sz="0" w:space="0" w:color="auto"/>
            <w:right w:val="none" w:sz="0" w:space="0" w:color="auto"/>
          </w:divBdr>
        </w:div>
        <w:div w:id="649410977">
          <w:marLeft w:val="0"/>
          <w:marRight w:val="0"/>
          <w:marTop w:val="0"/>
          <w:marBottom w:val="0"/>
          <w:divBdr>
            <w:top w:val="none" w:sz="0" w:space="0" w:color="auto"/>
            <w:left w:val="none" w:sz="0" w:space="0" w:color="auto"/>
            <w:bottom w:val="none" w:sz="0" w:space="0" w:color="auto"/>
            <w:right w:val="none" w:sz="0" w:space="0" w:color="auto"/>
          </w:divBdr>
        </w:div>
        <w:div w:id="1553075049">
          <w:marLeft w:val="0"/>
          <w:marRight w:val="0"/>
          <w:marTop w:val="0"/>
          <w:marBottom w:val="0"/>
          <w:divBdr>
            <w:top w:val="none" w:sz="0" w:space="0" w:color="auto"/>
            <w:left w:val="none" w:sz="0" w:space="0" w:color="auto"/>
            <w:bottom w:val="none" w:sz="0" w:space="0" w:color="auto"/>
            <w:right w:val="none" w:sz="0" w:space="0" w:color="auto"/>
          </w:divBdr>
        </w:div>
        <w:div w:id="1485856327">
          <w:marLeft w:val="0"/>
          <w:marRight w:val="0"/>
          <w:marTop w:val="0"/>
          <w:marBottom w:val="0"/>
          <w:divBdr>
            <w:top w:val="none" w:sz="0" w:space="0" w:color="auto"/>
            <w:left w:val="none" w:sz="0" w:space="0" w:color="auto"/>
            <w:bottom w:val="none" w:sz="0" w:space="0" w:color="auto"/>
            <w:right w:val="none" w:sz="0" w:space="0" w:color="auto"/>
          </w:divBdr>
        </w:div>
        <w:div w:id="2135248618">
          <w:marLeft w:val="0"/>
          <w:marRight w:val="0"/>
          <w:marTop w:val="0"/>
          <w:marBottom w:val="0"/>
          <w:divBdr>
            <w:top w:val="none" w:sz="0" w:space="0" w:color="auto"/>
            <w:left w:val="none" w:sz="0" w:space="0" w:color="auto"/>
            <w:bottom w:val="none" w:sz="0" w:space="0" w:color="auto"/>
            <w:right w:val="none" w:sz="0" w:space="0" w:color="auto"/>
          </w:divBdr>
        </w:div>
        <w:div w:id="2120298587">
          <w:marLeft w:val="0"/>
          <w:marRight w:val="0"/>
          <w:marTop w:val="0"/>
          <w:marBottom w:val="0"/>
          <w:divBdr>
            <w:top w:val="none" w:sz="0" w:space="0" w:color="auto"/>
            <w:left w:val="none" w:sz="0" w:space="0" w:color="auto"/>
            <w:bottom w:val="none" w:sz="0" w:space="0" w:color="auto"/>
            <w:right w:val="none" w:sz="0" w:space="0" w:color="auto"/>
          </w:divBdr>
        </w:div>
        <w:div w:id="997542542">
          <w:marLeft w:val="0"/>
          <w:marRight w:val="0"/>
          <w:marTop w:val="0"/>
          <w:marBottom w:val="0"/>
          <w:divBdr>
            <w:top w:val="none" w:sz="0" w:space="0" w:color="auto"/>
            <w:left w:val="none" w:sz="0" w:space="0" w:color="auto"/>
            <w:bottom w:val="none" w:sz="0" w:space="0" w:color="auto"/>
            <w:right w:val="none" w:sz="0" w:space="0" w:color="auto"/>
          </w:divBdr>
        </w:div>
        <w:div w:id="1066148615">
          <w:marLeft w:val="0"/>
          <w:marRight w:val="0"/>
          <w:marTop w:val="0"/>
          <w:marBottom w:val="0"/>
          <w:divBdr>
            <w:top w:val="none" w:sz="0" w:space="0" w:color="auto"/>
            <w:left w:val="none" w:sz="0" w:space="0" w:color="auto"/>
            <w:bottom w:val="none" w:sz="0" w:space="0" w:color="auto"/>
            <w:right w:val="none" w:sz="0" w:space="0" w:color="auto"/>
          </w:divBdr>
        </w:div>
        <w:div w:id="1548294780">
          <w:marLeft w:val="0"/>
          <w:marRight w:val="0"/>
          <w:marTop w:val="0"/>
          <w:marBottom w:val="0"/>
          <w:divBdr>
            <w:top w:val="none" w:sz="0" w:space="0" w:color="auto"/>
            <w:left w:val="none" w:sz="0" w:space="0" w:color="auto"/>
            <w:bottom w:val="none" w:sz="0" w:space="0" w:color="auto"/>
            <w:right w:val="none" w:sz="0" w:space="0" w:color="auto"/>
          </w:divBdr>
        </w:div>
        <w:div w:id="639773693">
          <w:marLeft w:val="0"/>
          <w:marRight w:val="0"/>
          <w:marTop w:val="0"/>
          <w:marBottom w:val="0"/>
          <w:divBdr>
            <w:top w:val="none" w:sz="0" w:space="0" w:color="auto"/>
            <w:left w:val="none" w:sz="0" w:space="0" w:color="auto"/>
            <w:bottom w:val="none" w:sz="0" w:space="0" w:color="auto"/>
            <w:right w:val="none" w:sz="0" w:space="0" w:color="auto"/>
          </w:divBdr>
        </w:div>
        <w:div w:id="277496287">
          <w:marLeft w:val="0"/>
          <w:marRight w:val="0"/>
          <w:marTop w:val="0"/>
          <w:marBottom w:val="0"/>
          <w:divBdr>
            <w:top w:val="none" w:sz="0" w:space="0" w:color="auto"/>
            <w:left w:val="none" w:sz="0" w:space="0" w:color="auto"/>
            <w:bottom w:val="none" w:sz="0" w:space="0" w:color="auto"/>
            <w:right w:val="none" w:sz="0" w:space="0" w:color="auto"/>
          </w:divBdr>
        </w:div>
        <w:div w:id="543834033">
          <w:marLeft w:val="0"/>
          <w:marRight w:val="0"/>
          <w:marTop w:val="0"/>
          <w:marBottom w:val="0"/>
          <w:divBdr>
            <w:top w:val="none" w:sz="0" w:space="0" w:color="auto"/>
            <w:left w:val="none" w:sz="0" w:space="0" w:color="auto"/>
            <w:bottom w:val="none" w:sz="0" w:space="0" w:color="auto"/>
            <w:right w:val="none" w:sz="0" w:space="0" w:color="auto"/>
          </w:divBdr>
        </w:div>
        <w:div w:id="1932158818">
          <w:marLeft w:val="0"/>
          <w:marRight w:val="0"/>
          <w:marTop w:val="0"/>
          <w:marBottom w:val="0"/>
          <w:divBdr>
            <w:top w:val="none" w:sz="0" w:space="0" w:color="auto"/>
            <w:left w:val="none" w:sz="0" w:space="0" w:color="auto"/>
            <w:bottom w:val="none" w:sz="0" w:space="0" w:color="auto"/>
            <w:right w:val="none" w:sz="0" w:space="0" w:color="auto"/>
          </w:divBdr>
        </w:div>
        <w:div w:id="1144277097">
          <w:marLeft w:val="0"/>
          <w:marRight w:val="0"/>
          <w:marTop w:val="0"/>
          <w:marBottom w:val="0"/>
          <w:divBdr>
            <w:top w:val="none" w:sz="0" w:space="0" w:color="auto"/>
            <w:left w:val="none" w:sz="0" w:space="0" w:color="auto"/>
            <w:bottom w:val="none" w:sz="0" w:space="0" w:color="auto"/>
            <w:right w:val="none" w:sz="0" w:space="0" w:color="auto"/>
          </w:divBdr>
        </w:div>
        <w:div w:id="1934170342">
          <w:marLeft w:val="0"/>
          <w:marRight w:val="0"/>
          <w:marTop w:val="0"/>
          <w:marBottom w:val="0"/>
          <w:divBdr>
            <w:top w:val="none" w:sz="0" w:space="0" w:color="auto"/>
            <w:left w:val="none" w:sz="0" w:space="0" w:color="auto"/>
            <w:bottom w:val="none" w:sz="0" w:space="0" w:color="auto"/>
            <w:right w:val="none" w:sz="0" w:space="0" w:color="auto"/>
          </w:divBdr>
        </w:div>
        <w:div w:id="774445647">
          <w:marLeft w:val="0"/>
          <w:marRight w:val="0"/>
          <w:marTop w:val="0"/>
          <w:marBottom w:val="0"/>
          <w:divBdr>
            <w:top w:val="none" w:sz="0" w:space="0" w:color="auto"/>
            <w:left w:val="none" w:sz="0" w:space="0" w:color="auto"/>
            <w:bottom w:val="none" w:sz="0" w:space="0" w:color="auto"/>
            <w:right w:val="none" w:sz="0" w:space="0" w:color="auto"/>
          </w:divBdr>
        </w:div>
        <w:div w:id="1464157951">
          <w:marLeft w:val="0"/>
          <w:marRight w:val="0"/>
          <w:marTop w:val="0"/>
          <w:marBottom w:val="0"/>
          <w:divBdr>
            <w:top w:val="none" w:sz="0" w:space="0" w:color="auto"/>
            <w:left w:val="none" w:sz="0" w:space="0" w:color="auto"/>
            <w:bottom w:val="none" w:sz="0" w:space="0" w:color="auto"/>
            <w:right w:val="none" w:sz="0" w:space="0" w:color="auto"/>
          </w:divBdr>
        </w:div>
        <w:div w:id="1270433780">
          <w:marLeft w:val="0"/>
          <w:marRight w:val="0"/>
          <w:marTop w:val="0"/>
          <w:marBottom w:val="0"/>
          <w:divBdr>
            <w:top w:val="none" w:sz="0" w:space="0" w:color="auto"/>
            <w:left w:val="none" w:sz="0" w:space="0" w:color="auto"/>
            <w:bottom w:val="none" w:sz="0" w:space="0" w:color="auto"/>
            <w:right w:val="none" w:sz="0" w:space="0" w:color="auto"/>
          </w:divBdr>
        </w:div>
        <w:div w:id="1959407723">
          <w:marLeft w:val="0"/>
          <w:marRight w:val="0"/>
          <w:marTop w:val="0"/>
          <w:marBottom w:val="0"/>
          <w:divBdr>
            <w:top w:val="none" w:sz="0" w:space="0" w:color="auto"/>
            <w:left w:val="none" w:sz="0" w:space="0" w:color="auto"/>
            <w:bottom w:val="none" w:sz="0" w:space="0" w:color="auto"/>
            <w:right w:val="none" w:sz="0" w:space="0" w:color="auto"/>
          </w:divBdr>
        </w:div>
        <w:div w:id="2123649431">
          <w:marLeft w:val="0"/>
          <w:marRight w:val="0"/>
          <w:marTop w:val="0"/>
          <w:marBottom w:val="0"/>
          <w:divBdr>
            <w:top w:val="none" w:sz="0" w:space="0" w:color="auto"/>
            <w:left w:val="none" w:sz="0" w:space="0" w:color="auto"/>
            <w:bottom w:val="none" w:sz="0" w:space="0" w:color="auto"/>
            <w:right w:val="none" w:sz="0" w:space="0" w:color="auto"/>
          </w:divBdr>
        </w:div>
      </w:divsChild>
    </w:div>
    <w:div w:id="978732361">
      <w:bodyDiv w:val="1"/>
      <w:marLeft w:val="0"/>
      <w:marRight w:val="0"/>
      <w:marTop w:val="0"/>
      <w:marBottom w:val="0"/>
      <w:divBdr>
        <w:top w:val="none" w:sz="0" w:space="0" w:color="auto"/>
        <w:left w:val="none" w:sz="0" w:space="0" w:color="auto"/>
        <w:bottom w:val="none" w:sz="0" w:space="0" w:color="auto"/>
        <w:right w:val="none" w:sz="0" w:space="0" w:color="auto"/>
      </w:divBdr>
    </w:div>
    <w:div w:id="1086733216">
      <w:bodyDiv w:val="1"/>
      <w:marLeft w:val="0"/>
      <w:marRight w:val="0"/>
      <w:marTop w:val="0"/>
      <w:marBottom w:val="0"/>
      <w:divBdr>
        <w:top w:val="none" w:sz="0" w:space="0" w:color="auto"/>
        <w:left w:val="none" w:sz="0" w:space="0" w:color="auto"/>
        <w:bottom w:val="none" w:sz="0" w:space="0" w:color="auto"/>
        <w:right w:val="none" w:sz="0" w:space="0" w:color="auto"/>
      </w:divBdr>
    </w:div>
    <w:div w:id="1115178498">
      <w:bodyDiv w:val="1"/>
      <w:marLeft w:val="0"/>
      <w:marRight w:val="0"/>
      <w:marTop w:val="0"/>
      <w:marBottom w:val="0"/>
      <w:divBdr>
        <w:top w:val="none" w:sz="0" w:space="0" w:color="auto"/>
        <w:left w:val="none" w:sz="0" w:space="0" w:color="auto"/>
        <w:bottom w:val="none" w:sz="0" w:space="0" w:color="auto"/>
        <w:right w:val="none" w:sz="0" w:space="0" w:color="auto"/>
      </w:divBdr>
    </w:div>
    <w:div w:id="1231574467">
      <w:bodyDiv w:val="1"/>
      <w:marLeft w:val="0"/>
      <w:marRight w:val="0"/>
      <w:marTop w:val="0"/>
      <w:marBottom w:val="0"/>
      <w:divBdr>
        <w:top w:val="none" w:sz="0" w:space="0" w:color="auto"/>
        <w:left w:val="none" w:sz="0" w:space="0" w:color="auto"/>
        <w:bottom w:val="none" w:sz="0" w:space="0" w:color="auto"/>
        <w:right w:val="none" w:sz="0" w:space="0" w:color="auto"/>
      </w:divBdr>
    </w:div>
    <w:div w:id="1321692567">
      <w:bodyDiv w:val="1"/>
      <w:marLeft w:val="0"/>
      <w:marRight w:val="0"/>
      <w:marTop w:val="0"/>
      <w:marBottom w:val="0"/>
      <w:divBdr>
        <w:top w:val="none" w:sz="0" w:space="0" w:color="auto"/>
        <w:left w:val="none" w:sz="0" w:space="0" w:color="auto"/>
        <w:bottom w:val="none" w:sz="0" w:space="0" w:color="auto"/>
        <w:right w:val="none" w:sz="0" w:space="0" w:color="auto"/>
      </w:divBdr>
    </w:div>
    <w:div w:id="1324822799">
      <w:bodyDiv w:val="1"/>
      <w:marLeft w:val="0"/>
      <w:marRight w:val="0"/>
      <w:marTop w:val="0"/>
      <w:marBottom w:val="0"/>
      <w:divBdr>
        <w:top w:val="none" w:sz="0" w:space="0" w:color="auto"/>
        <w:left w:val="none" w:sz="0" w:space="0" w:color="auto"/>
        <w:bottom w:val="none" w:sz="0" w:space="0" w:color="auto"/>
        <w:right w:val="none" w:sz="0" w:space="0" w:color="auto"/>
      </w:divBdr>
    </w:div>
    <w:div w:id="1356157663">
      <w:bodyDiv w:val="1"/>
      <w:marLeft w:val="0"/>
      <w:marRight w:val="0"/>
      <w:marTop w:val="0"/>
      <w:marBottom w:val="0"/>
      <w:divBdr>
        <w:top w:val="none" w:sz="0" w:space="0" w:color="auto"/>
        <w:left w:val="none" w:sz="0" w:space="0" w:color="auto"/>
        <w:bottom w:val="none" w:sz="0" w:space="0" w:color="auto"/>
        <w:right w:val="none" w:sz="0" w:space="0" w:color="auto"/>
      </w:divBdr>
    </w:div>
    <w:div w:id="1358967507">
      <w:bodyDiv w:val="1"/>
      <w:marLeft w:val="0"/>
      <w:marRight w:val="0"/>
      <w:marTop w:val="0"/>
      <w:marBottom w:val="0"/>
      <w:divBdr>
        <w:top w:val="none" w:sz="0" w:space="0" w:color="auto"/>
        <w:left w:val="none" w:sz="0" w:space="0" w:color="auto"/>
        <w:bottom w:val="none" w:sz="0" w:space="0" w:color="auto"/>
        <w:right w:val="none" w:sz="0" w:space="0" w:color="auto"/>
      </w:divBdr>
    </w:div>
    <w:div w:id="1430078374">
      <w:bodyDiv w:val="1"/>
      <w:marLeft w:val="0"/>
      <w:marRight w:val="0"/>
      <w:marTop w:val="0"/>
      <w:marBottom w:val="0"/>
      <w:divBdr>
        <w:top w:val="none" w:sz="0" w:space="0" w:color="auto"/>
        <w:left w:val="none" w:sz="0" w:space="0" w:color="auto"/>
        <w:bottom w:val="none" w:sz="0" w:space="0" w:color="auto"/>
        <w:right w:val="none" w:sz="0" w:space="0" w:color="auto"/>
      </w:divBdr>
    </w:div>
    <w:div w:id="1561595153">
      <w:bodyDiv w:val="1"/>
      <w:marLeft w:val="0"/>
      <w:marRight w:val="0"/>
      <w:marTop w:val="0"/>
      <w:marBottom w:val="0"/>
      <w:divBdr>
        <w:top w:val="none" w:sz="0" w:space="0" w:color="auto"/>
        <w:left w:val="none" w:sz="0" w:space="0" w:color="auto"/>
        <w:bottom w:val="none" w:sz="0" w:space="0" w:color="auto"/>
        <w:right w:val="none" w:sz="0" w:space="0" w:color="auto"/>
      </w:divBdr>
    </w:div>
    <w:div w:id="1872985762">
      <w:bodyDiv w:val="1"/>
      <w:marLeft w:val="0"/>
      <w:marRight w:val="0"/>
      <w:marTop w:val="0"/>
      <w:marBottom w:val="0"/>
      <w:divBdr>
        <w:top w:val="none" w:sz="0" w:space="0" w:color="auto"/>
        <w:left w:val="none" w:sz="0" w:space="0" w:color="auto"/>
        <w:bottom w:val="none" w:sz="0" w:space="0" w:color="auto"/>
        <w:right w:val="none" w:sz="0" w:space="0" w:color="auto"/>
      </w:divBdr>
    </w:div>
    <w:div w:id="2141339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tpa.police.uk/membersarea/apagems/2009gems/a/123/NISP%20Consultation%20Document.pdf" TargetMode="External"/><Relationship Id="rId13" Type="http://schemas.openxmlformats.org/officeDocument/2006/relationships/hyperlink" Target="https://doi.org/10.1093/police/paae05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gmp.police.uk/news/greater-manchester/news/news/2024/may/stopping-crime-and-tackling-its-roots-how-our-prevention-hubs-solve-problems-in-the-community/" TargetMode="External"/><Relationship Id="rId17" Type="http://schemas.openxmlformats.org/officeDocument/2006/relationships/hyperlink" Target="https://www.sebp.police.uk/about/what-is-ebp" TargetMode="External"/><Relationship Id="rId2" Type="http://schemas.openxmlformats.org/officeDocument/2006/relationships/numbering" Target="numbering.xml"/><Relationship Id="rId16" Type="http://schemas.openxmlformats.org/officeDocument/2006/relationships/hyperlink" Target="https://static1.squarespace.com/static/5b7ea2794cde7a79e7c00582/t/66a8db290ff8682040b32852/1722342185858/Problem_Oriented_Policing_in_England_and.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mp.police.uk/police-forces/greater-manchester-police/areas/greater-manchester-force-content/c/campaigns/2021/operation-castle2/" TargetMode="External"/><Relationship Id="rId5" Type="http://schemas.openxmlformats.org/officeDocument/2006/relationships/webSettings" Target="webSettings.xml"/><Relationship Id="rId15" Type="http://schemas.openxmlformats.org/officeDocument/2006/relationships/hyperlink" Target="https://doi.org/10.1007/s11292-019-09400-2" TargetMode="External"/><Relationship Id="rId10" Type="http://schemas.openxmlformats.org/officeDocument/2006/relationships/hyperlink" Target="https://www.london.gov.uk/who-we-are/what-london-assembly-does/questions-mayor/find-an-answer/problem-oriented-policing"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ollege.police.uk/research/evidence-based-policing-EBP" TargetMode="External"/><Relationship Id="rId14" Type="http://schemas.openxmlformats.org/officeDocument/2006/relationships/hyperlink" Target="https://post.parliament.uk/public-trust-and-confidence-in-the-pol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2400697@student.uwtsd.ac.uk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2365</Words>
  <Characters>13485</Characters>
  <Application>Microsoft Office Word</Application>
  <DocSecurity>0</DocSecurity>
  <Lines>112</Lines>
  <Paragraphs>31</Paragraphs>
  <ScaleCrop>false</ScaleCrop>
  <Company/>
  <LinksUpToDate>false</LinksUpToDate>
  <CharactersWithSpaces>15819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policing: the tool for problem solving</dc:title>
  <dc:subject>BMPL4016</dc:subject>
  <dc:creator>Charlie Hughes (2400697)</dc:creator>
  <cp:keywords/>
  <dc:description/>
  <cp:lastModifiedBy>Charlie Hughes</cp:lastModifiedBy>
  <cp:revision>3</cp:revision>
  <dcterms:created xsi:type="dcterms:W3CDTF">2025-03-06T17:10:00Z</dcterms:created>
  <dcterms:modified xsi:type="dcterms:W3CDTF">2025-03-06T17:14:00Z</dcterms:modified>
</cp:coreProperties>
</file>