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04B4BA" w14:textId="5E8B0B2C" w:rsidR="005F222B" w:rsidRPr="005F222B" w:rsidRDefault="005F222B" w:rsidP="005F222B">
      <w:pPr>
        <w:spacing w:line="276" w:lineRule="auto"/>
        <w:rPr>
          <w:b/>
          <w:sz w:val="24"/>
          <w:szCs w:val="24"/>
        </w:rPr>
      </w:pPr>
      <w:r w:rsidRPr="005F222B">
        <w:rPr>
          <w:b/>
          <w:sz w:val="24"/>
          <w:szCs w:val="24"/>
        </w:rPr>
        <w:t>PAGAN PROVENANCES LITERATURE REVIEW – JANET MACKINNON APRIL 2017</w:t>
      </w:r>
    </w:p>
    <w:p w14:paraId="3795F04E" w14:textId="3243A144" w:rsidR="005F222B" w:rsidRPr="005F222B" w:rsidRDefault="005F222B" w:rsidP="005F222B">
      <w:pPr>
        <w:spacing w:line="276" w:lineRule="auto"/>
        <w:rPr>
          <w:sz w:val="24"/>
          <w:szCs w:val="24"/>
        </w:rPr>
      </w:pPr>
      <w:r w:rsidRPr="005F222B">
        <w:rPr>
          <w:sz w:val="24"/>
          <w:szCs w:val="24"/>
        </w:rPr>
        <w:t>The British Druid Network was granted charitable status as a religious organisation by the UK Charity Commission in 2010; and, two years later, Cornwall County Counci</w:t>
      </w:r>
      <w:r w:rsidR="004473EC">
        <w:rPr>
          <w:sz w:val="24"/>
          <w:szCs w:val="24"/>
        </w:rPr>
        <w:t>l announced</w:t>
      </w:r>
      <w:r w:rsidRPr="005F222B">
        <w:rPr>
          <w:sz w:val="24"/>
          <w:szCs w:val="24"/>
        </w:rPr>
        <w:t xml:space="preserve"> Paganism would be included in school religious education. This decision was </w:t>
      </w:r>
      <w:r w:rsidR="004473EC">
        <w:rPr>
          <w:sz w:val="24"/>
          <w:szCs w:val="24"/>
        </w:rPr>
        <w:t>a consequence</w:t>
      </w:r>
      <w:r w:rsidRPr="005F222B">
        <w:rPr>
          <w:sz w:val="24"/>
          <w:szCs w:val="24"/>
        </w:rPr>
        <w:t xml:space="preserve"> of the 2011 Census in which “groups traditionally associated with the term” “Pagan”, including “(Wicca, Druidism, Witchcraft, Heathen and Shamanism </w:t>
      </w:r>
      <w:r w:rsidR="004473EC">
        <w:rPr>
          <w:sz w:val="24"/>
          <w:szCs w:val="24"/>
        </w:rPr>
        <w:t xml:space="preserve">- </w:t>
      </w:r>
      <w:r w:rsidRPr="005F222B">
        <w:rPr>
          <w:sz w:val="24"/>
          <w:szCs w:val="24"/>
        </w:rPr>
        <w:t>although the latter is disputed)”</w:t>
      </w:r>
      <w:r w:rsidR="004473EC">
        <w:rPr>
          <w:sz w:val="24"/>
          <w:szCs w:val="24"/>
        </w:rPr>
        <w:t xml:space="preserve">, </w:t>
      </w:r>
      <w:r w:rsidRPr="005F222B">
        <w:rPr>
          <w:sz w:val="24"/>
          <w:szCs w:val="24"/>
        </w:rPr>
        <w:t>combined with “self-identified” Pagans</w:t>
      </w:r>
      <w:r w:rsidR="004473EC">
        <w:rPr>
          <w:sz w:val="24"/>
          <w:szCs w:val="24"/>
        </w:rPr>
        <w:t>,</w:t>
      </w:r>
      <w:r w:rsidRPr="005F222B">
        <w:rPr>
          <w:sz w:val="24"/>
          <w:szCs w:val="24"/>
        </w:rPr>
        <w:t xml:space="preserve"> emerged as the second largest religious grouping in the county after Christianity, “marginally larger than the number that self-identified as Buddhist”. Another factor was Cornwall’s rich pagan archaeological and folk heritage that includes a Museum of Witchcraft</w:t>
      </w:r>
      <w:r w:rsidR="004473EC">
        <w:rPr>
          <w:sz w:val="24"/>
          <w:szCs w:val="24"/>
        </w:rPr>
        <w:t xml:space="preserve"> and Magic</w:t>
      </w:r>
      <w:r w:rsidRPr="005F222B">
        <w:rPr>
          <w:sz w:val="24"/>
          <w:szCs w:val="24"/>
        </w:rPr>
        <w:t xml:space="preserve">. Some Christian commentators perhaps unsurprisingly took umbrage at these developments, particularly the education authority’s decision. However, even the academic historian, and leading contemporary British scholar of Paganism, Ronald Hutton would agree that educating young people and the wider public about Paganisms ancient and modern presents significant challenges (see “Pagan Britain”, 2013). Some of these are outlined below as contested “Pagan Provenances” </w:t>
      </w:r>
      <w:r w:rsidR="004473EC">
        <w:rPr>
          <w:sz w:val="24"/>
          <w:szCs w:val="24"/>
        </w:rPr>
        <w:t xml:space="preserve">associated with </w:t>
      </w:r>
      <w:r w:rsidRPr="005F222B">
        <w:rPr>
          <w:sz w:val="24"/>
          <w:szCs w:val="24"/>
        </w:rPr>
        <w:t>terminologies, chronologies and methodologies.</w:t>
      </w:r>
    </w:p>
    <w:p w14:paraId="0E30A4AD" w14:textId="77777777" w:rsidR="005F222B" w:rsidRPr="005F222B" w:rsidRDefault="005F222B" w:rsidP="0000095C">
      <w:pPr>
        <w:spacing w:after="0" w:line="276" w:lineRule="auto"/>
        <w:rPr>
          <w:b/>
          <w:sz w:val="24"/>
          <w:szCs w:val="24"/>
        </w:rPr>
      </w:pPr>
      <w:r w:rsidRPr="005F222B">
        <w:rPr>
          <w:b/>
          <w:sz w:val="24"/>
          <w:szCs w:val="24"/>
        </w:rPr>
        <w:t>Terminologies</w:t>
      </w:r>
    </w:p>
    <w:p w14:paraId="7B2A2722" w14:textId="1F6E52F0" w:rsidR="005F222B" w:rsidRPr="005F222B" w:rsidRDefault="005F222B" w:rsidP="005F222B">
      <w:pPr>
        <w:spacing w:line="276" w:lineRule="auto"/>
        <w:rPr>
          <w:sz w:val="24"/>
          <w:szCs w:val="24"/>
        </w:rPr>
      </w:pPr>
      <w:r w:rsidRPr="005F222B">
        <w:rPr>
          <w:sz w:val="24"/>
          <w:szCs w:val="24"/>
        </w:rPr>
        <w:t>In “Paganism: A Very Short Introduction” (2011), Owen Davies asserts that: “The notion of Paganism, as it is generally understood today, was created by the early Christian church”. Nevertheless, the adoption of “paganus” as “a pejorative term for polytheists…occurred only in the Latin West” (of Europe) and “elsewhere Hellene…. remained the word for pagan”.… “because Hellenic culture was the dominant pagan culture of the Roman East”, according to Peter Brown in “Late Antiquity” (1999). “Paganus” translates as “relating to the country, or country dweller”</w:t>
      </w:r>
      <w:r w:rsidR="00C121C7">
        <w:rPr>
          <w:sz w:val="24"/>
          <w:szCs w:val="24"/>
        </w:rPr>
        <w:t>,</w:t>
      </w:r>
      <w:r w:rsidRPr="005F222B">
        <w:rPr>
          <w:sz w:val="24"/>
          <w:szCs w:val="24"/>
        </w:rPr>
        <w:t xml:space="preserve"> and the later Germanic expression “Heathen” or “heath-dweller” may develop the rustic connotations of paganism or represent a misconstruction of “Hellene”. Based on the evolution of this nomenclature, Alan G Cameron suggests that Paganism originally encompassed the pre- and non-Christian cultures in and around the classical world, including those of the Greco-Roman, Celtic, Germanic and Slavic tribes (The Last Pagans of Rome, 2011). However, Davies points out that modern usage of the word has extended its scope to include religious practices</w:t>
      </w:r>
      <w:r w:rsidR="00C121C7">
        <w:rPr>
          <w:sz w:val="24"/>
          <w:szCs w:val="24"/>
        </w:rPr>
        <w:t>,</w:t>
      </w:r>
      <w:r w:rsidRPr="005F222B">
        <w:rPr>
          <w:sz w:val="24"/>
          <w:szCs w:val="24"/>
        </w:rPr>
        <w:t xml:space="preserve"> such as shamanism</w:t>
      </w:r>
      <w:r w:rsidR="00C121C7">
        <w:rPr>
          <w:sz w:val="24"/>
          <w:szCs w:val="24"/>
        </w:rPr>
        <w:t>,</w:t>
      </w:r>
      <w:r w:rsidRPr="005F222B">
        <w:rPr>
          <w:sz w:val="24"/>
          <w:szCs w:val="24"/>
        </w:rPr>
        <w:t xml:space="preserve"> </w:t>
      </w:r>
      <w:r w:rsidR="00C121C7">
        <w:rPr>
          <w:sz w:val="24"/>
          <w:szCs w:val="24"/>
        </w:rPr>
        <w:t xml:space="preserve">from </w:t>
      </w:r>
      <w:r w:rsidRPr="005F222B">
        <w:rPr>
          <w:sz w:val="24"/>
          <w:szCs w:val="24"/>
        </w:rPr>
        <w:t>pre-history.</w:t>
      </w:r>
    </w:p>
    <w:p w14:paraId="1B2C3C97" w14:textId="77777777" w:rsidR="005F222B" w:rsidRPr="005F222B" w:rsidRDefault="005F222B" w:rsidP="005F222B">
      <w:pPr>
        <w:spacing w:line="276" w:lineRule="auto"/>
        <w:rPr>
          <w:sz w:val="24"/>
          <w:szCs w:val="24"/>
        </w:rPr>
      </w:pPr>
      <w:r w:rsidRPr="005F222B">
        <w:rPr>
          <w:sz w:val="24"/>
          <w:szCs w:val="24"/>
        </w:rPr>
        <w:t>Whilst Hutton eschews the use of “Pagan” as a nomenclature for self-identified modern practitioners of Paganism, other commentators are more permissive in their use of terminologies; although the expression “Neopaganism” is widely assigned to the pagan revival movements that have emerged since the late 18th century. Nevertheless, in his entry on contemporary Paganism in the “Encyclopaedia of Religion and Nature” (2005), Graham Harvey adheres to the use of Pagan as a descriptor for revived and invented traditions, including those associated with “Wicca, Druidism, Witchcraft, Heathen and Shamanism”.</w:t>
      </w:r>
    </w:p>
    <w:p w14:paraId="2A33C737" w14:textId="77777777" w:rsidR="0000095C" w:rsidRDefault="005F222B" w:rsidP="0000095C">
      <w:pPr>
        <w:spacing w:after="0" w:line="276" w:lineRule="auto"/>
        <w:rPr>
          <w:b/>
          <w:sz w:val="24"/>
          <w:szCs w:val="24"/>
        </w:rPr>
      </w:pPr>
      <w:r w:rsidRPr="005F222B">
        <w:rPr>
          <w:b/>
          <w:sz w:val="24"/>
          <w:szCs w:val="24"/>
        </w:rPr>
        <w:t xml:space="preserve">Chronologies </w:t>
      </w:r>
    </w:p>
    <w:p w14:paraId="60CFA9BA" w14:textId="70593ADB" w:rsidR="0000095C" w:rsidRPr="0000095C" w:rsidRDefault="005F222B" w:rsidP="005F222B">
      <w:pPr>
        <w:spacing w:line="276" w:lineRule="auto"/>
        <w:rPr>
          <w:b/>
          <w:sz w:val="24"/>
          <w:szCs w:val="24"/>
        </w:rPr>
      </w:pPr>
      <w:r w:rsidRPr="005F222B">
        <w:rPr>
          <w:sz w:val="24"/>
          <w:szCs w:val="24"/>
        </w:rPr>
        <w:t xml:space="preserve">The great modern historian of comparative religion Mircea Eliade has referred to “the </w:t>
      </w:r>
    </w:p>
    <w:p w14:paraId="76D8B546" w14:textId="3BE5252B" w:rsidR="005F222B" w:rsidRPr="0000095C" w:rsidRDefault="005F222B" w:rsidP="005F222B">
      <w:pPr>
        <w:spacing w:line="276" w:lineRule="auto"/>
        <w:rPr>
          <w:b/>
          <w:sz w:val="24"/>
          <w:szCs w:val="24"/>
        </w:rPr>
      </w:pPr>
      <w:r w:rsidRPr="005F222B">
        <w:rPr>
          <w:sz w:val="24"/>
          <w:szCs w:val="24"/>
        </w:rPr>
        <w:lastRenderedPageBreak/>
        <w:t xml:space="preserve">mysterious process of occultation and continuity undergone by pagan religiosity” in “A History of Religious Ideas, Volume 2” (1982). Although this statement is made with specific reference to the Greek cult of Demeter and the Eleusian Mysteries, it encapsulates Eliade’s view of paganism’s broader historical trajectories. For instance, in the same volume the author refers to “the continuity, from proto-history to the Middle Ages, of certain central religious ideas” in Celtic culture whose archaeological heritage has enabled “the historian of Celtic religion to make use of late sources, first of all the Irish texts composed between the 6th and 8th centuries, but also the epic legends and folklore that survived in Ireland down to the end of the 19th century”. </w:t>
      </w:r>
    </w:p>
    <w:p w14:paraId="72AF2E4B" w14:textId="148F1FB6" w:rsidR="005F222B" w:rsidRPr="005F222B" w:rsidRDefault="005F222B" w:rsidP="005F222B">
      <w:pPr>
        <w:spacing w:line="276" w:lineRule="auto"/>
        <w:rPr>
          <w:sz w:val="24"/>
          <w:szCs w:val="24"/>
        </w:rPr>
      </w:pPr>
      <w:r w:rsidRPr="005F222B">
        <w:rPr>
          <w:sz w:val="24"/>
          <w:szCs w:val="24"/>
        </w:rPr>
        <w:t xml:space="preserve">Whilst subsequent academic research has challenged some of Eliade’s generalisations and current British/Anglophone (as distinct from Irish or European) historical scholarship, such as Hutton’s, is sceptical of Paganism’s continuity in Britain, scholars of Anglo-Saxon, Medieval and modern English literature generally recognise the importance of vernacular and wider European “pagan religiosity” in the development of a national literary canon. Indeed, the “Cambridge Companion to Old English Literature” (1991) has a chapter in which John D </w:t>
      </w:r>
      <w:r w:rsidR="0000095C">
        <w:rPr>
          <w:sz w:val="24"/>
          <w:szCs w:val="24"/>
        </w:rPr>
        <w:t>N</w:t>
      </w:r>
      <w:r w:rsidRPr="005F222B">
        <w:rPr>
          <w:sz w:val="24"/>
          <w:szCs w:val="24"/>
        </w:rPr>
        <w:t>iles argues that “one can scarcely hope to comprehend” the literary heritage of the early Middle Ages without reference to “both Christian themes” and “pagan substrata of popular belief”. Moreover, the work of later medieval English authors, such as Chaucer, increasingly reference</w:t>
      </w:r>
      <w:r>
        <w:rPr>
          <w:sz w:val="24"/>
          <w:szCs w:val="24"/>
        </w:rPr>
        <w:t>d</w:t>
      </w:r>
      <w:r w:rsidRPr="005F222B">
        <w:rPr>
          <w:sz w:val="24"/>
          <w:szCs w:val="24"/>
        </w:rPr>
        <w:t xml:space="preserve"> the classical paganism that would play such key role</w:t>
      </w:r>
      <w:r w:rsidR="007115DA">
        <w:rPr>
          <w:sz w:val="24"/>
          <w:szCs w:val="24"/>
        </w:rPr>
        <w:t>s</w:t>
      </w:r>
      <w:r w:rsidRPr="005F222B">
        <w:rPr>
          <w:sz w:val="24"/>
          <w:szCs w:val="24"/>
        </w:rPr>
        <w:t xml:space="preserve"> </w:t>
      </w:r>
      <w:r w:rsidR="003157DD">
        <w:rPr>
          <w:sz w:val="24"/>
          <w:szCs w:val="24"/>
        </w:rPr>
        <w:t>in</w:t>
      </w:r>
      <w:r w:rsidRPr="005F222B">
        <w:rPr>
          <w:sz w:val="24"/>
          <w:szCs w:val="24"/>
        </w:rPr>
        <w:t xml:space="preserve"> European Renaissance culture and </w:t>
      </w:r>
      <w:r w:rsidR="0000095C">
        <w:rPr>
          <w:sz w:val="24"/>
          <w:szCs w:val="24"/>
        </w:rPr>
        <w:t xml:space="preserve">the </w:t>
      </w:r>
      <w:r w:rsidRPr="005F222B">
        <w:rPr>
          <w:sz w:val="24"/>
          <w:szCs w:val="24"/>
        </w:rPr>
        <w:t>subsequent Enlightenment.</w:t>
      </w:r>
    </w:p>
    <w:p w14:paraId="458FFACB" w14:textId="77777777" w:rsidR="005F222B" w:rsidRPr="008F13AB" w:rsidRDefault="005F222B" w:rsidP="00305CE0">
      <w:pPr>
        <w:spacing w:after="0" w:line="276" w:lineRule="auto"/>
        <w:rPr>
          <w:b/>
          <w:sz w:val="24"/>
          <w:szCs w:val="24"/>
        </w:rPr>
      </w:pPr>
      <w:r w:rsidRPr="008F13AB">
        <w:rPr>
          <w:b/>
          <w:sz w:val="24"/>
          <w:szCs w:val="24"/>
        </w:rPr>
        <w:t>Methodologies</w:t>
      </w:r>
    </w:p>
    <w:p w14:paraId="3F9507DA" w14:textId="357917CF" w:rsidR="005F222B" w:rsidRDefault="005F222B" w:rsidP="005F222B">
      <w:pPr>
        <w:spacing w:line="276" w:lineRule="auto"/>
        <w:rPr>
          <w:sz w:val="24"/>
          <w:szCs w:val="24"/>
        </w:rPr>
      </w:pPr>
      <w:r w:rsidRPr="005F222B">
        <w:rPr>
          <w:sz w:val="24"/>
          <w:szCs w:val="24"/>
        </w:rPr>
        <w:t>During the t</w:t>
      </w:r>
      <w:r w:rsidR="00305CE0">
        <w:rPr>
          <w:sz w:val="24"/>
          <w:szCs w:val="24"/>
        </w:rPr>
        <w:t>ectonic</w:t>
      </w:r>
      <w:r w:rsidRPr="005F222B">
        <w:rPr>
          <w:sz w:val="24"/>
          <w:szCs w:val="24"/>
        </w:rPr>
        <w:t xml:space="preserve"> cultural processes described above, the Titan Chronos, Greek Pagan god and classical personification of time, would </w:t>
      </w:r>
      <w:r w:rsidR="003157DD">
        <w:rPr>
          <w:sz w:val="24"/>
          <w:szCs w:val="24"/>
        </w:rPr>
        <w:t xml:space="preserve">give his name to </w:t>
      </w:r>
      <w:r w:rsidRPr="005F222B">
        <w:rPr>
          <w:sz w:val="24"/>
          <w:szCs w:val="24"/>
        </w:rPr>
        <w:t xml:space="preserve">the concept of “chronologies”, or linear timeframes, along with other words such </w:t>
      </w:r>
      <w:r w:rsidR="00877BC3">
        <w:rPr>
          <w:sz w:val="24"/>
          <w:szCs w:val="24"/>
        </w:rPr>
        <w:t xml:space="preserve">as </w:t>
      </w:r>
      <w:r w:rsidRPr="005F222B">
        <w:rPr>
          <w:sz w:val="24"/>
          <w:szCs w:val="24"/>
        </w:rPr>
        <w:t xml:space="preserve">chronicle and anachronism. These etymologies underline the extent to which Hellenic paganism, in particular, is deeply embedded in English language and culture. </w:t>
      </w:r>
      <w:r>
        <w:rPr>
          <w:sz w:val="24"/>
          <w:szCs w:val="24"/>
        </w:rPr>
        <w:t xml:space="preserve">Therefore, any serious </w:t>
      </w:r>
      <w:r w:rsidR="001C4BFF">
        <w:rPr>
          <w:sz w:val="24"/>
          <w:szCs w:val="24"/>
        </w:rPr>
        <w:t>“</w:t>
      </w:r>
      <w:r>
        <w:rPr>
          <w:sz w:val="24"/>
          <w:szCs w:val="24"/>
        </w:rPr>
        <w:t>literature review</w:t>
      </w:r>
      <w:r w:rsidR="001C4BFF">
        <w:rPr>
          <w:sz w:val="24"/>
          <w:szCs w:val="24"/>
        </w:rPr>
        <w:t>”</w:t>
      </w:r>
      <w:r>
        <w:rPr>
          <w:sz w:val="24"/>
          <w:szCs w:val="24"/>
        </w:rPr>
        <w:t xml:space="preserve"> of “Pagan Provenances” would need to explore in de</w:t>
      </w:r>
      <w:r w:rsidR="00F533BD">
        <w:rPr>
          <w:sz w:val="24"/>
          <w:szCs w:val="24"/>
        </w:rPr>
        <w:t>pth</w:t>
      </w:r>
      <w:r>
        <w:rPr>
          <w:sz w:val="24"/>
          <w:szCs w:val="24"/>
        </w:rPr>
        <w:t xml:space="preserve"> the explicit </w:t>
      </w:r>
      <w:r w:rsidR="008F13AB">
        <w:rPr>
          <w:sz w:val="24"/>
          <w:szCs w:val="24"/>
        </w:rPr>
        <w:t xml:space="preserve">literary </w:t>
      </w:r>
      <w:r>
        <w:rPr>
          <w:sz w:val="24"/>
          <w:szCs w:val="24"/>
        </w:rPr>
        <w:t>use and indirect allusions to classical</w:t>
      </w:r>
      <w:r w:rsidR="008F13AB">
        <w:rPr>
          <w:sz w:val="24"/>
          <w:szCs w:val="24"/>
        </w:rPr>
        <w:t xml:space="preserve"> as well as vernacular paganisms from the early Medieval period to the present day. Such an exercise is well beyond the scope of this brief survey, which will instead return to methodological debates amongst contemporary scholars of Paganism.</w:t>
      </w:r>
    </w:p>
    <w:p w14:paraId="535B0252" w14:textId="258A9E3A" w:rsidR="005F222B" w:rsidRDefault="00877BC3" w:rsidP="005F222B">
      <w:pPr>
        <w:spacing w:line="276" w:lineRule="auto"/>
        <w:rPr>
          <w:sz w:val="24"/>
          <w:szCs w:val="24"/>
        </w:rPr>
      </w:pPr>
      <w:r>
        <w:rPr>
          <w:sz w:val="24"/>
          <w:szCs w:val="24"/>
        </w:rPr>
        <w:t>Amongst British academics, the most prolific</w:t>
      </w:r>
      <w:r w:rsidR="001C4BFF">
        <w:rPr>
          <w:sz w:val="24"/>
          <w:szCs w:val="24"/>
        </w:rPr>
        <w:t xml:space="preserve"> author </w:t>
      </w:r>
      <w:r>
        <w:rPr>
          <w:sz w:val="24"/>
          <w:szCs w:val="24"/>
        </w:rPr>
        <w:t xml:space="preserve">is Ronald Hutton, whose </w:t>
      </w:r>
      <w:r w:rsidR="001C4BFF">
        <w:rPr>
          <w:sz w:val="24"/>
          <w:szCs w:val="24"/>
        </w:rPr>
        <w:t>latest</w:t>
      </w:r>
      <w:r>
        <w:rPr>
          <w:sz w:val="24"/>
          <w:szCs w:val="24"/>
        </w:rPr>
        <w:t xml:space="preserve"> publication is “The Witch” (2017). The </w:t>
      </w:r>
      <w:r w:rsidR="001C4BFF">
        <w:rPr>
          <w:sz w:val="24"/>
          <w:szCs w:val="24"/>
        </w:rPr>
        <w:t>book’s subtitle</w:t>
      </w:r>
      <w:r>
        <w:rPr>
          <w:sz w:val="24"/>
          <w:szCs w:val="24"/>
        </w:rPr>
        <w:t xml:space="preserve"> - “A History of Fear from Ancient Times to the Present” </w:t>
      </w:r>
      <w:r w:rsidR="001C4BFF">
        <w:rPr>
          <w:sz w:val="24"/>
          <w:szCs w:val="24"/>
        </w:rPr>
        <w:t>-</w:t>
      </w:r>
      <w:r>
        <w:rPr>
          <w:sz w:val="24"/>
          <w:szCs w:val="24"/>
        </w:rPr>
        <w:t xml:space="preserve"> reflects a distinct tendency amongst Anglophone scholarly writers on paganism to highlight some of its more sensational aspects, perhaps at the behest of publishers</w:t>
      </w:r>
      <w:r w:rsidR="00EC46ED">
        <w:rPr>
          <w:sz w:val="24"/>
          <w:szCs w:val="24"/>
        </w:rPr>
        <w:t xml:space="preserve"> aiming for the widest possible readership market. In such a spirit, “The Witch” opens with some definitions of this most “primordial character of humanity” and juxtaposes the “established scholarly consensus” on what is meant by witchcraft </w:t>
      </w:r>
      <w:r w:rsidR="001C4BFF">
        <w:rPr>
          <w:sz w:val="24"/>
          <w:szCs w:val="24"/>
        </w:rPr>
        <w:t xml:space="preserve">- </w:t>
      </w:r>
      <w:r w:rsidR="00EC46ED">
        <w:rPr>
          <w:sz w:val="24"/>
          <w:szCs w:val="24"/>
        </w:rPr>
        <w:t xml:space="preserve">“a generic term for all kinds of evil magic and sorcery, as perceived by contemporaries” according to the historian Wolfgang Behringer </w:t>
      </w:r>
      <w:r w:rsidR="001C4BFF">
        <w:rPr>
          <w:sz w:val="24"/>
          <w:szCs w:val="24"/>
        </w:rPr>
        <w:t xml:space="preserve">- </w:t>
      </w:r>
      <w:r w:rsidR="00EC46ED">
        <w:rPr>
          <w:sz w:val="24"/>
          <w:szCs w:val="24"/>
        </w:rPr>
        <w:t>with its paradigm shift to what Hutton describes as a “particular kind of nature-based Pagan rel</w:t>
      </w:r>
      <w:r w:rsidR="00E40C84">
        <w:rPr>
          <w:sz w:val="24"/>
          <w:szCs w:val="24"/>
        </w:rPr>
        <w:t>igion” amongst 20</w:t>
      </w:r>
      <w:r w:rsidR="00E40C84" w:rsidRPr="00E40C84">
        <w:rPr>
          <w:sz w:val="24"/>
          <w:szCs w:val="24"/>
          <w:vertAlign w:val="superscript"/>
        </w:rPr>
        <w:t>th</w:t>
      </w:r>
      <w:r w:rsidR="00E40C84">
        <w:rPr>
          <w:sz w:val="24"/>
          <w:szCs w:val="24"/>
        </w:rPr>
        <w:t xml:space="preserve"> century practitioners of Wicca </w:t>
      </w:r>
      <w:r w:rsidR="00E40C84">
        <w:rPr>
          <w:sz w:val="24"/>
          <w:szCs w:val="24"/>
        </w:rPr>
        <w:lastRenderedPageBreak/>
        <w:t xml:space="preserve">and </w:t>
      </w:r>
      <w:r w:rsidR="00233309">
        <w:rPr>
          <w:sz w:val="24"/>
          <w:szCs w:val="24"/>
        </w:rPr>
        <w:t>similar faiths</w:t>
      </w:r>
      <w:r w:rsidR="00E40C84">
        <w:rPr>
          <w:sz w:val="24"/>
          <w:szCs w:val="24"/>
        </w:rPr>
        <w:t>.</w:t>
      </w:r>
      <w:r w:rsidR="00233309">
        <w:rPr>
          <w:sz w:val="24"/>
          <w:szCs w:val="24"/>
        </w:rPr>
        <w:t xml:space="preserve"> </w:t>
      </w:r>
      <w:r w:rsidR="00E40C84">
        <w:rPr>
          <w:sz w:val="24"/>
          <w:szCs w:val="24"/>
        </w:rPr>
        <w:t>My use of “paradigm shift” is borrowed from the Christian scholar of comparative religion Hans Kung, who</w:t>
      </w:r>
      <w:r w:rsidR="00233309">
        <w:rPr>
          <w:sz w:val="24"/>
          <w:szCs w:val="24"/>
        </w:rPr>
        <w:t xml:space="preserve"> </w:t>
      </w:r>
      <w:r w:rsidR="00864085">
        <w:rPr>
          <w:sz w:val="24"/>
          <w:szCs w:val="24"/>
        </w:rPr>
        <w:t>accepts</w:t>
      </w:r>
      <w:r w:rsidR="00233309">
        <w:rPr>
          <w:sz w:val="24"/>
          <w:szCs w:val="24"/>
        </w:rPr>
        <w:t xml:space="preserve"> the use of “Nature Religions” in his worldview of spirituality, although he is not a supporter of modern Paganism per se. </w:t>
      </w:r>
      <w:r w:rsidR="00C70333">
        <w:rPr>
          <w:sz w:val="24"/>
          <w:szCs w:val="24"/>
        </w:rPr>
        <w:t xml:space="preserve">A </w:t>
      </w:r>
      <w:r w:rsidR="00233309">
        <w:rPr>
          <w:sz w:val="24"/>
          <w:szCs w:val="24"/>
        </w:rPr>
        <w:t>“Pagan Paradigm Shift”,</w:t>
      </w:r>
      <w:r w:rsidR="00864085">
        <w:rPr>
          <w:sz w:val="24"/>
          <w:szCs w:val="24"/>
        </w:rPr>
        <w:t xml:space="preserve"> </w:t>
      </w:r>
      <w:r w:rsidR="00233309">
        <w:rPr>
          <w:sz w:val="24"/>
          <w:szCs w:val="24"/>
        </w:rPr>
        <w:t xml:space="preserve">as evidenced by the evolution of witchcraft </w:t>
      </w:r>
      <w:r w:rsidR="00864085">
        <w:rPr>
          <w:sz w:val="24"/>
          <w:szCs w:val="24"/>
        </w:rPr>
        <w:t>is</w:t>
      </w:r>
      <w:r w:rsidR="00233309">
        <w:rPr>
          <w:sz w:val="24"/>
          <w:szCs w:val="24"/>
        </w:rPr>
        <w:t xml:space="preserve">, however, </w:t>
      </w:r>
      <w:r w:rsidR="00C70333">
        <w:rPr>
          <w:sz w:val="24"/>
          <w:szCs w:val="24"/>
        </w:rPr>
        <w:t>supporte</w:t>
      </w:r>
      <w:r w:rsidR="00864085">
        <w:rPr>
          <w:sz w:val="24"/>
          <w:szCs w:val="24"/>
        </w:rPr>
        <w:t>d</w:t>
      </w:r>
      <w:r w:rsidR="00C70333">
        <w:rPr>
          <w:sz w:val="24"/>
          <w:szCs w:val="24"/>
        </w:rPr>
        <w:t xml:space="preserve"> by Hutton, although he does not use Kung’s expression, in an earlier book</w:t>
      </w:r>
      <w:r w:rsidR="001D4337">
        <w:rPr>
          <w:sz w:val="24"/>
          <w:szCs w:val="24"/>
        </w:rPr>
        <w:t>,</w:t>
      </w:r>
      <w:r w:rsidR="00C70333">
        <w:rPr>
          <w:sz w:val="24"/>
          <w:szCs w:val="24"/>
        </w:rPr>
        <w:t xml:space="preserve"> “The Triumph of the Moon”</w:t>
      </w:r>
      <w:r w:rsidR="001D4337">
        <w:rPr>
          <w:sz w:val="24"/>
          <w:szCs w:val="24"/>
        </w:rPr>
        <w:t xml:space="preserve"> (2001), subtitled “A History of Modern Pagan Wit</w:t>
      </w:r>
      <w:r w:rsidR="00864085">
        <w:rPr>
          <w:sz w:val="24"/>
          <w:szCs w:val="24"/>
        </w:rPr>
        <w:t>c</w:t>
      </w:r>
      <w:r w:rsidR="001D4337">
        <w:rPr>
          <w:sz w:val="24"/>
          <w:szCs w:val="24"/>
        </w:rPr>
        <w:t>hcraft”.</w:t>
      </w:r>
    </w:p>
    <w:p w14:paraId="69EE0797" w14:textId="2C4AC458" w:rsidR="00104AEA" w:rsidRPr="005F222B" w:rsidRDefault="00104AEA" w:rsidP="005F222B">
      <w:pPr>
        <w:spacing w:line="276" w:lineRule="auto"/>
        <w:rPr>
          <w:sz w:val="24"/>
          <w:szCs w:val="24"/>
        </w:rPr>
      </w:pPr>
      <w:r>
        <w:rPr>
          <w:sz w:val="24"/>
          <w:szCs w:val="24"/>
        </w:rPr>
        <w:t xml:space="preserve">Hutton’s many publications on pagan themes over the past generation or so have contributed to </w:t>
      </w:r>
      <w:r w:rsidR="00010F5F">
        <w:rPr>
          <w:sz w:val="24"/>
          <w:szCs w:val="24"/>
        </w:rPr>
        <w:t xml:space="preserve">a </w:t>
      </w:r>
      <w:r>
        <w:rPr>
          <w:sz w:val="24"/>
          <w:szCs w:val="24"/>
        </w:rPr>
        <w:t>dynamic international discourse around what constitutes modern Paganism, or Neopaganism, both within the Academy</w:t>
      </w:r>
      <w:r w:rsidR="00010F5F">
        <w:rPr>
          <w:sz w:val="24"/>
          <w:szCs w:val="24"/>
        </w:rPr>
        <w:t xml:space="preserve"> and </w:t>
      </w:r>
      <w:r>
        <w:rPr>
          <w:sz w:val="24"/>
          <w:szCs w:val="24"/>
        </w:rPr>
        <w:t>public institution</w:t>
      </w:r>
      <w:r w:rsidR="00D20715">
        <w:rPr>
          <w:sz w:val="24"/>
          <w:szCs w:val="24"/>
        </w:rPr>
        <w:t xml:space="preserve">s such as English Heritage, </w:t>
      </w:r>
      <w:r w:rsidR="00010F5F">
        <w:rPr>
          <w:sz w:val="24"/>
          <w:szCs w:val="24"/>
        </w:rPr>
        <w:t xml:space="preserve">as well as among </w:t>
      </w:r>
      <w:r w:rsidR="00D20715">
        <w:rPr>
          <w:sz w:val="24"/>
          <w:szCs w:val="24"/>
        </w:rPr>
        <w:t xml:space="preserve">contemporary religious practitioners and </w:t>
      </w:r>
      <w:r w:rsidR="00010F5F">
        <w:rPr>
          <w:sz w:val="24"/>
          <w:szCs w:val="24"/>
        </w:rPr>
        <w:t>the</w:t>
      </w:r>
      <w:r w:rsidR="00D20715">
        <w:rPr>
          <w:sz w:val="24"/>
          <w:szCs w:val="24"/>
        </w:rPr>
        <w:t xml:space="preserve"> general readership. His recent work</w:t>
      </w:r>
      <w:r w:rsidR="006525D1">
        <w:rPr>
          <w:sz w:val="24"/>
          <w:szCs w:val="24"/>
        </w:rPr>
        <w:t>s</w:t>
      </w:r>
      <w:r w:rsidR="00D20715">
        <w:rPr>
          <w:sz w:val="24"/>
          <w:szCs w:val="24"/>
        </w:rPr>
        <w:t xml:space="preserve"> (2013</w:t>
      </w:r>
      <w:r w:rsidR="0009610F">
        <w:rPr>
          <w:sz w:val="24"/>
          <w:szCs w:val="24"/>
        </w:rPr>
        <w:t>/17</w:t>
      </w:r>
      <w:r w:rsidR="006525D1">
        <w:rPr>
          <w:sz w:val="24"/>
          <w:szCs w:val="24"/>
        </w:rPr>
        <w:t>) highlight</w:t>
      </w:r>
      <w:r w:rsidR="00D20715">
        <w:rPr>
          <w:sz w:val="24"/>
          <w:szCs w:val="24"/>
        </w:rPr>
        <w:t xml:space="preserve"> the difference between European countries that have “no difficulty in identifying their Pagan heritage” with the absence of “any collective sense of a British Paganism” </w:t>
      </w:r>
      <w:r w:rsidR="004715A6">
        <w:rPr>
          <w:sz w:val="24"/>
          <w:szCs w:val="24"/>
        </w:rPr>
        <w:t>arising from Britain’s</w:t>
      </w:r>
      <w:r w:rsidR="00D20715">
        <w:rPr>
          <w:sz w:val="24"/>
          <w:szCs w:val="24"/>
        </w:rPr>
        <w:t xml:space="preserve"> more heterogeneous cultural l</w:t>
      </w:r>
      <w:r w:rsidR="004715A6">
        <w:rPr>
          <w:sz w:val="24"/>
          <w:szCs w:val="24"/>
        </w:rPr>
        <w:t>egac</w:t>
      </w:r>
      <w:r w:rsidR="0009610F">
        <w:rPr>
          <w:sz w:val="24"/>
          <w:szCs w:val="24"/>
        </w:rPr>
        <w:t>ies</w:t>
      </w:r>
      <w:r w:rsidR="004715A6">
        <w:rPr>
          <w:sz w:val="24"/>
          <w:szCs w:val="24"/>
        </w:rPr>
        <w:t xml:space="preserve">. Hutton also emphasises differences in the methodological approaches of European and British scholars of Paganism, together with the role of academic fashions and reactions against earlier scholarship. In this context, a pedagogical approach to Paganism which seeks to balance traditional cultural history with post-modernist cultural studies </w:t>
      </w:r>
      <w:r w:rsidR="00C14E91">
        <w:rPr>
          <w:sz w:val="24"/>
          <w:szCs w:val="24"/>
        </w:rPr>
        <w:t xml:space="preserve">(see Rosemary Hill’s 2008 “Stonehenge”) </w:t>
      </w:r>
      <w:r w:rsidR="004715A6">
        <w:rPr>
          <w:sz w:val="24"/>
          <w:szCs w:val="24"/>
        </w:rPr>
        <w:t xml:space="preserve">may </w:t>
      </w:r>
      <w:r w:rsidR="006C5CA7">
        <w:rPr>
          <w:sz w:val="24"/>
          <w:szCs w:val="24"/>
        </w:rPr>
        <w:t xml:space="preserve">also </w:t>
      </w:r>
      <w:r w:rsidR="004715A6">
        <w:rPr>
          <w:sz w:val="24"/>
          <w:szCs w:val="24"/>
        </w:rPr>
        <w:t xml:space="preserve">be the most suited to </w:t>
      </w:r>
      <w:r w:rsidR="00C14E91">
        <w:rPr>
          <w:sz w:val="24"/>
          <w:szCs w:val="24"/>
        </w:rPr>
        <w:t xml:space="preserve">both contemporary secularism and </w:t>
      </w:r>
      <w:r w:rsidR="00010F5F">
        <w:rPr>
          <w:sz w:val="24"/>
          <w:szCs w:val="24"/>
        </w:rPr>
        <w:t xml:space="preserve">overly </w:t>
      </w:r>
      <w:r w:rsidR="00C14E91">
        <w:rPr>
          <w:sz w:val="24"/>
          <w:szCs w:val="24"/>
        </w:rPr>
        <w:t xml:space="preserve">literalist </w:t>
      </w:r>
      <w:r w:rsidR="00010F5F">
        <w:rPr>
          <w:sz w:val="24"/>
          <w:szCs w:val="24"/>
        </w:rPr>
        <w:t>tendencies amongst some followers of Abrahamic monotheistic religions.</w:t>
      </w:r>
    </w:p>
    <w:p w14:paraId="6574F29B" w14:textId="30C1EC4A" w:rsidR="005F222B" w:rsidRPr="008F13AB" w:rsidRDefault="005F222B" w:rsidP="005F222B">
      <w:pPr>
        <w:spacing w:line="276" w:lineRule="auto"/>
        <w:rPr>
          <w:b/>
          <w:sz w:val="24"/>
          <w:szCs w:val="24"/>
        </w:rPr>
      </w:pPr>
      <w:r w:rsidRPr="008F13AB">
        <w:rPr>
          <w:b/>
          <w:sz w:val="24"/>
          <w:szCs w:val="24"/>
        </w:rPr>
        <w:t>References</w:t>
      </w:r>
      <w:r w:rsidR="00D576DC">
        <w:rPr>
          <w:b/>
          <w:sz w:val="24"/>
          <w:szCs w:val="24"/>
        </w:rPr>
        <w:t>/Bibliography</w:t>
      </w:r>
    </w:p>
    <w:p w14:paraId="1E68F5D3" w14:textId="36E2DF83" w:rsidR="004948D0" w:rsidRDefault="004948D0" w:rsidP="004948D0">
      <w:pPr>
        <w:spacing w:after="0" w:line="276" w:lineRule="auto"/>
        <w:rPr>
          <w:sz w:val="24"/>
          <w:szCs w:val="24"/>
        </w:rPr>
      </w:pPr>
      <w:r>
        <w:rPr>
          <w:sz w:val="24"/>
          <w:szCs w:val="24"/>
        </w:rPr>
        <w:t>Behringer, Wolfgang</w:t>
      </w:r>
      <w:r w:rsidR="008B0417">
        <w:rPr>
          <w:sz w:val="24"/>
          <w:szCs w:val="24"/>
        </w:rPr>
        <w:t xml:space="preserve"> 2004 </w:t>
      </w:r>
      <w:r w:rsidR="004715A6">
        <w:rPr>
          <w:sz w:val="24"/>
          <w:szCs w:val="24"/>
        </w:rPr>
        <w:t xml:space="preserve">- </w:t>
      </w:r>
      <w:r w:rsidR="008B0417">
        <w:rPr>
          <w:sz w:val="24"/>
          <w:szCs w:val="24"/>
        </w:rPr>
        <w:t>Witches</w:t>
      </w:r>
      <w:r w:rsidR="00552E3E">
        <w:rPr>
          <w:sz w:val="24"/>
          <w:szCs w:val="24"/>
        </w:rPr>
        <w:t xml:space="preserve"> and Witch-hunts: A Global History</w:t>
      </w:r>
    </w:p>
    <w:p w14:paraId="528C16F3" w14:textId="45BCEDCD" w:rsidR="005F222B" w:rsidRPr="005F222B" w:rsidRDefault="005F222B" w:rsidP="004948D0">
      <w:pPr>
        <w:spacing w:after="0" w:line="276" w:lineRule="auto"/>
        <w:rPr>
          <w:sz w:val="24"/>
          <w:szCs w:val="24"/>
        </w:rPr>
      </w:pPr>
      <w:r w:rsidRPr="005F222B">
        <w:rPr>
          <w:sz w:val="24"/>
          <w:szCs w:val="24"/>
        </w:rPr>
        <w:t>Brown, Peter</w:t>
      </w:r>
      <w:r w:rsidR="00C14E91">
        <w:rPr>
          <w:sz w:val="24"/>
          <w:szCs w:val="24"/>
        </w:rPr>
        <w:t xml:space="preserve"> </w:t>
      </w:r>
      <w:r w:rsidRPr="005F222B">
        <w:rPr>
          <w:sz w:val="24"/>
          <w:szCs w:val="24"/>
        </w:rPr>
        <w:t xml:space="preserve">1999 </w:t>
      </w:r>
      <w:r w:rsidR="004715A6">
        <w:rPr>
          <w:sz w:val="24"/>
          <w:szCs w:val="24"/>
        </w:rPr>
        <w:t xml:space="preserve">- </w:t>
      </w:r>
      <w:r w:rsidRPr="005F222B">
        <w:rPr>
          <w:sz w:val="24"/>
          <w:szCs w:val="24"/>
        </w:rPr>
        <w:t>Late Antiquity</w:t>
      </w:r>
      <w:r w:rsidR="00877BC3">
        <w:rPr>
          <w:sz w:val="24"/>
          <w:szCs w:val="24"/>
        </w:rPr>
        <w:t xml:space="preserve"> </w:t>
      </w:r>
    </w:p>
    <w:p w14:paraId="63593EAB" w14:textId="2569ACA7" w:rsidR="005F222B" w:rsidRPr="005F222B" w:rsidRDefault="005F222B" w:rsidP="004948D0">
      <w:pPr>
        <w:spacing w:after="0" w:line="276" w:lineRule="auto"/>
        <w:rPr>
          <w:sz w:val="24"/>
          <w:szCs w:val="24"/>
        </w:rPr>
      </w:pPr>
      <w:r w:rsidRPr="005F222B">
        <w:rPr>
          <w:sz w:val="24"/>
          <w:szCs w:val="24"/>
        </w:rPr>
        <w:t>Cameron, Alan G</w:t>
      </w:r>
      <w:r w:rsidR="00140645">
        <w:rPr>
          <w:sz w:val="24"/>
          <w:szCs w:val="24"/>
        </w:rPr>
        <w:t xml:space="preserve"> </w:t>
      </w:r>
      <w:r w:rsidRPr="005F222B">
        <w:rPr>
          <w:sz w:val="24"/>
          <w:szCs w:val="24"/>
        </w:rPr>
        <w:t xml:space="preserve">2011 </w:t>
      </w:r>
      <w:r w:rsidR="004715A6">
        <w:rPr>
          <w:sz w:val="24"/>
          <w:szCs w:val="24"/>
        </w:rPr>
        <w:t xml:space="preserve">- </w:t>
      </w:r>
      <w:r w:rsidRPr="005F222B">
        <w:rPr>
          <w:sz w:val="24"/>
          <w:szCs w:val="24"/>
        </w:rPr>
        <w:t>The Last Pagans of Rome</w:t>
      </w:r>
    </w:p>
    <w:p w14:paraId="51968CEF" w14:textId="4E33A31D" w:rsidR="005F222B" w:rsidRPr="005F222B" w:rsidRDefault="005F222B" w:rsidP="004948D0">
      <w:pPr>
        <w:spacing w:after="0" w:line="276" w:lineRule="auto"/>
        <w:rPr>
          <w:sz w:val="24"/>
          <w:szCs w:val="24"/>
        </w:rPr>
      </w:pPr>
      <w:r w:rsidRPr="005F222B">
        <w:rPr>
          <w:sz w:val="24"/>
          <w:szCs w:val="24"/>
        </w:rPr>
        <w:t>Chaucer, Geoffrey</w:t>
      </w:r>
      <w:r w:rsidR="00140645">
        <w:rPr>
          <w:sz w:val="24"/>
          <w:szCs w:val="24"/>
        </w:rPr>
        <w:t xml:space="preserve"> 1387-1400</w:t>
      </w:r>
      <w:r w:rsidRPr="005F222B">
        <w:rPr>
          <w:sz w:val="24"/>
          <w:szCs w:val="24"/>
        </w:rPr>
        <w:t xml:space="preserve"> </w:t>
      </w:r>
      <w:r w:rsidR="004715A6">
        <w:rPr>
          <w:sz w:val="24"/>
          <w:szCs w:val="24"/>
        </w:rPr>
        <w:t xml:space="preserve">- </w:t>
      </w:r>
      <w:r w:rsidRPr="005F222B">
        <w:rPr>
          <w:sz w:val="24"/>
          <w:szCs w:val="24"/>
        </w:rPr>
        <w:t>The Canterbury Tales</w:t>
      </w:r>
      <w:bookmarkStart w:id="0" w:name="_Hlk512242768"/>
    </w:p>
    <w:bookmarkEnd w:id="0"/>
    <w:p w14:paraId="17A98817" w14:textId="3DCBA7C9" w:rsidR="005F222B" w:rsidRPr="005F222B" w:rsidRDefault="005F222B" w:rsidP="004948D0">
      <w:pPr>
        <w:spacing w:after="0" w:line="276" w:lineRule="auto"/>
        <w:rPr>
          <w:sz w:val="24"/>
          <w:szCs w:val="24"/>
        </w:rPr>
      </w:pPr>
      <w:r w:rsidRPr="005F222B">
        <w:rPr>
          <w:sz w:val="24"/>
          <w:szCs w:val="24"/>
        </w:rPr>
        <w:t>Charity Commission</w:t>
      </w:r>
      <w:r w:rsidR="00140645">
        <w:rPr>
          <w:sz w:val="24"/>
          <w:szCs w:val="24"/>
        </w:rPr>
        <w:t xml:space="preserve"> </w:t>
      </w:r>
      <w:hyperlink r:id="rId6" w:history="1">
        <w:r w:rsidR="00140645" w:rsidRPr="00D04CF0">
          <w:rPr>
            <w:rStyle w:val="Hyperlink"/>
            <w:sz w:val="24"/>
            <w:szCs w:val="24"/>
          </w:rPr>
          <w:t>https://www.gov.uk/government/publications/druid-network</w:t>
        </w:r>
      </w:hyperlink>
      <w:r w:rsidR="00140645">
        <w:rPr>
          <w:sz w:val="24"/>
          <w:szCs w:val="24"/>
        </w:rPr>
        <w:t xml:space="preserve"> </w:t>
      </w:r>
    </w:p>
    <w:p w14:paraId="5DD696F9" w14:textId="05EC83CC" w:rsidR="005F222B" w:rsidRPr="005F222B" w:rsidRDefault="005F222B" w:rsidP="004948D0">
      <w:pPr>
        <w:spacing w:after="0" w:line="276" w:lineRule="auto"/>
        <w:rPr>
          <w:sz w:val="24"/>
          <w:szCs w:val="24"/>
        </w:rPr>
      </w:pPr>
      <w:r w:rsidRPr="005F222B">
        <w:rPr>
          <w:sz w:val="24"/>
          <w:szCs w:val="24"/>
        </w:rPr>
        <w:t>Cornwall County Council</w:t>
      </w:r>
      <w:r w:rsidR="00552E3E">
        <w:rPr>
          <w:sz w:val="24"/>
          <w:szCs w:val="24"/>
        </w:rPr>
        <w:t xml:space="preserve"> </w:t>
      </w:r>
      <w:hyperlink r:id="rId7" w:history="1">
        <w:r w:rsidR="00552E3E" w:rsidRPr="00D04CF0">
          <w:rPr>
            <w:rStyle w:val="Hyperlink"/>
            <w:sz w:val="24"/>
            <w:szCs w:val="24"/>
          </w:rPr>
          <w:t>https://www.cornwall.gov.uk/media/9227047/Agreed-syllabus-2014.pdf</w:t>
        </w:r>
      </w:hyperlink>
      <w:r w:rsidR="00552E3E">
        <w:rPr>
          <w:sz w:val="24"/>
          <w:szCs w:val="24"/>
        </w:rPr>
        <w:t xml:space="preserve"> </w:t>
      </w:r>
    </w:p>
    <w:p w14:paraId="0C6AA647" w14:textId="7C5C9FF5" w:rsidR="005F222B" w:rsidRDefault="005F222B" w:rsidP="004948D0">
      <w:pPr>
        <w:spacing w:after="0" w:line="276" w:lineRule="auto"/>
        <w:rPr>
          <w:sz w:val="24"/>
          <w:szCs w:val="24"/>
        </w:rPr>
      </w:pPr>
      <w:r w:rsidRPr="005F222B">
        <w:rPr>
          <w:sz w:val="24"/>
          <w:szCs w:val="24"/>
        </w:rPr>
        <w:t>Davies, Owen</w:t>
      </w:r>
      <w:r w:rsidR="00C14E91">
        <w:rPr>
          <w:sz w:val="24"/>
          <w:szCs w:val="24"/>
        </w:rPr>
        <w:t xml:space="preserve"> </w:t>
      </w:r>
      <w:r w:rsidRPr="005F222B">
        <w:rPr>
          <w:sz w:val="24"/>
          <w:szCs w:val="24"/>
        </w:rPr>
        <w:t xml:space="preserve">2011 </w:t>
      </w:r>
      <w:r w:rsidR="004715A6">
        <w:rPr>
          <w:sz w:val="24"/>
          <w:szCs w:val="24"/>
        </w:rPr>
        <w:t xml:space="preserve">- </w:t>
      </w:r>
      <w:r w:rsidRPr="005F222B">
        <w:rPr>
          <w:sz w:val="24"/>
          <w:szCs w:val="24"/>
        </w:rPr>
        <w:t xml:space="preserve">Paganism: A </w:t>
      </w:r>
      <w:r w:rsidR="00D576DC">
        <w:rPr>
          <w:sz w:val="24"/>
          <w:szCs w:val="24"/>
        </w:rPr>
        <w:t>V</w:t>
      </w:r>
      <w:r w:rsidRPr="005F222B">
        <w:rPr>
          <w:sz w:val="24"/>
          <w:szCs w:val="24"/>
        </w:rPr>
        <w:t>ery Short Introduction</w:t>
      </w:r>
    </w:p>
    <w:p w14:paraId="65B2EA94" w14:textId="3AE8EFBF" w:rsidR="004948D0" w:rsidRDefault="004948D0" w:rsidP="004948D0">
      <w:pPr>
        <w:spacing w:after="0" w:line="276" w:lineRule="auto"/>
        <w:rPr>
          <w:sz w:val="24"/>
          <w:szCs w:val="24"/>
        </w:rPr>
      </w:pPr>
      <w:r w:rsidRPr="005F222B">
        <w:rPr>
          <w:sz w:val="24"/>
          <w:szCs w:val="24"/>
        </w:rPr>
        <w:t>Druid Network</w:t>
      </w:r>
      <w:r w:rsidR="008B0417">
        <w:rPr>
          <w:sz w:val="24"/>
          <w:szCs w:val="24"/>
        </w:rPr>
        <w:t xml:space="preserve"> </w:t>
      </w:r>
      <w:hyperlink r:id="rId8" w:history="1">
        <w:r w:rsidR="008B0417" w:rsidRPr="00D04CF0">
          <w:rPr>
            <w:rStyle w:val="Hyperlink"/>
            <w:sz w:val="24"/>
            <w:szCs w:val="24"/>
          </w:rPr>
          <w:t>https://druidnetwork.org/</w:t>
        </w:r>
      </w:hyperlink>
      <w:r w:rsidR="008B0417">
        <w:rPr>
          <w:sz w:val="24"/>
          <w:szCs w:val="24"/>
        </w:rPr>
        <w:t xml:space="preserve"> </w:t>
      </w:r>
    </w:p>
    <w:p w14:paraId="230C9FE6" w14:textId="59979409" w:rsidR="004948D0" w:rsidRPr="005F222B" w:rsidRDefault="004948D0" w:rsidP="004948D0">
      <w:pPr>
        <w:spacing w:after="0" w:line="276" w:lineRule="auto"/>
        <w:rPr>
          <w:sz w:val="24"/>
          <w:szCs w:val="24"/>
        </w:rPr>
      </w:pPr>
      <w:r w:rsidRPr="005F222B">
        <w:rPr>
          <w:sz w:val="24"/>
          <w:szCs w:val="24"/>
        </w:rPr>
        <w:t>Eliade, Mircea</w:t>
      </w:r>
      <w:r w:rsidR="00C14E91">
        <w:rPr>
          <w:sz w:val="24"/>
          <w:szCs w:val="24"/>
        </w:rPr>
        <w:t xml:space="preserve"> </w:t>
      </w:r>
      <w:r w:rsidRPr="005F222B">
        <w:rPr>
          <w:sz w:val="24"/>
          <w:szCs w:val="24"/>
        </w:rPr>
        <w:t xml:space="preserve">1982 </w:t>
      </w:r>
      <w:r w:rsidR="004715A6">
        <w:rPr>
          <w:sz w:val="24"/>
          <w:szCs w:val="24"/>
        </w:rPr>
        <w:t xml:space="preserve">- </w:t>
      </w:r>
      <w:r w:rsidRPr="005F222B">
        <w:rPr>
          <w:sz w:val="24"/>
          <w:szCs w:val="24"/>
        </w:rPr>
        <w:t xml:space="preserve">A History of Religious Ideas, Volume 2 </w:t>
      </w:r>
    </w:p>
    <w:p w14:paraId="2AD39547" w14:textId="27DC2198" w:rsidR="004948D0" w:rsidRDefault="005F222B" w:rsidP="004948D0">
      <w:pPr>
        <w:spacing w:after="0" w:line="276" w:lineRule="auto"/>
        <w:rPr>
          <w:sz w:val="24"/>
          <w:szCs w:val="24"/>
        </w:rPr>
      </w:pPr>
      <w:r w:rsidRPr="005F222B">
        <w:rPr>
          <w:sz w:val="24"/>
          <w:szCs w:val="24"/>
        </w:rPr>
        <w:t>Harvey, Graham 2005</w:t>
      </w:r>
      <w:r w:rsidR="00EA4443">
        <w:rPr>
          <w:sz w:val="24"/>
          <w:szCs w:val="24"/>
        </w:rPr>
        <w:t xml:space="preserve"> </w:t>
      </w:r>
      <w:r w:rsidR="00C14E91">
        <w:rPr>
          <w:sz w:val="24"/>
          <w:szCs w:val="24"/>
        </w:rPr>
        <w:t xml:space="preserve">- </w:t>
      </w:r>
      <w:r w:rsidRPr="005F222B">
        <w:rPr>
          <w:sz w:val="24"/>
          <w:szCs w:val="24"/>
        </w:rPr>
        <w:t>Encyclopaedia of Religion and Nature</w:t>
      </w:r>
      <w:r w:rsidR="004948D0">
        <w:rPr>
          <w:sz w:val="24"/>
          <w:szCs w:val="24"/>
        </w:rPr>
        <w:t xml:space="preserve"> </w:t>
      </w:r>
    </w:p>
    <w:p w14:paraId="5A575B60" w14:textId="0C1DABEC" w:rsidR="004948D0" w:rsidRPr="005F222B" w:rsidRDefault="004948D0" w:rsidP="004948D0">
      <w:pPr>
        <w:spacing w:after="0" w:line="276" w:lineRule="auto"/>
        <w:rPr>
          <w:sz w:val="24"/>
          <w:szCs w:val="24"/>
        </w:rPr>
      </w:pPr>
      <w:r>
        <w:rPr>
          <w:sz w:val="24"/>
          <w:szCs w:val="24"/>
        </w:rPr>
        <w:t>Hill</w:t>
      </w:r>
      <w:r w:rsidR="00C14E91">
        <w:rPr>
          <w:sz w:val="24"/>
          <w:szCs w:val="24"/>
        </w:rPr>
        <w:t xml:space="preserve">, </w:t>
      </w:r>
      <w:r>
        <w:rPr>
          <w:sz w:val="24"/>
          <w:szCs w:val="24"/>
        </w:rPr>
        <w:t xml:space="preserve">Rosemary 2008 </w:t>
      </w:r>
      <w:r w:rsidR="00C14E91">
        <w:rPr>
          <w:sz w:val="24"/>
          <w:szCs w:val="24"/>
        </w:rPr>
        <w:t xml:space="preserve">- </w:t>
      </w:r>
      <w:r>
        <w:rPr>
          <w:sz w:val="24"/>
          <w:szCs w:val="24"/>
        </w:rPr>
        <w:t>Stonehenge</w:t>
      </w:r>
    </w:p>
    <w:p w14:paraId="3F19A180" w14:textId="353DDBF9" w:rsidR="005F222B" w:rsidRDefault="005F222B" w:rsidP="004948D0">
      <w:pPr>
        <w:spacing w:after="0" w:line="276" w:lineRule="auto"/>
        <w:rPr>
          <w:sz w:val="24"/>
          <w:szCs w:val="24"/>
        </w:rPr>
      </w:pPr>
      <w:r w:rsidRPr="005F222B">
        <w:rPr>
          <w:sz w:val="24"/>
          <w:szCs w:val="24"/>
        </w:rPr>
        <w:t>Hutton, Ronald</w:t>
      </w:r>
      <w:r w:rsidR="00C14E91">
        <w:rPr>
          <w:sz w:val="24"/>
          <w:szCs w:val="24"/>
        </w:rPr>
        <w:t xml:space="preserve"> -</w:t>
      </w:r>
      <w:r w:rsidR="00D576DC">
        <w:rPr>
          <w:sz w:val="24"/>
          <w:szCs w:val="24"/>
        </w:rPr>
        <w:t xml:space="preserve"> The Witch </w:t>
      </w:r>
      <w:r w:rsidR="00C14E91">
        <w:rPr>
          <w:sz w:val="24"/>
          <w:szCs w:val="24"/>
        </w:rPr>
        <w:t>(</w:t>
      </w:r>
      <w:r w:rsidR="00D576DC">
        <w:rPr>
          <w:sz w:val="24"/>
          <w:szCs w:val="24"/>
        </w:rPr>
        <w:t>2017</w:t>
      </w:r>
      <w:r w:rsidR="00C14E91">
        <w:rPr>
          <w:sz w:val="24"/>
          <w:szCs w:val="24"/>
        </w:rPr>
        <w:t>)</w:t>
      </w:r>
      <w:r w:rsidR="00D576DC">
        <w:rPr>
          <w:sz w:val="24"/>
          <w:szCs w:val="24"/>
        </w:rPr>
        <w:t xml:space="preserve">, </w:t>
      </w:r>
      <w:r w:rsidRPr="005F222B">
        <w:rPr>
          <w:sz w:val="24"/>
          <w:szCs w:val="24"/>
        </w:rPr>
        <w:t>Pagan Britain</w:t>
      </w:r>
      <w:r w:rsidR="00D576DC">
        <w:rPr>
          <w:sz w:val="24"/>
          <w:szCs w:val="24"/>
        </w:rPr>
        <w:t xml:space="preserve"> </w:t>
      </w:r>
      <w:r w:rsidR="00C14E91">
        <w:rPr>
          <w:sz w:val="24"/>
          <w:szCs w:val="24"/>
        </w:rPr>
        <w:t>(</w:t>
      </w:r>
      <w:r w:rsidR="00D576DC">
        <w:rPr>
          <w:sz w:val="24"/>
          <w:szCs w:val="24"/>
        </w:rPr>
        <w:t>2013</w:t>
      </w:r>
      <w:r w:rsidR="00C14E91">
        <w:rPr>
          <w:sz w:val="24"/>
          <w:szCs w:val="24"/>
        </w:rPr>
        <w:t>)</w:t>
      </w:r>
      <w:r w:rsidR="00D576DC">
        <w:rPr>
          <w:sz w:val="24"/>
          <w:szCs w:val="24"/>
        </w:rPr>
        <w:t xml:space="preserve">, The Triumph of the Moon </w:t>
      </w:r>
      <w:r w:rsidR="00C14E91">
        <w:rPr>
          <w:sz w:val="24"/>
          <w:szCs w:val="24"/>
        </w:rPr>
        <w:t>(</w:t>
      </w:r>
      <w:r w:rsidR="00D576DC">
        <w:rPr>
          <w:sz w:val="24"/>
          <w:szCs w:val="24"/>
        </w:rPr>
        <w:t>2001</w:t>
      </w:r>
      <w:r w:rsidR="00C14E91">
        <w:rPr>
          <w:sz w:val="24"/>
          <w:szCs w:val="24"/>
        </w:rPr>
        <w:t>)</w:t>
      </w:r>
    </w:p>
    <w:p w14:paraId="5687F17D" w14:textId="1B9CB938" w:rsidR="001C4BFF" w:rsidRPr="005F222B" w:rsidRDefault="001C4BFF" w:rsidP="004948D0">
      <w:pPr>
        <w:spacing w:after="0" w:line="276" w:lineRule="auto"/>
        <w:rPr>
          <w:sz w:val="24"/>
          <w:szCs w:val="24"/>
        </w:rPr>
      </w:pPr>
      <w:r>
        <w:rPr>
          <w:sz w:val="24"/>
          <w:szCs w:val="24"/>
        </w:rPr>
        <w:t>Kung, Hans</w:t>
      </w:r>
      <w:r w:rsidR="006E4919">
        <w:rPr>
          <w:sz w:val="24"/>
          <w:szCs w:val="24"/>
        </w:rPr>
        <w:t xml:space="preserve"> (</w:t>
      </w:r>
      <w:r w:rsidR="00C14E91">
        <w:rPr>
          <w:sz w:val="24"/>
          <w:szCs w:val="24"/>
        </w:rPr>
        <w:t>A</w:t>
      </w:r>
      <w:r w:rsidR="006E4919">
        <w:rPr>
          <w:sz w:val="24"/>
          <w:szCs w:val="24"/>
        </w:rPr>
        <w:t xml:space="preserve">uthor’s foundation website) </w:t>
      </w:r>
      <w:r w:rsidR="00EA4443">
        <w:rPr>
          <w:sz w:val="24"/>
          <w:szCs w:val="24"/>
        </w:rPr>
        <w:t xml:space="preserve"> </w:t>
      </w:r>
      <w:hyperlink r:id="rId9" w:history="1">
        <w:r w:rsidR="006E4919" w:rsidRPr="00D04CF0">
          <w:rPr>
            <w:rStyle w:val="Hyperlink"/>
            <w:sz w:val="24"/>
            <w:szCs w:val="24"/>
          </w:rPr>
          <w:t>http://www.global-ethic-now.de/gen-eng/0b_weltethos-und-religionen/0b-pdf/paradigm-shifts-christianity.pdf</w:t>
        </w:r>
      </w:hyperlink>
      <w:r w:rsidR="006E4919">
        <w:rPr>
          <w:sz w:val="24"/>
          <w:szCs w:val="24"/>
        </w:rPr>
        <w:t xml:space="preserve"> </w:t>
      </w:r>
    </w:p>
    <w:p w14:paraId="49777FFF" w14:textId="1A914F2B" w:rsidR="004948D0" w:rsidRDefault="004948D0" w:rsidP="004948D0">
      <w:pPr>
        <w:spacing w:after="0" w:line="276" w:lineRule="auto"/>
        <w:rPr>
          <w:sz w:val="24"/>
          <w:szCs w:val="24"/>
        </w:rPr>
      </w:pPr>
      <w:r>
        <w:rPr>
          <w:sz w:val="24"/>
          <w:szCs w:val="24"/>
        </w:rPr>
        <w:t>Museum of Witchcraft</w:t>
      </w:r>
      <w:r w:rsidR="008B0417">
        <w:rPr>
          <w:sz w:val="24"/>
          <w:szCs w:val="24"/>
        </w:rPr>
        <w:t xml:space="preserve"> and Magic </w:t>
      </w:r>
      <w:hyperlink r:id="rId10" w:history="1">
        <w:r w:rsidR="008B0417" w:rsidRPr="00D04CF0">
          <w:rPr>
            <w:rStyle w:val="Hyperlink"/>
            <w:sz w:val="24"/>
            <w:szCs w:val="24"/>
          </w:rPr>
          <w:t>http://museumofwitchcraftandmagic.co.uk/</w:t>
        </w:r>
      </w:hyperlink>
      <w:r w:rsidR="008B0417">
        <w:rPr>
          <w:sz w:val="24"/>
          <w:szCs w:val="24"/>
        </w:rPr>
        <w:t xml:space="preserve"> </w:t>
      </w:r>
    </w:p>
    <w:p w14:paraId="04613044" w14:textId="31736FA0" w:rsidR="00D576DC" w:rsidRDefault="00D576DC" w:rsidP="004948D0">
      <w:pPr>
        <w:spacing w:after="0" w:line="276" w:lineRule="auto"/>
        <w:rPr>
          <w:sz w:val="24"/>
          <w:szCs w:val="24"/>
        </w:rPr>
      </w:pPr>
      <w:r>
        <w:rPr>
          <w:sz w:val="24"/>
          <w:szCs w:val="24"/>
        </w:rPr>
        <w:t xml:space="preserve">Niles, John D </w:t>
      </w:r>
      <w:r w:rsidR="00C14E91">
        <w:rPr>
          <w:sz w:val="24"/>
          <w:szCs w:val="24"/>
        </w:rPr>
        <w:t xml:space="preserve">1991 </w:t>
      </w:r>
      <w:r w:rsidR="006C5CA7">
        <w:rPr>
          <w:sz w:val="24"/>
          <w:szCs w:val="24"/>
        </w:rPr>
        <w:t>–</w:t>
      </w:r>
      <w:r w:rsidR="00C14E91">
        <w:rPr>
          <w:sz w:val="24"/>
          <w:szCs w:val="24"/>
        </w:rPr>
        <w:t xml:space="preserve"> </w:t>
      </w:r>
      <w:r w:rsidR="006C5CA7">
        <w:rPr>
          <w:sz w:val="24"/>
          <w:szCs w:val="24"/>
        </w:rPr>
        <w:t xml:space="preserve">The </w:t>
      </w:r>
      <w:bookmarkStart w:id="1" w:name="_GoBack"/>
      <w:bookmarkEnd w:id="1"/>
      <w:r w:rsidR="0090327C">
        <w:rPr>
          <w:sz w:val="24"/>
          <w:szCs w:val="24"/>
        </w:rPr>
        <w:t xml:space="preserve">Cambridge Companion to Old English Literature </w:t>
      </w:r>
    </w:p>
    <w:p w14:paraId="365B63CE" w14:textId="36E18774" w:rsidR="00D576DC" w:rsidRDefault="00D576DC" w:rsidP="00D576DC">
      <w:pPr>
        <w:spacing w:after="0" w:line="276" w:lineRule="auto"/>
        <w:rPr>
          <w:sz w:val="24"/>
          <w:szCs w:val="24"/>
        </w:rPr>
      </w:pPr>
      <w:r w:rsidRPr="005F222B">
        <w:rPr>
          <w:sz w:val="24"/>
          <w:szCs w:val="24"/>
        </w:rPr>
        <w:t xml:space="preserve">Wikipedia </w:t>
      </w:r>
      <w:hyperlink r:id="rId11" w:history="1">
        <w:r w:rsidR="004473EC" w:rsidRPr="00D04CF0">
          <w:rPr>
            <w:rStyle w:val="Hyperlink"/>
            <w:sz w:val="24"/>
            <w:szCs w:val="24"/>
          </w:rPr>
          <w:t>https://en.wikipedia.org/wiki/Chronos</w:t>
        </w:r>
      </w:hyperlink>
      <w:r w:rsidR="004473EC">
        <w:rPr>
          <w:sz w:val="24"/>
          <w:szCs w:val="24"/>
        </w:rPr>
        <w:t xml:space="preserve"> </w:t>
      </w:r>
      <w:hyperlink r:id="rId12" w:history="1">
        <w:r w:rsidR="004473EC" w:rsidRPr="00D04CF0">
          <w:rPr>
            <w:rStyle w:val="Hyperlink"/>
            <w:sz w:val="24"/>
            <w:szCs w:val="24"/>
          </w:rPr>
          <w:t>https://en.wikipedia.org/wiki/Paganism</w:t>
        </w:r>
      </w:hyperlink>
      <w:r w:rsidR="004473EC">
        <w:rPr>
          <w:sz w:val="24"/>
          <w:szCs w:val="24"/>
        </w:rPr>
        <w:t xml:space="preserve"> </w:t>
      </w:r>
    </w:p>
    <w:p w14:paraId="49AD5186" w14:textId="7901B187" w:rsidR="00B85048" w:rsidRPr="005F222B" w:rsidRDefault="006C5CA7" w:rsidP="004715A6">
      <w:pPr>
        <w:spacing w:after="0" w:line="276" w:lineRule="auto"/>
        <w:rPr>
          <w:sz w:val="24"/>
          <w:szCs w:val="24"/>
        </w:rPr>
      </w:pPr>
      <w:hyperlink r:id="rId13" w:history="1">
        <w:r w:rsidR="004473EC" w:rsidRPr="00D04CF0">
          <w:rPr>
            <w:rStyle w:val="Hyperlink"/>
            <w:sz w:val="24"/>
            <w:szCs w:val="24"/>
          </w:rPr>
          <w:t>https://en.wikipedia.org/wiki/Provenance</w:t>
        </w:r>
      </w:hyperlink>
      <w:r w:rsidR="004473EC">
        <w:rPr>
          <w:sz w:val="24"/>
          <w:szCs w:val="24"/>
        </w:rPr>
        <w:t xml:space="preserve"> </w:t>
      </w:r>
    </w:p>
    <w:sectPr w:rsidR="00B85048" w:rsidRPr="005F222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A7155B" w14:textId="77777777" w:rsidR="005F222B" w:rsidRDefault="005F222B" w:rsidP="005F222B">
      <w:pPr>
        <w:spacing w:after="0" w:line="240" w:lineRule="auto"/>
      </w:pPr>
      <w:r>
        <w:separator/>
      </w:r>
    </w:p>
  </w:endnote>
  <w:endnote w:type="continuationSeparator" w:id="0">
    <w:p w14:paraId="2CD2D3A3" w14:textId="77777777" w:rsidR="005F222B" w:rsidRDefault="005F222B" w:rsidP="005F2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6494421"/>
      <w:docPartObj>
        <w:docPartGallery w:val="Page Numbers (Bottom of Page)"/>
        <w:docPartUnique/>
      </w:docPartObj>
    </w:sdtPr>
    <w:sdtEndPr/>
    <w:sdtContent>
      <w:sdt>
        <w:sdtPr>
          <w:id w:val="-1705238520"/>
          <w:docPartObj>
            <w:docPartGallery w:val="Page Numbers (Top of Page)"/>
            <w:docPartUnique/>
          </w:docPartObj>
        </w:sdtPr>
        <w:sdtEndPr/>
        <w:sdtContent>
          <w:p w14:paraId="0A491D57" w14:textId="75796E9C" w:rsidR="005F222B" w:rsidRDefault="005F222B">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6C5CA7">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C5CA7">
              <w:rPr>
                <w:b/>
                <w:bCs/>
                <w:noProof/>
              </w:rPr>
              <w:t>3</w:t>
            </w:r>
            <w:r>
              <w:rPr>
                <w:b/>
                <w:bCs/>
                <w:sz w:val="24"/>
                <w:szCs w:val="24"/>
              </w:rPr>
              <w:fldChar w:fldCharType="end"/>
            </w:r>
          </w:p>
        </w:sdtContent>
      </w:sdt>
    </w:sdtContent>
  </w:sdt>
  <w:p w14:paraId="363C5A3E" w14:textId="77777777" w:rsidR="005F222B" w:rsidRDefault="005F22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85AA26" w14:textId="77777777" w:rsidR="005F222B" w:rsidRDefault="005F222B" w:rsidP="005F222B">
      <w:pPr>
        <w:spacing w:after="0" w:line="240" w:lineRule="auto"/>
      </w:pPr>
      <w:r>
        <w:separator/>
      </w:r>
    </w:p>
  </w:footnote>
  <w:footnote w:type="continuationSeparator" w:id="0">
    <w:p w14:paraId="4BC7676A" w14:textId="77777777" w:rsidR="005F222B" w:rsidRDefault="005F222B" w:rsidP="005F22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222B"/>
    <w:rsid w:val="0000095C"/>
    <w:rsid w:val="00010F5F"/>
    <w:rsid w:val="0009610F"/>
    <w:rsid w:val="00104AEA"/>
    <w:rsid w:val="00140645"/>
    <w:rsid w:val="001C4BFF"/>
    <w:rsid w:val="001D4184"/>
    <w:rsid w:val="001D4337"/>
    <w:rsid w:val="00233309"/>
    <w:rsid w:val="00305CE0"/>
    <w:rsid w:val="003157DD"/>
    <w:rsid w:val="00354A73"/>
    <w:rsid w:val="004473EC"/>
    <w:rsid w:val="004715A6"/>
    <w:rsid w:val="004948D0"/>
    <w:rsid w:val="00552E3E"/>
    <w:rsid w:val="005F222B"/>
    <w:rsid w:val="006525D1"/>
    <w:rsid w:val="006C5CA7"/>
    <w:rsid w:val="006E4919"/>
    <w:rsid w:val="007115DA"/>
    <w:rsid w:val="00864085"/>
    <w:rsid w:val="00877BC3"/>
    <w:rsid w:val="008B0417"/>
    <w:rsid w:val="008F13AB"/>
    <w:rsid w:val="0090327C"/>
    <w:rsid w:val="00B85048"/>
    <w:rsid w:val="00C121C7"/>
    <w:rsid w:val="00C14E91"/>
    <w:rsid w:val="00C70333"/>
    <w:rsid w:val="00D20715"/>
    <w:rsid w:val="00D576DC"/>
    <w:rsid w:val="00E4005D"/>
    <w:rsid w:val="00E40C84"/>
    <w:rsid w:val="00EA4443"/>
    <w:rsid w:val="00EC46ED"/>
    <w:rsid w:val="00F53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9E174"/>
  <w15:chartTrackingRefBased/>
  <w15:docId w15:val="{3B9083FB-67B7-4CB0-B5E9-E7BA46247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2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22B"/>
  </w:style>
  <w:style w:type="paragraph" w:styleId="Footer">
    <w:name w:val="footer"/>
    <w:basedOn w:val="Normal"/>
    <w:link w:val="FooterChar"/>
    <w:uiPriority w:val="99"/>
    <w:unhideWhenUsed/>
    <w:rsid w:val="005F22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22B"/>
  </w:style>
  <w:style w:type="character" w:styleId="Hyperlink">
    <w:name w:val="Hyperlink"/>
    <w:basedOn w:val="DefaultParagraphFont"/>
    <w:uiPriority w:val="99"/>
    <w:unhideWhenUsed/>
    <w:rsid w:val="00140645"/>
    <w:rPr>
      <w:color w:val="0563C1" w:themeColor="hyperlink"/>
      <w:u w:val="single"/>
    </w:rPr>
  </w:style>
  <w:style w:type="character" w:customStyle="1" w:styleId="UnresolvedMention">
    <w:name w:val="Unresolved Mention"/>
    <w:basedOn w:val="DefaultParagraphFont"/>
    <w:uiPriority w:val="99"/>
    <w:semiHidden/>
    <w:unhideWhenUsed/>
    <w:rsid w:val="0014064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uidnetwork.org/" TargetMode="External"/><Relationship Id="rId13" Type="http://schemas.openxmlformats.org/officeDocument/2006/relationships/hyperlink" Target="https://en.wikipedia.org/wiki/Provenance" TargetMode="External"/><Relationship Id="rId3" Type="http://schemas.openxmlformats.org/officeDocument/2006/relationships/webSettings" Target="webSettings.xml"/><Relationship Id="rId7" Type="http://schemas.openxmlformats.org/officeDocument/2006/relationships/hyperlink" Target="https://www.cornwall.gov.uk/media/9227047/Agreed-syllabus-2014.pdf" TargetMode="External"/><Relationship Id="rId12" Type="http://schemas.openxmlformats.org/officeDocument/2006/relationships/hyperlink" Target="https://en.wikipedia.org/wiki/Paganis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druid-network" TargetMode="External"/><Relationship Id="rId11" Type="http://schemas.openxmlformats.org/officeDocument/2006/relationships/hyperlink" Target="https://en.wikipedia.org/wiki/Chrono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museumofwitchcraftandmagic.co.uk/" TargetMode="External"/><Relationship Id="rId4" Type="http://schemas.openxmlformats.org/officeDocument/2006/relationships/footnotes" Target="footnotes.xml"/><Relationship Id="rId9" Type="http://schemas.openxmlformats.org/officeDocument/2006/relationships/hyperlink" Target="http://www.global-ethic-now.de/gen-eng/0b_weltethos-und-religionen/0b-pdf/paradigm-shifts-christianity.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3</Pages>
  <Words>1492</Words>
  <Characters>8505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Mackinnon</dc:creator>
  <cp:keywords/>
  <dc:description/>
  <cp:lastModifiedBy>P-library</cp:lastModifiedBy>
  <cp:revision>23</cp:revision>
  <dcterms:created xsi:type="dcterms:W3CDTF">2018-04-20T15:25:00Z</dcterms:created>
  <dcterms:modified xsi:type="dcterms:W3CDTF">2018-04-23T12:01:00Z</dcterms:modified>
</cp:coreProperties>
</file>