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55B9C0" w14:textId="597E2415" w:rsidR="00B1425E" w:rsidRPr="00E53311" w:rsidRDefault="001B13CE">
      <w:pPr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 xml:space="preserve">JC: </w:t>
      </w:r>
    </w:p>
    <w:p w14:paraId="4140C84A" w14:textId="77777777" w:rsidR="008F0E68" w:rsidRPr="008F0E68" w:rsidRDefault="008F0E68" w:rsidP="008F0E68">
      <w:pPr>
        <w:spacing w:line="312" w:lineRule="auto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σ=(A+B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ε</m:t>
              </m:r>
            </m:e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n</m:t>
              </m:r>
            </m:sup>
          </m:sSup>
          <m:r>
            <w:rPr>
              <w:rFonts w:ascii="Cambria Math" w:eastAsiaTheme="minorEastAsia" w:hAnsi="Cambria Math" w:cstheme="minorHAnsi"/>
              <w:sz w:val="24"/>
              <w:szCs w:val="24"/>
            </w:rPr>
            <m:t>)(1+C</m:t>
          </m:r>
          <m:func>
            <m:func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ln</m:t>
              </m:r>
            </m:fName>
            <m:e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acc>
                    <m:accPr>
                      <m:chr m:val="̇"/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acc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ε</m:t>
                      </m:r>
                    </m:e>
                  </m:acc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*</m:t>
                  </m:r>
                </m:sup>
              </m:sSup>
            </m:e>
          </m:func>
          <m:r>
            <w:rPr>
              <w:rFonts w:ascii="Cambria Math" w:eastAsiaTheme="minorEastAsia" w:hAnsi="Cambria Math" w:cstheme="minorHAnsi"/>
              <w:sz w:val="24"/>
              <w:szCs w:val="24"/>
            </w:rPr>
            <m:t>)(1-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T</m:t>
              </m:r>
            </m:e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*m</m:t>
              </m:r>
            </m:sup>
          </m:sSup>
          <m:r>
            <w:rPr>
              <w:rFonts w:ascii="Cambria Math" w:eastAsiaTheme="minorEastAsia" w:hAnsi="Cambria Math" w:cstheme="minorHAnsi"/>
              <w:sz w:val="24"/>
              <w:szCs w:val="24"/>
            </w:rPr>
            <m:t>)</m:t>
          </m:r>
        </m:oMath>
      </m:oMathPara>
    </w:p>
    <w:p w14:paraId="39C10C8F" w14:textId="56FC31B9" w:rsidR="008F0E68" w:rsidRPr="008F0E68" w:rsidRDefault="008F0E68" w:rsidP="008F0E68">
      <w:pPr>
        <w:spacing w:line="312" w:lineRule="auto"/>
        <w:rPr>
          <w:rFonts w:eastAsiaTheme="minorEastAsia" w:cstheme="minorHAnsi"/>
          <w:sz w:val="24"/>
          <w:szCs w:val="24"/>
        </w:rPr>
      </w:pPr>
      <w:r w:rsidRPr="00E53311">
        <w:rPr>
          <w:rFonts w:eastAsiaTheme="minorEastAsia" w:cstheme="minorHAnsi"/>
          <w:sz w:val="24"/>
          <w:szCs w:val="24"/>
        </w:rPr>
        <w:t>w</w:t>
      </w:r>
      <w:r w:rsidRPr="008F0E68">
        <w:rPr>
          <w:rFonts w:eastAsiaTheme="minorEastAsia" w:cstheme="minorHAnsi"/>
          <w:sz w:val="24"/>
          <w:szCs w:val="24"/>
        </w:rPr>
        <w:t xml:space="preserve">here: </w:t>
      </w:r>
    </w:p>
    <w:p w14:paraId="3E0BA67C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>σ = stress</w:t>
      </w:r>
    </w:p>
    <w:p w14:paraId="5FFEC966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>A = initial yield stress</w:t>
      </w:r>
    </w:p>
    <w:p w14:paraId="4C812C8A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>B = strain hardening constant</w:t>
      </w:r>
    </w:p>
    <w:p w14:paraId="129685D9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proofErr w:type="spellStart"/>
      <w:r w:rsidRPr="008F0E68">
        <w:rPr>
          <w:rFonts w:eastAsiaTheme="minorEastAsia" w:cstheme="minorHAnsi"/>
          <w:sz w:val="24"/>
          <w:szCs w:val="24"/>
        </w:rPr>
        <w:t>ε</w:t>
      </w:r>
      <w:r w:rsidRPr="008F0E68">
        <w:rPr>
          <w:rFonts w:eastAsiaTheme="minorEastAsia" w:cstheme="minorHAnsi"/>
          <w:sz w:val="24"/>
          <w:szCs w:val="24"/>
          <w:vertAlign w:val="superscript"/>
        </w:rPr>
        <w:t>n</w:t>
      </w:r>
      <w:proofErr w:type="spellEnd"/>
      <w:r w:rsidRPr="008F0E68">
        <w:rPr>
          <w:rFonts w:eastAsiaTheme="minorEastAsia" w:cstheme="minorHAnsi"/>
          <w:sz w:val="24"/>
          <w:szCs w:val="24"/>
        </w:rPr>
        <w:t xml:space="preserve"> = equivalent plastic strain</w:t>
      </w:r>
    </w:p>
    <w:p w14:paraId="339995E6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>C = Strain rate hardening constant</w:t>
      </w:r>
    </w:p>
    <w:p w14:paraId="261857A5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>ε˙</w:t>
      </w:r>
      <w:r w:rsidRPr="008F0E68">
        <w:rPr>
          <w:rFonts w:ascii="Cambria Math" w:eastAsiaTheme="minorEastAsia" w:hAnsi="Cambria Math" w:cs="Cambria Math"/>
          <w:sz w:val="24"/>
          <w:szCs w:val="24"/>
        </w:rPr>
        <w:t>∗</w:t>
      </w:r>
      <w:r w:rsidRPr="008F0E68">
        <w:rPr>
          <w:rFonts w:eastAsiaTheme="minorEastAsia" w:cstheme="minorHAnsi"/>
          <w:sz w:val="24"/>
          <w:szCs w:val="24"/>
        </w:rPr>
        <w:t xml:space="preserve"> = normalised effective plastic strain rate</w:t>
      </w:r>
    </w:p>
    <w:p w14:paraId="0EE72C89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 xml:space="preserve">m = thermal softening coefficient </w:t>
      </w:r>
    </w:p>
    <w:p w14:paraId="55A44435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>T</w:t>
      </w:r>
      <w:r w:rsidRPr="008F0E68">
        <w:rPr>
          <w:rFonts w:eastAsiaTheme="minorEastAsia" w:cstheme="minorHAnsi"/>
          <w:sz w:val="24"/>
          <w:szCs w:val="24"/>
          <w:vertAlign w:val="superscript"/>
        </w:rPr>
        <w:t>*</w:t>
      </w:r>
      <w:r w:rsidRPr="008F0E68">
        <w:rPr>
          <w:rFonts w:eastAsiaTheme="minorEastAsia" w:cstheme="minorHAnsi"/>
          <w:sz w:val="24"/>
          <w:szCs w:val="24"/>
        </w:rPr>
        <w:t xml:space="preserve"> = </w:t>
      </w:r>
      <m:oMath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T-</m:t>
            </m:r>
            <m:sSub>
              <m:sSub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T</m:t>
                </m:r>
              </m:e>
              <m:sub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room</m:t>
                </m:r>
              </m:sub>
            </m:sSub>
          </m:num>
          <m:den>
            <m:sSup>
              <m:sSup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'</m:t>
                </m:r>
              </m:sup>
            </m:s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-</m:t>
            </m:r>
            <m:sSub>
              <m:sSubPr>
                <m:ctrlPr>
                  <w:rPr>
                    <w:rFonts w:ascii="Cambria Math" w:eastAsiaTheme="minorEastAsia" w:hAnsi="Cambria Math" w:cstheme="minorHAnsi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T</m:t>
                </m:r>
              </m:e>
              <m:sub>
                <m:r>
                  <w:rPr>
                    <w:rFonts w:ascii="Cambria Math" w:eastAsiaTheme="minorEastAsia" w:hAnsi="Cambria Math" w:cstheme="minorHAnsi"/>
                    <w:sz w:val="24"/>
                    <w:szCs w:val="24"/>
                  </w:rPr>
                  <m:t>room</m:t>
                </m:r>
              </m:sub>
            </m:sSub>
          </m:den>
        </m:f>
      </m:oMath>
    </w:p>
    <w:p w14:paraId="19D98730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proofErr w:type="spellStart"/>
      <w:r w:rsidRPr="008F0E68">
        <w:rPr>
          <w:rFonts w:eastAsiaTheme="minorEastAsia" w:cstheme="minorHAnsi"/>
          <w:sz w:val="24"/>
          <w:szCs w:val="24"/>
        </w:rPr>
        <w:t>T</w:t>
      </w:r>
      <w:r w:rsidRPr="008F0E68">
        <w:rPr>
          <w:rFonts w:eastAsiaTheme="minorEastAsia" w:cstheme="minorHAnsi"/>
          <w:sz w:val="24"/>
          <w:szCs w:val="24"/>
          <w:vertAlign w:val="subscript"/>
        </w:rPr>
        <w:t>room</w:t>
      </w:r>
      <w:proofErr w:type="spellEnd"/>
      <w:r w:rsidRPr="008F0E68">
        <w:rPr>
          <w:rFonts w:eastAsiaTheme="minorEastAsia" w:cstheme="minorHAnsi"/>
          <w:sz w:val="24"/>
          <w:szCs w:val="24"/>
        </w:rPr>
        <w:t xml:space="preserve"> = room temperature</w:t>
      </w:r>
    </w:p>
    <w:p w14:paraId="4923FF6C" w14:textId="77777777" w:rsidR="008F0E68" w:rsidRPr="008F0E68" w:rsidRDefault="008F0E68" w:rsidP="008F0E68">
      <w:pPr>
        <w:numPr>
          <w:ilvl w:val="0"/>
          <w:numId w:val="2"/>
        </w:numPr>
        <w:spacing w:line="312" w:lineRule="auto"/>
        <w:contextualSpacing/>
        <w:rPr>
          <w:rFonts w:eastAsiaTheme="minorEastAsia" w:cstheme="minorHAnsi"/>
          <w:sz w:val="24"/>
          <w:szCs w:val="24"/>
        </w:rPr>
      </w:pPr>
      <w:r w:rsidRPr="008F0E68">
        <w:rPr>
          <w:rFonts w:eastAsiaTheme="minorEastAsia" w:cstheme="minorHAnsi"/>
          <w:sz w:val="24"/>
          <w:szCs w:val="24"/>
        </w:rPr>
        <w:t>T’ = melting temperature of the material</w:t>
      </w:r>
    </w:p>
    <w:p w14:paraId="5C3465DA" w14:textId="77777777" w:rsidR="008F0E68" w:rsidRPr="00E53311" w:rsidRDefault="008F0E68">
      <w:pPr>
        <w:rPr>
          <w:rFonts w:cstheme="minorHAnsi"/>
          <w:sz w:val="24"/>
          <w:szCs w:val="24"/>
        </w:rPr>
      </w:pPr>
    </w:p>
    <w:p w14:paraId="4DBEF810" w14:textId="77777777" w:rsidR="008F0E68" w:rsidRPr="00E53311" w:rsidRDefault="008F0E68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"/>
        <w:gridCol w:w="806"/>
        <w:gridCol w:w="806"/>
        <w:gridCol w:w="764"/>
        <w:gridCol w:w="460"/>
        <w:gridCol w:w="764"/>
        <w:gridCol w:w="911"/>
        <w:gridCol w:w="752"/>
        <w:gridCol w:w="656"/>
        <w:gridCol w:w="1224"/>
        <w:gridCol w:w="828"/>
      </w:tblGrid>
      <w:tr w:rsidR="001B13CE" w:rsidRPr="00E53311" w14:paraId="218D660C" w14:textId="77777777" w:rsidTr="002F48BE">
        <w:tc>
          <w:tcPr>
            <w:tcW w:w="976" w:type="dxa"/>
          </w:tcPr>
          <w:p w14:paraId="296CA687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Material</w:t>
            </w:r>
          </w:p>
        </w:tc>
        <w:tc>
          <w:tcPr>
            <w:tcW w:w="777" w:type="dxa"/>
          </w:tcPr>
          <w:p w14:paraId="483D46B5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A</w:t>
            </w:r>
          </w:p>
          <w:p w14:paraId="71CE7A6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(MPa)</w:t>
            </w:r>
          </w:p>
        </w:tc>
        <w:tc>
          <w:tcPr>
            <w:tcW w:w="777" w:type="dxa"/>
          </w:tcPr>
          <w:p w14:paraId="193A836F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B</w:t>
            </w:r>
          </w:p>
          <w:p w14:paraId="74D0EDD9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(MPa)</w:t>
            </w:r>
          </w:p>
        </w:tc>
        <w:tc>
          <w:tcPr>
            <w:tcW w:w="750" w:type="dxa"/>
          </w:tcPr>
          <w:p w14:paraId="0E41845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n</w:t>
            </w:r>
          </w:p>
        </w:tc>
        <w:tc>
          <w:tcPr>
            <w:tcW w:w="528" w:type="dxa"/>
          </w:tcPr>
          <w:p w14:paraId="027E9D4E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m</w:t>
            </w:r>
          </w:p>
        </w:tc>
        <w:tc>
          <w:tcPr>
            <w:tcW w:w="750" w:type="dxa"/>
          </w:tcPr>
          <w:p w14:paraId="4E656671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C</w:t>
            </w:r>
          </w:p>
        </w:tc>
        <w:tc>
          <w:tcPr>
            <w:tcW w:w="1122" w:type="dxa"/>
          </w:tcPr>
          <w:p w14:paraId="2317E43B" w14:textId="77777777" w:rsidR="001B13CE" w:rsidRPr="00E53311" w:rsidRDefault="001B13CE" w:rsidP="002F48BE">
            <w:pPr>
              <w:rPr>
                <w:rFonts w:eastAsiaTheme="minorEastAsia" w:cstheme="minorHAnsi"/>
                <w:sz w:val="24"/>
                <w:szCs w:val="24"/>
              </w:rPr>
            </w:pPr>
            <m:oMath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ρ</m:t>
              </m:r>
            </m:oMath>
            <w:r w:rsidRPr="00E53311">
              <w:rPr>
                <w:rFonts w:eastAsiaTheme="minorEastAsia" w:cstheme="minorHAnsi"/>
                <w:sz w:val="24"/>
                <w:szCs w:val="24"/>
              </w:rPr>
              <w:t xml:space="preserve"> </w:t>
            </w:r>
          </w:p>
          <w:p w14:paraId="669B7A7B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eastAsiaTheme="minorEastAsia" w:cstheme="minorHAnsi"/>
                <w:sz w:val="24"/>
                <w:szCs w:val="24"/>
              </w:rPr>
              <w:t>(kgm</w:t>
            </w:r>
            <w:r w:rsidRPr="00E53311">
              <w:rPr>
                <w:rFonts w:eastAsiaTheme="minorEastAsia" w:cstheme="minorHAnsi"/>
                <w:sz w:val="24"/>
                <w:szCs w:val="24"/>
                <w:vertAlign w:val="superscript"/>
              </w:rPr>
              <w:t>-3</w:t>
            </w:r>
            <w:r w:rsidRPr="00E53311">
              <w:rPr>
                <w:rFonts w:eastAsiaTheme="minorEastAsia" w:cstheme="minorHAnsi"/>
                <w:sz w:val="24"/>
                <w:szCs w:val="24"/>
              </w:rPr>
              <w:t>)</w:t>
            </w:r>
          </w:p>
        </w:tc>
        <w:tc>
          <w:tcPr>
            <w:tcW w:w="708" w:type="dxa"/>
          </w:tcPr>
          <w:p w14:paraId="75B6B2B9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E (</w:t>
            </w:r>
            <w:proofErr w:type="spellStart"/>
            <w:r w:rsidRPr="00E53311">
              <w:rPr>
                <w:rFonts w:cstheme="minorHAnsi"/>
                <w:sz w:val="24"/>
                <w:szCs w:val="24"/>
              </w:rPr>
              <w:t>GPa</w:t>
            </w:r>
            <w:proofErr w:type="spellEnd"/>
            <w:r w:rsidRPr="00E53311">
              <w:rPr>
                <w:rFonts w:cstheme="minorHAnsi"/>
                <w:sz w:val="24"/>
                <w:szCs w:val="24"/>
              </w:rPr>
              <w:t>)</w:t>
            </w:r>
          </w:p>
        </w:tc>
        <w:tc>
          <w:tcPr>
            <w:tcW w:w="675" w:type="dxa"/>
          </w:tcPr>
          <w:p w14:paraId="7CF34E93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v</w:t>
            </w:r>
          </w:p>
        </w:tc>
        <w:tc>
          <w:tcPr>
            <w:tcW w:w="1162" w:type="dxa"/>
          </w:tcPr>
          <w:p w14:paraId="1D1A68D9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θ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transition</m:t>
                    </m:r>
                  </m:sub>
                </m:sSub>
              </m:oMath>
            </m:oMathPara>
          </w:p>
        </w:tc>
        <w:tc>
          <w:tcPr>
            <w:tcW w:w="791" w:type="dxa"/>
          </w:tcPr>
          <w:p w14:paraId="193501A9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θ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melt</m:t>
                    </m:r>
                  </m:sub>
                </m:sSub>
              </m:oMath>
            </m:oMathPara>
          </w:p>
        </w:tc>
      </w:tr>
      <w:tr w:rsidR="001B13CE" w:rsidRPr="00E53311" w14:paraId="19D3E2F2" w14:textId="77777777" w:rsidTr="002F48BE">
        <w:tc>
          <w:tcPr>
            <w:tcW w:w="976" w:type="dxa"/>
          </w:tcPr>
          <w:p w14:paraId="48908FEF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Copper OFHC</w:t>
            </w:r>
          </w:p>
        </w:tc>
        <w:tc>
          <w:tcPr>
            <w:tcW w:w="777" w:type="dxa"/>
          </w:tcPr>
          <w:p w14:paraId="6CEE98CA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1425</w:t>
            </w:r>
          </w:p>
        </w:tc>
        <w:tc>
          <w:tcPr>
            <w:tcW w:w="777" w:type="dxa"/>
          </w:tcPr>
          <w:p w14:paraId="18687CD7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168</w:t>
            </w:r>
          </w:p>
        </w:tc>
        <w:tc>
          <w:tcPr>
            <w:tcW w:w="750" w:type="dxa"/>
          </w:tcPr>
          <w:p w14:paraId="7B89F687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0.12</w:t>
            </w:r>
          </w:p>
        </w:tc>
        <w:tc>
          <w:tcPr>
            <w:tcW w:w="528" w:type="dxa"/>
          </w:tcPr>
          <w:p w14:paraId="76C3A29C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750" w:type="dxa"/>
          </w:tcPr>
          <w:p w14:paraId="4A422764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0.032</w:t>
            </w:r>
          </w:p>
        </w:tc>
        <w:tc>
          <w:tcPr>
            <w:tcW w:w="1122" w:type="dxa"/>
          </w:tcPr>
          <w:p w14:paraId="66EE16BF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8960</w:t>
            </w:r>
          </w:p>
        </w:tc>
        <w:tc>
          <w:tcPr>
            <w:tcW w:w="708" w:type="dxa"/>
          </w:tcPr>
          <w:p w14:paraId="56EB7B0C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125</w:t>
            </w:r>
          </w:p>
        </w:tc>
        <w:tc>
          <w:tcPr>
            <w:tcW w:w="675" w:type="dxa"/>
          </w:tcPr>
          <w:p w14:paraId="22DC572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0.34</w:t>
            </w:r>
          </w:p>
        </w:tc>
        <w:tc>
          <w:tcPr>
            <w:tcW w:w="1162" w:type="dxa"/>
          </w:tcPr>
          <w:p w14:paraId="7A0813D5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293K</w:t>
            </w:r>
          </w:p>
        </w:tc>
        <w:tc>
          <w:tcPr>
            <w:tcW w:w="791" w:type="dxa"/>
          </w:tcPr>
          <w:p w14:paraId="22EDDA13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1356K</w:t>
            </w:r>
          </w:p>
        </w:tc>
      </w:tr>
      <w:tr w:rsidR="001B13CE" w:rsidRPr="00E53311" w14:paraId="5F3509A6" w14:textId="77777777" w:rsidTr="002F48BE">
        <w:tc>
          <w:tcPr>
            <w:tcW w:w="976" w:type="dxa"/>
          </w:tcPr>
          <w:p w14:paraId="70B621CC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Steel AISI</w:t>
            </w:r>
          </w:p>
        </w:tc>
        <w:tc>
          <w:tcPr>
            <w:tcW w:w="777" w:type="dxa"/>
          </w:tcPr>
          <w:p w14:paraId="163B7EAE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553</w:t>
            </w:r>
          </w:p>
        </w:tc>
        <w:tc>
          <w:tcPr>
            <w:tcW w:w="777" w:type="dxa"/>
          </w:tcPr>
          <w:p w14:paraId="03779E8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600</w:t>
            </w:r>
          </w:p>
        </w:tc>
        <w:tc>
          <w:tcPr>
            <w:tcW w:w="750" w:type="dxa"/>
          </w:tcPr>
          <w:p w14:paraId="1F092ED5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0.234</w:t>
            </w:r>
          </w:p>
        </w:tc>
        <w:tc>
          <w:tcPr>
            <w:tcW w:w="528" w:type="dxa"/>
          </w:tcPr>
          <w:p w14:paraId="3E56650A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750" w:type="dxa"/>
          </w:tcPr>
          <w:p w14:paraId="136F0B4D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0.013</w:t>
            </w:r>
          </w:p>
        </w:tc>
        <w:tc>
          <w:tcPr>
            <w:tcW w:w="1122" w:type="dxa"/>
          </w:tcPr>
          <w:p w14:paraId="26113435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7850</w:t>
            </w:r>
          </w:p>
        </w:tc>
        <w:tc>
          <w:tcPr>
            <w:tcW w:w="708" w:type="dxa"/>
          </w:tcPr>
          <w:p w14:paraId="7D0CA7AC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210</w:t>
            </w:r>
          </w:p>
        </w:tc>
        <w:tc>
          <w:tcPr>
            <w:tcW w:w="675" w:type="dxa"/>
          </w:tcPr>
          <w:p w14:paraId="69896A31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0.3</w:t>
            </w:r>
          </w:p>
        </w:tc>
        <w:tc>
          <w:tcPr>
            <w:tcW w:w="1162" w:type="dxa"/>
          </w:tcPr>
          <w:p w14:paraId="57BBCB9E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293K</w:t>
            </w:r>
          </w:p>
        </w:tc>
        <w:tc>
          <w:tcPr>
            <w:tcW w:w="791" w:type="dxa"/>
          </w:tcPr>
          <w:p w14:paraId="5A7F42DD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1733K</w:t>
            </w:r>
          </w:p>
        </w:tc>
      </w:tr>
    </w:tbl>
    <w:p w14:paraId="10C01EB1" w14:textId="77777777" w:rsidR="001B13CE" w:rsidRPr="00E53311" w:rsidRDefault="001B13CE" w:rsidP="001B13CE">
      <w:pPr>
        <w:rPr>
          <w:rFonts w:cstheme="minorHAnsi"/>
          <w:sz w:val="24"/>
          <w:szCs w:val="24"/>
        </w:rPr>
      </w:pPr>
    </w:p>
    <w:p w14:paraId="356629AB" w14:textId="5B9A2877" w:rsidR="001B13CE" w:rsidRPr="00E53311" w:rsidRDefault="001B13CE" w:rsidP="001B13CE">
      <w:pPr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 xml:space="preserve">The parameters above are for the Johnson-Cook (JC) material model where A is the yield strength of the material, B is the strain hardening constant, C is the strengthening coefficient of strain rate, n is the hardening exponent, m is the thermal softening exponent. </w:t>
      </w:r>
    </w:p>
    <w:p w14:paraId="4930CDCD" w14:textId="77777777" w:rsidR="001B13CE" w:rsidRPr="00E53311" w:rsidRDefault="001B13CE" w:rsidP="001B13CE">
      <w:pPr>
        <w:rPr>
          <w:rFonts w:cstheme="minorHAnsi"/>
          <w:sz w:val="24"/>
          <w:szCs w:val="24"/>
        </w:rPr>
      </w:pPr>
    </w:p>
    <w:p w14:paraId="62CA132A" w14:textId="645EACA6" w:rsidR="001B13CE" w:rsidRPr="00E53311" w:rsidRDefault="001B13CE" w:rsidP="001B13CE">
      <w:pPr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>JWL:</w:t>
      </w:r>
    </w:p>
    <w:p w14:paraId="1AF01862" w14:textId="77777777" w:rsidR="001B13CE" w:rsidRPr="00E53311" w:rsidRDefault="001B13CE" w:rsidP="001B13CE">
      <w:pPr>
        <w:rPr>
          <w:rFonts w:cstheme="minorHAnsi"/>
          <w:sz w:val="24"/>
          <w:szCs w:val="24"/>
        </w:rPr>
      </w:pPr>
    </w:p>
    <w:p w14:paraId="38EE705A" w14:textId="77777777" w:rsidR="001B13CE" w:rsidRPr="00E53311" w:rsidRDefault="001B13CE" w:rsidP="001B13CE">
      <w:pPr>
        <w:rPr>
          <w:rFonts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P=A</m:t>
          </m:r>
          <m:d>
            <m:d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e</m:t>
              </m:r>
            </m:e>
            <m:sup>
              <m:r>
                <w:rPr>
                  <w:rFonts w:ascii="Cambria Math" w:hAnsi="Cambria Math" w:cstheme="minorHAnsi"/>
                  <w:sz w:val="24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v</m:t>
              </m:r>
            </m:sup>
          </m:sSup>
          <m:r>
            <w:rPr>
              <w:rFonts w:ascii="Cambria Math" w:hAnsi="Cambria Math" w:cstheme="minorHAnsi"/>
              <w:sz w:val="24"/>
              <w:szCs w:val="24"/>
            </w:rPr>
            <m:t>+B</m:t>
          </m:r>
          <m:d>
            <m:d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e</m:t>
              </m:r>
            </m:e>
            <m:sup>
              <m:r>
                <w:rPr>
                  <w:rFonts w:ascii="Cambria Math" w:hAnsi="Cambria Math" w:cstheme="minorHAnsi"/>
                  <w:sz w:val="24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2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v</m:t>
              </m:r>
            </m:sup>
          </m:sSup>
          <m:r>
            <w:rPr>
              <w:rFonts w:ascii="Cambria Math" w:hAnsi="Cambria Math" w:cstheme="minorHAnsi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ω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e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0</m:t>
                  </m:r>
                </m:sub>
              </m:sSub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v</m:t>
              </m:r>
            </m:den>
          </m:f>
        </m:oMath>
      </m:oMathPara>
    </w:p>
    <w:p w14:paraId="107AC412" w14:textId="77777777" w:rsidR="001B13CE" w:rsidRPr="00E53311" w:rsidRDefault="001B13CE" w:rsidP="001B13CE">
      <w:pPr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>Where:</w:t>
      </w:r>
    </w:p>
    <w:p w14:paraId="50C08E2D" w14:textId="77777777" w:rsidR="001B13CE" w:rsidRPr="00E53311" w:rsidRDefault="001B13CE" w:rsidP="001B13CE">
      <w:pPr>
        <w:pStyle w:val="ListParagraph"/>
        <w:numPr>
          <w:ilvl w:val="0"/>
          <w:numId w:val="1"/>
        </w:numPr>
        <w:spacing w:line="312" w:lineRule="auto"/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 xml:space="preserve">v = </w:t>
      </w:r>
      <w:proofErr w:type="spellStart"/>
      <w:r w:rsidRPr="00E53311">
        <w:rPr>
          <w:rFonts w:cstheme="minorHAnsi"/>
          <w:sz w:val="24"/>
          <w:szCs w:val="24"/>
        </w:rPr>
        <w:t>ρ</w:t>
      </w:r>
      <w:r w:rsidRPr="00E53311">
        <w:rPr>
          <w:rFonts w:cstheme="minorHAnsi"/>
          <w:sz w:val="24"/>
          <w:szCs w:val="24"/>
          <w:vertAlign w:val="subscript"/>
        </w:rPr>
        <w:t>e</w:t>
      </w:r>
      <w:proofErr w:type="spellEnd"/>
      <w:r w:rsidRPr="00E53311">
        <w:rPr>
          <w:rFonts w:cstheme="minorHAnsi"/>
          <w:sz w:val="24"/>
          <w:szCs w:val="24"/>
          <w:vertAlign w:val="subscript"/>
        </w:rPr>
        <w:t xml:space="preserve"> </w:t>
      </w:r>
      <w:r w:rsidRPr="00E53311">
        <w:rPr>
          <w:rFonts w:cstheme="minorHAnsi"/>
          <w:sz w:val="24"/>
          <w:szCs w:val="24"/>
        </w:rPr>
        <w:t>/ ρ = relative volume between the detonation products and undetonated high explosive.</w:t>
      </w:r>
    </w:p>
    <w:p w14:paraId="061B3190" w14:textId="77777777" w:rsidR="001B13CE" w:rsidRPr="00E53311" w:rsidRDefault="001B13CE" w:rsidP="001B13CE">
      <w:pPr>
        <w:pStyle w:val="ListParagraph"/>
        <w:numPr>
          <w:ilvl w:val="0"/>
          <w:numId w:val="1"/>
        </w:numPr>
        <w:spacing w:line="312" w:lineRule="auto"/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>P = pressure</w:t>
      </w:r>
    </w:p>
    <w:p w14:paraId="5C49134A" w14:textId="77777777" w:rsidR="001B13CE" w:rsidRPr="00E53311" w:rsidRDefault="001B13CE" w:rsidP="001B13CE">
      <w:pPr>
        <w:pStyle w:val="ListParagraph"/>
        <w:numPr>
          <w:ilvl w:val="0"/>
          <w:numId w:val="1"/>
        </w:numPr>
        <w:spacing w:line="312" w:lineRule="auto"/>
        <w:rPr>
          <w:rFonts w:cstheme="minorHAnsi"/>
          <w:sz w:val="24"/>
          <w:szCs w:val="24"/>
        </w:rPr>
      </w:pPr>
      <w:proofErr w:type="spellStart"/>
      <w:r w:rsidRPr="00E53311">
        <w:rPr>
          <w:rFonts w:cstheme="minorHAnsi"/>
          <w:sz w:val="24"/>
          <w:szCs w:val="24"/>
        </w:rPr>
        <w:lastRenderedPageBreak/>
        <w:t>ρ</w:t>
      </w:r>
      <w:r w:rsidRPr="00E53311">
        <w:rPr>
          <w:rFonts w:cstheme="minorHAnsi"/>
          <w:sz w:val="24"/>
          <w:szCs w:val="24"/>
          <w:vertAlign w:val="subscript"/>
        </w:rPr>
        <w:t>e</w:t>
      </w:r>
      <w:proofErr w:type="spellEnd"/>
      <w:r w:rsidRPr="00E53311">
        <w:rPr>
          <w:rFonts w:cstheme="minorHAnsi"/>
          <w:sz w:val="24"/>
          <w:szCs w:val="24"/>
        </w:rPr>
        <w:t xml:space="preserve"> = The density of the explosive material</w:t>
      </w:r>
    </w:p>
    <w:p w14:paraId="7A75DDA3" w14:textId="77777777" w:rsidR="001B13CE" w:rsidRPr="00E53311" w:rsidRDefault="001B13CE" w:rsidP="001B13CE">
      <w:pPr>
        <w:pStyle w:val="ListParagraph"/>
        <w:numPr>
          <w:ilvl w:val="0"/>
          <w:numId w:val="1"/>
        </w:numPr>
        <w:spacing w:line="312" w:lineRule="auto"/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>ρ = the density of the detonation products</w:t>
      </w:r>
    </w:p>
    <w:p w14:paraId="16C4BBAA" w14:textId="77777777" w:rsidR="001B13CE" w:rsidRPr="00E53311" w:rsidRDefault="001B13CE" w:rsidP="001B13CE">
      <w:pPr>
        <w:pStyle w:val="ListParagraph"/>
        <w:numPr>
          <w:ilvl w:val="0"/>
          <w:numId w:val="1"/>
        </w:numPr>
        <w:spacing w:line="312" w:lineRule="auto"/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>e</w:t>
      </w:r>
      <w:r w:rsidRPr="00E53311">
        <w:rPr>
          <w:rFonts w:cstheme="minorHAnsi"/>
          <w:sz w:val="24"/>
          <w:szCs w:val="24"/>
          <w:vertAlign w:val="subscript"/>
        </w:rPr>
        <w:t>0</w:t>
      </w:r>
      <w:r w:rsidRPr="00E53311">
        <w:rPr>
          <w:rFonts w:cstheme="minorHAnsi"/>
          <w:sz w:val="24"/>
          <w:szCs w:val="24"/>
        </w:rPr>
        <w:t xml:space="preserve"> = specific internal energy</w:t>
      </w:r>
    </w:p>
    <w:p w14:paraId="14602F91" w14:textId="77777777" w:rsidR="001B13CE" w:rsidRPr="00E53311" w:rsidRDefault="001B13CE" w:rsidP="001B13CE">
      <w:pPr>
        <w:pStyle w:val="ListParagraph"/>
        <w:numPr>
          <w:ilvl w:val="0"/>
          <w:numId w:val="1"/>
        </w:numPr>
        <w:spacing w:line="312" w:lineRule="auto"/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>A, B, and C = linear coefficients</w:t>
      </w:r>
    </w:p>
    <w:p w14:paraId="490D9A1A" w14:textId="77777777" w:rsidR="001B13CE" w:rsidRPr="00E53311" w:rsidRDefault="001B13CE" w:rsidP="001B13CE">
      <w:pPr>
        <w:pStyle w:val="ListParagraph"/>
        <w:numPr>
          <w:ilvl w:val="0"/>
          <w:numId w:val="1"/>
        </w:numPr>
        <w:spacing w:line="312" w:lineRule="auto"/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>R</w:t>
      </w:r>
      <w:r w:rsidRPr="00E53311">
        <w:rPr>
          <w:rFonts w:cstheme="minorHAnsi"/>
          <w:sz w:val="24"/>
          <w:szCs w:val="24"/>
          <w:vertAlign w:val="subscript"/>
        </w:rPr>
        <w:t>1</w:t>
      </w:r>
      <w:r w:rsidRPr="00E53311">
        <w:rPr>
          <w:rFonts w:cstheme="minorHAnsi"/>
          <w:sz w:val="24"/>
          <w:szCs w:val="24"/>
        </w:rPr>
        <w:t>, R</w:t>
      </w:r>
      <w:r w:rsidRPr="00E53311">
        <w:rPr>
          <w:rFonts w:cstheme="minorHAnsi"/>
          <w:sz w:val="24"/>
          <w:szCs w:val="24"/>
          <w:vertAlign w:val="subscript"/>
        </w:rPr>
        <w:t>2</w:t>
      </w:r>
      <w:r w:rsidRPr="00E53311">
        <w:rPr>
          <w:rFonts w:cstheme="minorHAnsi"/>
          <w:sz w:val="24"/>
          <w:szCs w:val="24"/>
        </w:rPr>
        <w:t>, and ω = non-linear coefficients</w:t>
      </w:r>
    </w:p>
    <w:p w14:paraId="3317F3BD" w14:textId="77777777" w:rsidR="001B13CE" w:rsidRPr="00E53311" w:rsidRDefault="001B13CE" w:rsidP="001B13CE">
      <w:pPr>
        <w:rPr>
          <w:rFonts w:cstheme="minorHAnsi"/>
          <w:sz w:val="24"/>
          <w:szCs w:val="24"/>
        </w:rPr>
      </w:pPr>
    </w:p>
    <w:p w14:paraId="2B5955E5" w14:textId="369EF871" w:rsidR="001B13CE" w:rsidRPr="00E53311" w:rsidRDefault="001B13CE" w:rsidP="001B13CE">
      <w:pPr>
        <w:pStyle w:val="Caption"/>
        <w:keepNext/>
        <w:rPr>
          <w:rFonts w:cstheme="minorHAnsi"/>
          <w:sz w:val="24"/>
          <w:szCs w:val="24"/>
        </w:rPr>
      </w:pPr>
      <w:r w:rsidRPr="00E53311">
        <w:rPr>
          <w:rFonts w:cstheme="minorHAnsi"/>
          <w:sz w:val="24"/>
          <w:szCs w:val="24"/>
        </w:rPr>
        <w:t xml:space="preserve">Material properties for TNT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3"/>
        <w:gridCol w:w="1298"/>
        <w:gridCol w:w="752"/>
        <w:gridCol w:w="752"/>
        <w:gridCol w:w="681"/>
        <w:gridCol w:w="681"/>
        <w:gridCol w:w="642"/>
        <w:gridCol w:w="1561"/>
        <w:gridCol w:w="1686"/>
      </w:tblGrid>
      <w:tr w:rsidR="001B13CE" w:rsidRPr="00E53311" w14:paraId="649712A8" w14:textId="77777777" w:rsidTr="00E53311">
        <w:trPr>
          <w:trHeight w:val="675"/>
        </w:trPr>
        <w:tc>
          <w:tcPr>
            <w:tcW w:w="988" w:type="dxa"/>
          </w:tcPr>
          <w:p w14:paraId="1D4104B1" w14:textId="77777777" w:rsidR="001B13CE" w:rsidRPr="00E53311" w:rsidRDefault="001B13CE" w:rsidP="002F48BE">
            <w:pPr>
              <w:rPr>
                <w:rFonts w:eastAsiaTheme="minorEastAsia" w:cstheme="minorHAnsi"/>
                <w:sz w:val="24"/>
                <w:szCs w:val="24"/>
              </w:rPr>
            </w:pPr>
            <m:oMath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ρ</m:t>
              </m:r>
            </m:oMath>
            <w:r w:rsidRPr="00E53311">
              <w:rPr>
                <w:rFonts w:eastAsiaTheme="minorEastAsia" w:cstheme="minorHAnsi"/>
                <w:sz w:val="24"/>
                <w:szCs w:val="24"/>
              </w:rPr>
              <w:t xml:space="preserve"> </w:t>
            </w:r>
          </w:p>
          <w:p w14:paraId="625DAD40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(kgm</w:t>
            </w:r>
            <w:r w:rsidRPr="00E53311">
              <w:rPr>
                <w:rFonts w:cstheme="minorHAnsi"/>
                <w:sz w:val="24"/>
                <w:szCs w:val="24"/>
                <w:vertAlign w:val="superscript"/>
              </w:rPr>
              <w:t>-3</w:t>
            </w:r>
            <w:r w:rsidRPr="00E53311">
              <w:rPr>
                <w:rFonts w:cstheme="minorHAnsi"/>
                <w:sz w:val="24"/>
                <w:szCs w:val="24"/>
              </w:rPr>
              <w:t>)</w:t>
            </w:r>
          </w:p>
        </w:tc>
        <w:tc>
          <w:tcPr>
            <w:tcW w:w="1191" w:type="dxa"/>
          </w:tcPr>
          <w:p w14:paraId="3ECC5DDF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 xml:space="preserve">Velocity for detonation </w:t>
            </w:r>
          </w:p>
          <w:p w14:paraId="413A03E3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(ms</w:t>
            </w:r>
            <w:r w:rsidRPr="00E53311">
              <w:rPr>
                <w:rFonts w:cstheme="minorHAnsi"/>
                <w:sz w:val="24"/>
                <w:szCs w:val="24"/>
                <w:vertAlign w:val="superscript"/>
              </w:rPr>
              <w:t>-1</w:t>
            </w:r>
            <w:r w:rsidRPr="00E53311">
              <w:rPr>
                <w:rFonts w:cstheme="minorHAnsi"/>
                <w:sz w:val="24"/>
                <w:szCs w:val="24"/>
              </w:rPr>
              <w:t>)</w:t>
            </w:r>
          </w:p>
        </w:tc>
        <w:tc>
          <w:tcPr>
            <w:tcW w:w="752" w:type="dxa"/>
          </w:tcPr>
          <w:p w14:paraId="69B3E711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A</w:t>
            </w:r>
          </w:p>
          <w:p w14:paraId="35B45B95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(</w:t>
            </w:r>
            <w:proofErr w:type="spellStart"/>
            <w:r w:rsidRPr="00E53311">
              <w:rPr>
                <w:rFonts w:cstheme="minorHAnsi"/>
                <w:sz w:val="24"/>
                <w:szCs w:val="24"/>
              </w:rPr>
              <w:t>GPa</w:t>
            </w:r>
            <w:proofErr w:type="spellEnd"/>
            <w:r w:rsidRPr="00E53311">
              <w:rPr>
                <w:rFonts w:cstheme="minorHAnsi"/>
                <w:sz w:val="24"/>
                <w:szCs w:val="24"/>
              </w:rPr>
              <w:t>)</w:t>
            </w:r>
          </w:p>
        </w:tc>
        <w:tc>
          <w:tcPr>
            <w:tcW w:w="752" w:type="dxa"/>
          </w:tcPr>
          <w:p w14:paraId="632A25E3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B</w:t>
            </w:r>
          </w:p>
          <w:p w14:paraId="62FC6F99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(</w:t>
            </w:r>
            <w:proofErr w:type="spellStart"/>
            <w:r w:rsidRPr="00E53311">
              <w:rPr>
                <w:rFonts w:cstheme="minorHAnsi"/>
                <w:sz w:val="24"/>
                <w:szCs w:val="24"/>
              </w:rPr>
              <w:t>GPa</w:t>
            </w:r>
            <w:proofErr w:type="spellEnd"/>
            <w:r w:rsidRPr="00E53311">
              <w:rPr>
                <w:rFonts w:cstheme="minorHAnsi"/>
                <w:sz w:val="24"/>
                <w:szCs w:val="24"/>
              </w:rPr>
              <w:t>)</w:t>
            </w:r>
          </w:p>
        </w:tc>
        <w:tc>
          <w:tcPr>
            <w:tcW w:w="685" w:type="dxa"/>
          </w:tcPr>
          <w:p w14:paraId="09521D4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R1</w:t>
            </w:r>
          </w:p>
          <w:p w14:paraId="2E39ADFE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n/a</w:t>
            </w:r>
          </w:p>
        </w:tc>
        <w:tc>
          <w:tcPr>
            <w:tcW w:w="685" w:type="dxa"/>
          </w:tcPr>
          <w:p w14:paraId="75D4BF83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R2</w:t>
            </w:r>
          </w:p>
          <w:p w14:paraId="7DC40769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n/a</w:t>
            </w:r>
          </w:p>
        </w:tc>
        <w:tc>
          <w:tcPr>
            <w:tcW w:w="642" w:type="dxa"/>
          </w:tcPr>
          <w:p w14:paraId="645D4D0A" w14:textId="77777777" w:rsidR="001B13CE" w:rsidRPr="00E53311" w:rsidRDefault="001B13CE" w:rsidP="002F48BE">
            <w:pPr>
              <w:rPr>
                <w:rFonts w:eastAsiaTheme="minorEastAsia" w:cstheme="minorHAnsi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ω</m:t>
                </m:r>
              </m:oMath>
            </m:oMathPara>
          </w:p>
          <w:p w14:paraId="6A61693F" w14:textId="77777777" w:rsidR="001B13CE" w:rsidRPr="00E53311" w:rsidRDefault="001B13CE" w:rsidP="002F48BE">
            <w:pPr>
              <w:rPr>
                <w:rFonts w:eastAsiaTheme="minorEastAsia" w:cstheme="minorHAnsi"/>
                <w:sz w:val="24"/>
                <w:szCs w:val="24"/>
              </w:rPr>
            </w:pPr>
            <w:r w:rsidRPr="00E53311">
              <w:rPr>
                <w:rFonts w:eastAsiaTheme="minorEastAsia" w:cstheme="minorHAnsi"/>
                <w:sz w:val="24"/>
                <w:szCs w:val="24"/>
              </w:rPr>
              <w:t>n/a</w:t>
            </w:r>
          </w:p>
        </w:tc>
        <w:tc>
          <w:tcPr>
            <w:tcW w:w="1592" w:type="dxa"/>
          </w:tcPr>
          <w:p w14:paraId="360F9651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Pre-detonation bulk modulus</w:t>
            </w:r>
          </w:p>
          <w:p w14:paraId="0F0661A5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(</w:t>
            </w:r>
            <w:proofErr w:type="spellStart"/>
            <w:r w:rsidRPr="00E53311">
              <w:rPr>
                <w:rFonts w:cstheme="minorHAnsi"/>
                <w:sz w:val="24"/>
                <w:szCs w:val="24"/>
              </w:rPr>
              <w:t>GPa</w:t>
            </w:r>
            <w:proofErr w:type="spellEnd"/>
            <w:r w:rsidRPr="00E53311">
              <w:rPr>
                <w:rFonts w:cstheme="minorHAnsi"/>
                <w:sz w:val="24"/>
                <w:szCs w:val="24"/>
              </w:rPr>
              <w:t>)</w:t>
            </w:r>
          </w:p>
        </w:tc>
        <w:tc>
          <w:tcPr>
            <w:tcW w:w="1729" w:type="dxa"/>
          </w:tcPr>
          <w:p w14:paraId="02DC9D9C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Detonation energy Density (Jkg</w:t>
            </w:r>
            <w:r w:rsidRPr="00E53311">
              <w:rPr>
                <w:rFonts w:cstheme="minorHAnsi"/>
                <w:sz w:val="24"/>
                <w:szCs w:val="24"/>
                <w:vertAlign w:val="superscript"/>
              </w:rPr>
              <w:t>-1</w:t>
            </w:r>
            <w:r w:rsidRPr="00E53311">
              <w:rPr>
                <w:rFonts w:cstheme="minorHAnsi"/>
                <w:sz w:val="24"/>
                <w:szCs w:val="24"/>
              </w:rPr>
              <w:t>)</w:t>
            </w:r>
          </w:p>
        </w:tc>
      </w:tr>
      <w:tr w:rsidR="001B13CE" w:rsidRPr="00E53311" w14:paraId="55CD0FDD" w14:textId="77777777" w:rsidTr="00E53311">
        <w:trPr>
          <w:trHeight w:val="229"/>
        </w:trPr>
        <w:tc>
          <w:tcPr>
            <w:tcW w:w="988" w:type="dxa"/>
          </w:tcPr>
          <w:p w14:paraId="12B39E9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1601</w:t>
            </w:r>
          </w:p>
        </w:tc>
        <w:tc>
          <w:tcPr>
            <w:tcW w:w="1191" w:type="dxa"/>
          </w:tcPr>
          <w:p w14:paraId="0FD7AC0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8193</w:t>
            </w:r>
          </w:p>
        </w:tc>
        <w:tc>
          <w:tcPr>
            <w:tcW w:w="752" w:type="dxa"/>
          </w:tcPr>
          <w:p w14:paraId="5FEF1940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609</w:t>
            </w:r>
          </w:p>
        </w:tc>
        <w:tc>
          <w:tcPr>
            <w:tcW w:w="752" w:type="dxa"/>
          </w:tcPr>
          <w:p w14:paraId="72A8997E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13</w:t>
            </w:r>
          </w:p>
        </w:tc>
        <w:tc>
          <w:tcPr>
            <w:tcW w:w="685" w:type="dxa"/>
          </w:tcPr>
          <w:p w14:paraId="49157088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4.50</w:t>
            </w:r>
          </w:p>
        </w:tc>
        <w:tc>
          <w:tcPr>
            <w:tcW w:w="685" w:type="dxa"/>
          </w:tcPr>
          <w:p w14:paraId="568AF1B0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1.40</w:t>
            </w:r>
          </w:p>
        </w:tc>
        <w:tc>
          <w:tcPr>
            <w:tcW w:w="642" w:type="dxa"/>
          </w:tcPr>
          <w:p w14:paraId="2B66D670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0.25</w:t>
            </w:r>
          </w:p>
        </w:tc>
        <w:tc>
          <w:tcPr>
            <w:tcW w:w="1592" w:type="dxa"/>
          </w:tcPr>
          <w:p w14:paraId="233D56F0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9.00</w:t>
            </w:r>
          </w:p>
        </w:tc>
        <w:tc>
          <w:tcPr>
            <w:tcW w:w="1729" w:type="dxa"/>
          </w:tcPr>
          <w:p w14:paraId="033CFD46" w14:textId="77777777" w:rsidR="001B13CE" w:rsidRPr="00E53311" w:rsidRDefault="001B13CE" w:rsidP="002F48BE">
            <w:pPr>
              <w:rPr>
                <w:rFonts w:cstheme="minorHAnsi"/>
                <w:sz w:val="24"/>
                <w:szCs w:val="24"/>
              </w:rPr>
            </w:pPr>
            <w:r w:rsidRPr="00E53311">
              <w:rPr>
                <w:rFonts w:cstheme="minorHAnsi"/>
                <w:sz w:val="24"/>
                <w:szCs w:val="24"/>
              </w:rPr>
              <w:t>3680000</w:t>
            </w:r>
          </w:p>
        </w:tc>
      </w:tr>
    </w:tbl>
    <w:p w14:paraId="7900A952" w14:textId="77777777" w:rsidR="001B13CE" w:rsidRPr="00E53311" w:rsidRDefault="001B13CE">
      <w:pPr>
        <w:rPr>
          <w:rFonts w:cstheme="minorHAnsi"/>
          <w:sz w:val="24"/>
          <w:szCs w:val="24"/>
        </w:rPr>
      </w:pPr>
    </w:p>
    <w:sectPr w:rsidR="001B13CE" w:rsidRPr="00E533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A707CC"/>
    <w:multiLevelType w:val="hybridMultilevel"/>
    <w:tmpl w:val="94261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D541AE"/>
    <w:multiLevelType w:val="hybridMultilevel"/>
    <w:tmpl w:val="3272C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6478019">
    <w:abstractNumId w:val="1"/>
  </w:num>
  <w:num w:numId="2" w16cid:durableId="15720821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3CE"/>
    <w:rsid w:val="001B13CE"/>
    <w:rsid w:val="002F0960"/>
    <w:rsid w:val="008F0E68"/>
    <w:rsid w:val="00B1425E"/>
    <w:rsid w:val="00B24EED"/>
    <w:rsid w:val="00C04ECE"/>
    <w:rsid w:val="00E53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66DD5"/>
  <w15:chartTrackingRefBased/>
  <w15:docId w15:val="{2148A73B-3F9D-4165-B42B-5353345E2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3CE"/>
    <w:rPr>
      <w:rFonts w:eastAsiaTheme="minorHAnsi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B13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13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13C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13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13C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13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13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13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13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13C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13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13C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13C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13C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13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13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13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13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13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13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13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13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13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13CE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1B13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13C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13C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13C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13CE"/>
    <w:rPr>
      <w:b/>
      <w:bCs/>
      <w:smallCaps/>
      <w:color w:val="2F5496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1B13C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1B13CE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1B13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Dar20</b:Tag>
    <b:SourceType>JournalArticle</b:SourceType>
    <b:Guid>{AC9C7734-3DC8-4D5D-AD91-98E773162BC7}</b:Guid>
    <b:Author>
      <b:Author>
        <b:NameList>
          <b:Person>
            <b:Last>Pyka</b:Last>
            <b:First>Dariusz</b:First>
          </b:Person>
          <b:Person>
            <b:Last>Kurzawa</b:Last>
            <b:First>Adam</b:First>
          </b:Person>
          <b:Person>
            <b:Last>Bocian</b:Last>
            <b:First>Miroslaw</b:First>
          </b:Person>
          <b:Person>
            <b:Last>Bajkowski</b:Last>
            <b:First>Marcin</b:First>
          </b:Person>
          <b:Person>
            <b:Last>Magier</b:Last>
            <b:First>Mariusz</b:First>
          </b:Person>
          <b:Person>
            <b:Last>Sliwinksi</b:Last>
            <b:First>Janusz</b:First>
          </b:Person>
          <b:Person>
            <b:Last>Jamroziak</b:Last>
            <b:First>Krzysztof</b:First>
          </b:Person>
        </b:NameList>
      </b:Author>
    </b:Author>
    <b:Title>Numerical and Experimental Studies of the ŁK Type Shaped Charge</b:Title>
    <b:JournalName>Applied Sciences</b:JournalName>
    <b:Year>2020</b:Year>
    <b:Pages>6742-6762</b:Pages>
    <b:Volume>10</b:Volume>
    <b:Issue>19</b:Issue>
    <b:RefOrder>23</b:RefOrder>
  </b:Source>
  <b:Source>
    <b:Tag>PDe19</b:Tag>
    <b:SourceType>JournalArticle</b:SourceType>
    <b:Guid>{7C4D8E00-5893-4BED-96A3-CD65ED97904B}</b:Guid>
    <b:Title>Numerical study of the stand-off distance and liner thickness effect on the penetration depth efficicency of the shaped charge process</b:Title>
    <b:Year>2019</b:Year>
    <b:Author>
      <b:Author>
        <b:NameList>
          <b:Person>
            <b:Last>Dehestani</b:Last>
            <b:First>P.</b:First>
          </b:Person>
          <b:Person>
            <b:Last>Fathi</b:Last>
            <b:First>A.R.</b:First>
          </b:Person>
          <b:Person>
            <b:Last>Daniali</b:Last>
            <b:First>H.R.</b:First>
            <b:Middle>Mohammed</b:Middle>
          </b:Person>
        </b:NameList>
      </b:Author>
    </b:Author>
    <b:JournalName>Journal of Mechanical Engineering Science</b:JournalName>
    <b:Pages>977-986</b:Pages>
    <b:Volume>233</b:Volume>
    <b:Issue>3</b:Issue>
    <b:RefOrder>11</b:RefOrder>
  </b:Source>
  <b:Source>
    <b:Tag>Jin22</b:Tag>
    <b:SourceType>JournalArticle</b:SourceType>
    <b:Guid>{DDFAD66B-4886-4437-A990-62C1F0EC9A04}</b:Guid>
    <b:Author>
      <b:Author>
        <b:NameList>
          <b:Person>
            <b:Last>Shi</b:Last>
            <b:First>Jin</b:First>
          </b:Person>
          <b:Person>
            <b:Last>Huang</b:Last>
            <b:First>Zheng</b:First>
          </b:Person>
          <b:Person>
            <b:Last>Zu</b:Last>
            <b:First>Xu</b:First>
          </b:Person>
          <b:Person>
            <b:Last>Xiao</b:Last>
            <b:First>Qiang</b:First>
          </b:Person>
        </b:NameList>
      </b:Author>
    </b:Author>
    <b:Title>Experimental and numerical investigation of jet performance based on Johnson-Cook model of liner material</b:Title>
    <b:JournalName>International Journal of Impact Engineering</b:JournalName>
    <b:Year>2022</b:Year>
    <b:Pages>1-13</b:Pages>
    <b:Volume>170</b:Volume>
    <b:RefOrder>27</b:RefOrder>
  </b:Source>
  <b:Source>
    <b:Tag>Wei</b:Tag>
    <b:SourceType>JournalArticle</b:SourceType>
    <b:Guid>{2F1A5271-7C6A-4C68-BCFC-29E08E0639B3}</b:Guid>
    <b:Author>
      <b:Author>
        <b:NameList>
          <b:Person>
            <b:Last>Weifang</b:Last>
            <b:First>Xiao</b:First>
          </b:Person>
          <b:Person>
            <b:Last>Matthias</b:Last>
            <b:First>Andrae</b:First>
          </b:Person>
          <b:Person>
            <b:Last>Norbert</b:Last>
            <b:First>Gebbeken</b:First>
          </b:Person>
        </b:NameList>
      </b:Author>
    </b:Author>
    <b:Title>Air blast TNT equivalence concept for blast-resistant design</b:Title>
    <b:JournalName>International Journal of Mechanical Sciences</b:JournalName>
    <b:Year>2020</b:Year>
    <b:Pages>1-13</b:Pages>
    <b:Volume>185</b:Volume>
    <b:RefOrder>28</b:RefOrder>
  </b:Source>
  <b:Source>
    <b:Tag>Shi22</b:Tag>
    <b:SourceType>JournalArticle</b:SourceType>
    <b:Guid>{96FF49B1-A2A1-43C4-87A6-5D19123B40C2}</b:Guid>
    <b:Title>Experimental and numerical investigation of jet performance based on Johnson-Cook model of liner material</b:Title>
    <b:Year>2022</b:Year>
    <b:JournalName>International Journal of Impact Engineering</b:JournalName>
    <b:Volume>170</b:Volume>
    <b:Author>
      <b:Author>
        <b:NameList>
          <b:Person>
            <b:Last>Shi</b:Last>
            <b:First>Jin</b:First>
          </b:Person>
          <b:Person>
            <b:Last>Huang</b:Last>
            <b:First>Zheng-xiang</b:First>
          </b:Person>
          <b:Person>
            <b:Last>Zu</b:Last>
            <b:First>Xu-dong</b:First>
          </b:Person>
          <b:Person>
            <b:Last>Xiao</b:Last>
            <b:First>Qiang-qiang</b:First>
          </b:Person>
        </b:NameList>
      </b:Author>
    </b:Author>
    <b:RefOrder>14</b:RefOrder>
  </b:Source>
</b:Sources>
</file>

<file path=customXml/itemProps1.xml><?xml version="1.0" encoding="utf-8"?>
<ds:datastoreItem xmlns:ds="http://schemas.openxmlformats.org/officeDocument/2006/customXml" ds:itemID="{898368F5-9FB3-4AC2-A310-6CFF981C2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222</Words>
  <Characters>1269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4</cp:revision>
  <dcterms:created xsi:type="dcterms:W3CDTF">2024-09-23T20:07:00Z</dcterms:created>
  <dcterms:modified xsi:type="dcterms:W3CDTF">2024-09-23T20:20:00Z</dcterms:modified>
</cp:coreProperties>
</file>