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B3B33" w14:textId="77777777" w:rsidR="00C31558" w:rsidRDefault="00C31558" w:rsidP="00DD525C">
      <w:pPr>
        <w:jc w:val="center"/>
      </w:pPr>
    </w:p>
    <w:p w14:paraId="3E8DEB0A" w14:textId="77777777" w:rsidR="00C31558" w:rsidRDefault="00C31558" w:rsidP="00DD525C">
      <w:pPr>
        <w:jc w:val="center"/>
      </w:pPr>
    </w:p>
    <w:p w14:paraId="46728E6B" w14:textId="77777777" w:rsidR="00C31558" w:rsidRDefault="00C31558" w:rsidP="00DD525C">
      <w:pPr>
        <w:jc w:val="center"/>
      </w:pPr>
    </w:p>
    <w:p w14:paraId="11989B58" w14:textId="657EA450" w:rsidR="00431084" w:rsidRDefault="005155CD" w:rsidP="00DD525C">
      <w:pPr>
        <w:jc w:val="center"/>
      </w:pPr>
      <w:r>
        <w:rPr>
          <w:noProof/>
        </w:rPr>
        <w:drawing>
          <wp:inline distT="0" distB="0" distL="0" distR="0" wp14:anchorId="7063E062" wp14:editId="42A409CF">
            <wp:extent cx="3213100" cy="1428750"/>
            <wp:effectExtent l="0" t="0" r="6350" b="0"/>
            <wp:docPr id="2" name="Picture 1" descr="University of Wales Trinity Saint David ...">
              <a:extLst xmlns:a="http://schemas.openxmlformats.org/drawingml/2006/main">
                <a:ext uri="{FF2B5EF4-FFF2-40B4-BE49-F238E27FC236}">
                  <a16:creationId xmlns:a16="http://schemas.microsoft.com/office/drawing/2014/main" id="{C6AF3E9A-7EEF-4726-9AE3-297C1A3AE81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3100" cy="1428750"/>
                    </a:xfrm>
                    <a:prstGeom prst="rect">
                      <a:avLst/>
                    </a:prstGeom>
                    <a:noFill/>
                    <a:ln>
                      <a:noFill/>
                    </a:ln>
                  </pic:spPr>
                </pic:pic>
              </a:graphicData>
            </a:graphic>
          </wp:inline>
        </w:drawing>
      </w:r>
    </w:p>
    <w:p w14:paraId="74BB310E" w14:textId="77777777" w:rsidR="00DD525C" w:rsidRDefault="00DD525C" w:rsidP="00DD525C">
      <w:pPr>
        <w:jc w:val="center"/>
      </w:pPr>
    </w:p>
    <w:p w14:paraId="15AFDF39" w14:textId="77777777" w:rsidR="00DD525C" w:rsidRDefault="00DD525C" w:rsidP="00DD525C">
      <w:pPr>
        <w:jc w:val="center"/>
      </w:pPr>
    </w:p>
    <w:p w14:paraId="2C6A1A90" w14:textId="77777777" w:rsidR="005155CD" w:rsidRPr="00DD525C" w:rsidRDefault="005155CD" w:rsidP="00082CD2">
      <w:pPr>
        <w:jc w:val="center"/>
        <w:rPr>
          <w:rFonts w:ascii="Arial" w:hAnsi="Arial" w:cs="Arial"/>
          <w:b/>
          <w:bCs/>
          <w:sz w:val="30"/>
          <w:szCs w:val="30"/>
        </w:rPr>
      </w:pPr>
    </w:p>
    <w:p w14:paraId="7EDA579F" w14:textId="068F9EB0" w:rsidR="009D0CEC" w:rsidRPr="00FF25EE" w:rsidRDefault="008E4FF9" w:rsidP="00082CD2">
      <w:pPr>
        <w:spacing w:line="360" w:lineRule="auto"/>
        <w:jc w:val="center"/>
        <w:rPr>
          <w:rFonts w:ascii="Arial" w:hAnsi="Arial" w:cs="Arial"/>
          <w:b/>
          <w:bCs/>
          <w:sz w:val="40"/>
          <w:szCs w:val="40"/>
        </w:rPr>
      </w:pPr>
      <w:r w:rsidRPr="00FF25EE">
        <w:rPr>
          <w:rFonts w:ascii="Arial" w:hAnsi="Arial" w:cs="Arial"/>
          <w:b/>
          <w:bCs/>
          <w:sz w:val="40"/>
          <w:szCs w:val="40"/>
        </w:rPr>
        <w:t xml:space="preserve">Student name: </w:t>
      </w:r>
      <w:r w:rsidR="00956ACC" w:rsidRPr="00FF25EE">
        <w:rPr>
          <w:rFonts w:ascii="Arial" w:hAnsi="Arial" w:cs="Arial"/>
          <w:b/>
          <w:bCs/>
          <w:sz w:val="40"/>
          <w:szCs w:val="40"/>
        </w:rPr>
        <w:t xml:space="preserve"> A</w:t>
      </w:r>
      <w:r w:rsidRPr="00FF25EE">
        <w:rPr>
          <w:rFonts w:ascii="Arial" w:hAnsi="Arial" w:cs="Arial"/>
          <w:b/>
          <w:bCs/>
          <w:sz w:val="40"/>
          <w:szCs w:val="40"/>
        </w:rPr>
        <w:t xml:space="preserve">hmed </w:t>
      </w:r>
      <w:r w:rsidR="00956ACC" w:rsidRPr="00FF25EE">
        <w:rPr>
          <w:rFonts w:ascii="Arial" w:hAnsi="Arial" w:cs="Arial"/>
          <w:b/>
          <w:bCs/>
          <w:sz w:val="40"/>
          <w:szCs w:val="40"/>
        </w:rPr>
        <w:t>A</w:t>
      </w:r>
      <w:r w:rsidRPr="00FF25EE">
        <w:rPr>
          <w:rFonts w:ascii="Arial" w:hAnsi="Arial" w:cs="Arial"/>
          <w:b/>
          <w:bCs/>
          <w:sz w:val="40"/>
          <w:szCs w:val="40"/>
        </w:rPr>
        <w:t>hmed</w:t>
      </w:r>
    </w:p>
    <w:p w14:paraId="36522246" w14:textId="5302E647" w:rsidR="008E4FF9" w:rsidRDefault="008E4FF9" w:rsidP="00082CD2">
      <w:pPr>
        <w:spacing w:line="360" w:lineRule="auto"/>
        <w:jc w:val="center"/>
        <w:rPr>
          <w:rFonts w:ascii="Arial" w:hAnsi="Arial" w:cs="Arial"/>
          <w:b/>
          <w:bCs/>
          <w:sz w:val="40"/>
          <w:szCs w:val="40"/>
        </w:rPr>
      </w:pPr>
      <w:r w:rsidRPr="00FF25EE">
        <w:rPr>
          <w:rFonts w:ascii="Arial" w:hAnsi="Arial" w:cs="Arial"/>
          <w:b/>
          <w:bCs/>
          <w:sz w:val="40"/>
          <w:szCs w:val="40"/>
        </w:rPr>
        <w:t>Student number:</w:t>
      </w:r>
      <w:r w:rsidR="00956ACC" w:rsidRPr="00FF25EE">
        <w:rPr>
          <w:rFonts w:ascii="Arial" w:hAnsi="Arial" w:cs="Arial"/>
          <w:b/>
          <w:bCs/>
          <w:sz w:val="40"/>
          <w:szCs w:val="40"/>
        </w:rPr>
        <w:t xml:space="preserve">  </w:t>
      </w:r>
      <w:r w:rsidRPr="00FF25EE">
        <w:rPr>
          <w:rFonts w:ascii="Arial" w:hAnsi="Arial" w:cs="Arial"/>
          <w:b/>
          <w:bCs/>
          <w:sz w:val="40"/>
          <w:szCs w:val="40"/>
        </w:rPr>
        <w:t>2436755</w:t>
      </w:r>
    </w:p>
    <w:p w14:paraId="5124D4D1" w14:textId="0C7BFB78" w:rsidR="00AE67A1" w:rsidRPr="00FF25EE" w:rsidRDefault="00F4590C" w:rsidP="00082CD2">
      <w:pPr>
        <w:spacing w:line="360" w:lineRule="auto"/>
        <w:jc w:val="center"/>
        <w:rPr>
          <w:rFonts w:ascii="Arial" w:hAnsi="Arial" w:cs="Arial"/>
          <w:b/>
          <w:bCs/>
          <w:sz w:val="40"/>
          <w:szCs w:val="40"/>
        </w:rPr>
      </w:pPr>
      <w:r>
        <w:rPr>
          <w:rFonts w:ascii="Arial" w:hAnsi="Arial" w:cs="Arial"/>
          <w:b/>
          <w:bCs/>
          <w:sz w:val="40"/>
          <w:szCs w:val="40"/>
        </w:rPr>
        <w:t xml:space="preserve">Module name:  </w:t>
      </w:r>
      <w:r w:rsidR="00082CD2" w:rsidRPr="00082CD2">
        <w:rPr>
          <w:rFonts w:ascii="Arial" w:hAnsi="Arial" w:cs="Arial"/>
          <w:b/>
          <w:bCs/>
          <w:sz w:val="40"/>
          <w:szCs w:val="40"/>
        </w:rPr>
        <w:t>Problem Solving and Innovation</w:t>
      </w:r>
    </w:p>
    <w:p w14:paraId="35516959" w14:textId="314911B4" w:rsidR="008E4FF9" w:rsidRPr="00FF25EE" w:rsidRDefault="00E537FC" w:rsidP="00082CD2">
      <w:pPr>
        <w:spacing w:line="360" w:lineRule="auto"/>
        <w:jc w:val="center"/>
        <w:rPr>
          <w:rFonts w:ascii="Arial" w:hAnsi="Arial" w:cs="Arial"/>
          <w:b/>
          <w:bCs/>
          <w:sz w:val="40"/>
          <w:szCs w:val="40"/>
        </w:rPr>
      </w:pPr>
      <w:r w:rsidRPr="00FF25EE">
        <w:rPr>
          <w:rFonts w:ascii="Arial" w:hAnsi="Arial" w:cs="Arial"/>
          <w:b/>
          <w:bCs/>
          <w:sz w:val="40"/>
          <w:szCs w:val="40"/>
        </w:rPr>
        <w:t>Module code:</w:t>
      </w:r>
      <w:r w:rsidR="00956ACC" w:rsidRPr="00FF25EE">
        <w:rPr>
          <w:rFonts w:ascii="Arial" w:hAnsi="Arial" w:cs="Arial"/>
          <w:b/>
          <w:bCs/>
          <w:sz w:val="40"/>
          <w:szCs w:val="40"/>
        </w:rPr>
        <w:t xml:space="preserve"> </w:t>
      </w:r>
      <w:r w:rsidR="00AD3BC6" w:rsidRPr="00FF25EE">
        <w:rPr>
          <w:rFonts w:ascii="Arial" w:hAnsi="Arial" w:cs="Arial"/>
          <w:b/>
          <w:bCs/>
          <w:sz w:val="40"/>
          <w:szCs w:val="40"/>
        </w:rPr>
        <w:t xml:space="preserve"> BMSW4014</w:t>
      </w:r>
    </w:p>
    <w:p w14:paraId="0FAD92F8" w14:textId="5B38ED0C" w:rsidR="00AD3BC6" w:rsidRDefault="00AD3BC6" w:rsidP="00082CD2">
      <w:pPr>
        <w:spacing w:line="360" w:lineRule="auto"/>
        <w:jc w:val="center"/>
        <w:rPr>
          <w:rStyle w:val="Strong"/>
          <w:rFonts w:ascii="Arial" w:hAnsi="Arial" w:cs="Arial"/>
          <w:color w:val="1D2125"/>
          <w:sz w:val="40"/>
          <w:szCs w:val="40"/>
          <w:shd w:val="clear" w:color="auto" w:fill="FFFFFF"/>
        </w:rPr>
      </w:pPr>
      <w:r w:rsidRPr="00FF25EE">
        <w:rPr>
          <w:rFonts w:ascii="Arial" w:hAnsi="Arial" w:cs="Arial"/>
          <w:b/>
          <w:bCs/>
          <w:sz w:val="40"/>
          <w:szCs w:val="40"/>
        </w:rPr>
        <w:t>Lecture name:</w:t>
      </w:r>
      <w:r w:rsidR="00956ACC" w:rsidRPr="00FF25EE">
        <w:rPr>
          <w:rFonts w:ascii="Arial" w:hAnsi="Arial" w:cs="Arial"/>
          <w:b/>
          <w:bCs/>
          <w:sz w:val="40"/>
          <w:szCs w:val="40"/>
        </w:rPr>
        <w:t xml:space="preserve"> </w:t>
      </w:r>
      <w:r w:rsidR="00956ACC" w:rsidRPr="00FF25EE">
        <w:rPr>
          <w:rStyle w:val="Heading1Char"/>
          <w:rFonts w:ascii="Arial" w:hAnsi="Arial" w:cs="Arial"/>
          <w:b/>
          <w:bCs/>
          <w:color w:val="1D2125"/>
          <w:shd w:val="clear" w:color="auto" w:fill="FFFFFF"/>
        </w:rPr>
        <w:t xml:space="preserve"> </w:t>
      </w:r>
      <w:r w:rsidR="00956ACC" w:rsidRPr="00FF25EE">
        <w:rPr>
          <w:rStyle w:val="Strong"/>
          <w:rFonts w:ascii="Arial" w:hAnsi="Arial" w:cs="Arial"/>
          <w:color w:val="1D2125"/>
          <w:sz w:val="40"/>
          <w:szCs w:val="40"/>
          <w:shd w:val="clear" w:color="auto" w:fill="FFFFFF"/>
        </w:rPr>
        <w:t>Arpu Kumar</w:t>
      </w:r>
    </w:p>
    <w:p w14:paraId="6639ED6A" w14:textId="77777777" w:rsidR="00CD2BD0" w:rsidRDefault="00CD2BD0" w:rsidP="00082CD2">
      <w:pPr>
        <w:spacing w:line="360" w:lineRule="auto"/>
        <w:jc w:val="center"/>
        <w:rPr>
          <w:rStyle w:val="Strong"/>
          <w:rFonts w:ascii="Arial" w:hAnsi="Arial" w:cs="Arial"/>
          <w:color w:val="1D2125"/>
          <w:sz w:val="40"/>
          <w:szCs w:val="40"/>
          <w:shd w:val="clear" w:color="auto" w:fill="FFFFFF"/>
        </w:rPr>
      </w:pPr>
    </w:p>
    <w:p w14:paraId="131766CF" w14:textId="77777777" w:rsidR="00CD2BD0" w:rsidRDefault="00CD2BD0" w:rsidP="00082CD2">
      <w:pPr>
        <w:spacing w:line="360" w:lineRule="auto"/>
        <w:jc w:val="center"/>
        <w:rPr>
          <w:rStyle w:val="Strong"/>
          <w:rFonts w:ascii="Arial" w:hAnsi="Arial" w:cs="Arial"/>
          <w:color w:val="1D2125"/>
          <w:sz w:val="40"/>
          <w:szCs w:val="40"/>
          <w:shd w:val="clear" w:color="auto" w:fill="FFFFFF"/>
        </w:rPr>
      </w:pPr>
    </w:p>
    <w:p w14:paraId="55F441C9" w14:textId="7C1058D4" w:rsidR="00CD2BD0" w:rsidRDefault="00CD2BD0" w:rsidP="00082CD2">
      <w:pPr>
        <w:spacing w:line="360" w:lineRule="auto"/>
        <w:jc w:val="center"/>
        <w:rPr>
          <w:rFonts w:ascii="Arial" w:hAnsi="Arial" w:cs="Arial"/>
          <w:b/>
          <w:bCs/>
          <w:sz w:val="30"/>
          <w:szCs w:val="30"/>
          <w:u w:val="single"/>
        </w:rPr>
      </w:pPr>
      <w:r w:rsidRPr="00CD2BD0">
        <w:rPr>
          <w:rFonts w:ascii="Arial" w:hAnsi="Arial" w:cs="Arial"/>
          <w:b/>
          <w:bCs/>
          <w:sz w:val="30"/>
          <w:szCs w:val="30"/>
          <w:u w:val="single"/>
        </w:rPr>
        <w:t>Understanding the Business Environment of the UK EV Industry</w:t>
      </w:r>
    </w:p>
    <w:p w14:paraId="3F599667" w14:textId="77777777" w:rsidR="001514AE" w:rsidRDefault="001514AE" w:rsidP="00082CD2">
      <w:pPr>
        <w:spacing w:line="360" w:lineRule="auto"/>
        <w:jc w:val="center"/>
        <w:rPr>
          <w:rFonts w:ascii="Arial" w:hAnsi="Arial" w:cs="Arial"/>
          <w:b/>
          <w:bCs/>
          <w:sz w:val="30"/>
          <w:szCs w:val="30"/>
          <w:u w:val="single"/>
        </w:rPr>
      </w:pPr>
    </w:p>
    <w:p w14:paraId="71063485" w14:textId="77777777" w:rsidR="001514AE" w:rsidRPr="00697147" w:rsidRDefault="001514AE" w:rsidP="001514AE">
      <w:pPr>
        <w:shd w:val="clear" w:color="auto" w:fill="FFFFFF"/>
        <w:spacing w:before="480" w:after="240" w:line="450" w:lineRule="atLeast"/>
        <w:outlineLvl w:val="2"/>
        <w:rPr>
          <w:rFonts w:ascii="Arial" w:eastAsia="Times New Roman" w:hAnsi="Arial" w:cs="Arial"/>
          <w:b/>
          <w:bCs/>
          <w:color w:val="0F1115"/>
          <w:kern w:val="0"/>
          <w:sz w:val="30"/>
          <w:szCs w:val="30"/>
          <w:u w:val="single"/>
          <w:lang w:eastAsia="en-GB"/>
          <w14:ligatures w14:val="none"/>
        </w:rPr>
      </w:pPr>
      <w:r w:rsidRPr="00697147">
        <w:rPr>
          <w:rFonts w:ascii="Arial" w:eastAsia="Times New Roman" w:hAnsi="Arial" w:cs="Arial"/>
          <w:b/>
          <w:bCs/>
          <w:color w:val="0F1115"/>
          <w:kern w:val="0"/>
          <w:sz w:val="30"/>
          <w:szCs w:val="30"/>
          <w:u w:val="single"/>
          <w:lang w:eastAsia="en-GB"/>
          <w14:ligatures w14:val="none"/>
        </w:rPr>
        <w:t> Introduction</w:t>
      </w:r>
    </w:p>
    <w:p w14:paraId="04C7FD44" w14:textId="6074E4EE" w:rsidR="00A34883" w:rsidRPr="009F73A9" w:rsidRDefault="0013586E" w:rsidP="009F73A9">
      <w:pPr>
        <w:pStyle w:val="NormalWeb"/>
        <w:spacing w:line="360" w:lineRule="auto"/>
        <w:rPr>
          <w:rFonts w:ascii="Arial" w:hAnsi="Arial" w:cs="Arial"/>
        </w:rPr>
      </w:pPr>
      <w:r w:rsidRPr="009F73A9">
        <w:rPr>
          <w:rFonts w:ascii="Arial" w:hAnsi="Arial" w:cs="Arial"/>
        </w:rPr>
        <w:t xml:space="preserve"> </w:t>
      </w:r>
      <w:r w:rsidR="00A34883" w:rsidRPr="009F73A9">
        <w:rPr>
          <w:rFonts w:ascii="Arial" w:hAnsi="Arial" w:cs="Arial"/>
        </w:rPr>
        <w:t>The UK electric vehicle (EV) business is currently at a pivotal point, characterised by rapid growth, significant opportunities, ongoing innovation, and challenging issues. Battery electric vehicles (BEVs) made up 16.5% of new car registrations in 2023 (SMMT, 2024), showing that the market has grown from a niche to a widespread one. Along with this growth, the UK government has promised to stop selling new gas and diesel cars by 2035 (up from 2030) and reach net-zero pollution by 2050 (HM Government, 2021). There are many opportunities in fields like making batteries (thanks to "gigafactories"), smart charging solutions, and adding electric vehicles (EVs) to the energy system as mobile storage units (V2G). Things are changing faster, especially when it comes to battery chemistry, charging speeds, and digital connections. Concerns from consumers about cost and range, uneven rollout of charging infrastructure, fierce global competition, and unstable supply lines for key raw materials like lithium and cobalt (IEA, 2023) are just some of the problems the industry must address.</w:t>
      </w:r>
    </w:p>
    <w:p w14:paraId="272D4241" w14:textId="47C80BAE" w:rsidR="008D11A5" w:rsidRPr="009F73A9" w:rsidRDefault="0013586E" w:rsidP="009F73A9">
      <w:pPr>
        <w:pStyle w:val="NormalWeb"/>
        <w:spacing w:line="360" w:lineRule="auto"/>
        <w:rPr>
          <w:rFonts w:ascii="Arial" w:hAnsi="Arial" w:cs="Arial"/>
        </w:rPr>
      </w:pPr>
      <w:r w:rsidRPr="009F73A9">
        <w:rPr>
          <w:rFonts w:ascii="Arial" w:hAnsi="Arial" w:cs="Arial"/>
        </w:rPr>
        <w:t xml:space="preserve"> </w:t>
      </w:r>
      <w:r w:rsidR="008D11A5" w:rsidRPr="009F73A9">
        <w:rPr>
          <w:rFonts w:ascii="Arial" w:hAnsi="Arial" w:cs="Arial"/>
        </w:rPr>
        <w:t>This study takes a close look at the outside factors that are affecting the UK electric vehicle (EV) market right now. Its main goal is to carefully look at the big-picture forces and drivers that are affecting the sector's path. We use the PESTLE (Political, Economic, Social, Technological, Legal, and Environmental) system as our main academic tool to organise this review. The study will also closely examine the impact of new ideas, particularly in technology and infrastructure, on the sector's growth. It will do its job by using relevant theories, like Rogers's (2003) Diffusion of Innovations, and real-life examples. At the end of the study, the main points are summed up, and two practical, innovation-focused suggestions are made for how UK EV companies can become more competitive, sustainable, and resilient.</w:t>
      </w:r>
    </w:p>
    <w:p w14:paraId="3A08FD4F" w14:textId="77777777" w:rsidR="00C22707" w:rsidRPr="000A16CE" w:rsidRDefault="00C22707" w:rsidP="00C22707">
      <w:pPr>
        <w:shd w:val="clear" w:color="auto" w:fill="FFFFFF"/>
        <w:spacing w:before="480" w:after="240" w:line="450" w:lineRule="atLeast"/>
        <w:outlineLvl w:val="2"/>
        <w:rPr>
          <w:rFonts w:ascii="Arial" w:eastAsia="Times New Roman" w:hAnsi="Arial" w:cs="Arial"/>
          <w:b/>
          <w:bCs/>
          <w:color w:val="0F1115"/>
          <w:kern w:val="0"/>
          <w:sz w:val="30"/>
          <w:szCs w:val="30"/>
          <w:u w:val="single"/>
          <w:lang w:eastAsia="en-GB"/>
          <w14:ligatures w14:val="none"/>
        </w:rPr>
      </w:pPr>
      <w:r w:rsidRPr="000A16CE">
        <w:rPr>
          <w:rFonts w:ascii="Arial" w:eastAsia="Times New Roman" w:hAnsi="Arial" w:cs="Arial"/>
          <w:b/>
          <w:bCs/>
          <w:color w:val="0F1115"/>
          <w:kern w:val="0"/>
          <w:sz w:val="30"/>
          <w:szCs w:val="30"/>
          <w:u w:val="single"/>
          <w:lang w:eastAsia="en-GB"/>
          <w14:ligatures w14:val="none"/>
        </w:rPr>
        <w:t>Findings</w:t>
      </w:r>
    </w:p>
    <w:p w14:paraId="020CE0A0" w14:textId="74FDC641" w:rsidR="00634634" w:rsidRPr="000F6C53" w:rsidRDefault="00634634" w:rsidP="000E2930">
      <w:pPr>
        <w:shd w:val="clear" w:color="auto" w:fill="FFFFFF"/>
        <w:spacing w:before="480" w:after="240" w:line="450" w:lineRule="atLeast"/>
        <w:ind w:left="80"/>
        <w:outlineLvl w:val="2"/>
        <w:rPr>
          <w:rFonts w:ascii="Arial" w:eastAsia="Times New Roman" w:hAnsi="Arial" w:cs="Arial"/>
          <w:b/>
          <w:bCs/>
          <w:color w:val="0F1115"/>
          <w:kern w:val="0"/>
          <w:lang w:eastAsia="en-GB"/>
          <w14:ligatures w14:val="none"/>
        </w:rPr>
      </w:pPr>
      <w:r w:rsidRPr="000F6C53">
        <w:rPr>
          <w:rFonts w:ascii="Arial" w:eastAsia="Times New Roman" w:hAnsi="Arial" w:cs="Arial"/>
          <w:b/>
          <w:bCs/>
          <w:color w:val="0F1115"/>
          <w:kern w:val="0"/>
          <w:lang w:eastAsia="en-GB"/>
          <w14:ligatures w14:val="none"/>
        </w:rPr>
        <w:t>A PESTLE Analysis of the UK EV Industry</w:t>
      </w:r>
    </w:p>
    <w:p w14:paraId="63C7E5E4" w14:textId="77777777" w:rsidR="000E2930" w:rsidRPr="00D12A48" w:rsidRDefault="000E2930" w:rsidP="000E2930">
      <w:pPr>
        <w:pStyle w:val="ListParagraph"/>
        <w:numPr>
          <w:ilvl w:val="0"/>
          <w:numId w:val="3"/>
        </w:numPr>
        <w:shd w:val="clear" w:color="auto" w:fill="FFFFFF"/>
        <w:spacing w:before="240" w:after="240" w:line="420" w:lineRule="atLeast"/>
        <w:outlineLvl w:val="3"/>
        <w:rPr>
          <w:rFonts w:ascii="Arial" w:eastAsia="Times New Roman" w:hAnsi="Arial" w:cs="Arial"/>
          <w:b/>
          <w:bCs/>
          <w:color w:val="0F1115"/>
          <w:kern w:val="0"/>
          <w:lang w:eastAsia="en-GB"/>
          <w14:ligatures w14:val="none"/>
        </w:rPr>
      </w:pPr>
      <w:r w:rsidRPr="00D12A48">
        <w:rPr>
          <w:rFonts w:ascii="Arial" w:eastAsia="Times New Roman" w:hAnsi="Arial" w:cs="Arial"/>
          <w:b/>
          <w:bCs/>
          <w:color w:val="0F1115"/>
          <w:kern w:val="0"/>
          <w:lang w:eastAsia="en-GB"/>
          <w14:ligatures w14:val="none"/>
        </w:rPr>
        <w:t>Political Factors</w:t>
      </w:r>
    </w:p>
    <w:p w14:paraId="71C79A05" w14:textId="77777777" w:rsidR="00E65D9A" w:rsidRPr="009F73A9" w:rsidRDefault="00E65D9A" w:rsidP="009F73A9">
      <w:pPr>
        <w:pStyle w:val="NormalWeb"/>
        <w:spacing w:line="360" w:lineRule="auto"/>
        <w:rPr>
          <w:rFonts w:ascii="Arial" w:hAnsi="Arial" w:cs="Arial"/>
        </w:rPr>
      </w:pPr>
      <w:r w:rsidRPr="009F73A9">
        <w:rPr>
          <w:rFonts w:ascii="Arial" w:hAnsi="Arial" w:cs="Arial"/>
        </w:rPr>
        <w:t>A main force is political will. The ban in 2035 sets a legal limit, giving investors in the business long-term security (Buckle et al., 2020). However, the 2030 date change has raised questions about the policy's security, potentially leading to uncertainty (BBC, 2023). The UK’s Zero Emission Vehicle (ZEV) rule, starting from 2024, requires a rising portion of manufacturers’ new car sales to be zero-emission, ensuring market change (DfT, 2023). Large amounts of public money, such as the £1.6bn for charging facilities and the Automotive Transformation Fund, demonstrate support. But trade deals and access to important resources are affected by geopolitical issues, which means that supply chain sovereignty needs to be a strategic focus (Bailey et al., 2022).</w:t>
      </w:r>
    </w:p>
    <w:p w14:paraId="0E46E062" w14:textId="77777777" w:rsidR="00481ECE" w:rsidRPr="00994B6B" w:rsidRDefault="00481ECE" w:rsidP="00481ECE">
      <w:pPr>
        <w:pStyle w:val="ListParagraph"/>
        <w:numPr>
          <w:ilvl w:val="0"/>
          <w:numId w:val="3"/>
        </w:numPr>
        <w:shd w:val="clear" w:color="auto" w:fill="FFFFFF"/>
        <w:spacing w:before="240" w:after="240" w:line="420" w:lineRule="atLeast"/>
        <w:outlineLvl w:val="3"/>
        <w:rPr>
          <w:rFonts w:ascii="Arial" w:eastAsia="Times New Roman" w:hAnsi="Arial" w:cs="Arial"/>
          <w:b/>
          <w:bCs/>
          <w:color w:val="0F1115"/>
          <w:kern w:val="0"/>
          <w:lang w:eastAsia="en-GB"/>
          <w14:ligatures w14:val="none"/>
        </w:rPr>
      </w:pPr>
      <w:r w:rsidRPr="00994B6B">
        <w:rPr>
          <w:rFonts w:ascii="Arial" w:eastAsia="Times New Roman" w:hAnsi="Arial" w:cs="Arial"/>
          <w:b/>
          <w:bCs/>
          <w:color w:val="0F1115"/>
          <w:kern w:val="0"/>
          <w:lang w:eastAsia="en-GB"/>
          <w14:ligatures w14:val="none"/>
        </w:rPr>
        <w:t>Economic Factors</w:t>
      </w:r>
    </w:p>
    <w:p w14:paraId="7147CFCE" w14:textId="77777777" w:rsidR="000517B4" w:rsidRPr="009F73A9" w:rsidRDefault="000517B4" w:rsidP="009F73A9">
      <w:pPr>
        <w:pStyle w:val="NormalWeb"/>
        <w:spacing w:line="360" w:lineRule="auto"/>
        <w:rPr>
          <w:rFonts w:ascii="Arial" w:hAnsi="Arial" w:cs="Arial"/>
        </w:rPr>
      </w:pPr>
      <w:r w:rsidRPr="009F73A9">
        <w:rPr>
          <w:rFonts w:ascii="Arial" w:hAnsi="Arial" w:cs="Arial"/>
        </w:rPr>
        <w:t>Economic forces tell two stories. Cost-of-living pressures, high inflation, and rising energy costs have made it harder for people to spend money, which makes the higher initial costs of EVs a big problem (Kley et al., 2021). Problems with the supply chain and the high cost of raw materials are still making it hard for manufacturers to make money. Total Cost of Ownership (TCO) for EVs, on the other hand, is going down, which is good news for fleet owners because it means less money spent on fuel and repair (Green, 2020). The financial services industry in the UK is coming up with new green loans and lease goods to make them easier for people to get. According to Falls and O'Kane (2024), new industrial hubs like the planned gigafactory in Somerset are a great way to create jobs.</w:t>
      </w:r>
    </w:p>
    <w:p w14:paraId="3BE9B7DF" w14:textId="77777777" w:rsidR="00B41E58" w:rsidRPr="00BB21CE" w:rsidRDefault="00B41E58" w:rsidP="00B41E58">
      <w:pPr>
        <w:pStyle w:val="ListParagraph"/>
        <w:numPr>
          <w:ilvl w:val="0"/>
          <w:numId w:val="3"/>
        </w:numPr>
        <w:shd w:val="clear" w:color="auto" w:fill="FFFFFF"/>
        <w:spacing w:before="240" w:after="240" w:line="420" w:lineRule="atLeast"/>
        <w:outlineLvl w:val="3"/>
        <w:rPr>
          <w:rFonts w:ascii="Arial" w:eastAsia="Times New Roman" w:hAnsi="Arial" w:cs="Arial"/>
          <w:b/>
          <w:bCs/>
          <w:color w:val="0F1115"/>
          <w:kern w:val="0"/>
          <w:lang w:eastAsia="en-GB"/>
          <w14:ligatures w14:val="none"/>
        </w:rPr>
      </w:pPr>
      <w:r w:rsidRPr="00BB21CE">
        <w:rPr>
          <w:rFonts w:ascii="Arial" w:eastAsia="Times New Roman" w:hAnsi="Arial" w:cs="Arial"/>
          <w:b/>
          <w:bCs/>
          <w:color w:val="0F1115"/>
          <w:kern w:val="0"/>
          <w:lang w:eastAsia="en-GB"/>
          <w14:ligatures w14:val="none"/>
        </w:rPr>
        <w:t>Social Factors</w:t>
      </w:r>
    </w:p>
    <w:p w14:paraId="4E718D53" w14:textId="77777777" w:rsidR="008525D3" w:rsidRPr="009F73A9" w:rsidRDefault="008525D3" w:rsidP="009F73A9">
      <w:pPr>
        <w:pStyle w:val="NormalWeb"/>
        <w:spacing w:line="360" w:lineRule="auto"/>
        <w:rPr>
          <w:rFonts w:ascii="Arial" w:hAnsi="Arial" w:cs="Arial"/>
        </w:rPr>
      </w:pPr>
      <w:r w:rsidRPr="009F73A9">
        <w:rPr>
          <w:rFonts w:ascii="Arial" w:hAnsi="Arial" w:cs="Arial"/>
        </w:rPr>
        <w:t>Acceptance in society is growing, but not everywhere. Concern for the environment, especially among younger people, is a strong driver of acceptance (Rezvani et al., 2022). Most people still don't buy EVs, though, because they're afraid of getting stuck with a dead battery, which is known as "range anxiety" (Neaimeh et al., 2023). People are still worried about how long it takes to charge, how convenient it is, and how hard they think it is to set up a home charger. The issue of social equality is very important. If nothing is done, there is a chance of a "charging divide" happening where homeowners gain more than people who live in apartments or terraced houses (Brady and O'Mahony, 2021).</w:t>
      </w:r>
    </w:p>
    <w:p w14:paraId="4C8D454C" w14:textId="16A4006C" w:rsidR="005A1E43" w:rsidRPr="00E8448D" w:rsidRDefault="005A1E43" w:rsidP="005A1E43">
      <w:pPr>
        <w:pStyle w:val="ListParagraph"/>
        <w:numPr>
          <w:ilvl w:val="0"/>
          <w:numId w:val="3"/>
        </w:numPr>
        <w:shd w:val="clear" w:color="auto" w:fill="FFFFFF"/>
        <w:spacing w:before="240" w:after="240" w:line="420" w:lineRule="atLeast"/>
        <w:outlineLvl w:val="3"/>
        <w:rPr>
          <w:rFonts w:ascii="Arial" w:eastAsia="Times New Roman" w:hAnsi="Arial" w:cs="Arial"/>
          <w:b/>
          <w:bCs/>
          <w:color w:val="0F1115"/>
          <w:kern w:val="0"/>
          <w:lang w:eastAsia="en-GB"/>
          <w14:ligatures w14:val="none"/>
        </w:rPr>
      </w:pPr>
      <w:r w:rsidRPr="00E8448D">
        <w:rPr>
          <w:rFonts w:ascii="Arial" w:eastAsia="Times New Roman" w:hAnsi="Arial" w:cs="Arial"/>
          <w:b/>
          <w:bCs/>
          <w:color w:val="0F1115"/>
          <w:kern w:val="0"/>
          <w:lang w:eastAsia="en-GB"/>
          <w14:ligatures w14:val="none"/>
        </w:rPr>
        <w:t>Technological Factors</w:t>
      </w:r>
    </w:p>
    <w:p w14:paraId="50F12523" w14:textId="77777777" w:rsidR="003F1295" w:rsidRPr="009F73A9" w:rsidRDefault="003F1295" w:rsidP="009F73A9">
      <w:pPr>
        <w:pStyle w:val="NormalWeb"/>
        <w:spacing w:line="360" w:lineRule="auto"/>
        <w:rPr>
          <w:rFonts w:ascii="Arial" w:hAnsi="Arial" w:cs="Arial"/>
        </w:rPr>
      </w:pPr>
      <w:r w:rsidRPr="009F73A9">
        <w:rPr>
          <w:rFonts w:ascii="Arial" w:hAnsi="Arial" w:cs="Arial"/>
        </w:rPr>
        <w:t>The sector's driver is technological progress. Innovations in solid-state batteries promise more energy efficiency, faster charging, and better safety (Jaguar Land Rover, 2023): battery technology is the main battlefield. EVs are becoming digital systems that can be updated with new features and services after the car has been bought. Long-term progress in self-driving cars is very similar to progress in electric systems. The UK is good at research in battery chemistry and power electronics, but it's still hard to bring these new ideas to market because there are already global companies that are doing it (Gouldson et al., 2022).</w:t>
      </w:r>
    </w:p>
    <w:p w14:paraId="33425660" w14:textId="77777777" w:rsidR="00FA7917" w:rsidRPr="009C080E" w:rsidRDefault="00FA7917" w:rsidP="00FA7917">
      <w:pPr>
        <w:pStyle w:val="ListParagraph"/>
        <w:numPr>
          <w:ilvl w:val="0"/>
          <w:numId w:val="3"/>
        </w:numPr>
        <w:shd w:val="clear" w:color="auto" w:fill="FFFFFF"/>
        <w:spacing w:before="240" w:after="240" w:line="420" w:lineRule="atLeast"/>
        <w:outlineLvl w:val="3"/>
        <w:rPr>
          <w:rFonts w:ascii="Arial" w:eastAsia="Times New Roman" w:hAnsi="Arial" w:cs="Arial"/>
          <w:b/>
          <w:bCs/>
          <w:color w:val="0F1115"/>
          <w:kern w:val="0"/>
          <w:lang w:eastAsia="en-GB"/>
          <w14:ligatures w14:val="none"/>
        </w:rPr>
      </w:pPr>
      <w:r w:rsidRPr="009C080E">
        <w:rPr>
          <w:rFonts w:ascii="Arial" w:eastAsia="Times New Roman" w:hAnsi="Arial" w:cs="Arial"/>
          <w:b/>
          <w:bCs/>
          <w:color w:val="0F1115"/>
          <w:kern w:val="0"/>
          <w:lang w:eastAsia="en-GB"/>
          <w14:ligatures w14:val="none"/>
        </w:rPr>
        <w:t>Legal Factors</w:t>
      </w:r>
    </w:p>
    <w:p w14:paraId="0057C718" w14:textId="77777777" w:rsidR="00C65DCE" w:rsidRPr="009F73A9" w:rsidRDefault="00C65DCE" w:rsidP="009F73A9">
      <w:pPr>
        <w:pStyle w:val="NormalWeb"/>
        <w:spacing w:line="360" w:lineRule="auto"/>
        <w:rPr>
          <w:rFonts w:ascii="Arial" w:hAnsi="Arial" w:cs="Arial"/>
        </w:rPr>
      </w:pPr>
      <w:r w:rsidRPr="009F73A9">
        <w:rPr>
          <w:rFonts w:ascii="Arial" w:hAnsi="Arial" w:cs="Arial"/>
        </w:rPr>
        <w:t>The laws and rules are becoming more complicated. The most important rule is the ZEV requirement. Narassima et al. (2023) say that type-approval standards, safety rules for batteries (especially when it comes to fire risks), and data privacy laws for connected cars all make it harder to follow the rules. The Competition and Markets Authority (2021) has expressed concerns about the rollout of charge points, particularly in relation to interoperability, price openness, and dependability. The issue could lead to tighter sector-specific regulation. The complexity of software-driven cars is driving changes in product responsibility rules.</w:t>
      </w:r>
    </w:p>
    <w:p w14:paraId="6B399436" w14:textId="77777777" w:rsidR="00CC2757" w:rsidRPr="002B553E" w:rsidRDefault="00CC2757" w:rsidP="00CC2757">
      <w:pPr>
        <w:pStyle w:val="ListParagraph"/>
        <w:numPr>
          <w:ilvl w:val="0"/>
          <w:numId w:val="3"/>
        </w:numPr>
        <w:shd w:val="clear" w:color="auto" w:fill="FFFFFF"/>
        <w:spacing w:before="240" w:after="240" w:line="420" w:lineRule="atLeast"/>
        <w:outlineLvl w:val="3"/>
        <w:rPr>
          <w:rFonts w:ascii="Arial" w:eastAsia="Times New Roman" w:hAnsi="Arial" w:cs="Arial"/>
          <w:b/>
          <w:bCs/>
          <w:color w:val="0F1115"/>
          <w:kern w:val="0"/>
          <w:lang w:eastAsia="en-GB"/>
          <w14:ligatures w14:val="none"/>
        </w:rPr>
      </w:pPr>
      <w:r w:rsidRPr="002B553E">
        <w:rPr>
          <w:rFonts w:ascii="Arial" w:eastAsia="Times New Roman" w:hAnsi="Arial" w:cs="Arial"/>
          <w:b/>
          <w:bCs/>
          <w:color w:val="0F1115"/>
          <w:kern w:val="0"/>
          <w:lang w:eastAsia="en-GB"/>
          <w14:ligatures w14:val="none"/>
        </w:rPr>
        <w:t>Environmental Factors</w:t>
      </w:r>
    </w:p>
    <w:p w14:paraId="11AC297A" w14:textId="77777777" w:rsidR="006349C0" w:rsidRPr="00E16343" w:rsidRDefault="006349C0" w:rsidP="00E16343">
      <w:pPr>
        <w:pStyle w:val="NormalWeb"/>
        <w:spacing w:line="360" w:lineRule="auto"/>
        <w:rPr>
          <w:rFonts w:ascii="Arial" w:hAnsi="Arial" w:cs="Arial"/>
        </w:rPr>
      </w:pPr>
      <w:r w:rsidRPr="00E16343">
        <w:rPr>
          <w:rFonts w:ascii="Arial" w:hAnsi="Arial" w:cs="Arial"/>
        </w:rPr>
        <w:t>The industry's primary purpose is driven by the necessity to address environmental concerns. According to the Climate Change Committee (2023), electric vehicles (EVs) have much lower greenhouse gas pollution from the factory to the road than cars with internal combustion engines. This benefit grows as the energy grid becomes less carbon-based. But the industry is being closely watched because of its long-term effects on the environment, especially the fact that digging and processing battery materials uses a lot of carbon and recovering batteries is hard (Melin, 2021). This puts pressure on the EV battery industry to create a cycle economy that includes ethical buying, reusing and discarding at the end of their useful life.</w:t>
      </w:r>
    </w:p>
    <w:p w14:paraId="49023F73" w14:textId="2A15DBB0" w:rsidR="000D5A17" w:rsidRPr="00E16343" w:rsidRDefault="00146C23" w:rsidP="00E16343">
      <w:pPr>
        <w:pStyle w:val="NormalWeb"/>
        <w:spacing w:line="360" w:lineRule="auto"/>
        <w:rPr>
          <w:rFonts w:ascii="Arial" w:hAnsi="Arial" w:cs="Arial"/>
        </w:rPr>
      </w:pPr>
      <w:r w:rsidRPr="00146C23">
        <w:rPr>
          <w:rFonts w:ascii="Arial" w:hAnsi="Arial" w:cs="Arial"/>
        </w:rPr>
        <w:t xml:space="preserve">Innovation is more than just making new products; it's a fundamental need to deal with pressures from outside </w:t>
      </w:r>
      <w:r w:rsidR="005200E3" w:rsidRPr="00146C23">
        <w:rPr>
          <w:rFonts w:ascii="Arial" w:hAnsi="Arial" w:cs="Arial"/>
        </w:rPr>
        <w:t>sources.</w:t>
      </w:r>
      <w:r w:rsidR="005200E3" w:rsidRPr="00E16343">
        <w:rPr>
          <w:rFonts w:ascii="Arial" w:hAnsi="Arial" w:cs="Arial"/>
        </w:rPr>
        <w:t xml:space="preserve"> Using</w:t>
      </w:r>
      <w:r w:rsidR="00C6634D" w:rsidRPr="00E16343">
        <w:rPr>
          <w:rFonts w:ascii="Arial" w:hAnsi="Arial" w:cs="Arial"/>
        </w:rPr>
        <w:t xml:space="preserve"> the idea of radical innovation (Christensen et al., 2015), EVs are changing the way cars are made. Problems are getting easier to deal with because of new ideas. For example, battery R&amp;D is directly tackling problems like cost and range. Nyobolt, a company based in the UK, is working on ultra-fast battery technology that can charge in minutes (Nyobolt, 2024). Additionally, two-way charging technology (V2G and V2H) changes the EV's function from an energy user to an asset that stabilises the power grid. This creates new value streams and fits the needs of the energy system (Kempton and Tomic, 2021).</w:t>
      </w:r>
      <w:r w:rsidR="000D5A17" w:rsidRPr="00E16343">
        <w:rPr>
          <w:rFonts w:ascii="Arial" w:hAnsi="Arial" w:cs="Arial"/>
        </w:rPr>
        <w:t xml:space="preserve"> For broad acceptance, innovation in infrastructure is just as important. The old "petrol station" approach is being replaced by a network that includes charging on the street, at the location, and on the way. Lamppost charging in London is one way that social justice issues are dealt with for city dwellers who don't have off-street parking (Zapmap, 2023). The goal of high-power charging (HPC) hubs like the ones being rolled out by GRIDSERVE is to make charging as easy as filling. Software innovation through apps and platforms that include route planning, real-time charger availability, and easy payment is very important to lower driver nervousness and improve the user experience. This has a direct effect on the rate of innovation spread (Rogers, 2003).</w:t>
      </w:r>
    </w:p>
    <w:p w14:paraId="0C907A74" w14:textId="77777777" w:rsidR="00EE51D1" w:rsidRPr="00871D3C" w:rsidRDefault="00EE51D1" w:rsidP="00EE51D1">
      <w:pPr>
        <w:shd w:val="clear" w:color="auto" w:fill="FFFFFF"/>
        <w:spacing w:before="480" w:after="240" w:line="450" w:lineRule="atLeast"/>
        <w:outlineLvl w:val="2"/>
        <w:rPr>
          <w:rFonts w:ascii="Arial" w:eastAsia="Times New Roman" w:hAnsi="Arial" w:cs="Arial"/>
          <w:b/>
          <w:bCs/>
          <w:color w:val="0F1115"/>
          <w:kern w:val="0"/>
          <w:sz w:val="30"/>
          <w:szCs w:val="30"/>
          <w:u w:val="single"/>
          <w:lang w:eastAsia="en-GB"/>
          <w14:ligatures w14:val="none"/>
        </w:rPr>
      </w:pPr>
      <w:r w:rsidRPr="00871D3C">
        <w:rPr>
          <w:rFonts w:ascii="Arial" w:eastAsia="Times New Roman" w:hAnsi="Arial" w:cs="Arial"/>
          <w:b/>
          <w:bCs/>
          <w:color w:val="0F1115"/>
          <w:kern w:val="0"/>
          <w:sz w:val="30"/>
          <w:szCs w:val="30"/>
          <w:u w:val="single"/>
          <w:lang w:eastAsia="en-GB"/>
          <w14:ligatures w14:val="none"/>
        </w:rPr>
        <w:t>Conclusion</w:t>
      </w:r>
    </w:p>
    <w:p w14:paraId="235911E6" w14:textId="77777777" w:rsidR="008A5E41" w:rsidRPr="00E16343" w:rsidRDefault="008A5E41" w:rsidP="00E16343">
      <w:pPr>
        <w:pStyle w:val="NormalWeb"/>
        <w:spacing w:line="360" w:lineRule="auto"/>
        <w:rPr>
          <w:rFonts w:ascii="Arial" w:hAnsi="Arial" w:cs="Arial"/>
        </w:rPr>
      </w:pPr>
      <w:r w:rsidRPr="00E16343">
        <w:rPr>
          <w:rFonts w:ascii="Arial" w:hAnsi="Arial" w:cs="Arial"/>
        </w:rPr>
        <w:t>The study finds that the UK electric vehicle (EV) industry does best when rules are followed, technology improves, and people are open to the idea. However, it struggles when the economy is tight, there are gaps in infrastructure, and people worry about the environment over the course of an EV's life. The main points that were summed up are: 1) The conflict between lofty government timelines and cost concerns of consumers and businesses is called "policy-driven transition vs. economic realities". 2) The Infrastructure Imperative: To support social acceptance, there needs to be an easy-to-use, dependable, and fair charge network. 3) Sustainable Competitiveness: The task of making a global market that is very competitive while also being strong, moral, and circular in the supply chain. 4) The Innovation Race: The need for batteries and computer systems to keep getting better so that they stay useful. UK EV companies need to come up with smart and new ways to address these linked issues.</w:t>
      </w:r>
    </w:p>
    <w:p w14:paraId="07375295" w14:textId="77777777" w:rsidR="00AA5315" w:rsidRPr="004563B6" w:rsidRDefault="00AA5315" w:rsidP="00AA5315">
      <w:pPr>
        <w:shd w:val="clear" w:color="auto" w:fill="FFFFFF"/>
        <w:spacing w:before="480" w:after="240" w:line="450" w:lineRule="atLeast"/>
        <w:outlineLvl w:val="2"/>
        <w:rPr>
          <w:rFonts w:ascii="Arial" w:eastAsia="Times New Roman" w:hAnsi="Arial" w:cs="Arial"/>
          <w:b/>
          <w:bCs/>
          <w:color w:val="0F1115"/>
          <w:kern w:val="0"/>
          <w:sz w:val="30"/>
          <w:szCs w:val="30"/>
          <w:u w:val="single"/>
          <w:lang w:eastAsia="en-GB"/>
          <w14:ligatures w14:val="none"/>
        </w:rPr>
      </w:pPr>
      <w:r w:rsidRPr="004563B6">
        <w:rPr>
          <w:rFonts w:ascii="Arial" w:eastAsia="Times New Roman" w:hAnsi="Arial" w:cs="Arial"/>
          <w:b/>
          <w:bCs/>
          <w:color w:val="0F1115"/>
          <w:kern w:val="0"/>
          <w:sz w:val="30"/>
          <w:szCs w:val="30"/>
          <w:u w:val="single"/>
          <w:lang w:eastAsia="en-GB"/>
          <w14:ligatures w14:val="none"/>
        </w:rPr>
        <w:t>Recommendations</w:t>
      </w:r>
    </w:p>
    <w:p w14:paraId="25864880" w14:textId="77777777" w:rsidR="008220B3" w:rsidRPr="00E16343" w:rsidRDefault="008220B3" w:rsidP="00E16343">
      <w:pPr>
        <w:pStyle w:val="NormalWeb"/>
        <w:spacing w:line="360" w:lineRule="auto"/>
        <w:rPr>
          <w:rFonts w:ascii="Arial" w:hAnsi="Arial" w:cs="Arial"/>
        </w:rPr>
      </w:pPr>
      <w:r w:rsidRPr="00E16343">
        <w:rPr>
          <w:rFonts w:ascii="Arial" w:hAnsi="Arial" w:cs="Arial"/>
        </w:rPr>
        <w:t>UK EV companies should do more than just make and sell cars; they should also offer energy and transport services that work together. This means making systems, either on their own or with partners, that combine electric vehicles (EVs) with home energy solutions (like solar or storage), smart charging rates, V2G services, and public charging access. A business could offer a membership model that includes leasing a car, insurance, a home charger installation, and a controlled energy rate for affordable green charging and grid balancing. This method addresses economic issues by stabilising user costs, leveraging V2G technologies, promoting grid sustainability, and enhancing brand loyalty against vehicle price competition (Kley et al., 2021).</w:t>
      </w:r>
    </w:p>
    <w:p w14:paraId="5725529F" w14:textId="77777777" w:rsidR="00EA5C53" w:rsidRPr="00E16343" w:rsidRDefault="00EA5C53" w:rsidP="00E16343">
      <w:pPr>
        <w:pStyle w:val="NormalWeb"/>
        <w:spacing w:line="360" w:lineRule="auto"/>
        <w:rPr>
          <w:rFonts w:ascii="Arial" w:hAnsi="Arial" w:cs="Arial"/>
        </w:rPr>
      </w:pPr>
      <w:r w:rsidRPr="00E16343">
        <w:rPr>
          <w:rFonts w:ascii="Arial" w:hAnsi="Arial" w:cs="Arial"/>
        </w:rPr>
        <w:t>UK companies should lead EV battery circular economy models to protect the environment and stabilise the supply chain. This requires buying or partnering with battery health testing, remanufacturing, and reusing companies. Companies should make disassembled batteries and offer return options. A business unit focused on second-life battery uses like business stationary energy storage or grid support is a new idea. This generates more revenue, protects the environment, ensures the country has enough raw materials, and reduces the risks of changing raw material prices and political dependence on other nations (Melin, 2021). Companies that take responsibility for the entire battery life can improve their environmental reputation and stand out from competitors.</w:t>
      </w:r>
    </w:p>
    <w:p w14:paraId="3567A062" w14:textId="77777777" w:rsidR="00FE7034" w:rsidRDefault="00FE7034" w:rsidP="008220B3">
      <w:pPr>
        <w:pStyle w:val="NormalWeb"/>
      </w:pPr>
    </w:p>
    <w:p w14:paraId="752F4294" w14:textId="77777777" w:rsidR="00D40D52" w:rsidRDefault="00D40D52" w:rsidP="008220B3">
      <w:pPr>
        <w:pStyle w:val="NormalWeb"/>
      </w:pPr>
    </w:p>
    <w:p w14:paraId="52CCCECE" w14:textId="77777777" w:rsidR="00D40D52" w:rsidRDefault="00D40D52" w:rsidP="008220B3">
      <w:pPr>
        <w:pStyle w:val="NormalWeb"/>
      </w:pPr>
    </w:p>
    <w:p w14:paraId="5FAF7ADB" w14:textId="77777777" w:rsidR="00D40D52" w:rsidRDefault="00D40D52" w:rsidP="008220B3">
      <w:pPr>
        <w:pStyle w:val="NormalWeb"/>
      </w:pPr>
    </w:p>
    <w:p w14:paraId="33160AA3" w14:textId="3F7174B4" w:rsidR="00F50FBE" w:rsidRPr="000623A0" w:rsidRDefault="00F50FBE" w:rsidP="00F50FBE">
      <w:pPr>
        <w:pStyle w:val="Heading3"/>
        <w:shd w:val="clear" w:color="auto" w:fill="FFFFFF"/>
        <w:spacing w:before="480" w:after="240" w:line="450" w:lineRule="atLeast"/>
        <w:rPr>
          <w:rFonts w:ascii="Arial" w:eastAsia="Times New Roman" w:hAnsi="Arial" w:cs="Arial"/>
          <w:b/>
          <w:bCs/>
          <w:color w:val="0F1115"/>
          <w:kern w:val="0"/>
          <w:sz w:val="30"/>
          <w:szCs w:val="30"/>
          <w:u w:val="single"/>
          <w:lang w:eastAsia="en-GB"/>
          <w14:ligatures w14:val="none"/>
        </w:rPr>
      </w:pPr>
      <w:r w:rsidRPr="000623A0">
        <w:rPr>
          <w:rFonts w:ascii="Arial" w:eastAsia="Times New Roman" w:hAnsi="Arial" w:cs="Arial"/>
          <w:b/>
          <w:bCs/>
          <w:color w:val="0F1115"/>
          <w:kern w:val="0"/>
          <w:sz w:val="30"/>
          <w:szCs w:val="30"/>
          <w:u w:val="single"/>
          <w:lang w:eastAsia="en-GB"/>
          <w14:ligatures w14:val="none"/>
        </w:rPr>
        <w:t>Reference List</w:t>
      </w:r>
    </w:p>
    <w:p w14:paraId="7E6F7CEF" w14:textId="77777777" w:rsidR="00F50FBE" w:rsidRDefault="00F50FBE" w:rsidP="00F50FBE">
      <w:pPr>
        <w:rPr>
          <w:lang w:eastAsia="en-GB"/>
        </w:rPr>
      </w:pPr>
    </w:p>
    <w:p w14:paraId="514F0D33" w14:textId="77777777" w:rsidR="009F73A9" w:rsidRPr="00E16343" w:rsidRDefault="009F73A9" w:rsidP="00E16343">
      <w:pPr>
        <w:pStyle w:val="ds-markdown-paragraph"/>
        <w:shd w:val="clear" w:color="auto" w:fill="FFFFFF"/>
        <w:spacing w:before="240" w:beforeAutospacing="0" w:after="240" w:afterAutospacing="0" w:line="360" w:lineRule="auto"/>
        <w:rPr>
          <w:rFonts w:ascii="Arial" w:hAnsi="Arial" w:cs="Arial"/>
          <w:color w:val="0F1115"/>
        </w:rPr>
      </w:pPr>
      <w:r w:rsidRPr="00E16343">
        <w:rPr>
          <w:rFonts w:ascii="Arial" w:hAnsi="Arial" w:cs="Arial"/>
          <w:color w:val="0F1115"/>
        </w:rPr>
        <w:t>Bailey, R., et al. (2022) </w:t>
      </w:r>
      <w:r w:rsidRPr="00E16343">
        <w:rPr>
          <w:rStyle w:val="Emphasis"/>
          <w:rFonts w:ascii="Arial" w:eastAsiaTheme="majorEastAsia" w:hAnsi="Arial" w:cs="Arial"/>
          <w:color w:val="0F1115"/>
        </w:rPr>
        <w:t>Securing critical minerals for the UK’s transition to net zero</w:t>
      </w:r>
      <w:r w:rsidRPr="00E16343">
        <w:rPr>
          <w:rFonts w:ascii="Arial" w:hAnsi="Arial" w:cs="Arial"/>
          <w:color w:val="0F1115"/>
        </w:rPr>
        <w:t>. London: Green Alliance.</w:t>
      </w:r>
    </w:p>
    <w:p w14:paraId="60BA4141" w14:textId="77777777" w:rsidR="009F73A9" w:rsidRPr="00E16343" w:rsidRDefault="009F73A9" w:rsidP="00E16343">
      <w:pPr>
        <w:pStyle w:val="ds-markdown-paragraph"/>
        <w:shd w:val="clear" w:color="auto" w:fill="FFFFFF"/>
        <w:spacing w:before="240" w:beforeAutospacing="0" w:after="240" w:afterAutospacing="0" w:line="360" w:lineRule="auto"/>
        <w:rPr>
          <w:rFonts w:ascii="Arial" w:hAnsi="Arial" w:cs="Arial"/>
          <w:color w:val="0F1115"/>
        </w:rPr>
      </w:pPr>
      <w:r w:rsidRPr="00E16343">
        <w:rPr>
          <w:rFonts w:ascii="Arial" w:hAnsi="Arial" w:cs="Arial"/>
          <w:color w:val="0F1115"/>
        </w:rPr>
        <w:t>BBC (2023) </w:t>
      </w:r>
      <w:r w:rsidRPr="00E16343">
        <w:rPr>
          <w:rStyle w:val="Emphasis"/>
          <w:rFonts w:ascii="Arial" w:eastAsiaTheme="majorEastAsia" w:hAnsi="Arial" w:cs="Arial"/>
          <w:color w:val="0F1115"/>
        </w:rPr>
        <w:t>Rishi Sunak delays ban on new petrol and diesel cars to 2035</w:t>
      </w:r>
      <w:r w:rsidRPr="00E16343">
        <w:rPr>
          <w:rFonts w:ascii="Arial" w:hAnsi="Arial" w:cs="Arial"/>
          <w:color w:val="0F1115"/>
        </w:rPr>
        <w:t>. Available at: </w:t>
      </w:r>
      <w:hyperlink r:id="rId9" w:tgtFrame="_blank" w:history="1">
        <w:r w:rsidRPr="00E16343">
          <w:rPr>
            <w:rStyle w:val="Hyperlink"/>
            <w:rFonts w:ascii="Arial" w:eastAsiaTheme="majorEastAsia" w:hAnsi="Arial" w:cs="Arial"/>
            <w:color w:val="3964FE"/>
            <w:bdr w:val="single" w:sz="12" w:space="0" w:color="auto" w:frame="1"/>
          </w:rPr>
          <w:t>https://www.bbc.co.uk/news/uk-politics-66893239</w:t>
        </w:r>
      </w:hyperlink>
      <w:r w:rsidRPr="00E16343">
        <w:rPr>
          <w:rFonts w:ascii="Arial" w:hAnsi="Arial" w:cs="Arial"/>
          <w:color w:val="0F1115"/>
        </w:rPr>
        <w:t> (Accessed: 3 December 2024).</w:t>
      </w:r>
    </w:p>
    <w:p w14:paraId="646651BF" w14:textId="77777777" w:rsidR="009F73A9" w:rsidRPr="00E16343" w:rsidRDefault="009F73A9" w:rsidP="00E16343">
      <w:pPr>
        <w:pStyle w:val="ds-markdown-paragraph"/>
        <w:shd w:val="clear" w:color="auto" w:fill="FFFFFF"/>
        <w:spacing w:before="240" w:beforeAutospacing="0" w:after="240" w:afterAutospacing="0" w:line="360" w:lineRule="auto"/>
        <w:rPr>
          <w:rFonts w:ascii="Arial" w:hAnsi="Arial" w:cs="Arial"/>
          <w:color w:val="0F1115"/>
        </w:rPr>
      </w:pPr>
      <w:r w:rsidRPr="00E16343">
        <w:rPr>
          <w:rFonts w:ascii="Arial" w:hAnsi="Arial" w:cs="Arial"/>
          <w:color w:val="0F1115"/>
        </w:rPr>
        <w:t>Brady, J. and O’Mahony, M. (2021) ‘Travel to work in Dublin. The potential impacts of electric vehicles on climate change and urban air quality’, </w:t>
      </w:r>
      <w:r w:rsidRPr="00E16343">
        <w:rPr>
          <w:rStyle w:val="Emphasis"/>
          <w:rFonts w:ascii="Arial" w:eastAsiaTheme="majorEastAsia" w:hAnsi="Arial" w:cs="Arial"/>
          <w:color w:val="0F1115"/>
        </w:rPr>
        <w:t>Transportation Research Part D: Transport and Environment</w:t>
      </w:r>
      <w:r w:rsidRPr="00E16343">
        <w:rPr>
          <w:rFonts w:ascii="Arial" w:hAnsi="Arial" w:cs="Arial"/>
          <w:color w:val="0F1115"/>
        </w:rPr>
        <w:t>, 23, pp. 106-118.</w:t>
      </w:r>
    </w:p>
    <w:p w14:paraId="445B053F" w14:textId="77777777" w:rsidR="009F73A9" w:rsidRPr="00E16343" w:rsidRDefault="009F73A9" w:rsidP="00E16343">
      <w:pPr>
        <w:pStyle w:val="ds-markdown-paragraph"/>
        <w:shd w:val="clear" w:color="auto" w:fill="FFFFFF"/>
        <w:spacing w:before="240" w:beforeAutospacing="0" w:after="240" w:afterAutospacing="0" w:line="360" w:lineRule="auto"/>
        <w:rPr>
          <w:rFonts w:ascii="Arial" w:hAnsi="Arial" w:cs="Arial"/>
          <w:color w:val="0F1115"/>
        </w:rPr>
      </w:pPr>
      <w:r w:rsidRPr="00E16343">
        <w:rPr>
          <w:rFonts w:ascii="Arial" w:hAnsi="Arial" w:cs="Arial"/>
          <w:color w:val="0F1115"/>
        </w:rPr>
        <w:t>Buckle, S., et al. (2020) ‘Addressing the COVID-19 and climate crises: Potential economic recovery pathways and their implications for climate change mitigation, NDCs and broader socio-economic goals’, </w:t>
      </w:r>
      <w:r w:rsidRPr="00E16343">
        <w:rPr>
          <w:rStyle w:val="Emphasis"/>
          <w:rFonts w:ascii="Arial" w:eastAsiaTheme="majorEastAsia" w:hAnsi="Arial" w:cs="Arial"/>
          <w:color w:val="0F1115"/>
        </w:rPr>
        <w:t>OECD/IEA Climate Change Expert Group Papers</w:t>
      </w:r>
      <w:r w:rsidRPr="00E16343">
        <w:rPr>
          <w:rFonts w:ascii="Arial" w:hAnsi="Arial" w:cs="Arial"/>
          <w:color w:val="0F1115"/>
        </w:rPr>
        <w:t>.</w:t>
      </w:r>
    </w:p>
    <w:p w14:paraId="72E51B33" w14:textId="77777777" w:rsidR="009F73A9" w:rsidRPr="00E16343" w:rsidRDefault="009F73A9" w:rsidP="00E16343">
      <w:pPr>
        <w:pStyle w:val="ds-markdown-paragraph"/>
        <w:shd w:val="clear" w:color="auto" w:fill="FFFFFF"/>
        <w:spacing w:before="240" w:beforeAutospacing="0" w:after="240" w:afterAutospacing="0" w:line="360" w:lineRule="auto"/>
        <w:rPr>
          <w:rFonts w:ascii="Arial" w:hAnsi="Arial" w:cs="Arial"/>
          <w:color w:val="0F1115"/>
        </w:rPr>
      </w:pPr>
      <w:r w:rsidRPr="00E16343">
        <w:rPr>
          <w:rFonts w:ascii="Arial" w:hAnsi="Arial" w:cs="Arial"/>
          <w:color w:val="0F1115"/>
        </w:rPr>
        <w:t>Christensen, C.M., et al. (2015) ‘What is disruptive innovation?’, </w:t>
      </w:r>
      <w:r w:rsidRPr="00E16343">
        <w:rPr>
          <w:rStyle w:val="Emphasis"/>
          <w:rFonts w:ascii="Arial" w:eastAsiaTheme="majorEastAsia" w:hAnsi="Arial" w:cs="Arial"/>
          <w:color w:val="0F1115"/>
        </w:rPr>
        <w:t>Harvard Business Review</w:t>
      </w:r>
      <w:r w:rsidRPr="00E16343">
        <w:rPr>
          <w:rFonts w:ascii="Arial" w:hAnsi="Arial" w:cs="Arial"/>
          <w:color w:val="0F1115"/>
        </w:rPr>
        <w:t>, 93(12), pp. 44-53.</w:t>
      </w:r>
    </w:p>
    <w:p w14:paraId="5A516125" w14:textId="77777777" w:rsidR="009F73A9" w:rsidRPr="00E16343" w:rsidRDefault="009F73A9" w:rsidP="00E16343">
      <w:pPr>
        <w:pStyle w:val="ds-markdown-paragraph"/>
        <w:shd w:val="clear" w:color="auto" w:fill="FFFFFF"/>
        <w:spacing w:before="240" w:beforeAutospacing="0" w:after="240" w:afterAutospacing="0" w:line="360" w:lineRule="auto"/>
        <w:rPr>
          <w:rFonts w:ascii="Arial" w:hAnsi="Arial" w:cs="Arial"/>
          <w:color w:val="0F1115"/>
        </w:rPr>
      </w:pPr>
      <w:r w:rsidRPr="00E16343">
        <w:rPr>
          <w:rFonts w:ascii="Arial" w:hAnsi="Arial" w:cs="Arial"/>
          <w:color w:val="0F1115"/>
        </w:rPr>
        <w:t>Climate Change Committee (2023) </w:t>
      </w:r>
      <w:r w:rsidRPr="00E16343">
        <w:rPr>
          <w:rStyle w:val="Emphasis"/>
          <w:rFonts w:ascii="Arial" w:eastAsiaTheme="majorEastAsia" w:hAnsi="Arial" w:cs="Arial"/>
          <w:color w:val="0F1115"/>
        </w:rPr>
        <w:t>Progress in reducing emissions: 2023 Report to Parliament</w:t>
      </w:r>
      <w:r w:rsidRPr="00E16343">
        <w:rPr>
          <w:rFonts w:ascii="Arial" w:hAnsi="Arial" w:cs="Arial"/>
          <w:color w:val="0F1115"/>
        </w:rPr>
        <w:t>. London: CCC.</w:t>
      </w:r>
    </w:p>
    <w:p w14:paraId="7F08BEC0" w14:textId="77777777" w:rsidR="009F73A9" w:rsidRPr="00E16343" w:rsidRDefault="009F73A9" w:rsidP="00E16343">
      <w:pPr>
        <w:pStyle w:val="ds-markdown-paragraph"/>
        <w:shd w:val="clear" w:color="auto" w:fill="FFFFFF"/>
        <w:spacing w:before="240" w:beforeAutospacing="0" w:after="240" w:afterAutospacing="0" w:line="360" w:lineRule="auto"/>
        <w:rPr>
          <w:rFonts w:ascii="Arial" w:hAnsi="Arial" w:cs="Arial"/>
          <w:color w:val="0F1115"/>
        </w:rPr>
      </w:pPr>
      <w:r w:rsidRPr="00E16343">
        <w:rPr>
          <w:rFonts w:ascii="Arial" w:hAnsi="Arial" w:cs="Arial"/>
          <w:color w:val="0F1115"/>
        </w:rPr>
        <w:t>Competition and Markets Authority (2021) </w:t>
      </w:r>
      <w:r w:rsidRPr="00E16343">
        <w:rPr>
          <w:rStyle w:val="Emphasis"/>
          <w:rFonts w:ascii="Arial" w:eastAsiaTheme="majorEastAsia" w:hAnsi="Arial" w:cs="Arial"/>
          <w:color w:val="0F1115"/>
        </w:rPr>
        <w:t>Electric vehicle charging market study</w:t>
      </w:r>
      <w:r w:rsidRPr="00E16343">
        <w:rPr>
          <w:rFonts w:ascii="Arial" w:hAnsi="Arial" w:cs="Arial"/>
          <w:color w:val="0F1115"/>
        </w:rPr>
        <w:t>. London: CMA.</w:t>
      </w:r>
    </w:p>
    <w:p w14:paraId="0D8AC4B0" w14:textId="77777777" w:rsidR="009F73A9" w:rsidRPr="00E16343" w:rsidRDefault="009F73A9" w:rsidP="00E16343">
      <w:pPr>
        <w:pStyle w:val="ds-markdown-paragraph"/>
        <w:shd w:val="clear" w:color="auto" w:fill="FFFFFF"/>
        <w:spacing w:before="240" w:beforeAutospacing="0" w:after="240" w:afterAutospacing="0" w:line="360" w:lineRule="auto"/>
        <w:rPr>
          <w:rFonts w:ascii="Arial" w:hAnsi="Arial" w:cs="Arial"/>
          <w:color w:val="0F1115"/>
        </w:rPr>
      </w:pPr>
      <w:r w:rsidRPr="00E16343">
        <w:rPr>
          <w:rFonts w:ascii="Arial" w:hAnsi="Arial" w:cs="Arial"/>
          <w:color w:val="0F1115"/>
        </w:rPr>
        <w:t>Department for Transport (DfT) (2023) </w:t>
      </w:r>
      <w:r w:rsidRPr="00E16343">
        <w:rPr>
          <w:rStyle w:val="Emphasis"/>
          <w:rFonts w:ascii="Arial" w:eastAsiaTheme="majorEastAsia" w:hAnsi="Arial" w:cs="Arial"/>
          <w:color w:val="0F1115"/>
        </w:rPr>
        <w:t>Zero emission vehicle (ZEV) mandate</w:t>
      </w:r>
      <w:r w:rsidRPr="00E16343">
        <w:rPr>
          <w:rFonts w:ascii="Arial" w:hAnsi="Arial" w:cs="Arial"/>
          <w:color w:val="0F1115"/>
        </w:rPr>
        <w:t>. Available at: </w:t>
      </w:r>
      <w:hyperlink r:id="rId10" w:tgtFrame="_blank" w:history="1">
        <w:r w:rsidRPr="00E16343">
          <w:rPr>
            <w:rStyle w:val="Hyperlink"/>
            <w:rFonts w:ascii="Arial" w:eastAsiaTheme="majorEastAsia" w:hAnsi="Arial" w:cs="Arial"/>
            <w:color w:val="3964FE"/>
            <w:bdr w:val="single" w:sz="12" w:space="0" w:color="auto" w:frame="1"/>
          </w:rPr>
          <w:t>https://www.gov.uk/government/consultations/zero-emission-vehicle-zev-mandate</w:t>
        </w:r>
      </w:hyperlink>
      <w:r w:rsidRPr="00E16343">
        <w:rPr>
          <w:rFonts w:ascii="Arial" w:hAnsi="Arial" w:cs="Arial"/>
          <w:color w:val="0F1115"/>
        </w:rPr>
        <w:t> (Accessed: 3 December 2024).</w:t>
      </w:r>
    </w:p>
    <w:p w14:paraId="1FA84E02" w14:textId="77777777" w:rsidR="009F73A9" w:rsidRPr="00E16343" w:rsidRDefault="009F73A9" w:rsidP="00E16343">
      <w:pPr>
        <w:pStyle w:val="ds-markdown-paragraph"/>
        <w:shd w:val="clear" w:color="auto" w:fill="FFFFFF"/>
        <w:spacing w:before="240" w:beforeAutospacing="0" w:after="240" w:afterAutospacing="0" w:line="360" w:lineRule="auto"/>
        <w:rPr>
          <w:rFonts w:ascii="Arial" w:hAnsi="Arial" w:cs="Arial"/>
          <w:color w:val="0F1115"/>
        </w:rPr>
      </w:pPr>
      <w:r w:rsidRPr="00E16343">
        <w:rPr>
          <w:rFonts w:ascii="Arial" w:hAnsi="Arial" w:cs="Arial"/>
          <w:color w:val="0F1115"/>
        </w:rPr>
        <w:t>Fells, J. and O’Kane, M. (2024) ‘Gigafactory investment and regional economic development in the UK’, </w:t>
      </w:r>
      <w:r w:rsidRPr="00E16343">
        <w:rPr>
          <w:rStyle w:val="Emphasis"/>
          <w:rFonts w:ascii="Arial" w:eastAsiaTheme="majorEastAsia" w:hAnsi="Arial" w:cs="Arial"/>
          <w:color w:val="0F1115"/>
        </w:rPr>
        <w:t>Regional Studies</w:t>
      </w:r>
      <w:r w:rsidRPr="00E16343">
        <w:rPr>
          <w:rFonts w:ascii="Arial" w:hAnsi="Arial" w:cs="Arial"/>
          <w:color w:val="0F1115"/>
        </w:rPr>
        <w:t>, [Early View].</w:t>
      </w:r>
    </w:p>
    <w:p w14:paraId="16C573CD" w14:textId="77777777" w:rsidR="009F73A9" w:rsidRPr="00E16343" w:rsidRDefault="009F73A9" w:rsidP="00E16343">
      <w:pPr>
        <w:pStyle w:val="ds-markdown-paragraph"/>
        <w:shd w:val="clear" w:color="auto" w:fill="FFFFFF"/>
        <w:spacing w:before="240" w:beforeAutospacing="0" w:after="240" w:afterAutospacing="0" w:line="360" w:lineRule="auto"/>
        <w:rPr>
          <w:rFonts w:ascii="Arial" w:hAnsi="Arial" w:cs="Arial"/>
          <w:color w:val="0F1115"/>
        </w:rPr>
      </w:pPr>
      <w:r w:rsidRPr="00E16343">
        <w:rPr>
          <w:rFonts w:ascii="Arial" w:hAnsi="Arial" w:cs="Arial"/>
          <w:color w:val="0F1115"/>
        </w:rPr>
        <w:t>Gouldson, A., et al. (2022) ‘The role of the UK’s innovation system in the net-zero transition’, </w:t>
      </w:r>
      <w:r w:rsidRPr="00E16343">
        <w:rPr>
          <w:rStyle w:val="Emphasis"/>
          <w:rFonts w:ascii="Arial" w:eastAsiaTheme="majorEastAsia" w:hAnsi="Arial" w:cs="Arial"/>
          <w:color w:val="0F1115"/>
        </w:rPr>
        <w:t>Energy Policy</w:t>
      </w:r>
      <w:r w:rsidRPr="00E16343">
        <w:rPr>
          <w:rFonts w:ascii="Arial" w:hAnsi="Arial" w:cs="Arial"/>
          <w:color w:val="0F1115"/>
        </w:rPr>
        <w:t>, 171, 113272.</w:t>
      </w:r>
    </w:p>
    <w:p w14:paraId="2FF8477B" w14:textId="77777777" w:rsidR="009F73A9" w:rsidRPr="00E16343" w:rsidRDefault="009F73A9" w:rsidP="00E16343">
      <w:pPr>
        <w:pStyle w:val="ds-markdown-paragraph"/>
        <w:shd w:val="clear" w:color="auto" w:fill="FFFFFF"/>
        <w:spacing w:before="240" w:beforeAutospacing="0" w:after="240" w:afterAutospacing="0" w:line="360" w:lineRule="auto"/>
        <w:rPr>
          <w:rFonts w:ascii="Arial" w:hAnsi="Arial" w:cs="Arial"/>
          <w:color w:val="0F1115"/>
        </w:rPr>
      </w:pPr>
      <w:r w:rsidRPr="00E16343">
        <w:rPr>
          <w:rFonts w:ascii="Arial" w:hAnsi="Arial" w:cs="Arial"/>
          <w:color w:val="0F1115"/>
        </w:rPr>
        <w:t>Green, R. (2020) ‘Electricity and the EV: Total cost of ownership and the energy transition’, </w:t>
      </w:r>
      <w:r w:rsidRPr="00E16343">
        <w:rPr>
          <w:rStyle w:val="Emphasis"/>
          <w:rFonts w:ascii="Arial" w:eastAsiaTheme="majorEastAsia" w:hAnsi="Arial" w:cs="Arial"/>
          <w:color w:val="0F1115"/>
        </w:rPr>
        <w:t>Oxford Review of Economic Policy</w:t>
      </w:r>
      <w:r w:rsidRPr="00E16343">
        <w:rPr>
          <w:rFonts w:ascii="Arial" w:hAnsi="Arial" w:cs="Arial"/>
          <w:color w:val="0F1115"/>
        </w:rPr>
        <w:t>, 36(2), pp. 394-411.</w:t>
      </w:r>
    </w:p>
    <w:p w14:paraId="62DB0283" w14:textId="77777777" w:rsidR="009F73A9" w:rsidRPr="00E16343" w:rsidRDefault="009F73A9" w:rsidP="00E16343">
      <w:pPr>
        <w:pStyle w:val="ds-markdown-paragraph"/>
        <w:shd w:val="clear" w:color="auto" w:fill="FFFFFF"/>
        <w:spacing w:before="240" w:beforeAutospacing="0" w:after="240" w:afterAutospacing="0" w:line="360" w:lineRule="auto"/>
        <w:rPr>
          <w:rFonts w:ascii="Arial" w:hAnsi="Arial" w:cs="Arial"/>
          <w:color w:val="0F1115"/>
        </w:rPr>
      </w:pPr>
      <w:r w:rsidRPr="00E16343">
        <w:rPr>
          <w:rFonts w:ascii="Arial" w:hAnsi="Arial" w:cs="Arial"/>
          <w:color w:val="0F1115"/>
        </w:rPr>
        <w:t>HM Government (2021) </w:t>
      </w:r>
      <w:r w:rsidRPr="00E16343">
        <w:rPr>
          <w:rStyle w:val="Emphasis"/>
          <w:rFonts w:ascii="Arial" w:eastAsiaTheme="majorEastAsia" w:hAnsi="Arial" w:cs="Arial"/>
          <w:color w:val="0F1115"/>
        </w:rPr>
        <w:t>Net Zero Strategy: Build Back Greener</w:t>
      </w:r>
      <w:r w:rsidRPr="00E16343">
        <w:rPr>
          <w:rFonts w:ascii="Arial" w:hAnsi="Arial" w:cs="Arial"/>
          <w:color w:val="0F1115"/>
        </w:rPr>
        <w:t>. London: HM Government.</w:t>
      </w:r>
    </w:p>
    <w:p w14:paraId="06FC4AB6" w14:textId="77777777" w:rsidR="009F73A9" w:rsidRPr="00E16343" w:rsidRDefault="009F73A9" w:rsidP="00E16343">
      <w:pPr>
        <w:pStyle w:val="ds-markdown-paragraph"/>
        <w:shd w:val="clear" w:color="auto" w:fill="FFFFFF"/>
        <w:spacing w:before="240" w:beforeAutospacing="0" w:after="240" w:afterAutospacing="0" w:line="360" w:lineRule="auto"/>
        <w:rPr>
          <w:rFonts w:ascii="Arial" w:hAnsi="Arial" w:cs="Arial"/>
          <w:color w:val="0F1115"/>
        </w:rPr>
      </w:pPr>
      <w:r w:rsidRPr="00E16343">
        <w:rPr>
          <w:rFonts w:ascii="Arial" w:hAnsi="Arial" w:cs="Arial"/>
          <w:color w:val="0F1115"/>
        </w:rPr>
        <w:t>International Energy Agency (IEA) (2023) </w:t>
      </w:r>
      <w:r w:rsidRPr="00E16343">
        <w:rPr>
          <w:rStyle w:val="Emphasis"/>
          <w:rFonts w:ascii="Arial" w:eastAsiaTheme="majorEastAsia" w:hAnsi="Arial" w:cs="Arial"/>
          <w:color w:val="0F1115"/>
        </w:rPr>
        <w:t>Global EV Outlook 2023</w:t>
      </w:r>
      <w:r w:rsidRPr="00E16343">
        <w:rPr>
          <w:rFonts w:ascii="Arial" w:hAnsi="Arial" w:cs="Arial"/>
          <w:color w:val="0F1115"/>
        </w:rPr>
        <w:t>. Paris: IEA.</w:t>
      </w:r>
    </w:p>
    <w:p w14:paraId="17CAE9E8" w14:textId="77777777" w:rsidR="009F73A9" w:rsidRPr="00E16343" w:rsidRDefault="009F73A9" w:rsidP="00E16343">
      <w:pPr>
        <w:pStyle w:val="ds-markdown-paragraph"/>
        <w:shd w:val="clear" w:color="auto" w:fill="FFFFFF"/>
        <w:spacing w:before="240" w:beforeAutospacing="0" w:after="240" w:afterAutospacing="0" w:line="360" w:lineRule="auto"/>
        <w:rPr>
          <w:rFonts w:ascii="Arial" w:hAnsi="Arial" w:cs="Arial"/>
          <w:color w:val="0F1115"/>
        </w:rPr>
      </w:pPr>
      <w:r w:rsidRPr="00E16343">
        <w:rPr>
          <w:rFonts w:ascii="Arial" w:hAnsi="Arial" w:cs="Arial"/>
          <w:color w:val="0F1115"/>
        </w:rPr>
        <w:t>Jaguar Land Rover (2023) </w:t>
      </w:r>
      <w:r w:rsidRPr="00E16343">
        <w:rPr>
          <w:rStyle w:val="Emphasis"/>
          <w:rFonts w:ascii="Arial" w:eastAsiaTheme="majorEastAsia" w:hAnsi="Arial" w:cs="Arial"/>
          <w:color w:val="0F1115"/>
        </w:rPr>
        <w:t>JLR partners with Solid-State Battery Pioneer</w:t>
      </w:r>
      <w:r w:rsidRPr="00E16343">
        <w:rPr>
          <w:rFonts w:ascii="Arial" w:hAnsi="Arial" w:cs="Arial"/>
          <w:color w:val="0F1115"/>
        </w:rPr>
        <w:t>. Available at: </w:t>
      </w:r>
      <w:hyperlink r:id="rId11" w:tgtFrame="_blank" w:history="1">
        <w:r w:rsidRPr="00E16343">
          <w:rPr>
            <w:rStyle w:val="Hyperlink"/>
            <w:rFonts w:ascii="Arial" w:eastAsiaTheme="majorEastAsia" w:hAnsi="Arial" w:cs="Arial"/>
            <w:color w:val="3964FE"/>
            <w:bdr w:val="single" w:sz="12" w:space="0" w:color="auto" w:frame="1"/>
          </w:rPr>
          <w:t>https://www.jaguarlandrover.com/news/2023/04/jlr-partners-solid-state-battery-pioneer</w:t>
        </w:r>
      </w:hyperlink>
      <w:r w:rsidRPr="00E16343">
        <w:rPr>
          <w:rFonts w:ascii="Arial" w:hAnsi="Arial" w:cs="Arial"/>
          <w:color w:val="0F1115"/>
        </w:rPr>
        <w:t> (Accessed: 3 December 2024).</w:t>
      </w:r>
    </w:p>
    <w:p w14:paraId="5E7C2F30" w14:textId="77777777" w:rsidR="009F73A9" w:rsidRPr="00E16343" w:rsidRDefault="009F73A9" w:rsidP="00E16343">
      <w:pPr>
        <w:pStyle w:val="ds-markdown-paragraph"/>
        <w:shd w:val="clear" w:color="auto" w:fill="FFFFFF"/>
        <w:spacing w:before="240" w:beforeAutospacing="0" w:after="240" w:afterAutospacing="0" w:line="360" w:lineRule="auto"/>
        <w:rPr>
          <w:rFonts w:ascii="Arial" w:hAnsi="Arial" w:cs="Arial"/>
          <w:color w:val="0F1115"/>
        </w:rPr>
      </w:pPr>
      <w:r w:rsidRPr="00E16343">
        <w:rPr>
          <w:rFonts w:ascii="Arial" w:hAnsi="Arial" w:cs="Arial"/>
          <w:color w:val="0F1115"/>
        </w:rPr>
        <w:t>Kempton, W. and Tomic, J. (2021) ‘Vehicle-to-grid power fundamentals: Calculating capacity and net revenue’, </w:t>
      </w:r>
      <w:r w:rsidRPr="00E16343">
        <w:rPr>
          <w:rStyle w:val="Emphasis"/>
          <w:rFonts w:ascii="Arial" w:eastAsiaTheme="majorEastAsia" w:hAnsi="Arial" w:cs="Arial"/>
          <w:color w:val="0F1115"/>
        </w:rPr>
        <w:t>Journal of Power Sources</w:t>
      </w:r>
      <w:r w:rsidRPr="00E16343">
        <w:rPr>
          <w:rFonts w:ascii="Arial" w:hAnsi="Arial" w:cs="Arial"/>
          <w:color w:val="0F1115"/>
        </w:rPr>
        <w:t>, 144(1), pp. 268-279.</w:t>
      </w:r>
    </w:p>
    <w:p w14:paraId="5D2B3055" w14:textId="77777777" w:rsidR="009F73A9" w:rsidRPr="00E16343" w:rsidRDefault="009F73A9" w:rsidP="00E16343">
      <w:pPr>
        <w:pStyle w:val="ds-markdown-paragraph"/>
        <w:shd w:val="clear" w:color="auto" w:fill="FFFFFF"/>
        <w:spacing w:before="240" w:beforeAutospacing="0" w:after="240" w:afterAutospacing="0" w:line="360" w:lineRule="auto"/>
        <w:rPr>
          <w:rFonts w:ascii="Arial" w:hAnsi="Arial" w:cs="Arial"/>
          <w:color w:val="0F1115"/>
        </w:rPr>
      </w:pPr>
      <w:r w:rsidRPr="00E16343">
        <w:rPr>
          <w:rFonts w:ascii="Arial" w:hAnsi="Arial" w:cs="Arial"/>
          <w:color w:val="0F1115"/>
        </w:rPr>
        <w:t>Kley, F., et al. (2021) ‘New business models for electric cars—A holistic approach’, </w:t>
      </w:r>
      <w:r w:rsidRPr="00E16343">
        <w:rPr>
          <w:rStyle w:val="Emphasis"/>
          <w:rFonts w:ascii="Arial" w:eastAsiaTheme="majorEastAsia" w:hAnsi="Arial" w:cs="Arial"/>
          <w:color w:val="0F1115"/>
        </w:rPr>
        <w:t>Energy Policy</w:t>
      </w:r>
      <w:r w:rsidRPr="00E16343">
        <w:rPr>
          <w:rFonts w:ascii="Arial" w:hAnsi="Arial" w:cs="Arial"/>
          <w:color w:val="0F1115"/>
        </w:rPr>
        <w:t>, 39(6), pp. 3392-3403.</w:t>
      </w:r>
    </w:p>
    <w:p w14:paraId="5CEA1C4C" w14:textId="77777777" w:rsidR="009F73A9" w:rsidRPr="00E16343" w:rsidRDefault="009F73A9" w:rsidP="00E16343">
      <w:pPr>
        <w:pStyle w:val="ds-markdown-paragraph"/>
        <w:shd w:val="clear" w:color="auto" w:fill="FFFFFF"/>
        <w:spacing w:before="240" w:beforeAutospacing="0" w:after="240" w:afterAutospacing="0" w:line="360" w:lineRule="auto"/>
        <w:rPr>
          <w:rFonts w:ascii="Arial" w:hAnsi="Arial" w:cs="Arial"/>
          <w:color w:val="0F1115"/>
        </w:rPr>
      </w:pPr>
      <w:r w:rsidRPr="00E16343">
        <w:rPr>
          <w:rFonts w:ascii="Arial" w:hAnsi="Arial" w:cs="Arial"/>
          <w:color w:val="0F1115"/>
        </w:rPr>
        <w:t>Melin, H.E. (2021) ‘The lithium-ion battery end-of-life market: A circular economy perspective’, </w:t>
      </w:r>
      <w:r w:rsidRPr="00E16343">
        <w:rPr>
          <w:rStyle w:val="Emphasis"/>
          <w:rFonts w:ascii="Arial" w:eastAsiaTheme="majorEastAsia" w:hAnsi="Arial" w:cs="Arial"/>
          <w:color w:val="0F1115"/>
        </w:rPr>
        <w:t>Circular Economy and Sustainability</w:t>
      </w:r>
      <w:r w:rsidRPr="00E16343">
        <w:rPr>
          <w:rFonts w:ascii="Arial" w:hAnsi="Arial" w:cs="Arial"/>
          <w:color w:val="0F1115"/>
        </w:rPr>
        <w:t>, 1, pp. 291-319.</w:t>
      </w:r>
    </w:p>
    <w:p w14:paraId="1C4C6D46" w14:textId="77777777" w:rsidR="009F73A9" w:rsidRPr="00E16343" w:rsidRDefault="009F73A9" w:rsidP="00E16343">
      <w:pPr>
        <w:pStyle w:val="ds-markdown-paragraph"/>
        <w:shd w:val="clear" w:color="auto" w:fill="FFFFFF"/>
        <w:spacing w:before="240" w:beforeAutospacing="0" w:after="240" w:afterAutospacing="0" w:line="360" w:lineRule="auto"/>
        <w:rPr>
          <w:rFonts w:ascii="Arial" w:hAnsi="Arial" w:cs="Arial"/>
          <w:color w:val="0F1115"/>
        </w:rPr>
      </w:pPr>
      <w:r w:rsidRPr="00E16343">
        <w:rPr>
          <w:rFonts w:ascii="Arial" w:hAnsi="Arial" w:cs="Arial"/>
          <w:color w:val="0F1115"/>
        </w:rPr>
        <w:t>Narassima, M.S., et al. (2023) ‘Regulatory frameworks for electric vehicles and associated infrastructure: A global review’, </w:t>
      </w:r>
      <w:r w:rsidRPr="00E16343">
        <w:rPr>
          <w:rStyle w:val="Emphasis"/>
          <w:rFonts w:ascii="Arial" w:eastAsiaTheme="majorEastAsia" w:hAnsi="Arial" w:cs="Arial"/>
          <w:color w:val="0F1115"/>
        </w:rPr>
        <w:t>Renewable and Sustainable Energy Reviews</w:t>
      </w:r>
      <w:r w:rsidRPr="00E16343">
        <w:rPr>
          <w:rFonts w:ascii="Arial" w:hAnsi="Arial" w:cs="Arial"/>
          <w:color w:val="0F1115"/>
        </w:rPr>
        <w:t>, 182, 113375.</w:t>
      </w:r>
    </w:p>
    <w:p w14:paraId="3B08CBDB" w14:textId="77777777" w:rsidR="009F73A9" w:rsidRPr="00E16343" w:rsidRDefault="009F73A9" w:rsidP="00E16343">
      <w:pPr>
        <w:pStyle w:val="ds-markdown-paragraph"/>
        <w:shd w:val="clear" w:color="auto" w:fill="FFFFFF"/>
        <w:spacing w:before="240" w:beforeAutospacing="0" w:after="240" w:afterAutospacing="0" w:line="360" w:lineRule="auto"/>
        <w:rPr>
          <w:rFonts w:ascii="Arial" w:hAnsi="Arial" w:cs="Arial"/>
          <w:color w:val="0F1115"/>
        </w:rPr>
      </w:pPr>
      <w:r w:rsidRPr="00E16343">
        <w:rPr>
          <w:rFonts w:ascii="Arial" w:hAnsi="Arial" w:cs="Arial"/>
          <w:color w:val="0F1115"/>
        </w:rPr>
        <w:t>Neaimeh, M., et al. (2023) ‘Understanding EV driver charging behaviour to inform grid planning and policy’, </w:t>
      </w:r>
      <w:r w:rsidRPr="00E16343">
        <w:rPr>
          <w:rStyle w:val="Emphasis"/>
          <w:rFonts w:ascii="Arial" w:eastAsiaTheme="majorEastAsia" w:hAnsi="Arial" w:cs="Arial"/>
          <w:color w:val="0F1115"/>
        </w:rPr>
        <w:t>Transportation Research Part C: Emerging Technologies</w:t>
      </w:r>
      <w:r w:rsidRPr="00E16343">
        <w:rPr>
          <w:rFonts w:ascii="Arial" w:hAnsi="Arial" w:cs="Arial"/>
          <w:color w:val="0F1115"/>
        </w:rPr>
        <w:t>, 146, 103957.</w:t>
      </w:r>
    </w:p>
    <w:p w14:paraId="5B815797" w14:textId="77777777" w:rsidR="009F73A9" w:rsidRPr="00E16343" w:rsidRDefault="009F73A9" w:rsidP="00E16343">
      <w:pPr>
        <w:pStyle w:val="ds-markdown-paragraph"/>
        <w:shd w:val="clear" w:color="auto" w:fill="FFFFFF"/>
        <w:spacing w:before="240" w:beforeAutospacing="0" w:after="240" w:afterAutospacing="0" w:line="360" w:lineRule="auto"/>
        <w:rPr>
          <w:rFonts w:ascii="Arial" w:hAnsi="Arial" w:cs="Arial"/>
          <w:color w:val="0F1115"/>
        </w:rPr>
      </w:pPr>
      <w:r w:rsidRPr="00E16343">
        <w:rPr>
          <w:rFonts w:ascii="Arial" w:hAnsi="Arial" w:cs="Arial"/>
          <w:color w:val="0F1115"/>
        </w:rPr>
        <w:t>Nyobolt (2024) </w:t>
      </w:r>
      <w:r w:rsidRPr="00E16343">
        <w:rPr>
          <w:rStyle w:val="Emphasis"/>
          <w:rFonts w:ascii="Arial" w:eastAsiaTheme="majorEastAsia" w:hAnsi="Arial" w:cs="Arial"/>
          <w:color w:val="0F1115"/>
        </w:rPr>
        <w:t>Nyobolt’s ultra-fast charging batteries</w:t>
      </w:r>
      <w:r w:rsidRPr="00E16343">
        <w:rPr>
          <w:rFonts w:ascii="Arial" w:hAnsi="Arial" w:cs="Arial"/>
          <w:color w:val="0F1115"/>
        </w:rPr>
        <w:t>. Available at: </w:t>
      </w:r>
      <w:hyperlink r:id="rId12" w:tgtFrame="_blank" w:history="1">
        <w:r w:rsidRPr="00E16343">
          <w:rPr>
            <w:rStyle w:val="Hyperlink"/>
            <w:rFonts w:ascii="Arial" w:eastAsiaTheme="majorEastAsia" w:hAnsi="Arial" w:cs="Arial"/>
            <w:color w:val="3964FE"/>
            <w:bdr w:val="single" w:sz="12" w:space="0" w:color="auto" w:frame="1"/>
          </w:rPr>
          <w:t>https://www.nyobolt.com/</w:t>
        </w:r>
      </w:hyperlink>
      <w:r w:rsidRPr="00E16343">
        <w:rPr>
          <w:rFonts w:ascii="Arial" w:hAnsi="Arial" w:cs="Arial"/>
          <w:color w:val="0F1115"/>
        </w:rPr>
        <w:t> (Accessed: 3 December 2024).</w:t>
      </w:r>
    </w:p>
    <w:p w14:paraId="0C0A1D31" w14:textId="77777777" w:rsidR="009F73A9" w:rsidRPr="00E16343" w:rsidRDefault="009F73A9" w:rsidP="00E16343">
      <w:pPr>
        <w:pStyle w:val="ds-markdown-paragraph"/>
        <w:shd w:val="clear" w:color="auto" w:fill="FFFFFF"/>
        <w:spacing w:before="240" w:beforeAutospacing="0" w:after="240" w:afterAutospacing="0" w:line="360" w:lineRule="auto"/>
        <w:rPr>
          <w:rFonts w:ascii="Arial" w:hAnsi="Arial" w:cs="Arial"/>
          <w:color w:val="0F1115"/>
        </w:rPr>
      </w:pPr>
      <w:r w:rsidRPr="00E16343">
        <w:rPr>
          <w:rFonts w:ascii="Arial" w:hAnsi="Arial" w:cs="Arial"/>
          <w:color w:val="0F1115"/>
        </w:rPr>
        <w:t>Rezvani, Z., et al. (2022) ‘Advancing the adoption of electric vehicles: A review of consumer behaviour and policy interventions’, </w:t>
      </w:r>
      <w:r w:rsidRPr="00E16343">
        <w:rPr>
          <w:rStyle w:val="Emphasis"/>
          <w:rFonts w:ascii="Arial" w:eastAsiaTheme="majorEastAsia" w:hAnsi="Arial" w:cs="Arial"/>
          <w:color w:val="0F1115"/>
        </w:rPr>
        <w:t>Transport Reviews</w:t>
      </w:r>
      <w:r w:rsidRPr="00E16343">
        <w:rPr>
          <w:rFonts w:ascii="Arial" w:hAnsi="Arial" w:cs="Arial"/>
          <w:color w:val="0F1115"/>
        </w:rPr>
        <w:t>, 42(5), pp. 565-593.</w:t>
      </w:r>
    </w:p>
    <w:p w14:paraId="7B0E9266" w14:textId="77777777" w:rsidR="009F73A9" w:rsidRPr="00E16343" w:rsidRDefault="009F73A9" w:rsidP="00E16343">
      <w:pPr>
        <w:pStyle w:val="ds-markdown-paragraph"/>
        <w:shd w:val="clear" w:color="auto" w:fill="FFFFFF"/>
        <w:spacing w:before="240" w:beforeAutospacing="0" w:after="240" w:afterAutospacing="0" w:line="360" w:lineRule="auto"/>
        <w:rPr>
          <w:rFonts w:ascii="Arial" w:hAnsi="Arial" w:cs="Arial"/>
          <w:color w:val="0F1115"/>
        </w:rPr>
      </w:pPr>
      <w:r w:rsidRPr="00E16343">
        <w:rPr>
          <w:rFonts w:ascii="Arial" w:hAnsi="Arial" w:cs="Arial"/>
          <w:color w:val="0F1115"/>
        </w:rPr>
        <w:t>Rogers, E.M. (2003) </w:t>
      </w:r>
      <w:r w:rsidRPr="00E16343">
        <w:rPr>
          <w:rStyle w:val="Emphasis"/>
          <w:rFonts w:ascii="Arial" w:eastAsiaTheme="majorEastAsia" w:hAnsi="Arial" w:cs="Arial"/>
          <w:color w:val="0F1115"/>
        </w:rPr>
        <w:t>Diffusion of Innovations</w:t>
      </w:r>
      <w:r w:rsidRPr="00E16343">
        <w:rPr>
          <w:rFonts w:ascii="Arial" w:hAnsi="Arial" w:cs="Arial"/>
          <w:color w:val="0F1115"/>
        </w:rPr>
        <w:t>. 5th edn. New York: Free Press.</w:t>
      </w:r>
    </w:p>
    <w:p w14:paraId="79135CB2" w14:textId="77777777" w:rsidR="009F73A9" w:rsidRPr="00E16343" w:rsidRDefault="009F73A9" w:rsidP="00E16343">
      <w:pPr>
        <w:pStyle w:val="ds-markdown-paragraph"/>
        <w:shd w:val="clear" w:color="auto" w:fill="FFFFFF"/>
        <w:spacing w:before="240" w:beforeAutospacing="0" w:after="240" w:afterAutospacing="0" w:line="360" w:lineRule="auto"/>
        <w:rPr>
          <w:rFonts w:ascii="Arial" w:hAnsi="Arial" w:cs="Arial"/>
          <w:color w:val="0F1115"/>
        </w:rPr>
      </w:pPr>
      <w:r w:rsidRPr="00E16343">
        <w:rPr>
          <w:rFonts w:ascii="Arial" w:hAnsi="Arial" w:cs="Arial"/>
          <w:color w:val="0F1115"/>
        </w:rPr>
        <w:t>SMMT (2024) </w:t>
      </w:r>
      <w:r w:rsidRPr="00E16343">
        <w:rPr>
          <w:rStyle w:val="Emphasis"/>
          <w:rFonts w:ascii="Arial" w:eastAsiaTheme="majorEastAsia" w:hAnsi="Arial" w:cs="Arial"/>
          <w:color w:val="0F1115"/>
        </w:rPr>
        <w:t>December 2023 and full year UK new car market</w:t>
      </w:r>
      <w:r w:rsidRPr="00E16343">
        <w:rPr>
          <w:rFonts w:ascii="Arial" w:hAnsi="Arial" w:cs="Arial"/>
          <w:color w:val="0F1115"/>
        </w:rPr>
        <w:t>. Available at: </w:t>
      </w:r>
      <w:hyperlink r:id="rId13" w:tgtFrame="_blank" w:history="1">
        <w:r w:rsidRPr="00E16343">
          <w:rPr>
            <w:rStyle w:val="Hyperlink"/>
            <w:rFonts w:ascii="Arial" w:eastAsiaTheme="majorEastAsia" w:hAnsi="Arial" w:cs="Arial"/>
            <w:color w:val="3964FE"/>
            <w:bdr w:val="single" w:sz="12" w:space="0" w:color="auto" w:frame="1"/>
          </w:rPr>
          <w:t>https://www.smmt.co.uk/2024/01/new-car-market-hits-1-9-million-in-2023-as-evs-set-next-record/</w:t>
        </w:r>
      </w:hyperlink>
      <w:r w:rsidRPr="00E16343">
        <w:rPr>
          <w:rFonts w:ascii="Arial" w:hAnsi="Arial" w:cs="Arial"/>
          <w:color w:val="0F1115"/>
        </w:rPr>
        <w:t> (Accessed: 3 December 2024).</w:t>
      </w:r>
    </w:p>
    <w:p w14:paraId="76D80C6D" w14:textId="77777777" w:rsidR="009F73A9" w:rsidRPr="00E16343" w:rsidRDefault="009F73A9" w:rsidP="00E16343">
      <w:pPr>
        <w:pStyle w:val="ds-markdown-paragraph"/>
        <w:shd w:val="clear" w:color="auto" w:fill="FFFFFF"/>
        <w:spacing w:before="240" w:beforeAutospacing="0" w:after="0" w:afterAutospacing="0" w:line="360" w:lineRule="auto"/>
        <w:rPr>
          <w:rFonts w:ascii="Arial" w:hAnsi="Arial" w:cs="Arial"/>
          <w:color w:val="0F1115"/>
        </w:rPr>
      </w:pPr>
      <w:r w:rsidRPr="00E16343">
        <w:rPr>
          <w:rFonts w:ascii="Arial" w:hAnsi="Arial" w:cs="Arial"/>
          <w:color w:val="0F1115"/>
        </w:rPr>
        <w:t>Zapmap (2023) </w:t>
      </w:r>
      <w:r w:rsidRPr="00E16343">
        <w:rPr>
          <w:rStyle w:val="Emphasis"/>
          <w:rFonts w:ascii="Arial" w:eastAsiaTheme="majorEastAsia" w:hAnsi="Arial" w:cs="Arial"/>
          <w:color w:val="0F1115"/>
        </w:rPr>
        <w:t>On-street residential charging: The role of lampposts</w:t>
      </w:r>
      <w:r w:rsidRPr="00E16343">
        <w:rPr>
          <w:rFonts w:ascii="Arial" w:hAnsi="Arial" w:cs="Arial"/>
          <w:color w:val="0F1115"/>
        </w:rPr>
        <w:t>. Available at: </w:t>
      </w:r>
      <w:hyperlink r:id="rId14" w:tgtFrame="_blank" w:history="1">
        <w:r w:rsidRPr="00E16343">
          <w:rPr>
            <w:rStyle w:val="Hyperlink"/>
            <w:rFonts w:ascii="Arial" w:eastAsiaTheme="majorEastAsia" w:hAnsi="Arial" w:cs="Arial"/>
            <w:color w:val="3964FE"/>
            <w:bdr w:val="single" w:sz="12" w:space="0" w:color="auto" w:frame="1"/>
          </w:rPr>
          <w:t>https://www.zap-map.com/on-street-residential-charging-lampposts/</w:t>
        </w:r>
      </w:hyperlink>
      <w:r w:rsidRPr="00E16343">
        <w:rPr>
          <w:rFonts w:ascii="Arial" w:hAnsi="Arial" w:cs="Arial"/>
          <w:color w:val="0F1115"/>
        </w:rPr>
        <w:t> (Accessed: 3 December 2024).</w:t>
      </w:r>
    </w:p>
    <w:p w14:paraId="55836449" w14:textId="77777777" w:rsidR="009F73A9" w:rsidRPr="00E16343" w:rsidRDefault="009F73A9" w:rsidP="00E16343">
      <w:pPr>
        <w:spacing w:line="360" w:lineRule="auto"/>
        <w:rPr>
          <w:rFonts w:ascii="Arial" w:hAnsi="Arial" w:cs="Arial"/>
          <w:lang w:eastAsia="en-GB"/>
        </w:rPr>
      </w:pPr>
    </w:p>
    <w:p w14:paraId="1B2DFF26" w14:textId="6FA2ECA6" w:rsidR="00D40D52" w:rsidRPr="00D40D52" w:rsidRDefault="00F50FBE" w:rsidP="00D40D52">
      <w:pPr>
        <w:shd w:val="clear" w:color="auto" w:fill="FFFFFF"/>
        <w:spacing w:before="480" w:after="240" w:line="450" w:lineRule="atLeast"/>
        <w:outlineLvl w:val="2"/>
        <w:rPr>
          <w:rFonts w:ascii="Segoe UI" w:eastAsia="Times New Roman" w:hAnsi="Segoe UI" w:cs="Segoe UI"/>
          <w:b/>
          <w:bCs/>
          <w:color w:val="0F1115"/>
          <w:kern w:val="0"/>
          <w:sz w:val="30"/>
          <w:szCs w:val="30"/>
          <w:lang w:eastAsia="en-GB"/>
          <w14:ligatures w14:val="none"/>
        </w:rPr>
      </w:pPr>
      <w:r>
        <w:rPr>
          <w:rFonts w:ascii="Segoe UI" w:eastAsia="Times New Roman" w:hAnsi="Segoe UI" w:cs="Segoe UI"/>
          <w:b/>
          <w:bCs/>
          <w:color w:val="0F1115"/>
          <w:kern w:val="0"/>
          <w:sz w:val="30"/>
          <w:szCs w:val="30"/>
          <w:lang w:eastAsia="en-GB"/>
          <w14:ligatures w14:val="none"/>
        </w:rPr>
        <w:t xml:space="preserve"> </w:t>
      </w:r>
    </w:p>
    <w:p w14:paraId="13853EF5" w14:textId="77777777" w:rsidR="00EE51D1" w:rsidRPr="00EE51D1" w:rsidRDefault="00EE51D1" w:rsidP="00EE51D1">
      <w:pPr>
        <w:shd w:val="clear" w:color="auto" w:fill="FFFFFF"/>
        <w:spacing w:before="480" w:after="240" w:line="450" w:lineRule="atLeast"/>
        <w:outlineLvl w:val="2"/>
        <w:rPr>
          <w:rFonts w:ascii="Segoe UI" w:eastAsia="Times New Roman" w:hAnsi="Segoe UI" w:cs="Segoe UI"/>
          <w:color w:val="0F1115"/>
          <w:kern w:val="0"/>
          <w:sz w:val="30"/>
          <w:szCs w:val="30"/>
          <w:lang w:eastAsia="en-GB"/>
          <w14:ligatures w14:val="none"/>
        </w:rPr>
      </w:pPr>
    </w:p>
    <w:p w14:paraId="2E6D176C" w14:textId="7648F05F" w:rsidR="00C6634D" w:rsidRPr="00C6634D" w:rsidRDefault="00C6634D" w:rsidP="00C6634D">
      <w:pPr>
        <w:spacing w:after="0" w:line="240" w:lineRule="auto"/>
        <w:rPr>
          <w:rFonts w:ascii="Times New Roman" w:eastAsia="Times New Roman" w:hAnsi="Times New Roman" w:cs="Times New Roman"/>
          <w:kern w:val="0"/>
          <w:lang w:eastAsia="en-GB"/>
          <w14:ligatures w14:val="none"/>
        </w:rPr>
      </w:pPr>
    </w:p>
    <w:p w14:paraId="1A7EBBBA" w14:textId="77777777" w:rsidR="006349C0" w:rsidRPr="006349C0" w:rsidRDefault="006349C0" w:rsidP="006349C0">
      <w:pPr>
        <w:shd w:val="clear" w:color="auto" w:fill="FFFFFF"/>
        <w:spacing w:before="240" w:after="240" w:line="420" w:lineRule="atLeast"/>
        <w:outlineLvl w:val="3"/>
        <w:rPr>
          <w:rFonts w:ascii="Segoe UI" w:eastAsia="Times New Roman" w:hAnsi="Segoe UI" w:cs="Segoe UI"/>
          <w:b/>
          <w:bCs/>
          <w:color w:val="0F1115"/>
          <w:kern w:val="0"/>
          <w:lang w:eastAsia="en-GB"/>
          <w14:ligatures w14:val="none"/>
        </w:rPr>
      </w:pPr>
    </w:p>
    <w:p w14:paraId="5DF4780C" w14:textId="77777777" w:rsidR="00CC2757" w:rsidRPr="00CC2757" w:rsidRDefault="00CC2757" w:rsidP="00CC2757">
      <w:pPr>
        <w:shd w:val="clear" w:color="auto" w:fill="FFFFFF"/>
        <w:spacing w:before="240" w:after="240" w:line="420" w:lineRule="atLeast"/>
        <w:outlineLvl w:val="3"/>
        <w:rPr>
          <w:rFonts w:ascii="Segoe UI" w:eastAsia="Times New Roman" w:hAnsi="Segoe UI" w:cs="Segoe UI"/>
          <w:b/>
          <w:bCs/>
          <w:color w:val="0F1115"/>
          <w:kern w:val="0"/>
          <w:lang w:eastAsia="en-GB"/>
          <w14:ligatures w14:val="none"/>
        </w:rPr>
      </w:pPr>
    </w:p>
    <w:p w14:paraId="274C5D70" w14:textId="77777777" w:rsidR="00FA7917" w:rsidRPr="00FA7917" w:rsidRDefault="00FA7917" w:rsidP="00FA7917">
      <w:pPr>
        <w:shd w:val="clear" w:color="auto" w:fill="FFFFFF"/>
        <w:spacing w:before="240" w:after="240" w:line="420" w:lineRule="atLeast"/>
        <w:outlineLvl w:val="3"/>
        <w:rPr>
          <w:rFonts w:ascii="Segoe UI" w:eastAsia="Times New Roman" w:hAnsi="Segoe UI" w:cs="Segoe UI"/>
          <w:b/>
          <w:bCs/>
          <w:color w:val="0F1115"/>
          <w:kern w:val="0"/>
          <w:lang w:eastAsia="en-GB"/>
          <w14:ligatures w14:val="none"/>
        </w:rPr>
      </w:pPr>
    </w:p>
    <w:p w14:paraId="1E6D79E8" w14:textId="77777777" w:rsidR="005A1E43" w:rsidRPr="005A1E43" w:rsidRDefault="005A1E43" w:rsidP="005A1E43">
      <w:pPr>
        <w:shd w:val="clear" w:color="auto" w:fill="FFFFFF"/>
        <w:spacing w:before="240" w:after="240" w:line="420" w:lineRule="atLeast"/>
        <w:outlineLvl w:val="3"/>
        <w:rPr>
          <w:rFonts w:ascii="Segoe UI" w:eastAsia="Times New Roman" w:hAnsi="Segoe UI" w:cs="Segoe UI"/>
          <w:b/>
          <w:bCs/>
          <w:color w:val="0F1115"/>
          <w:kern w:val="0"/>
          <w:lang w:eastAsia="en-GB"/>
          <w14:ligatures w14:val="none"/>
        </w:rPr>
      </w:pPr>
    </w:p>
    <w:p w14:paraId="65368338" w14:textId="77777777" w:rsidR="00B41E58" w:rsidRPr="00B41E58" w:rsidRDefault="00B41E58" w:rsidP="00B41E58">
      <w:pPr>
        <w:shd w:val="clear" w:color="auto" w:fill="FFFFFF"/>
        <w:spacing w:before="240" w:after="240" w:line="420" w:lineRule="atLeast"/>
        <w:outlineLvl w:val="3"/>
        <w:rPr>
          <w:rFonts w:ascii="Segoe UI" w:eastAsia="Times New Roman" w:hAnsi="Segoe UI" w:cs="Segoe UI"/>
          <w:b/>
          <w:bCs/>
          <w:color w:val="0F1115"/>
          <w:kern w:val="0"/>
          <w:lang w:eastAsia="en-GB"/>
          <w14:ligatures w14:val="none"/>
        </w:rPr>
      </w:pPr>
    </w:p>
    <w:p w14:paraId="59B2C2F1" w14:textId="77777777" w:rsidR="00590235" w:rsidRPr="000517B4" w:rsidRDefault="00590235" w:rsidP="000517B4">
      <w:pPr>
        <w:shd w:val="clear" w:color="auto" w:fill="FFFFFF"/>
        <w:spacing w:before="240" w:after="240" w:line="420" w:lineRule="atLeast"/>
        <w:outlineLvl w:val="3"/>
        <w:rPr>
          <w:rFonts w:ascii="Segoe UI" w:eastAsia="Times New Roman" w:hAnsi="Segoe UI" w:cs="Segoe UI"/>
          <w:b/>
          <w:bCs/>
          <w:color w:val="0F1115"/>
          <w:kern w:val="0"/>
          <w:lang w:eastAsia="en-GB"/>
          <w14:ligatures w14:val="none"/>
        </w:rPr>
      </w:pPr>
    </w:p>
    <w:p w14:paraId="6F364163" w14:textId="77777777" w:rsidR="00481ECE" w:rsidRPr="00481ECE" w:rsidRDefault="00481ECE" w:rsidP="00481ECE">
      <w:pPr>
        <w:shd w:val="clear" w:color="auto" w:fill="FFFFFF"/>
        <w:spacing w:before="240" w:after="240" w:line="420" w:lineRule="atLeast"/>
        <w:outlineLvl w:val="3"/>
        <w:rPr>
          <w:rFonts w:ascii="Segoe UI" w:eastAsia="Times New Roman" w:hAnsi="Segoe UI" w:cs="Segoe UI"/>
          <w:b/>
          <w:bCs/>
          <w:color w:val="0F1115"/>
          <w:kern w:val="0"/>
          <w:lang w:eastAsia="en-GB"/>
          <w14:ligatures w14:val="none"/>
        </w:rPr>
      </w:pPr>
    </w:p>
    <w:p w14:paraId="08A31482" w14:textId="77777777" w:rsidR="000E2930" w:rsidRPr="000E2930" w:rsidRDefault="000E2930" w:rsidP="000E2930">
      <w:pPr>
        <w:shd w:val="clear" w:color="auto" w:fill="FFFFFF"/>
        <w:spacing w:before="240" w:after="240" w:line="420" w:lineRule="atLeast"/>
        <w:outlineLvl w:val="3"/>
        <w:rPr>
          <w:rFonts w:ascii="Segoe UI" w:eastAsia="Times New Roman" w:hAnsi="Segoe UI" w:cs="Segoe UI"/>
          <w:b/>
          <w:bCs/>
          <w:color w:val="0F1115"/>
          <w:kern w:val="0"/>
          <w:lang w:eastAsia="en-GB"/>
          <w14:ligatures w14:val="none"/>
        </w:rPr>
      </w:pPr>
    </w:p>
    <w:p w14:paraId="7C275F8F" w14:textId="77777777" w:rsidR="000E2930" w:rsidRPr="00634634" w:rsidRDefault="000E2930" w:rsidP="00634634">
      <w:pPr>
        <w:shd w:val="clear" w:color="auto" w:fill="FFFFFF"/>
        <w:spacing w:before="480" w:after="240" w:line="450" w:lineRule="atLeast"/>
        <w:outlineLvl w:val="2"/>
        <w:rPr>
          <w:rFonts w:ascii="Segoe UI" w:eastAsia="Times New Roman" w:hAnsi="Segoe UI" w:cs="Segoe UI"/>
          <w:b/>
          <w:bCs/>
          <w:color w:val="0F1115"/>
          <w:kern w:val="0"/>
          <w:lang w:eastAsia="en-GB"/>
          <w14:ligatures w14:val="none"/>
        </w:rPr>
      </w:pPr>
    </w:p>
    <w:p w14:paraId="78942F24" w14:textId="77777777" w:rsidR="00B419E0" w:rsidRPr="00C22707" w:rsidRDefault="00B419E0" w:rsidP="00C22707">
      <w:pPr>
        <w:shd w:val="clear" w:color="auto" w:fill="FFFFFF"/>
        <w:spacing w:before="480" w:after="240" w:line="450" w:lineRule="atLeast"/>
        <w:outlineLvl w:val="2"/>
        <w:rPr>
          <w:rFonts w:ascii="Segoe UI" w:eastAsia="Times New Roman" w:hAnsi="Segoe UI" w:cs="Segoe UI"/>
          <w:b/>
          <w:bCs/>
          <w:color w:val="0F1115"/>
          <w:kern w:val="0"/>
          <w:sz w:val="30"/>
          <w:szCs w:val="30"/>
          <w:lang w:eastAsia="en-GB"/>
          <w14:ligatures w14:val="none"/>
        </w:rPr>
      </w:pPr>
    </w:p>
    <w:p w14:paraId="34E0DF7F" w14:textId="77777777" w:rsidR="00C22707" w:rsidRDefault="00C22707" w:rsidP="008D11A5">
      <w:pPr>
        <w:pStyle w:val="NormalWeb"/>
      </w:pPr>
    </w:p>
    <w:p w14:paraId="271663A9" w14:textId="77777777" w:rsidR="008D11A5" w:rsidRDefault="008D11A5" w:rsidP="00A34883">
      <w:pPr>
        <w:pStyle w:val="NormalWeb"/>
      </w:pPr>
    </w:p>
    <w:p w14:paraId="7164EADD" w14:textId="77777777" w:rsidR="001514AE" w:rsidRPr="001514AE" w:rsidRDefault="001514AE" w:rsidP="001514AE">
      <w:pPr>
        <w:spacing w:line="360" w:lineRule="auto"/>
        <w:rPr>
          <w:rFonts w:ascii="Arial" w:hAnsi="Arial" w:cs="Arial"/>
          <w:b/>
          <w:bCs/>
          <w:u w:val="single"/>
        </w:rPr>
      </w:pPr>
    </w:p>
    <w:p w14:paraId="2AA029EA" w14:textId="77777777" w:rsidR="005155CD" w:rsidRDefault="005155CD"/>
    <w:sectPr w:rsidR="005155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F30C1"/>
    <w:multiLevelType w:val="hybridMultilevel"/>
    <w:tmpl w:val="2F36B3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5D400C"/>
    <w:multiLevelType w:val="hybridMultilevel"/>
    <w:tmpl w:val="ACD88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545223"/>
    <w:multiLevelType w:val="hybridMultilevel"/>
    <w:tmpl w:val="A3DCC46E"/>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num w:numId="1" w16cid:durableId="1349865170">
    <w:abstractNumId w:val="0"/>
  </w:num>
  <w:num w:numId="2" w16cid:durableId="1383019048">
    <w:abstractNumId w:val="2"/>
  </w:num>
  <w:num w:numId="3" w16cid:durableId="1905869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084"/>
    <w:rsid w:val="000517B4"/>
    <w:rsid w:val="000623A0"/>
    <w:rsid w:val="00082CD2"/>
    <w:rsid w:val="00094127"/>
    <w:rsid w:val="000A16CE"/>
    <w:rsid w:val="000D5A17"/>
    <w:rsid w:val="000E2930"/>
    <w:rsid w:val="000F6C53"/>
    <w:rsid w:val="0013586E"/>
    <w:rsid w:val="00146C23"/>
    <w:rsid w:val="001514AE"/>
    <w:rsid w:val="001B3EB1"/>
    <w:rsid w:val="002A3CFB"/>
    <w:rsid w:val="002B553E"/>
    <w:rsid w:val="003F1295"/>
    <w:rsid w:val="00431084"/>
    <w:rsid w:val="004563B6"/>
    <w:rsid w:val="004617A2"/>
    <w:rsid w:val="00481ECE"/>
    <w:rsid w:val="00501452"/>
    <w:rsid w:val="005155CD"/>
    <w:rsid w:val="005200E3"/>
    <w:rsid w:val="00590235"/>
    <w:rsid w:val="005A1E43"/>
    <w:rsid w:val="005A3F86"/>
    <w:rsid w:val="005C7620"/>
    <w:rsid w:val="005D2D41"/>
    <w:rsid w:val="00634634"/>
    <w:rsid w:val="006349C0"/>
    <w:rsid w:val="00697147"/>
    <w:rsid w:val="008141B2"/>
    <w:rsid w:val="008220B3"/>
    <w:rsid w:val="008525D3"/>
    <w:rsid w:val="00871D3C"/>
    <w:rsid w:val="008A5E41"/>
    <w:rsid w:val="008D11A5"/>
    <w:rsid w:val="008E4FF9"/>
    <w:rsid w:val="00956ACC"/>
    <w:rsid w:val="00994B6B"/>
    <w:rsid w:val="009C080E"/>
    <w:rsid w:val="009C0EB8"/>
    <w:rsid w:val="009D0CEC"/>
    <w:rsid w:val="009F73A9"/>
    <w:rsid w:val="00A34883"/>
    <w:rsid w:val="00AA5315"/>
    <w:rsid w:val="00AD3BC6"/>
    <w:rsid w:val="00AE67A1"/>
    <w:rsid w:val="00B07ED0"/>
    <w:rsid w:val="00B419E0"/>
    <w:rsid w:val="00B41E58"/>
    <w:rsid w:val="00BB21CE"/>
    <w:rsid w:val="00BD4765"/>
    <w:rsid w:val="00C22707"/>
    <w:rsid w:val="00C31558"/>
    <w:rsid w:val="00C65DCE"/>
    <w:rsid w:val="00C6634D"/>
    <w:rsid w:val="00CC2757"/>
    <w:rsid w:val="00CD2BD0"/>
    <w:rsid w:val="00D12A48"/>
    <w:rsid w:val="00D40D52"/>
    <w:rsid w:val="00DD525C"/>
    <w:rsid w:val="00E16343"/>
    <w:rsid w:val="00E537FC"/>
    <w:rsid w:val="00E576E8"/>
    <w:rsid w:val="00E65D9A"/>
    <w:rsid w:val="00E8448D"/>
    <w:rsid w:val="00EA5C53"/>
    <w:rsid w:val="00EE51D1"/>
    <w:rsid w:val="00F4590C"/>
    <w:rsid w:val="00F50FBE"/>
    <w:rsid w:val="00FA7917"/>
    <w:rsid w:val="00FE7034"/>
    <w:rsid w:val="00FF25E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DE7F075"/>
  <w15:chartTrackingRefBased/>
  <w15:docId w15:val="{6F1806BE-9BC4-4317-9D52-1A390D225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10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10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10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10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10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10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10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10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10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0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10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10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10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10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10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10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10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1084"/>
    <w:rPr>
      <w:rFonts w:eastAsiaTheme="majorEastAsia" w:cstheme="majorBidi"/>
      <w:color w:val="272727" w:themeColor="text1" w:themeTint="D8"/>
    </w:rPr>
  </w:style>
  <w:style w:type="paragraph" w:styleId="Title">
    <w:name w:val="Title"/>
    <w:basedOn w:val="Normal"/>
    <w:next w:val="Normal"/>
    <w:link w:val="TitleChar"/>
    <w:uiPriority w:val="10"/>
    <w:qFormat/>
    <w:rsid w:val="004310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10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10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10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1084"/>
    <w:pPr>
      <w:spacing w:before="160"/>
      <w:jc w:val="center"/>
    </w:pPr>
    <w:rPr>
      <w:i/>
      <w:iCs/>
      <w:color w:val="404040" w:themeColor="text1" w:themeTint="BF"/>
    </w:rPr>
  </w:style>
  <w:style w:type="character" w:customStyle="1" w:styleId="QuoteChar">
    <w:name w:val="Quote Char"/>
    <w:basedOn w:val="DefaultParagraphFont"/>
    <w:link w:val="Quote"/>
    <w:uiPriority w:val="29"/>
    <w:rsid w:val="00431084"/>
    <w:rPr>
      <w:i/>
      <w:iCs/>
      <w:color w:val="404040" w:themeColor="text1" w:themeTint="BF"/>
    </w:rPr>
  </w:style>
  <w:style w:type="paragraph" w:styleId="ListParagraph">
    <w:name w:val="List Paragraph"/>
    <w:basedOn w:val="Normal"/>
    <w:uiPriority w:val="34"/>
    <w:qFormat/>
    <w:rsid w:val="00431084"/>
    <w:pPr>
      <w:ind w:left="720"/>
      <w:contextualSpacing/>
    </w:pPr>
  </w:style>
  <w:style w:type="character" w:styleId="IntenseEmphasis">
    <w:name w:val="Intense Emphasis"/>
    <w:basedOn w:val="DefaultParagraphFont"/>
    <w:uiPriority w:val="21"/>
    <w:qFormat/>
    <w:rsid w:val="00431084"/>
    <w:rPr>
      <w:i/>
      <w:iCs/>
      <w:color w:val="0F4761" w:themeColor="accent1" w:themeShade="BF"/>
    </w:rPr>
  </w:style>
  <w:style w:type="paragraph" w:styleId="IntenseQuote">
    <w:name w:val="Intense Quote"/>
    <w:basedOn w:val="Normal"/>
    <w:next w:val="Normal"/>
    <w:link w:val="IntenseQuoteChar"/>
    <w:uiPriority w:val="30"/>
    <w:qFormat/>
    <w:rsid w:val="004310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1084"/>
    <w:rPr>
      <w:i/>
      <w:iCs/>
      <w:color w:val="0F4761" w:themeColor="accent1" w:themeShade="BF"/>
    </w:rPr>
  </w:style>
  <w:style w:type="character" w:styleId="IntenseReference">
    <w:name w:val="Intense Reference"/>
    <w:basedOn w:val="DefaultParagraphFont"/>
    <w:uiPriority w:val="32"/>
    <w:qFormat/>
    <w:rsid w:val="00431084"/>
    <w:rPr>
      <w:b/>
      <w:bCs/>
      <w:smallCaps/>
      <w:color w:val="0F4761" w:themeColor="accent1" w:themeShade="BF"/>
      <w:spacing w:val="5"/>
    </w:rPr>
  </w:style>
  <w:style w:type="character" w:styleId="Strong">
    <w:name w:val="Strong"/>
    <w:basedOn w:val="DefaultParagraphFont"/>
    <w:uiPriority w:val="22"/>
    <w:qFormat/>
    <w:rsid w:val="00956ACC"/>
    <w:rPr>
      <w:b/>
      <w:bCs/>
    </w:rPr>
  </w:style>
  <w:style w:type="paragraph" w:styleId="NormalWeb">
    <w:name w:val="Normal (Web)"/>
    <w:basedOn w:val="Normal"/>
    <w:uiPriority w:val="99"/>
    <w:semiHidden/>
    <w:unhideWhenUsed/>
    <w:rsid w:val="00A3488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ds-markdown-paragraph">
    <w:name w:val="ds-markdown-paragraph"/>
    <w:basedOn w:val="Normal"/>
    <w:rsid w:val="009F73A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9F73A9"/>
    <w:rPr>
      <w:i/>
      <w:iCs/>
    </w:rPr>
  </w:style>
  <w:style w:type="character" w:styleId="Hyperlink">
    <w:name w:val="Hyperlink"/>
    <w:basedOn w:val="DefaultParagraphFont"/>
    <w:uiPriority w:val="99"/>
    <w:semiHidden/>
    <w:unhideWhenUsed/>
    <w:rsid w:val="009F73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mmt.co.uk/2024/01/new-car-market-hits-1-9-million-in-2023-as-evs-set-next-record/"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yobolt.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jaguarlandrover.com/news/2023/04/jlr-partners-solid-state-battery-pioneer"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gov.uk/government/consultations/zero-emission-vehicle-zev-mandate" TargetMode="External"/><Relationship Id="rId4" Type="http://schemas.openxmlformats.org/officeDocument/2006/relationships/numbering" Target="numbering.xml"/><Relationship Id="rId9" Type="http://schemas.openxmlformats.org/officeDocument/2006/relationships/hyperlink" Target="https://www.bbc.co.uk/news/uk-politics-66893239" TargetMode="External"/><Relationship Id="rId14" Type="http://schemas.openxmlformats.org/officeDocument/2006/relationships/hyperlink" Target="https://www.zap-map.com/on-street-residential-charging-lamppo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d257efb60a94122f913b6b7925b28ed9">
  <xsd:schema xmlns:xsd="http://www.w3.org/2001/XMLSchema" xmlns:xs="http://www.w3.org/2001/XMLSchema" xmlns:p="http://schemas.microsoft.com/office/2006/metadata/properties" xmlns:ns3="f799553d-1ac0-48da-9ae3-fe400ced9c3b" targetNamespace="http://schemas.microsoft.com/office/2006/metadata/properties" ma:root="true" ma:fieldsID="d0386a5b7306df5eda9bdb7404007f22"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2C1189-0219-4BC5-83B3-5B118E60653E}">
  <ds:schemaRefs>
    <ds:schemaRef ds:uri="http://schemas.microsoft.com/sharepoint/v3/contenttype/forms"/>
  </ds:schemaRefs>
</ds:datastoreItem>
</file>

<file path=customXml/itemProps2.xml><?xml version="1.0" encoding="utf-8"?>
<ds:datastoreItem xmlns:ds="http://schemas.openxmlformats.org/officeDocument/2006/customXml" ds:itemID="{F133B0CB-2900-4F12-BFB9-FEBBD9C0D9CB}">
  <ds:schemaRefs>
    <ds:schemaRef ds:uri="http://schemas.microsoft.com/office/2006/metadata/properties"/>
    <ds:schemaRef ds:uri="http://schemas.microsoft.com/office/infopath/2007/PartnerControls"/>
    <ds:schemaRef ds:uri="f799553d-1ac0-48da-9ae3-fe400ced9c3b"/>
  </ds:schemaRefs>
</ds:datastoreItem>
</file>

<file path=customXml/itemProps3.xml><?xml version="1.0" encoding="utf-8"?>
<ds:datastoreItem xmlns:ds="http://schemas.openxmlformats.org/officeDocument/2006/customXml" ds:itemID="{5950C0AB-D007-43D6-B915-C5E7F4D74D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1735</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Ahmed (2436755)</dc:creator>
  <cp:keywords/>
  <dc:description/>
  <cp:lastModifiedBy>Ahmed Ahmed (2436755)</cp:lastModifiedBy>
  <cp:revision>91</cp:revision>
  <dcterms:created xsi:type="dcterms:W3CDTF">2025-12-02T13:41:00Z</dcterms:created>
  <dcterms:modified xsi:type="dcterms:W3CDTF">2025-12-03T20:20:00Z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