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64863" w14:textId="77777777" w:rsidR="00BC7C4C" w:rsidRPr="00BC7C4C" w:rsidRDefault="00BC7C4C" w:rsidP="00BC7C4C">
      <w:pPr>
        <w:rPr>
          <w:u w:val="single"/>
        </w:rPr>
      </w:pPr>
      <w:r w:rsidRPr="00BC7C4C">
        <w:rPr>
          <w:u w:val="single"/>
        </w:rPr>
        <w:t>Terms, Acronyms, and Abbreviations Glossary</w:t>
      </w:r>
    </w:p>
    <w:p w14:paraId="3263DF13" w14:textId="77777777" w:rsidR="00BC7C4C" w:rsidRPr="00BC7C4C" w:rsidRDefault="00BC7C4C" w:rsidP="00BC7C4C">
      <w:pPr>
        <w:rPr>
          <w:u w:val="single"/>
        </w:rPr>
      </w:pPr>
      <w:r w:rsidRPr="00BC7C4C">
        <w:rPr>
          <w:u w:val="single"/>
        </w:rPr>
        <w:t>A</w:t>
      </w:r>
    </w:p>
    <w:p w14:paraId="3C719EF7" w14:textId="77777777" w:rsidR="00BC7C4C" w:rsidRPr="00BC7C4C" w:rsidRDefault="00BC7C4C" w:rsidP="00BC7C4C">
      <w:r w:rsidRPr="00BC7C4C">
        <w:t>ACOP (Approved Code of Practice)</w:t>
      </w:r>
      <w:r w:rsidRPr="00BC7C4C">
        <w:br/>
        <w:t>Practical guidance issued alongside regulations that must be followed to comply with legal requirements.</w:t>
      </w:r>
    </w:p>
    <w:p w14:paraId="6DEC3302" w14:textId="77777777" w:rsidR="00BC7C4C" w:rsidRPr="00BC7C4C" w:rsidRDefault="00BC7C4C" w:rsidP="00BC7C4C">
      <w:r w:rsidRPr="00BC7C4C">
        <w:t>Asbestos Survey</w:t>
      </w:r>
      <w:r w:rsidRPr="00BC7C4C">
        <w:br/>
        <w:t>An inspection carried out to identify the presence of asbestos-containing materials in a building prior to construction or demolition work.</w:t>
      </w:r>
    </w:p>
    <w:p w14:paraId="196DC64B" w14:textId="52EF73F6" w:rsidR="00BC7C4C" w:rsidRPr="00BC7C4C" w:rsidRDefault="00BC7C4C" w:rsidP="00BC7C4C"/>
    <w:p w14:paraId="235CFABF" w14:textId="77777777" w:rsidR="00BC7C4C" w:rsidRPr="00BC7C4C" w:rsidRDefault="00BC7C4C" w:rsidP="00BC7C4C">
      <w:pPr>
        <w:rPr>
          <w:u w:val="single"/>
        </w:rPr>
      </w:pPr>
      <w:r w:rsidRPr="00BC7C4C">
        <w:rPr>
          <w:u w:val="single"/>
        </w:rPr>
        <w:t>B</w:t>
      </w:r>
    </w:p>
    <w:p w14:paraId="410C4083" w14:textId="77777777" w:rsidR="00BC7C4C" w:rsidRPr="00BC7C4C" w:rsidRDefault="00BC7C4C" w:rsidP="00BC7C4C">
      <w:r w:rsidRPr="00BC7C4C">
        <w:t>Building Safety Act 2022</w:t>
      </w:r>
      <w:r w:rsidRPr="00BC7C4C">
        <w:br/>
        <w:t>UK legislation aimed at improving building design, construction standards, and overall safety.</w:t>
      </w:r>
    </w:p>
    <w:p w14:paraId="0E13B43D" w14:textId="77777777" w:rsidR="00BC7C4C" w:rsidRPr="00BC7C4C" w:rsidRDefault="00BC7C4C" w:rsidP="00BC7C4C">
      <w:r w:rsidRPr="00BC7C4C">
        <w:t>Building Safety Regulator (BSR)</w:t>
      </w:r>
      <w:r w:rsidRPr="00BC7C4C">
        <w:br/>
        <w:t>The regulatory body responsible for enforcing building safety legislation in the UK.</w:t>
      </w:r>
    </w:p>
    <w:p w14:paraId="24F6490D" w14:textId="47408819" w:rsidR="00BC7C4C" w:rsidRPr="00BC7C4C" w:rsidRDefault="00BC7C4C" w:rsidP="00BC7C4C"/>
    <w:p w14:paraId="175D36BD" w14:textId="77777777" w:rsidR="00BC7C4C" w:rsidRPr="00BC7C4C" w:rsidRDefault="00BC7C4C" w:rsidP="00BC7C4C">
      <w:pPr>
        <w:rPr>
          <w:u w:val="single"/>
        </w:rPr>
      </w:pPr>
      <w:r w:rsidRPr="00BC7C4C">
        <w:rPr>
          <w:u w:val="single"/>
        </w:rPr>
        <w:t>C</w:t>
      </w:r>
    </w:p>
    <w:p w14:paraId="6E09C148" w14:textId="77777777" w:rsidR="00BC7C4C" w:rsidRPr="00BC7C4C" w:rsidRDefault="00BC7C4C" w:rsidP="00BC7C4C">
      <w:r w:rsidRPr="00BC7C4C">
        <w:t>CDM Regulations 2015 (Construction Design and Management Regulations)</w:t>
      </w:r>
      <w:r w:rsidRPr="00BC7C4C">
        <w:br/>
        <w:t>Regulations governing the management of health, safety, and welfare during construction projects.</w:t>
      </w:r>
    </w:p>
    <w:p w14:paraId="0748D215" w14:textId="77777777" w:rsidR="00BC7C4C" w:rsidRPr="00BC7C4C" w:rsidRDefault="00BC7C4C" w:rsidP="00BC7C4C">
      <w:r w:rsidRPr="00BC7C4C">
        <w:t>Construction Phase Plan (CPP)</w:t>
      </w:r>
      <w:r w:rsidRPr="00BC7C4C">
        <w:br/>
        <w:t>A document prepared by the Principal Contractor outlining how health and safety will be managed throughout the project.</w:t>
      </w:r>
    </w:p>
    <w:p w14:paraId="0FB02AE7" w14:textId="11B1F7DC" w:rsidR="00BC7C4C" w:rsidRPr="00BC7C4C" w:rsidRDefault="00BC7C4C" w:rsidP="00BC7C4C"/>
    <w:p w14:paraId="746A8707" w14:textId="77777777" w:rsidR="00BC7C4C" w:rsidRPr="00BC7C4C" w:rsidRDefault="00BC7C4C" w:rsidP="00BC7C4C">
      <w:pPr>
        <w:rPr>
          <w:u w:val="single"/>
        </w:rPr>
      </w:pPr>
      <w:r w:rsidRPr="00BC7C4C">
        <w:rPr>
          <w:u w:val="single"/>
        </w:rPr>
        <w:t>D</w:t>
      </w:r>
    </w:p>
    <w:p w14:paraId="35CB10B4" w14:textId="77777777" w:rsidR="00BC7C4C" w:rsidRPr="00BC7C4C" w:rsidRDefault="00BC7C4C" w:rsidP="00BC7C4C">
      <w:r w:rsidRPr="00BC7C4C">
        <w:t>Dutyholder</w:t>
      </w:r>
      <w:r w:rsidRPr="00BC7C4C">
        <w:br/>
        <w:t>An individual or organisation with legal responsibility for health and safety compliance.</w:t>
      </w:r>
    </w:p>
    <w:p w14:paraId="4A4C984A" w14:textId="737E5F0D" w:rsidR="00BC7C4C" w:rsidRPr="00BC7C4C" w:rsidRDefault="00BC7C4C" w:rsidP="00BC7C4C"/>
    <w:p w14:paraId="777B32FC" w14:textId="77777777" w:rsidR="00BC7C4C" w:rsidRPr="00BC7C4C" w:rsidRDefault="00BC7C4C" w:rsidP="00BC7C4C">
      <w:pPr>
        <w:rPr>
          <w:u w:val="single"/>
        </w:rPr>
      </w:pPr>
      <w:r w:rsidRPr="00BC7C4C">
        <w:rPr>
          <w:u w:val="single"/>
        </w:rPr>
        <w:t>H</w:t>
      </w:r>
    </w:p>
    <w:p w14:paraId="4C5FE129" w14:textId="77777777" w:rsidR="00BC7C4C" w:rsidRPr="00BC7C4C" w:rsidRDefault="00BC7C4C" w:rsidP="00BC7C4C">
      <w:r w:rsidRPr="00BC7C4C">
        <w:t>HSE (Health and Safety Executive)</w:t>
      </w:r>
      <w:r w:rsidRPr="00BC7C4C">
        <w:br/>
        <w:t>The UK authority responsible for enforcing workplace health and safety laws.</w:t>
      </w:r>
    </w:p>
    <w:p w14:paraId="154DC63A" w14:textId="77777777" w:rsidR="00BC7C4C" w:rsidRPr="00BC7C4C" w:rsidRDefault="00BC7C4C" w:rsidP="00BC7C4C">
      <w:r w:rsidRPr="00BC7C4C">
        <w:lastRenderedPageBreak/>
        <w:t>HSWA (Health and Safety at Work etc. Act 1974)</w:t>
      </w:r>
      <w:r w:rsidRPr="00BC7C4C">
        <w:br/>
        <w:t>The primary legislation governing occupational health and safety in the UK.</w:t>
      </w:r>
    </w:p>
    <w:p w14:paraId="63BA5ADC" w14:textId="77777777" w:rsidR="00BC7C4C" w:rsidRPr="00BC7C4C" w:rsidRDefault="00BC7C4C" w:rsidP="00BC7C4C">
      <w:r w:rsidRPr="00BC7C4C">
        <w:t>Health and Safety File</w:t>
      </w:r>
      <w:r w:rsidRPr="00BC7C4C">
        <w:br/>
        <w:t>A document prepared under CDM Regulations containing essential safety information for the future use, maintenance, and management of a building.</w:t>
      </w:r>
    </w:p>
    <w:p w14:paraId="7F3CA82C" w14:textId="52117566" w:rsidR="00BC7C4C" w:rsidRPr="00BC7C4C" w:rsidRDefault="00BC7C4C" w:rsidP="00BC7C4C"/>
    <w:p w14:paraId="550CA2A9" w14:textId="77777777" w:rsidR="00BC7C4C" w:rsidRPr="00BC7C4C" w:rsidRDefault="00BC7C4C" w:rsidP="00BC7C4C">
      <w:pPr>
        <w:rPr>
          <w:u w:val="single"/>
        </w:rPr>
      </w:pPr>
      <w:r w:rsidRPr="00BC7C4C">
        <w:rPr>
          <w:u w:val="single"/>
        </w:rPr>
        <w:t>M</w:t>
      </w:r>
    </w:p>
    <w:p w14:paraId="60C8FED7" w14:textId="77777777" w:rsidR="00BC7C4C" w:rsidRPr="00BC7C4C" w:rsidRDefault="00BC7C4C" w:rsidP="00BC7C4C">
      <w:r w:rsidRPr="00BC7C4C">
        <w:t>Method Statement</w:t>
      </w:r>
      <w:r w:rsidRPr="00BC7C4C">
        <w:br/>
        <w:t>A document outlining how a specific task will be carried out safely.</w:t>
      </w:r>
    </w:p>
    <w:p w14:paraId="19E568F5" w14:textId="77777777" w:rsidR="00BC7C4C" w:rsidRPr="00BC7C4C" w:rsidRDefault="00BC7C4C" w:rsidP="00BC7C4C">
      <w:r w:rsidRPr="00BC7C4C">
        <w:t>Management of Health and Safety at Work Regulations 1999</w:t>
      </w:r>
      <w:r w:rsidRPr="00BC7C4C">
        <w:br/>
        <w:t>Regulations requiring employers to assess risks in the workplace and implement appropriate control measures.</w:t>
      </w:r>
    </w:p>
    <w:p w14:paraId="10F8333B" w14:textId="02D1B7AE" w:rsidR="00BC7C4C" w:rsidRPr="00BC7C4C" w:rsidRDefault="00BC7C4C" w:rsidP="00BC7C4C"/>
    <w:p w14:paraId="1CD22911" w14:textId="77777777" w:rsidR="00BC7C4C" w:rsidRPr="00BC7C4C" w:rsidRDefault="00BC7C4C" w:rsidP="00BC7C4C">
      <w:pPr>
        <w:rPr>
          <w:u w:val="single"/>
        </w:rPr>
      </w:pPr>
      <w:r w:rsidRPr="00BC7C4C">
        <w:rPr>
          <w:u w:val="single"/>
        </w:rPr>
        <w:t>P</w:t>
      </w:r>
    </w:p>
    <w:p w14:paraId="457E215B" w14:textId="77777777" w:rsidR="00BC7C4C" w:rsidRPr="00BC7C4C" w:rsidRDefault="00BC7C4C" w:rsidP="00BC7C4C">
      <w:r w:rsidRPr="00BC7C4C">
        <w:t>PPE (Personal Protective Equipment)</w:t>
      </w:r>
      <w:r w:rsidRPr="00BC7C4C">
        <w:br/>
        <w:t>Equipment worn by workers to reduce exposure to hazards and prevent injury, such as hard hats, gloves, eye protection, and high-visibility clothing.</w:t>
      </w:r>
    </w:p>
    <w:p w14:paraId="12D27209" w14:textId="77777777" w:rsidR="00BC7C4C" w:rsidRPr="00BC7C4C" w:rsidRDefault="00BC7C4C" w:rsidP="00BC7C4C">
      <w:r w:rsidRPr="00BC7C4C">
        <w:t>Principal Contractor (PC)</w:t>
      </w:r>
      <w:r w:rsidRPr="00BC7C4C">
        <w:br/>
        <w:t>The contractor responsible for managing health and safety during the construction phase of a project.</w:t>
      </w:r>
    </w:p>
    <w:p w14:paraId="2E6D6BCF" w14:textId="77777777" w:rsidR="00BC7C4C" w:rsidRPr="00BC7C4C" w:rsidRDefault="00BC7C4C" w:rsidP="00BC7C4C">
      <w:r w:rsidRPr="00BC7C4C">
        <w:t>Principal Designer (PD)</w:t>
      </w:r>
      <w:r w:rsidRPr="00BC7C4C">
        <w:br/>
        <w:t>The designer responsible for planning, managing, and monitoring health and safety during the design phase.</w:t>
      </w:r>
    </w:p>
    <w:p w14:paraId="36CDA1F1" w14:textId="428037B9" w:rsidR="00BC7C4C" w:rsidRPr="00BC7C4C" w:rsidRDefault="00BC7C4C" w:rsidP="00BC7C4C"/>
    <w:p w14:paraId="09CA67CE" w14:textId="77777777" w:rsidR="00BC7C4C" w:rsidRPr="00BC7C4C" w:rsidRDefault="00BC7C4C" w:rsidP="00BC7C4C">
      <w:pPr>
        <w:rPr>
          <w:u w:val="single"/>
        </w:rPr>
      </w:pPr>
      <w:r w:rsidRPr="00BC7C4C">
        <w:rPr>
          <w:u w:val="single"/>
        </w:rPr>
        <w:t>R</w:t>
      </w:r>
    </w:p>
    <w:p w14:paraId="34FD07BA" w14:textId="77777777" w:rsidR="00BC7C4C" w:rsidRPr="00BC7C4C" w:rsidRDefault="00BC7C4C" w:rsidP="00BC7C4C">
      <w:r w:rsidRPr="00BC7C4C">
        <w:t>RAMS (Risk Assessment Method Statement)</w:t>
      </w:r>
      <w:r w:rsidRPr="00BC7C4C">
        <w:br/>
        <w:t>A combined document that identifies risks and outlines safe methods of working.</w:t>
      </w:r>
    </w:p>
    <w:p w14:paraId="6A1E45C1" w14:textId="77777777" w:rsidR="00BC7C4C" w:rsidRPr="00BC7C4C" w:rsidRDefault="00BC7C4C" w:rsidP="00BC7C4C">
      <w:r w:rsidRPr="00BC7C4C">
        <w:t>Risk Assessment</w:t>
      </w:r>
      <w:r w:rsidRPr="00BC7C4C">
        <w:br/>
        <w:t>The process of identifying hazards and evaluating the associated risks.</w:t>
      </w:r>
    </w:p>
    <w:p w14:paraId="2666FF7E" w14:textId="4BE67FD0" w:rsidR="00BC7C4C" w:rsidRPr="00BC7C4C" w:rsidRDefault="00BC7C4C" w:rsidP="00BC7C4C"/>
    <w:p w14:paraId="58643A59" w14:textId="77777777" w:rsidR="00BC7C4C" w:rsidRPr="00BC7C4C" w:rsidRDefault="00BC7C4C" w:rsidP="00BC7C4C">
      <w:pPr>
        <w:rPr>
          <w:u w:val="single"/>
        </w:rPr>
      </w:pPr>
      <w:r w:rsidRPr="00BC7C4C">
        <w:rPr>
          <w:u w:val="single"/>
        </w:rPr>
        <w:t>S</w:t>
      </w:r>
    </w:p>
    <w:p w14:paraId="181F3D4E" w14:textId="77777777" w:rsidR="00BC7C4C" w:rsidRPr="00BC7C4C" w:rsidRDefault="00BC7C4C" w:rsidP="00BC7C4C">
      <w:r w:rsidRPr="00BC7C4C">
        <w:lastRenderedPageBreak/>
        <w:t>Safe System of Work (SSOW)</w:t>
      </w:r>
      <w:r w:rsidRPr="00BC7C4C">
        <w:br/>
        <w:t>A formal procedure designed to ensure tasks are carried out safely and risks are controlled.</w:t>
      </w:r>
    </w:p>
    <w:p w14:paraId="017F8C11" w14:textId="64C2239B" w:rsidR="00BC7C4C" w:rsidRPr="00BC7C4C" w:rsidRDefault="00BC7C4C" w:rsidP="00BC7C4C"/>
    <w:p w14:paraId="152D1A88" w14:textId="77777777" w:rsidR="00BC7C4C" w:rsidRPr="00BC7C4C" w:rsidRDefault="00BC7C4C" w:rsidP="00BC7C4C">
      <w:pPr>
        <w:rPr>
          <w:u w:val="single"/>
        </w:rPr>
      </w:pPr>
      <w:r w:rsidRPr="00BC7C4C">
        <w:rPr>
          <w:u w:val="single"/>
        </w:rPr>
        <w:t>W</w:t>
      </w:r>
    </w:p>
    <w:p w14:paraId="7E5F8947" w14:textId="77777777" w:rsidR="00BC7C4C" w:rsidRPr="00BC7C4C" w:rsidRDefault="00BC7C4C" w:rsidP="00BC7C4C">
      <w:r w:rsidRPr="00BC7C4C">
        <w:t>Work at Height Regulations 2005</w:t>
      </w:r>
      <w:r w:rsidRPr="00BC7C4C">
        <w:br/>
        <w:t>Regulations aimed at preventing injury and fatalities caused by falls from height.</w:t>
      </w:r>
    </w:p>
    <w:p w14:paraId="32226523" w14:textId="77777777" w:rsidR="00BC7C4C" w:rsidRPr="00BC7C4C" w:rsidRDefault="00BC7C4C" w:rsidP="00BC7C4C">
      <w:r w:rsidRPr="00BC7C4C">
        <w:t>Welsh Building Safety Bill</w:t>
      </w:r>
      <w:r w:rsidRPr="00BC7C4C">
        <w:br/>
        <w:t>Proposed legislation specific to Wales addressing building safety management, accountability, and regulatory oversight.</w:t>
      </w:r>
    </w:p>
    <w:p w14:paraId="22CDEC88" w14:textId="1C5ACA07" w:rsidR="00C96149" w:rsidRPr="00BC7C4C" w:rsidRDefault="00BC7C4C">
      <w:r w:rsidRPr="00BC7C4C">
        <w:rPr>
          <w:noProof/>
        </w:rPr>
        <w:drawing>
          <wp:anchor distT="0" distB="0" distL="114300" distR="114300" simplePos="0" relativeHeight="251658240" behindDoc="0" locked="0" layoutInCell="1" allowOverlap="1" wp14:anchorId="0E94F10E" wp14:editId="44F8F051">
            <wp:simplePos x="0" y="0"/>
            <wp:positionH relativeFrom="column">
              <wp:posOffset>137160</wp:posOffset>
            </wp:positionH>
            <wp:positionV relativeFrom="paragraph">
              <wp:posOffset>68580</wp:posOffset>
            </wp:positionV>
            <wp:extent cx="5634910" cy="3752850"/>
            <wp:effectExtent l="0" t="0" r="4445" b="0"/>
            <wp:wrapNone/>
            <wp:docPr id="433586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34910" cy="3752850"/>
                    </a:xfrm>
                    <a:prstGeom prst="rect">
                      <a:avLst/>
                    </a:prstGeom>
                    <a:noFill/>
                  </pic:spPr>
                </pic:pic>
              </a:graphicData>
            </a:graphic>
            <wp14:sizeRelH relativeFrom="page">
              <wp14:pctWidth>0</wp14:pctWidth>
            </wp14:sizeRelH>
            <wp14:sizeRelV relativeFrom="page">
              <wp14:pctHeight>0</wp14:pctHeight>
            </wp14:sizeRelV>
          </wp:anchor>
        </w:drawing>
      </w:r>
    </w:p>
    <w:p w14:paraId="00D595D2" w14:textId="523A0C35" w:rsidR="00BC7C4C" w:rsidRPr="00BC7C4C" w:rsidRDefault="00BC7C4C"/>
    <w:p w14:paraId="08B85EFC" w14:textId="1FF530B8" w:rsidR="00BC7C4C" w:rsidRPr="00BC7C4C" w:rsidRDefault="00BC7C4C"/>
    <w:p w14:paraId="14163B31" w14:textId="215527BA" w:rsidR="00BC7C4C" w:rsidRPr="00BC7C4C" w:rsidRDefault="00BC7C4C"/>
    <w:p w14:paraId="21DD76AF" w14:textId="77777777" w:rsidR="00BC7C4C" w:rsidRPr="00BC7C4C" w:rsidRDefault="00BC7C4C"/>
    <w:p w14:paraId="61DA8263" w14:textId="77777777" w:rsidR="00BC7C4C" w:rsidRPr="00BC7C4C" w:rsidRDefault="00BC7C4C"/>
    <w:p w14:paraId="36D21D95" w14:textId="77777777" w:rsidR="00BC7C4C" w:rsidRPr="00BC7C4C" w:rsidRDefault="00BC7C4C"/>
    <w:p w14:paraId="7DB2B222" w14:textId="77777777" w:rsidR="00BC7C4C" w:rsidRPr="00BC7C4C" w:rsidRDefault="00BC7C4C"/>
    <w:p w14:paraId="0AFA0A69" w14:textId="77777777" w:rsidR="00BC7C4C" w:rsidRPr="00BC7C4C" w:rsidRDefault="00BC7C4C"/>
    <w:p w14:paraId="5BE5E414" w14:textId="1C29FF1B" w:rsidR="00BC7C4C" w:rsidRPr="00BC7C4C" w:rsidRDefault="00BC7C4C"/>
    <w:p w14:paraId="473B9236" w14:textId="77777777" w:rsidR="00BC7C4C" w:rsidRPr="00BC7C4C" w:rsidRDefault="00BC7C4C"/>
    <w:p w14:paraId="669C0BD1" w14:textId="77777777" w:rsidR="00BC7C4C" w:rsidRPr="00BC7C4C" w:rsidRDefault="00BC7C4C"/>
    <w:p w14:paraId="05B3AAEB" w14:textId="77777777" w:rsidR="00BC7C4C" w:rsidRPr="00BC7C4C" w:rsidRDefault="00BC7C4C"/>
    <w:p w14:paraId="7983E83C" w14:textId="7BEC7FD2" w:rsidR="00BC7C4C" w:rsidRDefault="00BC7C4C" w:rsidP="00BC7C4C">
      <w:proofErr w:type="spellStart"/>
      <w:r w:rsidRPr="00BC7C4C">
        <w:t>Nation.cymru</w:t>
      </w:r>
      <w:proofErr w:type="spellEnd"/>
      <w:r w:rsidRPr="00BC7C4C">
        <w:t>. (2024). Available at: https://nation.cymru/wp-content/uploads/2024/05/Nation-11.jpg [Accessed 7 May 2026].</w:t>
      </w:r>
    </w:p>
    <w:p w14:paraId="6058D7BE" w14:textId="77777777" w:rsidR="00BC7C4C" w:rsidRDefault="00BC7C4C" w:rsidP="00BC7C4C"/>
    <w:p w14:paraId="4142E42C" w14:textId="77777777" w:rsidR="00BC7C4C" w:rsidRDefault="00BC7C4C" w:rsidP="00BC7C4C"/>
    <w:p w14:paraId="0FEFA06C" w14:textId="77777777" w:rsidR="00BC7C4C" w:rsidRDefault="00BC7C4C" w:rsidP="00BC7C4C"/>
    <w:p w14:paraId="0BD2A225" w14:textId="77777777" w:rsidR="00BC7C4C" w:rsidRDefault="00BC7C4C" w:rsidP="00BC7C4C"/>
    <w:p w14:paraId="4DF4418F" w14:textId="77777777" w:rsidR="00BC7C4C" w:rsidRPr="00BC7C4C" w:rsidRDefault="00BC7C4C" w:rsidP="00BC7C4C"/>
    <w:p w14:paraId="15CE5FD3" w14:textId="77777777" w:rsidR="00BC7C4C" w:rsidRPr="00BC7C4C" w:rsidRDefault="00BC7C4C" w:rsidP="00BC7C4C">
      <w:pPr>
        <w:rPr>
          <w:u w:val="single"/>
        </w:rPr>
      </w:pPr>
      <w:r w:rsidRPr="00BC7C4C">
        <w:rPr>
          <w:u w:val="single"/>
        </w:rPr>
        <w:lastRenderedPageBreak/>
        <w:t>Introduction</w:t>
      </w:r>
    </w:p>
    <w:p w14:paraId="293ECDDD" w14:textId="77777777" w:rsidR="00BC7C4C" w:rsidRPr="00BC7C4C" w:rsidRDefault="00BC7C4C" w:rsidP="00BC7C4C">
      <w:r w:rsidRPr="00BC7C4C">
        <w:t>The construction industry can be a high-risk industry at times, contributing to one of the highest rates of fatal injuries of all industries in the UK according to the most recent available statistics (HSE, 2023). This is due to the nature of the work, which can create numerous hazards as well as the complexity of the work. The planned upgrade of Croft Street Block 2 in Swansea will involve work that poses several hazards in the workplace and can constitute significant health and safety risks. This is because the retrofit work is being carried out in a high-rise residential building occupied by residents during construction activities (Swansea Council, 2026).</w:t>
      </w:r>
    </w:p>
    <w:p w14:paraId="696C5134" w14:textId="77777777" w:rsidR="00BC7C4C" w:rsidRPr="00BC7C4C" w:rsidRDefault="00BC7C4C" w:rsidP="00BC7C4C">
      <w:r w:rsidRPr="00BC7C4C">
        <w:t>Such projects can involve structural changes, fire safety measures, façade renovations, and installation of services. Each of these aspects of the project poses its own unique and significant risks. The risks on the project can include working at height, fire hazards, potential asbestos exposure, and risks to occupants. This is the reason why it is crucial that there should be a strong health and safety plan in place for the project.</w:t>
      </w:r>
    </w:p>
    <w:p w14:paraId="7B742163" w14:textId="77777777" w:rsidR="00BC7C4C" w:rsidRPr="00BC7C4C" w:rsidRDefault="00BC7C4C" w:rsidP="00BC7C4C">
      <w:r w:rsidRPr="00BC7C4C">
        <w:t xml:space="preserve">The Grenfell Tower incident of 2017 has been instrumental in several changes to regulations governing health and safety in recent years (UK Government, 2022). A significant legislative response to the construction of high-rise housing came when the UK Government introduced the Building Safety Act 2022 (UK Government, 2022). A Building Safety (Wales) Bill has also been proposed and is likely to come into fruition in the future (Taylor, Johnson and Gordon-Weeks, 2026). This is positive for health and safety improvements within the construction industry overall. However, it must also be pointed out that adherence to the Health and Safety at Work etc. Act 1974 and the Construction (Design and Management) Regulations 2015 still </w:t>
      </w:r>
      <w:proofErr w:type="gramStart"/>
      <w:r w:rsidRPr="00BC7C4C">
        <w:t>plays</w:t>
      </w:r>
      <w:proofErr w:type="gramEnd"/>
      <w:r w:rsidRPr="00BC7C4C">
        <w:t xml:space="preserve"> a crucial part in successfully pursuing this project to an acceptable level of safety (HSE, 1974; HSE, 2015).</w:t>
      </w:r>
    </w:p>
    <w:p w14:paraId="3131C994" w14:textId="77777777" w:rsidR="00BC7C4C" w:rsidRPr="00BC7C4C" w:rsidRDefault="00BC7C4C" w:rsidP="00BC7C4C">
      <w:r w:rsidRPr="00BC7C4C">
        <w:t>The Building Safety Act 2022 as well as the Building Safety (Wales) Bill shall be evaluated in this essay in the context of the Croft Street Block 2 retrofit. It will also consider key health and safety legislation relating to project managerial aspects, including processes and training needs. This demonstrates how the Construction (Design and Management) Regulations 2015 (CDM 2015) can be effectively implemented to reduce risks and improve project safety.</w:t>
      </w:r>
    </w:p>
    <w:p w14:paraId="5E0EFAEC" w14:textId="2EDABB3D" w:rsidR="00BC7C4C" w:rsidRPr="00BC7C4C" w:rsidRDefault="00BC7C4C" w:rsidP="00BC7C4C"/>
    <w:p w14:paraId="7FBD067F" w14:textId="77777777" w:rsidR="00BC7C4C" w:rsidRPr="00BC7C4C" w:rsidRDefault="00BC7C4C" w:rsidP="00BC7C4C">
      <w:pPr>
        <w:rPr>
          <w:u w:val="single"/>
        </w:rPr>
      </w:pPr>
      <w:r w:rsidRPr="00BC7C4C">
        <w:rPr>
          <w:u w:val="single"/>
        </w:rPr>
        <w:t>Relevance of the Building Safety Act and Building Safety (Wales) Bill</w:t>
      </w:r>
    </w:p>
    <w:p w14:paraId="11AF4361" w14:textId="65A290CE" w:rsidR="00BC7C4C" w:rsidRPr="00BC7C4C" w:rsidRDefault="00BC7C4C" w:rsidP="00BC7C4C">
      <w:r w:rsidRPr="00BC7C4C">
        <w:t xml:space="preserve">Over the past two decades, the Building Safety Act 2022 has been among the most significant reforms to building safety regulation in the UK (UK Government, 2022). The Act primarily applies in England but applies similar principles in Wales as outlined in the Building Safety (Wales) Bill (Welsh Government, 2023). Due to the nature of Croft Street </w:t>
      </w:r>
      <w:r w:rsidRPr="00BC7C4C">
        <w:lastRenderedPageBreak/>
        <w:t>being a high-rise residential tower occupied by residents, these legislative and regulatory changes are highly relevant to the retrofit project (Swansea Council, 2026; UK Government, 2022).</w:t>
      </w:r>
    </w:p>
    <w:p w14:paraId="0BB8A2DA" w14:textId="77777777" w:rsidR="00BC7C4C" w:rsidRPr="00BC7C4C" w:rsidRDefault="00BC7C4C" w:rsidP="00BC7C4C">
      <w:r w:rsidRPr="00BC7C4C">
        <w:t>The Grenfell Tower tragedy illustrated deficiencies in fire safety management systems and regulatory oversight (UK Government, 2022). Industry-wide improvements in health and safety may also result in increased scrutiny and more rigorous regulation. In other words, the regulations encourage a more thorough focus on fire safety, structural integrity, competence, and building information management across the entire lifecycle of a building.</w:t>
      </w:r>
    </w:p>
    <w:p w14:paraId="454C4B07" w14:textId="77777777" w:rsidR="00BC7C4C" w:rsidRPr="00BC7C4C" w:rsidRDefault="00BC7C4C" w:rsidP="00BC7C4C">
      <w:r w:rsidRPr="00BC7C4C">
        <w:t xml:space="preserve">In the context of this new legislation, one of the most significant impacts identified is the development of better-defined </w:t>
      </w:r>
      <w:proofErr w:type="spellStart"/>
      <w:r w:rsidRPr="00BC7C4C">
        <w:t>dutyholder</w:t>
      </w:r>
      <w:proofErr w:type="spellEnd"/>
      <w:r w:rsidRPr="00BC7C4C">
        <w:t xml:space="preserve"> responsibilities. The responsible parties in this project are the client, principal designer, and principal contractor. Each party to this project needs the requisite competence to perform their responsibilities. This requires the client to investigate whether the principal contractor is competent during the procurement process. After the principal contractor wins the contract for this project, it becomes their responsibility to maintain this standard of competence. This also entails ensuring the competence of their own staff, designers, subcontractors, consultants, and surveyors.</w:t>
      </w:r>
    </w:p>
    <w:p w14:paraId="1AE73079" w14:textId="77777777" w:rsidR="00BC7C4C" w:rsidRPr="00BC7C4C" w:rsidRDefault="00BC7C4C" w:rsidP="00BC7C4C">
      <w:r w:rsidRPr="00BC7C4C">
        <w:t>This can be achieved through different strategies. Ensuring any designers, consultants, engineers, and surveyors are thoroughly qualified before contracting them should be one of the first steps. Chartership from recognised professional organisations such as RICS or ICE can indicate a high level of competence. Research into a firm or individual’s history of work in their respective fields should also be conducted.</w:t>
      </w:r>
    </w:p>
    <w:p w14:paraId="323B5F22" w14:textId="77777777" w:rsidR="00BC7C4C" w:rsidRPr="00BC7C4C" w:rsidRDefault="00BC7C4C" w:rsidP="00BC7C4C">
      <w:r w:rsidRPr="00BC7C4C">
        <w:t>It would also be wise to ensure everyone on site is properly trained before beginning work. If a person is required to operate a Mobile Elevating Work Platform (MEWP), relevant training documentation should be available. Everyone working at height should be able to demonstrate they have received appropriate training for the work they are undertaking.</w:t>
      </w:r>
    </w:p>
    <w:p w14:paraId="2ABD78A4" w14:textId="77777777" w:rsidR="00BC7C4C" w:rsidRPr="00BC7C4C" w:rsidRDefault="00BC7C4C" w:rsidP="00BC7C4C">
      <w:r w:rsidRPr="00BC7C4C">
        <w:t xml:space="preserve">Such requirements should be made clear during site induction and records should be maintained by the principal contractor for the client. There should also be regular verification of training records to ensure workers’ competency certificates are valid and not expired or missing. Furthermore, the site manager ought to lead pre-task safety briefings, site spot checks, and toolbox talks </w:t>
      </w:r>
      <w:proofErr w:type="gramStart"/>
      <w:r w:rsidRPr="00BC7C4C">
        <w:t>in order to</w:t>
      </w:r>
      <w:proofErr w:type="gramEnd"/>
      <w:r w:rsidRPr="00BC7C4C">
        <w:t xml:space="preserve"> ensure health and safety standards are effectively communicated to all personnel on site.</w:t>
      </w:r>
    </w:p>
    <w:p w14:paraId="41C9E486" w14:textId="77777777" w:rsidR="00BC7C4C" w:rsidRPr="00BC7C4C" w:rsidRDefault="00BC7C4C" w:rsidP="00BC7C4C">
      <w:r w:rsidRPr="00BC7C4C">
        <w:t xml:space="preserve">A further highlight of the regulation is the need for a “golden thread” of data (UK Government, 2022). This relates to the development and preservation of accurate digital records of the design, construction, and maintenance processes throughout the building lifecycle. The golden thread keeps important safety information available for </w:t>
      </w:r>
      <w:r w:rsidRPr="00BC7C4C">
        <w:lastRenderedPageBreak/>
        <w:t>future building managers and designers. Records related to fire safety systems, structural adjustments, material use, and design modifications during the project must be properly documented and retained. This increases accountability, supports future maintenance, and assists emergency response efforts.</w:t>
      </w:r>
    </w:p>
    <w:p w14:paraId="7950C450" w14:textId="77777777" w:rsidR="00BC7C4C" w:rsidRPr="00BC7C4C" w:rsidRDefault="00BC7C4C" w:rsidP="00BC7C4C">
      <w:r w:rsidRPr="00BC7C4C">
        <w:t>The legislation also places greater regulatory constraints on the Building Safety Regulator (BSR). Contractors may require formal approval before work can start at certain construction stages. These gateway stages ensure safety is integrated into planning, design, and construction. If safety documentation is incomplete or inaccurate, construction delays may occur.</w:t>
      </w:r>
    </w:p>
    <w:p w14:paraId="46AE65D3" w14:textId="23C12425" w:rsidR="00BC7C4C" w:rsidRPr="00BC7C4C" w:rsidRDefault="00BC7C4C" w:rsidP="00BC7C4C">
      <w:r w:rsidRPr="00BC7C4C">
        <w:t xml:space="preserve">New legislation concerning fire and structural safety is particularly important. Such retrofit works include cladding replacement, fire doors, alarm systems, and compartmentation measures that must meet stringent fire safety requirements. Therefore, fire-resistant and non-combustible materials must be used alongside efficient escape routes </w:t>
      </w:r>
      <w:proofErr w:type="gramStart"/>
      <w:r w:rsidRPr="00BC7C4C">
        <w:t>in order to</w:t>
      </w:r>
      <w:proofErr w:type="gramEnd"/>
      <w:r w:rsidRPr="00BC7C4C">
        <w:t xml:space="preserve"> minimise hazards to residents and </w:t>
      </w:r>
      <w:r w:rsidRPr="00BC7C4C">
        <w:t>workers. Temporary</w:t>
      </w:r>
      <w:r w:rsidRPr="00BC7C4C">
        <w:t xml:space="preserve"> fire risks during construction must also be properly controlled because the building will remain occupied throughout much of the construction process.</w:t>
      </w:r>
    </w:p>
    <w:p w14:paraId="2B8534CF" w14:textId="77777777" w:rsidR="00BC7C4C" w:rsidRPr="00BC7C4C" w:rsidRDefault="00BC7C4C" w:rsidP="00BC7C4C">
      <w:r w:rsidRPr="00BC7C4C">
        <w:t>The regulations also impose requirements for resident involvement. Construction managers must notify residents about risks associated with the work and the measures being undertaken to protect their health and safety. Communication strategies regarding construction activities, access restrictions, emergency procedures, and service interruptions are therefore essential. This not only improves transparency but also protects vulnerable occupants from risks associated with construction activities.</w:t>
      </w:r>
    </w:p>
    <w:p w14:paraId="3047A4EB" w14:textId="77777777" w:rsidR="00BC7C4C" w:rsidRPr="00BC7C4C" w:rsidRDefault="00BC7C4C" w:rsidP="00BC7C4C">
      <w:r w:rsidRPr="00BC7C4C">
        <w:t>The overall effect of the Building Safety Act and the Building Safety (Wales) Bill will therefore be felt throughout the planning, organisation, and delivery of the retrofit project.</w:t>
      </w:r>
    </w:p>
    <w:p w14:paraId="478E9C4B" w14:textId="60C98AB2" w:rsidR="00BC7C4C" w:rsidRPr="00BC7C4C" w:rsidRDefault="00BC7C4C" w:rsidP="00BC7C4C"/>
    <w:p w14:paraId="450EC9AE" w14:textId="77777777" w:rsidR="00BC7C4C" w:rsidRPr="00BC7C4C" w:rsidRDefault="00BC7C4C" w:rsidP="00BC7C4C">
      <w:pPr>
        <w:rPr>
          <w:u w:val="single"/>
        </w:rPr>
      </w:pPr>
      <w:r w:rsidRPr="00BC7C4C">
        <w:rPr>
          <w:u w:val="single"/>
        </w:rPr>
        <w:t>Health and Safety Regulation</w:t>
      </w:r>
    </w:p>
    <w:p w14:paraId="635BE948" w14:textId="77777777" w:rsidR="00BC7C4C" w:rsidRPr="00BC7C4C" w:rsidRDefault="00BC7C4C" w:rsidP="00BC7C4C">
      <w:r w:rsidRPr="00BC7C4C">
        <w:t>A range of occupational health and safety legislation applies to all construction projects; however, certain regulations are particularly relevant to the retrofit of high-rise residential buildings. Compliance requires more than simply understanding legal requirements. Managers must implement effective processes, provide appropriate training, ensure compliance, and foster a strong safety culture throughout the organisation.</w:t>
      </w:r>
    </w:p>
    <w:p w14:paraId="36E97622" w14:textId="23C36694" w:rsidR="00BC7C4C" w:rsidRPr="00BC7C4C" w:rsidRDefault="00BC7C4C" w:rsidP="00BC7C4C">
      <w:r w:rsidRPr="00BC7C4C">
        <w:t>The primary legislation governing workplace health and safety in the UK is the Health and Safety at Work etc. Act 1974 (HSE, 1974). This Act places a general duty on employers to ensure, so far as is reasonably practicable, the health, safety, and welfare of employees and others affected by their activities.</w:t>
      </w:r>
      <w:r>
        <w:t xml:space="preserve"> </w:t>
      </w:r>
      <w:r w:rsidRPr="00BC7C4C">
        <w:t xml:space="preserve">For the Croft Street project, </w:t>
      </w:r>
      <w:r w:rsidRPr="00BC7C4C">
        <w:lastRenderedPageBreak/>
        <w:t>compliance with the HSWA requires clear management policies and strategies. It is essential to promote safe systems of work across all retrofit activities, including working at height, lifting operations, electrical work, and fire safety installations. Close supervision is vital to ensure workers adhere to site safety rules.</w:t>
      </w:r>
    </w:p>
    <w:p w14:paraId="70BD6971" w14:textId="439455EA" w:rsidR="00BC7C4C" w:rsidRPr="00BC7C4C" w:rsidRDefault="00BC7C4C" w:rsidP="00BC7C4C">
      <w:r w:rsidRPr="00BC7C4C">
        <w:t>Managers must carry out risk assessments to identify hazards such as unstable scaffolding, falling materials, asbestos exposure, and risks associated with resident interaction. These risks should be mitigated through appropriate control measures, including edge protection, exclusion zones, and secure scaffolding.</w:t>
      </w:r>
      <w:r>
        <w:t xml:space="preserve"> </w:t>
      </w:r>
      <w:proofErr w:type="gramStart"/>
      <w:r w:rsidRPr="00BC7C4C">
        <w:t>The</w:t>
      </w:r>
      <w:proofErr w:type="gramEnd"/>
      <w:r w:rsidRPr="00BC7C4C">
        <w:t xml:space="preserve"> Management of Health and Safety at Work Regulations 1999 build upon the HSWA by requiring formal risk management procedures (HSE, 1999). Employers must conduct suitable and sufficient risk assessments and implement preventive and protective measures.</w:t>
      </w:r>
    </w:p>
    <w:p w14:paraId="3CD4A435" w14:textId="0001847B" w:rsidR="00BC7C4C" w:rsidRDefault="00BC7C4C" w:rsidP="00BC7C4C">
      <w:r w:rsidRPr="00BC7C4C">
        <w:t>In retrofit projects, managers must consider risks such as working at height, manual handling, asbestos exposure, fire hazards, and confined spaces. Emergency procedures must also be established to address incidents such as fires, structural damage, or medical emergencies.</w:t>
      </w:r>
      <w:r>
        <w:t xml:space="preserve"> </w:t>
      </w:r>
      <w:r w:rsidRPr="00BC7C4C">
        <w:t xml:space="preserve">The Work at Height Regulations 2005 </w:t>
      </w:r>
      <w:proofErr w:type="gramStart"/>
      <w:r w:rsidRPr="00BC7C4C">
        <w:t>are</w:t>
      </w:r>
      <w:proofErr w:type="gramEnd"/>
      <w:r w:rsidRPr="00BC7C4C">
        <w:t xml:space="preserve"> particularly relevant in high-rise retrofit projects where much of the work is carried out above ground level (HSE, 2005).</w:t>
      </w:r>
      <w:r>
        <w:t xml:space="preserve"> Working at height should be avoided where possible due to the high risk of injury it presents</w:t>
      </w:r>
      <w:r w:rsidRPr="00BC7C4C">
        <w:t>. Where this is not feasible, collective protection measures such as scaffolding, guardrails, and safety nets should take priority over personal protective equipment (PPE). Activities such as façade replacement may require suspended platforms or scaffolding systems, which must be closely monitored. Regular inspections and appropriate training in fall prevention are essential.</w:t>
      </w:r>
      <w:r>
        <w:t xml:space="preserve"> </w:t>
      </w:r>
    </w:p>
    <w:p w14:paraId="7F071BEB" w14:textId="6EE1ADAE" w:rsidR="00BC7C4C" w:rsidRPr="00BC7C4C" w:rsidRDefault="00BC7C4C" w:rsidP="00BC7C4C">
      <w:r w:rsidRPr="00BC7C4C">
        <w:t xml:space="preserve">Asbestos presents a significant risk in the retrofit of older residential buildings (HSE, 2012). Disturbing asbestos can release harmful fibres, leading to serious illnesses </w:t>
      </w:r>
      <w:r>
        <w:t xml:space="preserve">like </w:t>
      </w:r>
      <w:r w:rsidRPr="00BC7C4C">
        <w:t>mesothelioma.</w:t>
      </w:r>
      <w:r>
        <w:t xml:space="preserve"> </w:t>
      </w:r>
      <w:r w:rsidRPr="00BC7C4C">
        <w:t>Before work begins, managers must ensure asbestos surveys are conducted to identify the presence and condition of asbestos-containing materials. An asbestos management plan must be implemented, and licensed contractors engaged where required</w:t>
      </w:r>
      <w:r>
        <w:t xml:space="preserve"> to safely remove the asbestos</w:t>
      </w:r>
      <w:r w:rsidRPr="00BC7C4C">
        <w:t>.</w:t>
      </w:r>
      <w:r>
        <w:t xml:space="preserve"> </w:t>
      </w:r>
      <w:r w:rsidRPr="00BC7C4C">
        <w:t xml:space="preserve">Workers must receive asbestos awareness training to recognise and avoid exposure. </w:t>
      </w:r>
    </w:p>
    <w:p w14:paraId="257170EB" w14:textId="448AFB8B" w:rsidR="00BC7C4C" w:rsidRPr="00BC7C4C" w:rsidRDefault="00BC7C4C" w:rsidP="00BC7C4C">
      <w:r w:rsidRPr="00BC7C4C">
        <w:t>Personal protective equipment remains an important control measure on construction sites. Managers must ensure suitable PPE is provided, properly maintained, and correctly used. Typical PPE includes hard hats, gloves, eye protection, high-visibility clothing, and respiratory equipment.</w:t>
      </w:r>
      <w:r>
        <w:t xml:space="preserve"> </w:t>
      </w:r>
      <w:proofErr w:type="gramStart"/>
      <w:r w:rsidRPr="00BC7C4C">
        <w:t>However</w:t>
      </w:r>
      <w:proofErr w:type="gramEnd"/>
      <w:r w:rsidRPr="00BC7C4C">
        <w:t>, PPE should be considered a last line of defence. Wherever possible, hazards should be eliminated or controlled through collective measures before relying on PPE.</w:t>
      </w:r>
    </w:p>
    <w:p w14:paraId="72B91BFB" w14:textId="319EEA47" w:rsidR="00BC7C4C" w:rsidRDefault="00BC7C4C" w:rsidP="00BC7C4C">
      <w:r w:rsidRPr="00BC7C4C">
        <w:t xml:space="preserve"> Managers should implement procedures such as Risk Assessment Method Statements (RAMS), permit-to-work systems, incident reporting systems, and emergency response plans. Performance reviews and accident investigations can further improve safety </w:t>
      </w:r>
      <w:r w:rsidRPr="00BC7C4C">
        <w:lastRenderedPageBreak/>
        <w:t>standards.</w:t>
      </w:r>
      <w:r>
        <w:t xml:space="preserve"> You can also provide incentives for active hazard reporting onsite such as a monthly prize. This should help foster a more safety-conscious culture on the site.  It is important that a reporting culture is present onsite for minor accidents/injuries, near misses or bad practice. From this you can investigate any incidents and make changes to ensure they do not reoccur.</w:t>
      </w:r>
    </w:p>
    <w:p w14:paraId="255759D8" w14:textId="0C6FB596" w:rsidR="00BC7C4C" w:rsidRDefault="00BC7C4C" w:rsidP="00BC7C4C">
      <w:r>
        <w:t>Other things that might be required to ensure there is adequate health and safety onsite may be traffic management plans such as one-way systems. Ensuring there is signage, fencing, barriers and adequate pedestrian routes. Site separation may also be required for different work areas. For example, you may input a ‘respirator area’ separated from other site works where exposure to asbestos could be higher. Only trained workers with a ‘face fit’ would be allowed in this area</w:t>
      </w:r>
      <w:r>
        <w:t>. PUWER,LOLER,Manual Handling regulations and COSHH are all regulations that can</w:t>
      </w:r>
      <w:r>
        <w:t xml:space="preserve"> provide guidance on how to achieve onsite health and safety standards.</w:t>
      </w:r>
    </w:p>
    <w:p w14:paraId="7922580B" w14:textId="7C4EA15A" w:rsidR="00BC7C4C" w:rsidRPr="00BC7C4C" w:rsidRDefault="00BC7C4C" w:rsidP="00BC7C4C">
      <w:r>
        <w:t xml:space="preserve"> Furthermore, you must ensure the ongoing health of all that are onsite. This means that you must provide adequate welfare such as toilets, washing stations, canteens and so on. Toilets must be accessible for all and be sanitary. It may also be necessary to conduct regular checks for rodents onsite as the work may attract them which can pose hygienic hazards. Regular physical examinations of workers onsite can aid in ensuring that your workforce remains healthy. These checkups can examine the general health of workers onsite as well as looking for specific markers that may be caused by the nature of the work. An example of this is checking regularly that your workforce is not experiencing large amounts of lead in their body if lead paint was on site or regularly checking the haring of workers in noisy areas </w:t>
      </w:r>
    </w:p>
    <w:p w14:paraId="427370CF" w14:textId="638E2FB8" w:rsidR="00BC7C4C" w:rsidRPr="00BC7C4C" w:rsidRDefault="00BC7C4C" w:rsidP="00BC7C4C"/>
    <w:p w14:paraId="61BB7C28" w14:textId="77777777" w:rsidR="00BC7C4C" w:rsidRPr="00BC7C4C" w:rsidRDefault="00BC7C4C" w:rsidP="00BC7C4C">
      <w:pPr>
        <w:rPr>
          <w:u w:val="single"/>
        </w:rPr>
      </w:pPr>
      <w:r w:rsidRPr="00BC7C4C">
        <w:rPr>
          <w:u w:val="single"/>
        </w:rPr>
        <w:t>Construction (Design and Management) Regulations 2015 (CDM 2015)</w:t>
      </w:r>
    </w:p>
    <w:p w14:paraId="7096E4E4" w14:textId="77777777" w:rsidR="00BC7C4C" w:rsidRPr="00BC7C4C" w:rsidRDefault="00BC7C4C" w:rsidP="00BC7C4C">
      <w:r w:rsidRPr="00BC7C4C">
        <w:t>Health and safety in construction is largely governed by the Construction (Design and Management) Regulations 2015 (HSE, 2015). These regulations promote the integration of safety throughout all stages of a project, from design to completion.</w:t>
      </w:r>
    </w:p>
    <w:p w14:paraId="1AFE6120" w14:textId="56BEEF1D" w:rsidR="00BC7C4C" w:rsidRPr="00BC7C4C" w:rsidRDefault="00BC7C4C" w:rsidP="00BC7C4C">
      <w:r w:rsidRPr="00BC7C4C">
        <w:t>Given the complexity of the Croft Street retrofit, including multiple contractors, high-risk activities, and occupied premises, compliance with CDM 2015 is essential.</w:t>
      </w:r>
      <w:r>
        <w:t xml:space="preserve"> </w:t>
      </w:r>
      <w:r w:rsidRPr="00BC7C4C">
        <w:t>The client must provide relevant information, including structural drawings, asbestos surveys, and fire safety details. The principal designer reviews the design to identify and mitigate risks.</w:t>
      </w:r>
    </w:p>
    <w:p w14:paraId="071BE24E" w14:textId="24087D75" w:rsidR="00BC7C4C" w:rsidRPr="00BC7C4C" w:rsidRDefault="00BC7C4C" w:rsidP="00BC7C4C">
      <w:r w:rsidRPr="00BC7C4C">
        <w:t>The principal contractor must prepare a Construction Phase Plan (CPP) outlining how risks will be managed. This includes site security, emergency procedures, welfare facilities, traffic management, and contractor coordination.</w:t>
      </w:r>
      <w:r>
        <w:t xml:space="preserve"> </w:t>
      </w:r>
      <w:proofErr w:type="gramStart"/>
      <w:r w:rsidRPr="00BC7C4C">
        <w:t>As</w:t>
      </w:r>
      <w:proofErr w:type="gramEnd"/>
      <w:r w:rsidRPr="00BC7C4C">
        <w:t xml:space="preserve"> the building remains occupied, resident safety is a priority. Construction areas must be separated from living </w:t>
      </w:r>
      <w:r w:rsidRPr="00BC7C4C">
        <w:lastRenderedPageBreak/>
        <w:t>spaces with secure barriers and controlled access points. Clear signage and effective communication with residents are essential.</w:t>
      </w:r>
      <w:r>
        <w:t xml:space="preserve"> </w:t>
      </w:r>
      <w:proofErr w:type="gramStart"/>
      <w:r w:rsidRPr="00BC7C4C">
        <w:t>Working</w:t>
      </w:r>
      <w:proofErr w:type="gramEnd"/>
      <w:r w:rsidRPr="00BC7C4C">
        <w:t xml:space="preserve"> at height must be controlled through safe scaffolding, edge protection, and secure access routes. Lifting operations must be carefully planned and supervised to prevent accidents.</w:t>
      </w:r>
    </w:p>
    <w:p w14:paraId="4048592E" w14:textId="2F0ADD27" w:rsidR="00BC7C4C" w:rsidRDefault="00BC7C4C" w:rsidP="00BC7C4C">
      <w:r w:rsidRPr="00BC7C4C">
        <w:t>Temporary fire safety measures such as alarms, escape routes, fire extinguishers, and control of flammable materials must be implemented. Evacuation procedures should be clearly communicated to both workers and residents.</w:t>
      </w:r>
      <w:r>
        <w:t xml:space="preserve"> </w:t>
      </w:r>
      <w:proofErr w:type="gramStart"/>
      <w:r w:rsidRPr="00BC7C4C">
        <w:t>At</w:t>
      </w:r>
      <w:proofErr w:type="gramEnd"/>
      <w:r w:rsidRPr="00BC7C4C">
        <w:t xml:space="preserve"> project completion, the principal designer must prepare a health and safety file containing key information about the building. This includes as-built drawings, operation manuals, fire safety details, and materials used. (UK Government, 2022).</w:t>
      </w:r>
    </w:p>
    <w:p w14:paraId="4F0E2F8F" w14:textId="77777777" w:rsidR="00BC7C4C" w:rsidRDefault="00BC7C4C" w:rsidP="00BC7C4C"/>
    <w:p w14:paraId="0BEF1031" w14:textId="77777777" w:rsidR="00BC7C4C" w:rsidRDefault="00BC7C4C" w:rsidP="00BC7C4C"/>
    <w:p w14:paraId="37DB6C19" w14:textId="77777777" w:rsidR="00BC7C4C" w:rsidRDefault="00BC7C4C" w:rsidP="00BC7C4C"/>
    <w:p w14:paraId="50EE5FE5" w14:textId="77777777" w:rsidR="00BC7C4C" w:rsidRDefault="00BC7C4C" w:rsidP="00BC7C4C"/>
    <w:p w14:paraId="638DBE33" w14:textId="77777777" w:rsidR="00BC7C4C" w:rsidRDefault="00BC7C4C" w:rsidP="00BC7C4C"/>
    <w:p w14:paraId="0DCB1C15" w14:textId="77777777" w:rsidR="00BC7C4C" w:rsidRDefault="00BC7C4C" w:rsidP="00BC7C4C"/>
    <w:p w14:paraId="7758A107" w14:textId="77777777" w:rsidR="00BC7C4C" w:rsidRDefault="00BC7C4C" w:rsidP="00BC7C4C"/>
    <w:p w14:paraId="4671024A" w14:textId="77777777" w:rsidR="00BC7C4C" w:rsidRDefault="00BC7C4C" w:rsidP="00BC7C4C"/>
    <w:p w14:paraId="3D391B29" w14:textId="77777777" w:rsidR="00BC7C4C" w:rsidRDefault="00BC7C4C" w:rsidP="00BC7C4C"/>
    <w:p w14:paraId="241AE4DD" w14:textId="77777777" w:rsidR="00BC7C4C" w:rsidRDefault="00BC7C4C" w:rsidP="00BC7C4C"/>
    <w:p w14:paraId="1CBAFCA9" w14:textId="77777777" w:rsidR="00BC7C4C" w:rsidRDefault="00BC7C4C" w:rsidP="00BC7C4C"/>
    <w:p w14:paraId="403C12F4" w14:textId="77777777" w:rsidR="00BC7C4C" w:rsidRDefault="00BC7C4C" w:rsidP="00BC7C4C"/>
    <w:p w14:paraId="085FA311" w14:textId="77777777" w:rsidR="00BC7C4C" w:rsidRDefault="00BC7C4C" w:rsidP="00BC7C4C"/>
    <w:p w14:paraId="7DF93C07" w14:textId="77777777" w:rsidR="00BC7C4C" w:rsidRDefault="00BC7C4C" w:rsidP="00BC7C4C"/>
    <w:p w14:paraId="31643C04" w14:textId="77777777" w:rsidR="00BC7C4C" w:rsidRDefault="00BC7C4C" w:rsidP="00BC7C4C"/>
    <w:p w14:paraId="79345B9D" w14:textId="77777777" w:rsidR="00BC7C4C" w:rsidRDefault="00BC7C4C" w:rsidP="00BC7C4C"/>
    <w:p w14:paraId="5C9BC18C" w14:textId="3137F49A" w:rsidR="00BC7C4C" w:rsidRDefault="00BC7C4C" w:rsidP="00BC7C4C"/>
    <w:p w14:paraId="4B6D49B8" w14:textId="77777777" w:rsidR="00BC7C4C" w:rsidRDefault="00BC7C4C" w:rsidP="00BC7C4C"/>
    <w:p w14:paraId="5771F9AB" w14:textId="77777777" w:rsidR="00BC7C4C" w:rsidRDefault="00BC7C4C" w:rsidP="00BC7C4C"/>
    <w:p w14:paraId="436D39CA" w14:textId="77777777" w:rsidR="00BC7C4C" w:rsidRDefault="00BC7C4C" w:rsidP="00BC7C4C"/>
    <w:p w14:paraId="68708773" w14:textId="77777777" w:rsidR="00BC7C4C" w:rsidRDefault="00BC7C4C" w:rsidP="00BC7C4C"/>
    <w:p w14:paraId="3A20D477" w14:textId="77777777" w:rsidR="00BC7C4C" w:rsidRPr="00BC7C4C" w:rsidRDefault="00BC7C4C" w:rsidP="00BC7C4C"/>
    <w:p w14:paraId="32920B29" w14:textId="229C5C50" w:rsidR="00BC7C4C" w:rsidRPr="00BC7C4C" w:rsidRDefault="00BC7C4C" w:rsidP="00BC7C4C">
      <w:pPr>
        <w:rPr>
          <w:u w:val="single"/>
        </w:rPr>
      </w:pPr>
    </w:p>
    <w:p w14:paraId="27C2E861" w14:textId="77777777" w:rsidR="00BC7C4C" w:rsidRPr="00BC7C4C" w:rsidRDefault="00BC7C4C" w:rsidP="00BC7C4C">
      <w:pPr>
        <w:rPr>
          <w:u w:val="single"/>
        </w:rPr>
      </w:pPr>
      <w:r w:rsidRPr="00BC7C4C">
        <w:rPr>
          <w:u w:val="single"/>
        </w:rPr>
        <w:t>Bibliography</w:t>
      </w:r>
    </w:p>
    <w:p w14:paraId="7B59ABD3" w14:textId="77777777" w:rsidR="00BC7C4C" w:rsidRPr="00BC7C4C" w:rsidRDefault="00BC7C4C" w:rsidP="00BC7C4C">
      <w:r w:rsidRPr="00BC7C4C">
        <w:t xml:space="preserve">Health and Safety Executive (HSE) (1974) </w:t>
      </w:r>
      <w:r w:rsidRPr="00BC7C4C">
        <w:rPr>
          <w:i/>
          <w:iCs/>
        </w:rPr>
        <w:t>Health and Safety at Work etc. Act 1974</w:t>
      </w:r>
      <w:r w:rsidRPr="00BC7C4C">
        <w:t>. London: HSE.</w:t>
      </w:r>
    </w:p>
    <w:p w14:paraId="3A21AEA5" w14:textId="77777777" w:rsidR="00BC7C4C" w:rsidRPr="00BC7C4C" w:rsidRDefault="00BC7C4C" w:rsidP="00BC7C4C">
      <w:r w:rsidRPr="00BC7C4C">
        <w:t xml:space="preserve">Health and Safety Executive (HSE) (1999) </w:t>
      </w:r>
      <w:r w:rsidRPr="00BC7C4C">
        <w:rPr>
          <w:i/>
          <w:iCs/>
        </w:rPr>
        <w:t>Management of Health and Safety at Work Regulations 1999</w:t>
      </w:r>
      <w:r w:rsidRPr="00BC7C4C">
        <w:t>. London: HSE.</w:t>
      </w:r>
    </w:p>
    <w:p w14:paraId="3935C67C" w14:textId="77777777" w:rsidR="00BC7C4C" w:rsidRPr="00BC7C4C" w:rsidRDefault="00BC7C4C" w:rsidP="00BC7C4C">
      <w:r w:rsidRPr="00BC7C4C">
        <w:t xml:space="preserve">Health and Safety Executive (HSE) (2005) </w:t>
      </w:r>
      <w:r w:rsidRPr="00BC7C4C">
        <w:rPr>
          <w:i/>
          <w:iCs/>
        </w:rPr>
        <w:t>Work at Height Regulations 2005</w:t>
      </w:r>
      <w:r w:rsidRPr="00BC7C4C">
        <w:t>. London: HSE.</w:t>
      </w:r>
    </w:p>
    <w:p w14:paraId="5F0C5504" w14:textId="77777777" w:rsidR="00BC7C4C" w:rsidRPr="00BC7C4C" w:rsidRDefault="00BC7C4C" w:rsidP="00BC7C4C">
      <w:r w:rsidRPr="00BC7C4C">
        <w:t xml:space="preserve">Health and Safety Executive (HSE) (2012) </w:t>
      </w:r>
      <w:r w:rsidRPr="00BC7C4C">
        <w:rPr>
          <w:i/>
          <w:iCs/>
        </w:rPr>
        <w:t>Control of Asbestos Regulations 2012</w:t>
      </w:r>
      <w:r w:rsidRPr="00BC7C4C">
        <w:t>. London: HSE.</w:t>
      </w:r>
    </w:p>
    <w:p w14:paraId="77266FB6" w14:textId="77777777" w:rsidR="00BC7C4C" w:rsidRPr="00BC7C4C" w:rsidRDefault="00BC7C4C" w:rsidP="00BC7C4C">
      <w:r w:rsidRPr="00BC7C4C">
        <w:t xml:space="preserve">Health and Safety Executive (HSE) (2015) </w:t>
      </w:r>
      <w:r w:rsidRPr="00BC7C4C">
        <w:rPr>
          <w:i/>
          <w:iCs/>
        </w:rPr>
        <w:t>Managing health and safety in construction: Construction (Design and Management) Regulations 2015</w:t>
      </w:r>
      <w:r w:rsidRPr="00BC7C4C">
        <w:t>. London: HSE.</w:t>
      </w:r>
    </w:p>
    <w:p w14:paraId="1898A396" w14:textId="77777777" w:rsidR="00BC7C4C" w:rsidRPr="00BC7C4C" w:rsidRDefault="00BC7C4C" w:rsidP="00BC7C4C">
      <w:r w:rsidRPr="00BC7C4C">
        <w:t xml:space="preserve">Health and Safety Executive (HSE) (2023) </w:t>
      </w:r>
      <w:r w:rsidRPr="00BC7C4C">
        <w:rPr>
          <w:i/>
          <w:iCs/>
        </w:rPr>
        <w:t>Work-related fatal injuries in Great Britain</w:t>
      </w:r>
      <w:r w:rsidRPr="00BC7C4C">
        <w:t xml:space="preserve">. Available at: </w:t>
      </w:r>
      <w:hyperlink r:id="rId6" w:history="1">
        <w:r w:rsidRPr="00BC7C4C">
          <w:rPr>
            <w:rStyle w:val="Hyperlink"/>
          </w:rPr>
          <w:t>HSE Fatal Injuries Statistics</w:t>
        </w:r>
      </w:hyperlink>
      <w:r w:rsidRPr="00BC7C4C">
        <w:t xml:space="preserve"> (Accessed: 7 May 2026).</w:t>
      </w:r>
    </w:p>
    <w:p w14:paraId="32C87EBF" w14:textId="77777777" w:rsidR="00BC7C4C" w:rsidRPr="00BC7C4C" w:rsidRDefault="00BC7C4C" w:rsidP="00BC7C4C">
      <w:r w:rsidRPr="00BC7C4C">
        <w:t xml:space="preserve">Swansea Council (2026) </w:t>
      </w:r>
      <w:r w:rsidRPr="00BC7C4C">
        <w:rPr>
          <w:i/>
          <w:iCs/>
        </w:rPr>
        <w:t>Swansea tower blocks</w:t>
      </w:r>
      <w:r w:rsidRPr="00BC7C4C">
        <w:t xml:space="preserve">. Available at: </w:t>
      </w:r>
      <w:hyperlink r:id="rId7" w:history="1">
        <w:r w:rsidRPr="00BC7C4C">
          <w:rPr>
            <w:rStyle w:val="Hyperlink"/>
          </w:rPr>
          <w:t>Swansea Tower Blocks</w:t>
        </w:r>
      </w:hyperlink>
      <w:r w:rsidRPr="00BC7C4C">
        <w:t xml:space="preserve"> (Accessed: 7 May 2026).</w:t>
      </w:r>
    </w:p>
    <w:p w14:paraId="50B32347" w14:textId="77777777" w:rsidR="00BC7C4C" w:rsidRPr="00BC7C4C" w:rsidRDefault="00BC7C4C" w:rsidP="00BC7C4C">
      <w:r w:rsidRPr="00BC7C4C">
        <w:t xml:space="preserve">Taylor, A., Johnson, H. and Gordon-Weeks, F. (2026) </w:t>
      </w:r>
      <w:r w:rsidRPr="00BC7C4C">
        <w:rPr>
          <w:i/>
          <w:iCs/>
        </w:rPr>
        <w:t>Building Safety (Wales) Bill: the anticipated next stage of Welsh building safety reform</w:t>
      </w:r>
      <w:r w:rsidRPr="00BC7C4C">
        <w:t xml:space="preserve">. Available at: </w:t>
      </w:r>
      <w:hyperlink r:id="rId8" w:history="1">
        <w:r w:rsidRPr="00BC7C4C">
          <w:rPr>
            <w:rStyle w:val="Hyperlink"/>
          </w:rPr>
          <w:t>CMS Law Article</w:t>
        </w:r>
      </w:hyperlink>
      <w:r w:rsidRPr="00BC7C4C">
        <w:t xml:space="preserve"> (Accessed: 7 May 2026).</w:t>
      </w:r>
    </w:p>
    <w:p w14:paraId="035D35FC" w14:textId="77777777" w:rsidR="00BC7C4C" w:rsidRPr="00BC7C4C" w:rsidRDefault="00BC7C4C" w:rsidP="00BC7C4C">
      <w:r w:rsidRPr="00BC7C4C">
        <w:t xml:space="preserve">UK Government (2022) </w:t>
      </w:r>
      <w:r w:rsidRPr="00BC7C4C">
        <w:rPr>
          <w:i/>
          <w:iCs/>
        </w:rPr>
        <w:t>Building Safety Act 2022</w:t>
      </w:r>
      <w:r w:rsidRPr="00BC7C4C">
        <w:t xml:space="preserve">. Available at: </w:t>
      </w:r>
      <w:hyperlink r:id="rId9" w:history="1">
        <w:r w:rsidRPr="00BC7C4C">
          <w:rPr>
            <w:rStyle w:val="Hyperlink"/>
          </w:rPr>
          <w:t>Building Safety Act 2022</w:t>
        </w:r>
      </w:hyperlink>
      <w:r w:rsidRPr="00BC7C4C">
        <w:t xml:space="preserve"> (Accessed: 7 May 2026).</w:t>
      </w:r>
    </w:p>
    <w:p w14:paraId="29ECBA32" w14:textId="77777777" w:rsidR="00BC7C4C" w:rsidRPr="00BC7C4C" w:rsidRDefault="00BC7C4C" w:rsidP="00BC7C4C">
      <w:r w:rsidRPr="00BC7C4C">
        <w:t xml:space="preserve">Welsh Government (2023) </w:t>
      </w:r>
      <w:r w:rsidRPr="00BC7C4C">
        <w:rPr>
          <w:i/>
          <w:iCs/>
        </w:rPr>
        <w:t>Building Safety (Wales) Bill: Explanatory Memorandum</w:t>
      </w:r>
      <w:r w:rsidRPr="00BC7C4C">
        <w:t>. Cardiff: Welsh Government.</w:t>
      </w:r>
    </w:p>
    <w:p w14:paraId="79AFEC19" w14:textId="77777777" w:rsidR="00BC7C4C" w:rsidRPr="00BC7C4C" w:rsidRDefault="00BC7C4C" w:rsidP="00BC7C4C">
      <w:r w:rsidRPr="00BC7C4C">
        <w:t xml:space="preserve">Youle, R. (2024) </w:t>
      </w:r>
      <w:r w:rsidRPr="00BC7C4C">
        <w:rPr>
          <w:i/>
          <w:iCs/>
        </w:rPr>
        <w:t>Dated blocks of flats near Swansea’s High Street are getting a major makeover</w:t>
      </w:r>
      <w:r w:rsidRPr="00BC7C4C">
        <w:t xml:space="preserve">. Available at: </w:t>
      </w:r>
      <w:hyperlink r:id="rId10" w:anchor="comments-wrapper" w:history="1">
        <w:r w:rsidRPr="00BC7C4C">
          <w:rPr>
            <w:rStyle w:val="Hyperlink"/>
          </w:rPr>
          <w:t>Wales Online Article</w:t>
        </w:r>
      </w:hyperlink>
      <w:r w:rsidRPr="00BC7C4C">
        <w:t xml:space="preserve"> (Accessed: 7 May 2026).</w:t>
      </w:r>
    </w:p>
    <w:p w14:paraId="19EC80DC" w14:textId="77777777" w:rsidR="00BC7C4C" w:rsidRPr="00BC7C4C" w:rsidRDefault="00BC7C4C"/>
    <w:p w14:paraId="0D3CC31B" w14:textId="77777777" w:rsidR="00BC7C4C" w:rsidRPr="00BC7C4C" w:rsidRDefault="00BC7C4C"/>
    <w:p w14:paraId="2CEAE0E5" w14:textId="77777777" w:rsidR="00BC7C4C" w:rsidRPr="00BC7C4C" w:rsidRDefault="00BC7C4C"/>
    <w:p w14:paraId="47510418" w14:textId="77777777" w:rsidR="00BC7C4C" w:rsidRPr="00BC7C4C" w:rsidRDefault="00BC7C4C"/>
    <w:p w14:paraId="2DFEF1F2" w14:textId="77777777" w:rsidR="00BC7C4C" w:rsidRPr="00BC7C4C" w:rsidRDefault="00BC7C4C"/>
    <w:p w14:paraId="6A677FC8" w14:textId="77777777" w:rsidR="00BC7C4C" w:rsidRPr="00BC7C4C" w:rsidRDefault="00BC7C4C"/>
    <w:p w14:paraId="0F8E595F" w14:textId="77777777" w:rsidR="00BC7C4C" w:rsidRPr="00BC7C4C" w:rsidRDefault="00BC7C4C"/>
    <w:sectPr w:rsidR="00BC7C4C" w:rsidRPr="00BC7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102C5"/>
    <w:multiLevelType w:val="multilevel"/>
    <w:tmpl w:val="F0A21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4475B"/>
    <w:multiLevelType w:val="multilevel"/>
    <w:tmpl w:val="5C78C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817563"/>
    <w:multiLevelType w:val="multilevel"/>
    <w:tmpl w:val="5192D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BB053C"/>
    <w:multiLevelType w:val="multilevel"/>
    <w:tmpl w:val="15E4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E84F4B"/>
    <w:multiLevelType w:val="multilevel"/>
    <w:tmpl w:val="6B8EA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70163431">
    <w:abstractNumId w:val="3"/>
  </w:num>
  <w:num w:numId="2" w16cid:durableId="489029925">
    <w:abstractNumId w:val="4"/>
  </w:num>
  <w:num w:numId="3" w16cid:durableId="718407722">
    <w:abstractNumId w:val="2"/>
  </w:num>
  <w:num w:numId="4" w16cid:durableId="555090201">
    <w:abstractNumId w:val="1"/>
  </w:num>
  <w:num w:numId="5" w16cid:durableId="1479033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149"/>
    <w:rsid w:val="00BC7C4C"/>
    <w:rsid w:val="00C96149"/>
    <w:rsid w:val="00F44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C7A01"/>
  <w15:chartTrackingRefBased/>
  <w15:docId w15:val="{9F7ECC5E-0E9D-46E2-9E4F-FAA585CC2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1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61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61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61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61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61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61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61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61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1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61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61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61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61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61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61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61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6149"/>
    <w:rPr>
      <w:rFonts w:eastAsiaTheme="majorEastAsia" w:cstheme="majorBidi"/>
      <w:color w:val="272727" w:themeColor="text1" w:themeTint="D8"/>
    </w:rPr>
  </w:style>
  <w:style w:type="paragraph" w:styleId="Title">
    <w:name w:val="Title"/>
    <w:basedOn w:val="Normal"/>
    <w:next w:val="Normal"/>
    <w:link w:val="TitleChar"/>
    <w:uiPriority w:val="10"/>
    <w:qFormat/>
    <w:rsid w:val="00C961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1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1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1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6149"/>
    <w:pPr>
      <w:spacing w:before="160"/>
      <w:jc w:val="center"/>
    </w:pPr>
    <w:rPr>
      <w:i/>
      <w:iCs/>
      <w:color w:val="404040" w:themeColor="text1" w:themeTint="BF"/>
    </w:rPr>
  </w:style>
  <w:style w:type="character" w:customStyle="1" w:styleId="QuoteChar">
    <w:name w:val="Quote Char"/>
    <w:basedOn w:val="DefaultParagraphFont"/>
    <w:link w:val="Quote"/>
    <w:uiPriority w:val="29"/>
    <w:rsid w:val="00C96149"/>
    <w:rPr>
      <w:i/>
      <w:iCs/>
      <w:color w:val="404040" w:themeColor="text1" w:themeTint="BF"/>
    </w:rPr>
  </w:style>
  <w:style w:type="paragraph" w:styleId="ListParagraph">
    <w:name w:val="List Paragraph"/>
    <w:basedOn w:val="Normal"/>
    <w:uiPriority w:val="34"/>
    <w:qFormat/>
    <w:rsid w:val="00C96149"/>
    <w:pPr>
      <w:ind w:left="720"/>
      <w:contextualSpacing/>
    </w:pPr>
  </w:style>
  <w:style w:type="character" w:styleId="IntenseEmphasis">
    <w:name w:val="Intense Emphasis"/>
    <w:basedOn w:val="DefaultParagraphFont"/>
    <w:uiPriority w:val="21"/>
    <w:qFormat/>
    <w:rsid w:val="00C96149"/>
    <w:rPr>
      <w:i/>
      <w:iCs/>
      <w:color w:val="0F4761" w:themeColor="accent1" w:themeShade="BF"/>
    </w:rPr>
  </w:style>
  <w:style w:type="paragraph" w:styleId="IntenseQuote">
    <w:name w:val="Intense Quote"/>
    <w:basedOn w:val="Normal"/>
    <w:next w:val="Normal"/>
    <w:link w:val="IntenseQuoteChar"/>
    <w:uiPriority w:val="30"/>
    <w:qFormat/>
    <w:rsid w:val="00C961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6149"/>
    <w:rPr>
      <w:i/>
      <w:iCs/>
      <w:color w:val="0F4761" w:themeColor="accent1" w:themeShade="BF"/>
    </w:rPr>
  </w:style>
  <w:style w:type="character" w:styleId="IntenseReference">
    <w:name w:val="Intense Reference"/>
    <w:basedOn w:val="DefaultParagraphFont"/>
    <w:uiPriority w:val="32"/>
    <w:qFormat/>
    <w:rsid w:val="00C96149"/>
    <w:rPr>
      <w:b/>
      <w:bCs/>
      <w:smallCaps/>
      <w:color w:val="0F4761" w:themeColor="accent1" w:themeShade="BF"/>
      <w:spacing w:val="5"/>
    </w:rPr>
  </w:style>
  <w:style w:type="character" w:styleId="Hyperlink">
    <w:name w:val="Hyperlink"/>
    <w:basedOn w:val="DefaultParagraphFont"/>
    <w:uiPriority w:val="99"/>
    <w:unhideWhenUsed/>
    <w:rsid w:val="00BC7C4C"/>
    <w:rPr>
      <w:color w:val="467886" w:themeColor="hyperlink"/>
      <w:u w:val="single"/>
    </w:rPr>
  </w:style>
  <w:style w:type="character" w:styleId="UnresolvedMention">
    <w:name w:val="Unresolved Mention"/>
    <w:basedOn w:val="DefaultParagraphFont"/>
    <w:uiPriority w:val="99"/>
    <w:semiHidden/>
    <w:unhideWhenUsed/>
    <w:rsid w:val="00BC7C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ms.law/en/gbr/legal-updates/building-safety-wales-bill-the-anticipated-next-stage-of-welsh-building-safety-reform?utm_source=chatgpt.com" TargetMode="External"/><Relationship Id="rId3" Type="http://schemas.openxmlformats.org/officeDocument/2006/relationships/settings" Target="settings.xml"/><Relationship Id="rId7" Type="http://schemas.openxmlformats.org/officeDocument/2006/relationships/hyperlink" Target="https://www.swansea.gov.uk/swanseatowerblocks?lang=en&amp;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statistics/fatals-overview.htm?utm_source=chatgpt.com"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walesonline.co.uk/news/wales-news/dated-blocks-flats-near-swanseas-29840653?utm_source=chatgpt.com" TargetMode="External"/><Relationship Id="rId4" Type="http://schemas.openxmlformats.org/officeDocument/2006/relationships/webSettings" Target="webSettings.xml"/><Relationship Id="rId9" Type="http://schemas.openxmlformats.org/officeDocument/2006/relationships/hyperlink" Target="https://www.legislation.gov.uk/ukpga/2022/30/content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241</TotalTime>
  <Pages>11</Pages>
  <Words>2991</Words>
  <Characters>17052</Characters>
  <Application>Microsoft Office Word</Application>
  <DocSecurity>0</DocSecurity>
  <Lines>142</Lines>
  <Paragraphs>40</Paragraphs>
  <ScaleCrop>false</ScaleCrop>
  <Company/>
  <LinksUpToDate>false</LinksUpToDate>
  <CharactersWithSpaces>20003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Powell</dc:creator>
  <cp:keywords/>
  <dc:description/>
  <cp:lastModifiedBy>Rhys Powell</cp:lastModifiedBy>
  <cp:revision>1</cp:revision>
  <dcterms:created xsi:type="dcterms:W3CDTF">2026-05-07T11:55:00Z</dcterms:created>
  <dcterms:modified xsi:type="dcterms:W3CDTF">2026-05-07T22:54:00Z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dbba3f9-212b-4b23-8b50-6dd6ff6ac453_Enabled">
    <vt:lpwstr>true</vt:lpwstr>
  </property>
  <property fmtid="{D5CDD505-2E9C-101B-9397-08002B2CF9AE}" pid="3" name="MSIP_Label_2dbba3f9-212b-4b23-8b50-6dd6ff6ac453_SetDate">
    <vt:lpwstr>2026-05-07T22:54:16Z</vt:lpwstr>
  </property>
  <property fmtid="{D5CDD505-2E9C-101B-9397-08002B2CF9AE}" pid="4" name="MSIP_Label_2dbba3f9-212b-4b23-8b50-6dd6ff6ac453_Method">
    <vt:lpwstr>Standard</vt:lpwstr>
  </property>
  <property fmtid="{D5CDD505-2E9C-101B-9397-08002B2CF9AE}" pid="5" name="MSIP_Label_2dbba3f9-212b-4b23-8b50-6dd6ff6ac453_Name">
    <vt:lpwstr>2dbba3f9-212b-4b23-8b50-6dd6ff6ac453</vt:lpwstr>
  </property>
  <property fmtid="{D5CDD505-2E9C-101B-9397-08002B2CF9AE}" pid="6" name="MSIP_Label_2dbba3f9-212b-4b23-8b50-6dd6ff6ac453_SiteId">
    <vt:lpwstr>19f05e49-84c6-45a1-81fe-2de9179458e4</vt:lpwstr>
  </property>
  <property fmtid="{D5CDD505-2E9C-101B-9397-08002B2CF9AE}" pid="7" name="MSIP_Label_2dbba3f9-212b-4b23-8b50-6dd6ff6ac453_ActionId">
    <vt:lpwstr>b07d4551-217b-4699-9a1d-f0225d6d1b67</vt:lpwstr>
  </property>
  <property fmtid="{D5CDD505-2E9C-101B-9397-08002B2CF9AE}" pid="8" name="MSIP_Label_2dbba3f9-212b-4b23-8b50-6dd6ff6ac453_ContentBits">
    <vt:lpwstr>0</vt:lpwstr>
  </property>
  <property fmtid="{D5CDD505-2E9C-101B-9397-08002B2CF9AE}" pid="9" name="MSIP_Label_2dbba3f9-212b-4b23-8b50-6dd6ff6ac453_Tag">
    <vt:lpwstr>10, 3, 0, 1</vt:lpwstr>
  </property>
</Properties>
</file>