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D24C6" w14:textId="77777777" w:rsidR="00987A31" w:rsidRDefault="00987A31" w:rsidP="00987A31">
      <w:pPr>
        <w:spacing w:before="120" w:after="120"/>
        <w:jc w:val="center"/>
        <w:rPr>
          <w:b/>
          <w:bCs/>
          <w:color w:val="000000"/>
          <w:sz w:val="28"/>
          <w:szCs w:val="28"/>
        </w:rPr>
      </w:pPr>
      <w:bookmarkStart w:id="0" w:name="_t6hi0hbz4vmy"/>
      <w:bookmarkEnd w:id="0"/>
      <w:r>
        <w:rPr>
          <w:noProof/>
          <w:color w:val="000000"/>
        </w:rPr>
        <w:drawing>
          <wp:inline distT="0" distB="0" distL="0" distR="0" wp14:anchorId="16574991" wp14:editId="2DAE00DD">
            <wp:extent cx="2787015" cy="1548130"/>
            <wp:effectExtent l="0" t="0" r="0" b="0"/>
            <wp:docPr id="1026" name="Picture 2" descr="university-of-wales-trinity-saint-david-logo-vector | ESRC Wales Doctoral  Training Partnership"/>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srcRect/>
                    <a:stretch/>
                  </pic:blipFill>
                  <pic:spPr>
                    <a:xfrm>
                      <a:off x="0" y="0"/>
                      <a:ext cx="2787015" cy="1548130"/>
                    </a:xfrm>
                    <a:prstGeom prst="rect">
                      <a:avLst/>
                    </a:prstGeom>
                  </pic:spPr>
                </pic:pic>
              </a:graphicData>
            </a:graphic>
          </wp:inline>
        </w:drawing>
      </w:r>
    </w:p>
    <w:p w14:paraId="1C18B2A6" w14:textId="77777777" w:rsidR="00987A31" w:rsidRDefault="00987A31" w:rsidP="00987A31">
      <w:pPr>
        <w:spacing w:before="120" w:after="120"/>
        <w:jc w:val="center"/>
        <w:rPr>
          <w:b/>
          <w:bCs/>
          <w:color w:val="000000"/>
          <w:sz w:val="32"/>
          <w:szCs w:val="32"/>
        </w:rPr>
      </w:pPr>
      <w:r>
        <w:rPr>
          <w:b/>
          <w:bCs/>
          <w:color w:val="000000"/>
          <w:sz w:val="32"/>
          <w:szCs w:val="32"/>
        </w:rPr>
        <w:t>MSc Public Health and Social Care in Practice</w:t>
      </w:r>
    </w:p>
    <w:p w14:paraId="7A8A4160" w14:textId="77777777" w:rsidR="00987A31" w:rsidRDefault="00987A31" w:rsidP="00987A31">
      <w:pPr>
        <w:spacing w:before="120" w:after="120"/>
        <w:jc w:val="center"/>
        <w:rPr>
          <w:b/>
          <w:bCs/>
          <w:color w:val="000000"/>
          <w:sz w:val="28"/>
          <w:szCs w:val="28"/>
        </w:rPr>
      </w:pPr>
      <w:r>
        <w:rPr>
          <w:b/>
          <w:bCs/>
          <w:color w:val="000000"/>
          <w:sz w:val="28"/>
          <w:szCs w:val="28"/>
        </w:rPr>
        <w:t>LCHS7003 Community Care and Management of Longer-term Conditions</w:t>
      </w:r>
    </w:p>
    <w:p w14:paraId="24FAED1F" w14:textId="77777777" w:rsidR="00987A31" w:rsidRDefault="00987A31" w:rsidP="00987A31">
      <w:pPr>
        <w:spacing w:before="120" w:after="120"/>
        <w:jc w:val="center"/>
        <w:rPr>
          <w:b/>
          <w:bCs/>
          <w:color w:val="000000"/>
          <w:sz w:val="28"/>
          <w:szCs w:val="28"/>
        </w:rPr>
      </w:pPr>
    </w:p>
    <w:p w14:paraId="496791CE" w14:textId="77777777" w:rsidR="00987A31" w:rsidRDefault="00987A31" w:rsidP="00987A31">
      <w:pPr>
        <w:spacing w:before="120" w:after="120"/>
        <w:jc w:val="center"/>
        <w:rPr>
          <w:b/>
          <w:bCs/>
          <w:color w:val="000000"/>
          <w:sz w:val="28"/>
          <w:szCs w:val="28"/>
        </w:rPr>
      </w:pPr>
      <w:r>
        <w:rPr>
          <w:b/>
          <w:bCs/>
          <w:color w:val="000000"/>
          <w:sz w:val="28"/>
          <w:szCs w:val="28"/>
        </w:rPr>
        <w:t>Component 1: Information Booklet of Long-term Condition Management</w:t>
      </w:r>
    </w:p>
    <w:p w14:paraId="255179FC" w14:textId="77777777" w:rsidR="00987A31" w:rsidRDefault="00987A31" w:rsidP="00987A31">
      <w:pPr>
        <w:spacing w:before="120" w:after="120"/>
        <w:jc w:val="center"/>
        <w:rPr>
          <w:b/>
          <w:bCs/>
          <w:color w:val="000000"/>
          <w:sz w:val="32"/>
          <w:szCs w:val="32"/>
        </w:rPr>
      </w:pPr>
    </w:p>
    <w:p w14:paraId="41C16C79" w14:textId="77777777" w:rsidR="00987A31" w:rsidRDefault="00987A31" w:rsidP="00987A31">
      <w:pPr>
        <w:spacing w:before="120" w:after="120"/>
        <w:jc w:val="center"/>
        <w:rPr>
          <w:b/>
          <w:bCs/>
          <w:color w:val="000000"/>
          <w:sz w:val="28"/>
          <w:szCs w:val="28"/>
        </w:rPr>
      </w:pPr>
      <w:r>
        <w:rPr>
          <w:b/>
          <w:bCs/>
          <w:color w:val="000000"/>
          <w:sz w:val="28"/>
          <w:szCs w:val="28"/>
        </w:rPr>
        <w:t>Clinical Management and Integrated Care Coordination of COPD</w:t>
      </w:r>
    </w:p>
    <w:p w14:paraId="346B3314" w14:textId="77777777" w:rsidR="00987A31" w:rsidRDefault="00987A31" w:rsidP="00987A31">
      <w:pPr>
        <w:spacing w:before="120" w:after="120"/>
        <w:jc w:val="center"/>
        <w:rPr>
          <w:b/>
          <w:bCs/>
          <w:color w:val="000000"/>
          <w:sz w:val="21"/>
          <w:szCs w:val="21"/>
        </w:rPr>
      </w:pPr>
    </w:p>
    <w:p w14:paraId="0F9346EF" w14:textId="77777777" w:rsidR="00987A31" w:rsidRDefault="00987A31" w:rsidP="00987A31">
      <w:pPr>
        <w:spacing w:before="120" w:after="120"/>
        <w:jc w:val="center"/>
        <w:rPr>
          <w:color w:val="000000"/>
          <w:sz w:val="21"/>
          <w:szCs w:val="21"/>
        </w:rPr>
      </w:pPr>
    </w:p>
    <w:p w14:paraId="2014E8F0" w14:textId="77777777" w:rsidR="00987A31" w:rsidRDefault="00987A31" w:rsidP="00987A31">
      <w:pPr>
        <w:spacing w:before="120" w:after="120"/>
        <w:jc w:val="center"/>
        <w:rPr>
          <w:b/>
          <w:bCs/>
          <w:color w:val="000000"/>
        </w:rPr>
      </w:pPr>
      <w:r>
        <w:rPr>
          <w:b/>
          <w:bCs/>
          <w:color w:val="000000"/>
        </w:rPr>
        <w:t>Lecturer Name: Dr Brian Mashumba</w:t>
      </w:r>
    </w:p>
    <w:p w14:paraId="5D38F5CF" w14:textId="77777777" w:rsidR="00987A31" w:rsidRDefault="00987A31" w:rsidP="00987A31">
      <w:pPr>
        <w:spacing w:before="120" w:after="120"/>
        <w:jc w:val="center"/>
        <w:rPr>
          <w:b/>
          <w:bCs/>
          <w:color w:val="000000"/>
        </w:rPr>
      </w:pPr>
      <w:r>
        <w:rPr>
          <w:b/>
          <w:bCs/>
          <w:color w:val="000000"/>
        </w:rPr>
        <w:t xml:space="preserve">Student Name: Darshan </w:t>
      </w:r>
      <w:proofErr w:type="spellStart"/>
      <w:r>
        <w:rPr>
          <w:b/>
          <w:bCs/>
          <w:color w:val="000000"/>
        </w:rPr>
        <w:t>Bipinbhai</w:t>
      </w:r>
      <w:proofErr w:type="spellEnd"/>
      <w:r>
        <w:rPr>
          <w:b/>
          <w:bCs/>
          <w:color w:val="000000"/>
        </w:rPr>
        <w:t xml:space="preserve"> Sarvaiya</w:t>
      </w:r>
    </w:p>
    <w:p w14:paraId="6D3AEFFF" w14:textId="77777777" w:rsidR="00987A31" w:rsidRDefault="00987A31" w:rsidP="00987A31">
      <w:pPr>
        <w:spacing w:before="120" w:after="120"/>
        <w:jc w:val="center"/>
        <w:rPr>
          <w:b/>
          <w:bCs/>
          <w:color w:val="000000"/>
        </w:rPr>
      </w:pPr>
      <w:r>
        <w:rPr>
          <w:b/>
          <w:bCs/>
          <w:color w:val="000000"/>
        </w:rPr>
        <w:lastRenderedPageBreak/>
        <w:t>Student ID: 2436889</w:t>
      </w:r>
    </w:p>
    <w:p w14:paraId="0915F5C3" w14:textId="77777777" w:rsidR="00987A31" w:rsidRDefault="00987A31" w:rsidP="00987A31">
      <w:pPr>
        <w:spacing w:before="120" w:after="120"/>
        <w:jc w:val="center"/>
        <w:rPr>
          <w:b/>
          <w:bCs/>
          <w:color w:val="000000"/>
        </w:rPr>
      </w:pPr>
    </w:p>
    <w:p w14:paraId="2A81F183" w14:textId="77777777" w:rsidR="00987A31" w:rsidRDefault="00987A31" w:rsidP="00987A31">
      <w:pPr>
        <w:spacing w:before="120" w:after="120"/>
        <w:jc w:val="center"/>
        <w:rPr>
          <w:b/>
          <w:bCs/>
          <w:color w:val="000000"/>
        </w:rPr>
      </w:pPr>
    </w:p>
    <w:p w14:paraId="561B06DB" w14:textId="77777777" w:rsidR="00987A31" w:rsidRDefault="00987A31" w:rsidP="00987A31">
      <w:pPr>
        <w:spacing w:before="120" w:after="120"/>
        <w:rPr>
          <w:b/>
          <w:color w:val="000000"/>
          <w:sz w:val="28"/>
          <w:szCs w:val="28"/>
        </w:rPr>
      </w:pPr>
    </w:p>
    <w:p w14:paraId="65E2D859" w14:textId="77777777" w:rsidR="00987A31" w:rsidRDefault="00987A31" w:rsidP="00987A31">
      <w:pPr>
        <w:pStyle w:val="TOCHeading"/>
        <w:spacing w:before="120" w:after="120" w:line="360" w:lineRule="auto"/>
        <w:jc w:val="center"/>
        <w:rPr>
          <w:b/>
          <w:bCs/>
          <w:color w:val="000000"/>
        </w:rPr>
      </w:pPr>
      <w:r>
        <w:rPr>
          <w:color w:val="000000"/>
        </w:rPr>
        <w:br w:type="page"/>
      </w:r>
      <w:r>
        <w:rPr>
          <w:b/>
          <w:bCs/>
          <w:color w:val="000000"/>
        </w:rPr>
        <w:lastRenderedPageBreak/>
        <w:t>Table of Contents</w:t>
      </w:r>
    </w:p>
    <w:p w14:paraId="4A92B189" w14:textId="77777777" w:rsidR="00987A31" w:rsidRDefault="00987A31" w:rsidP="00987A31">
      <w:pPr>
        <w:pStyle w:val="TOC1"/>
        <w:tabs>
          <w:tab w:val="right" w:leader="dot" w:pos="9016"/>
        </w:tabs>
        <w:rPr>
          <w:rFonts w:ascii="Calibri" w:eastAsia="SimSun" w:hAnsi="Calibri" w:cs="SimSun"/>
          <w:noProof/>
          <w:color w:val="000000"/>
          <w:sz w:val="22"/>
          <w:szCs w:val="22"/>
          <w:lang w:val="en-US"/>
        </w:rPr>
      </w:pPr>
      <w:r>
        <w:rPr>
          <w:color w:val="000000"/>
          <w:lang w:val="en-GB"/>
        </w:rPr>
        <w:fldChar w:fldCharType="begin"/>
      </w:r>
      <w:r>
        <w:rPr>
          <w:rStyle w:val="IndexLink"/>
          <w:webHidden/>
          <w:color w:val="000000"/>
          <w:lang w:val="en-GB"/>
        </w:rPr>
        <w:instrText xml:space="preserve"> TOC \z \o "1-3" \u \h</w:instrText>
      </w:r>
      <w:r>
        <w:rPr>
          <w:rStyle w:val="IndexLink"/>
        </w:rPr>
        <w:fldChar w:fldCharType="separate"/>
      </w:r>
      <w:hyperlink w:anchor="_Toc213684234" w:history="1">
        <w:r>
          <w:rPr>
            <w:rStyle w:val="Hyperlink"/>
            <w:noProof/>
            <w:color w:val="000000"/>
            <w:lang w:val="en-GB"/>
          </w:rPr>
          <w:t>1. Introduction and Scope</w:t>
        </w:r>
        <w:r>
          <w:rPr>
            <w:noProof/>
            <w:webHidden/>
            <w:color w:val="000000"/>
          </w:rPr>
          <w:tab/>
        </w:r>
        <w:r>
          <w:rPr>
            <w:noProof/>
            <w:webHidden/>
            <w:color w:val="000000"/>
          </w:rPr>
          <w:fldChar w:fldCharType="begin"/>
        </w:r>
        <w:r>
          <w:rPr>
            <w:noProof/>
            <w:webHidden/>
            <w:color w:val="000000"/>
          </w:rPr>
          <w:instrText xml:space="preserve"> PAGEREF _Toc213684234 \h </w:instrText>
        </w:r>
        <w:r>
          <w:rPr>
            <w:noProof/>
            <w:webHidden/>
            <w:color w:val="000000"/>
          </w:rPr>
        </w:r>
        <w:r>
          <w:rPr>
            <w:noProof/>
            <w:webHidden/>
            <w:color w:val="000000"/>
          </w:rPr>
          <w:fldChar w:fldCharType="separate"/>
        </w:r>
        <w:r>
          <w:rPr>
            <w:noProof/>
            <w:webHidden/>
            <w:color w:val="000000"/>
          </w:rPr>
          <w:t>1</w:t>
        </w:r>
        <w:r>
          <w:rPr>
            <w:noProof/>
            <w:webHidden/>
            <w:color w:val="000000"/>
          </w:rPr>
          <w:fldChar w:fldCharType="end"/>
        </w:r>
      </w:hyperlink>
    </w:p>
    <w:p w14:paraId="78B1C17D" w14:textId="77777777" w:rsidR="00987A31" w:rsidRDefault="00987A31" w:rsidP="00987A31">
      <w:pPr>
        <w:pStyle w:val="TOC1"/>
        <w:tabs>
          <w:tab w:val="right" w:leader="dot" w:pos="9016"/>
        </w:tabs>
        <w:rPr>
          <w:rFonts w:ascii="Calibri" w:eastAsia="SimSun" w:hAnsi="Calibri" w:cs="SimSun"/>
          <w:noProof/>
          <w:color w:val="000000"/>
          <w:sz w:val="22"/>
          <w:szCs w:val="22"/>
          <w:lang w:val="en-US"/>
        </w:rPr>
      </w:pPr>
      <w:hyperlink w:anchor="_Toc213684235" w:history="1">
        <w:r>
          <w:rPr>
            <w:rStyle w:val="Hyperlink"/>
            <w:noProof/>
            <w:color w:val="000000"/>
            <w:lang w:val="en-GB"/>
          </w:rPr>
          <w:t>2. Epidemiology and Burden</w:t>
        </w:r>
        <w:r>
          <w:rPr>
            <w:noProof/>
            <w:webHidden/>
            <w:color w:val="000000"/>
          </w:rPr>
          <w:tab/>
        </w:r>
        <w:r>
          <w:rPr>
            <w:noProof/>
            <w:webHidden/>
            <w:color w:val="000000"/>
          </w:rPr>
          <w:fldChar w:fldCharType="begin"/>
        </w:r>
        <w:r>
          <w:rPr>
            <w:noProof/>
            <w:webHidden/>
            <w:color w:val="000000"/>
          </w:rPr>
          <w:instrText xml:space="preserve"> PAGEREF _Toc213684235 \h </w:instrText>
        </w:r>
        <w:r>
          <w:rPr>
            <w:noProof/>
            <w:webHidden/>
            <w:color w:val="000000"/>
          </w:rPr>
        </w:r>
        <w:r>
          <w:rPr>
            <w:noProof/>
            <w:webHidden/>
            <w:color w:val="000000"/>
          </w:rPr>
          <w:fldChar w:fldCharType="separate"/>
        </w:r>
        <w:r>
          <w:rPr>
            <w:noProof/>
            <w:webHidden/>
            <w:color w:val="000000"/>
          </w:rPr>
          <w:t>2</w:t>
        </w:r>
        <w:r>
          <w:rPr>
            <w:noProof/>
            <w:webHidden/>
            <w:color w:val="000000"/>
          </w:rPr>
          <w:fldChar w:fldCharType="end"/>
        </w:r>
      </w:hyperlink>
    </w:p>
    <w:p w14:paraId="5658C7C1" w14:textId="77777777" w:rsidR="00987A31" w:rsidRDefault="00987A31" w:rsidP="00987A31">
      <w:pPr>
        <w:pStyle w:val="TOC1"/>
        <w:tabs>
          <w:tab w:val="right" w:leader="dot" w:pos="9016"/>
        </w:tabs>
        <w:rPr>
          <w:rFonts w:ascii="Calibri" w:eastAsia="SimSun" w:hAnsi="Calibri" w:cs="SimSun"/>
          <w:noProof/>
          <w:color w:val="000000"/>
          <w:sz w:val="22"/>
          <w:szCs w:val="22"/>
          <w:lang w:val="en-US"/>
        </w:rPr>
      </w:pPr>
      <w:hyperlink w:anchor="_Toc213684236" w:history="1">
        <w:r>
          <w:rPr>
            <w:rStyle w:val="Hyperlink"/>
            <w:noProof/>
            <w:color w:val="000000"/>
            <w:lang w:val="en-GB"/>
          </w:rPr>
          <w:t>3. Aetiology and Risk Factors</w:t>
        </w:r>
        <w:r>
          <w:rPr>
            <w:noProof/>
            <w:webHidden/>
            <w:color w:val="000000"/>
          </w:rPr>
          <w:tab/>
        </w:r>
        <w:r>
          <w:rPr>
            <w:noProof/>
            <w:webHidden/>
            <w:color w:val="000000"/>
          </w:rPr>
          <w:fldChar w:fldCharType="begin"/>
        </w:r>
        <w:r>
          <w:rPr>
            <w:noProof/>
            <w:webHidden/>
            <w:color w:val="000000"/>
          </w:rPr>
          <w:instrText xml:space="preserve"> PAGEREF _Toc213684236 \h </w:instrText>
        </w:r>
        <w:r>
          <w:rPr>
            <w:noProof/>
            <w:webHidden/>
            <w:color w:val="000000"/>
          </w:rPr>
        </w:r>
        <w:r>
          <w:rPr>
            <w:noProof/>
            <w:webHidden/>
            <w:color w:val="000000"/>
          </w:rPr>
          <w:fldChar w:fldCharType="separate"/>
        </w:r>
        <w:r>
          <w:rPr>
            <w:noProof/>
            <w:webHidden/>
            <w:color w:val="000000"/>
          </w:rPr>
          <w:t>4</w:t>
        </w:r>
        <w:r>
          <w:rPr>
            <w:noProof/>
            <w:webHidden/>
            <w:color w:val="000000"/>
          </w:rPr>
          <w:fldChar w:fldCharType="end"/>
        </w:r>
      </w:hyperlink>
    </w:p>
    <w:p w14:paraId="26F40DF5" w14:textId="77777777" w:rsidR="00987A31" w:rsidRDefault="00987A31" w:rsidP="00987A31">
      <w:pPr>
        <w:pStyle w:val="TOC1"/>
        <w:tabs>
          <w:tab w:val="right" w:leader="dot" w:pos="9016"/>
        </w:tabs>
        <w:rPr>
          <w:rFonts w:ascii="Calibri" w:eastAsia="SimSun" w:hAnsi="Calibri" w:cs="SimSun"/>
          <w:noProof/>
          <w:color w:val="000000"/>
          <w:sz w:val="22"/>
          <w:szCs w:val="22"/>
          <w:lang w:val="en-US"/>
        </w:rPr>
      </w:pPr>
      <w:hyperlink w:anchor="_Toc213684237" w:history="1">
        <w:r>
          <w:rPr>
            <w:rStyle w:val="Hyperlink"/>
            <w:noProof/>
            <w:color w:val="000000"/>
            <w:lang w:val="en-GB"/>
          </w:rPr>
          <w:t>4. Impact on Individuals and Families</w:t>
        </w:r>
        <w:r>
          <w:rPr>
            <w:noProof/>
            <w:webHidden/>
            <w:color w:val="000000"/>
          </w:rPr>
          <w:tab/>
        </w:r>
        <w:r>
          <w:rPr>
            <w:noProof/>
            <w:webHidden/>
            <w:color w:val="000000"/>
          </w:rPr>
          <w:fldChar w:fldCharType="begin"/>
        </w:r>
        <w:r>
          <w:rPr>
            <w:noProof/>
            <w:webHidden/>
            <w:color w:val="000000"/>
          </w:rPr>
          <w:instrText xml:space="preserve"> PAGEREF _Toc213684237 \h </w:instrText>
        </w:r>
        <w:r>
          <w:rPr>
            <w:noProof/>
            <w:webHidden/>
            <w:color w:val="000000"/>
          </w:rPr>
        </w:r>
        <w:r>
          <w:rPr>
            <w:noProof/>
            <w:webHidden/>
            <w:color w:val="000000"/>
          </w:rPr>
          <w:fldChar w:fldCharType="separate"/>
        </w:r>
        <w:r>
          <w:rPr>
            <w:noProof/>
            <w:webHidden/>
            <w:color w:val="000000"/>
          </w:rPr>
          <w:t>5</w:t>
        </w:r>
        <w:r>
          <w:rPr>
            <w:noProof/>
            <w:webHidden/>
            <w:color w:val="000000"/>
          </w:rPr>
          <w:fldChar w:fldCharType="end"/>
        </w:r>
      </w:hyperlink>
    </w:p>
    <w:p w14:paraId="7BC8377B" w14:textId="77777777" w:rsidR="00987A31" w:rsidRDefault="00987A31" w:rsidP="00987A31">
      <w:pPr>
        <w:pStyle w:val="TOC1"/>
        <w:tabs>
          <w:tab w:val="right" w:leader="dot" w:pos="9016"/>
        </w:tabs>
        <w:rPr>
          <w:rFonts w:ascii="Calibri" w:eastAsia="SimSun" w:hAnsi="Calibri" w:cs="SimSun"/>
          <w:noProof/>
          <w:color w:val="000000"/>
          <w:sz w:val="22"/>
          <w:szCs w:val="22"/>
          <w:lang w:val="en-US"/>
        </w:rPr>
      </w:pPr>
      <w:hyperlink w:anchor="_Toc213684238" w:history="1">
        <w:r>
          <w:rPr>
            <w:rStyle w:val="Hyperlink"/>
            <w:noProof/>
            <w:color w:val="000000"/>
            <w:lang w:val="en-GB"/>
          </w:rPr>
          <w:t>5. Evidence-based Treatment and NHS Services</w:t>
        </w:r>
        <w:r>
          <w:rPr>
            <w:noProof/>
            <w:webHidden/>
            <w:color w:val="000000"/>
          </w:rPr>
          <w:tab/>
        </w:r>
        <w:r>
          <w:rPr>
            <w:noProof/>
            <w:webHidden/>
            <w:color w:val="000000"/>
          </w:rPr>
          <w:fldChar w:fldCharType="begin"/>
        </w:r>
        <w:r>
          <w:rPr>
            <w:noProof/>
            <w:webHidden/>
            <w:color w:val="000000"/>
          </w:rPr>
          <w:instrText xml:space="preserve"> PAGEREF _Toc213684238 \h </w:instrText>
        </w:r>
        <w:r>
          <w:rPr>
            <w:noProof/>
            <w:webHidden/>
            <w:color w:val="000000"/>
          </w:rPr>
        </w:r>
        <w:r>
          <w:rPr>
            <w:noProof/>
            <w:webHidden/>
            <w:color w:val="000000"/>
          </w:rPr>
          <w:fldChar w:fldCharType="separate"/>
        </w:r>
        <w:r>
          <w:rPr>
            <w:noProof/>
            <w:webHidden/>
            <w:color w:val="000000"/>
          </w:rPr>
          <w:t>7</w:t>
        </w:r>
        <w:r>
          <w:rPr>
            <w:noProof/>
            <w:webHidden/>
            <w:color w:val="000000"/>
          </w:rPr>
          <w:fldChar w:fldCharType="end"/>
        </w:r>
      </w:hyperlink>
    </w:p>
    <w:p w14:paraId="4B0574D3" w14:textId="77777777" w:rsidR="00987A31" w:rsidRDefault="00987A31" w:rsidP="00987A31">
      <w:pPr>
        <w:pStyle w:val="TOC1"/>
        <w:tabs>
          <w:tab w:val="right" w:leader="dot" w:pos="9016"/>
        </w:tabs>
        <w:rPr>
          <w:rFonts w:ascii="Calibri" w:eastAsia="SimSun" w:hAnsi="Calibri" w:cs="SimSun"/>
          <w:noProof/>
          <w:color w:val="000000"/>
          <w:sz w:val="22"/>
          <w:szCs w:val="22"/>
          <w:lang w:val="en-US"/>
        </w:rPr>
      </w:pPr>
      <w:hyperlink w:anchor="_Toc213684239" w:history="1">
        <w:r>
          <w:rPr>
            <w:rStyle w:val="Hyperlink"/>
            <w:noProof/>
            <w:color w:val="000000"/>
            <w:lang w:val="en-GB"/>
          </w:rPr>
          <w:t>6. Models and Frameworks for Improved Outcomes</w:t>
        </w:r>
        <w:r>
          <w:rPr>
            <w:noProof/>
            <w:webHidden/>
            <w:color w:val="000000"/>
          </w:rPr>
          <w:tab/>
        </w:r>
        <w:r>
          <w:rPr>
            <w:noProof/>
            <w:webHidden/>
            <w:color w:val="000000"/>
          </w:rPr>
          <w:fldChar w:fldCharType="begin"/>
        </w:r>
        <w:r>
          <w:rPr>
            <w:noProof/>
            <w:webHidden/>
            <w:color w:val="000000"/>
          </w:rPr>
          <w:instrText xml:space="preserve"> PAGEREF _Toc213684239 \h </w:instrText>
        </w:r>
        <w:r>
          <w:rPr>
            <w:noProof/>
            <w:webHidden/>
            <w:color w:val="000000"/>
          </w:rPr>
        </w:r>
        <w:r>
          <w:rPr>
            <w:noProof/>
            <w:webHidden/>
            <w:color w:val="000000"/>
          </w:rPr>
          <w:fldChar w:fldCharType="separate"/>
        </w:r>
        <w:r>
          <w:rPr>
            <w:noProof/>
            <w:webHidden/>
            <w:color w:val="000000"/>
          </w:rPr>
          <w:t>9</w:t>
        </w:r>
        <w:r>
          <w:rPr>
            <w:noProof/>
            <w:webHidden/>
            <w:color w:val="000000"/>
          </w:rPr>
          <w:fldChar w:fldCharType="end"/>
        </w:r>
      </w:hyperlink>
    </w:p>
    <w:p w14:paraId="2B5FA855" w14:textId="77777777" w:rsidR="00987A31" w:rsidRDefault="00987A31" w:rsidP="00987A31">
      <w:pPr>
        <w:pStyle w:val="TOC1"/>
        <w:tabs>
          <w:tab w:val="right" w:leader="dot" w:pos="9016"/>
        </w:tabs>
        <w:rPr>
          <w:rFonts w:ascii="Calibri" w:eastAsia="SimSun" w:hAnsi="Calibri" w:cs="SimSun"/>
          <w:noProof/>
          <w:color w:val="000000"/>
          <w:sz w:val="22"/>
          <w:szCs w:val="22"/>
          <w:lang w:val="en-US"/>
        </w:rPr>
      </w:pPr>
      <w:hyperlink w:anchor="_Toc213684240" w:history="1">
        <w:r>
          <w:rPr>
            <w:rStyle w:val="Hyperlink"/>
            <w:noProof/>
            <w:color w:val="000000"/>
            <w:lang w:val="en-GB"/>
          </w:rPr>
          <w:t>7. Local and National Policy Implications</w:t>
        </w:r>
        <w:r>
          <w:rPr>
            <w:noProof/>
            <w:webHidden/>
            <w:color w:val="000000"/>
          </w:rPr>
          <w:tab/>
        </w:r>
        <w:r>
          <w:rPr>
            <w:noProof/>
            <w:webHidden/>
            <w:color w:val="000000"/>
          </w:rPr>
          <w:fldChar w:fldCharType="begin"/>
        </w:r>
        <w:r>
          <w:rPr>
            <w:noProof/>
            <w:webHidden/>
            <w:color w:val="000000"/>
          </w:rPr>
          <w:instrText xml:space="preserve"> PAGEREF _Toc213684240 \h </w:instrText>
        </w:r>
        <w:r>
          <w:rPr>
            <w:noProof/>
            <w:webHidden/>
            <w:color w:val="000000"/>
          </w:rPr>
        </w:r>
        <w:r>
          <w:rPr>
            <w:noProof/>
            <w:webHidden/>
            <w:color w:val="000000"/>
          </w:rPr>
          <w:fldChar w:fldCharType="separate"/>
        </w:r>
        <w:r>
          <w:rPr>
            <w:noProof/>
            <w:webHidden/>
            <w:color w:val="000000"/>
          </w:rPr>
          <w:t>10</w:t>
        </w:r>
        <w:r>
          <w:rPr>
            <w:noProof/>
            <w:webHidden/>
            <w:color w:val="000000"/>
          </w:rPr>
          <w:fldChar w:fldCharType="end"/>
        </w:r>
      </w:hyperlink>
    </w:p>
    <w:p w14:paraId="0FC98B04" w14:textId="77777777" w:rsidR="00987A31" w:rsidRDefault="00987A31" w:rsidP="00987A31">
      <w:pPr>
        <w:pStyle w:val="TOC1"/>
        <w:tabs>
          <w:tab w:val="right" w:leader="dot" w:pos="9016"/>
        </w:tabs>
        <w:rPr>
          <w:rFonts w:ascii="Calibri" w:eastAsia="SimSun" w:hAnsi="Calibri" w:cs="SimSun"/>
          <w:noProof/>
          <w:color w:val="000000"/>
          <w:sz w:val="22"/>
          <w:szCs w:val="22"/>
          <w:lang w:val="en-US"/>
        </w:rPr>
      </w:pPr>
      <w:hyperlink w:anchor="_Toc213684241" w:history="1">
        <w:r>
          <w:rPr>
            <w:rStyle w:val="Hyperlink"/>
            <w:noProof/>
            <w:color w:val="000000"/>
            <w:lang w:val="en-GB"/>
          </w:rPr>
          <w:t>8. Recommendations</w:t>
        </w:r>
        <w:r>
          <w:rPr>
            <w:noProof/>
            <w:webHidden/>
            <w:color w:val="000000"/>
          </w:rPr>
          <w:tab/>
        </w:r>
        <w:r>
          <w:rPr>
            <w:noProof/>
            <w:webHidden/>
            <w:color w:val="000000"/>
          </w:rPr>
          <w:fldChar w:fldCharType="begin"/>
        </w:r>
        <w:r>
          <w:rPr>
            <w:noProof/>
            <w:webHidden/>
            <w:color w:val="000000"/>
          </w:rPr>
          <w:instrText xml:space="preserve"> PAGEREF _Toc213684241 \h </w:instrText>
        </w:r>
        <w:r>
          <w:rPr>
            <w:noProof/>
            <w:webHidden/>
            <w:color w:val="000000"/>
          </w:rPr>
        </w:r>
        <w:r>
          <w:rPr>
            <w:noProof/>
            <w:webHidden/>
            <w:color w:val="000000"/>
          </w:rPr>
          <w:fldChar w:fldCharType="separate"/>
        </w:r>
        <w:r>
          <w:rPr>
            <w:noProof/>
            <w:webHidden/>
            <w:color w:val="000000"/>
          </w:rPr>
          <w:t>11</w:t>
        </w:r>
        <w:r>
          <w:rPr>
            <w:noProof/>
            <w:webHidden/>
            <w:color w:val="000000"/>
          </w:rPr>
          <w:fldChar w:fldCharType="end"/>
        </w:r>
      </w:hyperlink>
    </w:p>
    <w:p w14:paraId="41E6CC87" w14:textId="77777777" w:rsidR="00987A31" w:rsidRDefault="00987A31" w:rsidP="00987A31">
      <w:pPr>
        <w:pStyle w:val="TOC1"/>
        <w:tabs>
          <w:tab w:val="right" w:leader="dot" w:pos="9016"/>
        </w:tabs>
        <w:rPr>
          <w:rFonts w:ascii="Calibri" w:eastAsia="SimSun" w:hAnsi="Calibri" w:cs="SimSun"/>
          <w:noProof/>
          <w:color w:val="000000"/>
          <w:sz w:val="22"/>
          <w:szCs w:val="22"/>
          <w:lang w:val="en-US"/>
        </w:rPr>
      </w:pPr>
      <w:hyperlink w:anchor="_Toc213684242" w:history="1">
        <w:r>
          <w:rPr>
            <w:rStyle w:val="Hyperlink"/>
            <w:noProof/>
            <w:color w:val="000000"/>
            <w:lang w:val="en-GB"/>
          </w:rPr>
          <w:t>9. Conclusion</w:t>
        </w:r>
        <w:r>
          <w:rPr>
            <w:noProof/>
            <w:webHidden/>
            <w:color w:val="000000"/>
          </w:rPr>
          <w:tab/>
        </w:r>
        <w:r>
          <w:rPr>
            <w:noProof/>
            <w:webHidden/>
            <w:color w:val="000000"/>
          </w:rPr>
          <w:fldChar w:fldCharType="begin"/>
        </w:r>
        <w:r>
          <w:rPr>
            <w:noProof/>
            <w:webHidden/>
            <w:color w:val="000000"/>
          </w:rPr>
          <w:instrText xml:space="preserve"> PAGEREF _Toc213684242 \h </w:instrText>
        </w:r>
        <w:r>
          <w:rPr>
            <w:noProof/>
            <w:webHidden/>
            <w:color w:val="000000"/>
          </w:rPr>
        </w:r>
        <w:r>
          <w:rPr>
            <w:noProof/>
            <w:webHidden/>
            <w:color w:val="000000"/>
          </w:rPr>
          <w:fldChar w:fldCharType="separate"/>
        </w:r>
        <w:r>
          <w:rPr>
            <w:noProof/>
            <w:webHidden/>
            <w:color w:val="000000"/>
          </w:rPr>
          <w:t>12</w:t>
        </w:r>
        <w:r>
          <w:rPr>
            <w:noProof/>
            <w:webHidden/>
            <w:color w:val="000000"/>
          </w:rPr>
          <w:fldChar w:fldCharType="end"/>
        </w:r>
      </w:hyperlink>
    </w:p>
    <w:p w14:paraId="4E413A19" w14:textId="77777777" w:rsidR="00987A31" w:rsidRDefault="00987A31" w:rsidP="00987A31">
      <w:pPr>
        <w:pStyle w:val="TOC1"/>
        <w:tabs>
          <w:tab w:val="right" w:leader="dot" w:pos="9016"/>
        </w:tabs>
        <w:rPr>
          <w:rFonts w:ascii="Calibri" w:eastAsia="SimSun" w:hAnsi="Calibri" w:cs="SimSun"/>
          <w:noProof/>
          <w:color w:val="000000"/>
          <w:sz w:val="22"/>
          <w:szCs w:val="22"/>
          <w:lang w:val="en-US"/>
        </w:rPr>
      </w:pPr>
      <w:hyperlink w:anchor="_Toc213684243" w:history="1">
        <w:r>
          <w:rPr>
            <w:rStyle w:val="Hyperlink"/>
            <w:noProof/>
            <w:color w:val="000000"/>
            <w:lang w:val="en-GB"/>
          </w:rPr>
          <w:t>References</w:t>
        </w:r>
        <w:r>
          <w:rPr>
            <w:noProof/>
            <w:webHidden/>
            <w:color w:val="000000"/>
          </w:rPr>
          <w:tab/>
        </w:r>
        <w:r>
          <w:rPr>
            <w:noProof/>
            <w:webHidden/>
            <w:color w:val="000000"/>
          </w:rPr>
          <w:fldChar w:fldCharType="begin"/>
        </w:r>
        <w:r>
          <w:rPr>
            <w:noProof/>
            <w:webHidden/>
            <w:color w:val="000000"/>
          </w:rPr>
          <w:instrText xml:space="preserve"> PAGEREF _Toc213684243 \h </w:instrText>
        </w:r>
        <w:r>
          <w:rPr>
            <w:noProof/>
            <w:webHidden/>
            <w:color w:val="000000"/>
          </w:rPr>
        </w:r>
        <w:r>
          <w:rPr>
            <w:noProof/>
            <w:webHidden/>
            <w:color w:val="000000"/>
          </w:rPr>
          <w:fldChar w:fldCharType="separate"/>
        </w:r>
        <w:r>
          <w:rPr>
            <w:noProof/>
            <w:webHidden/>
            <w:color w:val="000000"/>
          </w:rPr>
          <w:t>13</w:t>
        </w:r>
        <w:r>
          <w:rPr>
            <w:noProof/>
            <w:webHidden/>
            <w:color w:val="000000"/>
          </w:rPr>
          <w:fldChar w:fldCharType="end"/>
        </w:r>
      </w:hyperlink>
    </w:p>
    <w:p w14:paraId="375EAFDE" w14:textId="77777777" w:rsidR="00987A31" w:rsidRDefault="00987A31" w:rsidP="00987A31">
      <w:pPr>
        <w:spacing w:before="120" w:after="120"/>
        <w:rPr>
          <w:color w:val="000000"/>
        </w:rPr>
      </w:pPr>
      <w:r>
        <w:rPr>
          <w:color w:val="000000"/>
        </w:rPr>
        <w:fldChar w:fldCharType="end"/>
      </w:r>
    </w:p>
    <w:p w14:paraId="468DA8DF" w14:textId="77777777" w:rsidR="00987A31" w:rsidRDefault="00987A31" w:rsidP="00987A31">
      <w:pPr>
        <w:spacing w:before="120" w:after="120"/>
        <w:rPr>
          <w:color w:val="000000"/>
        </w:rPr>
        <w:sectPr w:rsidR="00987A31" w:rsidSect="00987A31">
          <w:footerReference w:type="even" r:id="rId9"/>
          <w:footerReference w:type="default" r:id="rId10"/>
          <w:footerReference w:type="first" r:id="rId11"/>
          <w:pgSz w:w="8419" w:h="11906" w:orient="landscape"/>
          <w:pgMar w:top="1440" w:right="1440" w:bottom="1440" w:left="1440" w:header="0" w:footer="720" w:gutter="0"/>
          <w:pgNumType w:fmt="lowerRoman" w:start="1"/>
          <w:cols w:space="720"/>
          <w:titlePg/>
          <w:docGrid w:linePitch="326"/>
        </w:sectPr>
      </w:pPr>
      <w:r>
        <w:rPr>
          <w:color w:val="000000"/>
        </w:rPr>
        <w:br w:type="page"/>
      </w:r>
    </w:p>
    <w:p w14:paraId="439448F4" w14:textId="77777777" w:rsidR="00987A31" w:rsidRDefault="00987A31" w:rsidP="00987A31">
      <w:pPr>
        <w:pStyle w:val="Heading1"/>
        <w:spacing w:before="120" w:after="120"/>
        <w:rPr>
          <w:color w:val="000000"/>
        </w:rPr>
      </w:pPr>
      <w:bookmarkStart w:id="1" w:name="_Toc213684234"/>
      <w:r>
        <w:rPr>
          <w:color w:val="000000"/>
        </w:rPr>
        <w:lastRenderedPageBreak/>
        <w:t>1. Introduction and Scope</w:t>
      </w:r>
      <w:bookmarkEnd w:id="1"/>
    </w:p>
    <w:p w14:paraId="2ABF9F98" w14:textId="77777777" w:rsidR="00987A31" w:rsidRDefault="00987A31" w:rsidP="00987A31">
      <w:pPr>
        <w:spacing w:before="120" w:after="120"/>
        <w:rPr>
          <w:color w:val="000000"/>
        </w:rPr>
      </w:pPr>
      <w:r>
        <w:rPr>
          <w:color w:val="000000"/>
        </w:rPr>
        <w:t xml:space="preserve">The Global Initiative for Chronic Obstructive Pulmonary Disease (COPD) views COPD as a persistent respiratory syndrome that limits airflow, mainly due to alveolar abnormalities that may be caused by exposure to air pollutants or abnormal lung development (Celli </w:t>
      </w:r>
      <w:r>
        <w:rPr>
          <w:i/>
          <w:color w:val="000000"/>
        </w:rPr>
        <w:t>et al</w:t>
      </w:r>
      <w:r>
        <w:rPr>
          <w:color w:val="000000"/>
        </w:rPr>
        <w:t>., 2022). Globally, the prevalence of Type 2 diabetes varies considerably, with North America (16.8%) and Sub-Saharan Africa (15.5%) showing the highest rates, compared to South Asia (9.3%) and East Asia and the Pacific (8.6%). These differences reflect how regional lifestyle factors, diet, urbanisation, and socioeconomic status contribute to the global burden of diabetes (Elflein, 2025a). Based on this understanding of COPD, this report focuses on enhancing existing clinical management, improving continuity of care, and integrating care coordination. Therefore, the suitable audience of this report includes the health professionals, especially those engaged in primary care, and working in community respiratory teams.</w:t>
      </w:r>
    </w:p>
    <w:p w14:paraId="145A53BA" w14:textId="77777777" w:rsidR="00987A31" w:rsidRDefault="00987A31" w:rsidP="00987A31">
      <w:pPr>
        <w:spacing w:before="120" w:after="120"/>
        <w:jc w:val="center"/>
        <w:rPr>
          <w:color w:val="000000"/>
        </w:rPr>
      </w:pPr>
      <w:r>
        <w:rPr>
          <w:noProof/>
          <w:color w:val="000000"/>
        </w:rPr>
        <w:lastRenderedPageBreak/>
        <w:drawing>
          <wp:inline distT="0" distB="0" distL="0" distR="0" wp14:anchorId="0763F92D" wp14:editId="4AD1EA6F">
            <wp:extent cx="3599815" cy="3659505"/>
            <wp:effectExtent l="0" t="0" r="635" b="0"/>
            <wp:docPr id="1027" name="Image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2"/>
                    <pic:cNvPicPr/>
                  </pic:nvPicPr>
                  <pic:blipFill>
                    <a:blip r:embed="rId12" cstate="print"/>
                    <a:srcRect/>
                    <a:stretch/>
                  </pic:blipFill>
                  <pic:spPr>
                    <a:xfrm>
                      <a:off x="0" y="0"/>
                      <a:ext cx="3599815" cy="3659505"/>
                    </a:xfrm>
                    <a:prstGeom prst="rect">
                      <a:avLst/>
                    </a:prstGeom>
                  </pic:spPr>
                </pic:pic>
              </a:graphicData>
            </a:graphic>
          </wp:inline>
        </w:drawing>
      </w:r>
    </w:p>
    <w:p w14:paraId="684AC150" w14:textId="77777777" w:rsidR="00987A31" w:rsidRDefault="00987A31" w:rsidP="00987A31">
      <w:pPr>
        <w:spacing w:before="120" w:after="120"/>
        <w:jc w:val="center"/>
        <w:rPr>
          <w:color w:val="000000"/>
        </w:rPr>
      </w:pPr>
      <w:r>
        <w:rPr>
          <w:b/>
          <w:bCs/>
          <w:color w:val="000000"/>
        </w:rPr>
        <w:t>Figure 1: Prevalence of COPD Diseases Worldwide by Region</w:t>
      </w:r>
    </w:p>
    <w:p w14:paraId="16E7037D" w14:textId="77777777" w:rsidR="00987A31" w:rsidRDefault="00987A31" w:rsidP="00987A31">
      <w:pPr>
        <w:spacing w:before="120" w:after="120"/>
        <w:jc w:val="center"/>
        <w:rPr>
          <w:color w:val="000000"/>
        </w:rPr>
      </w:pPr>
      <w:r>
        <w:rPr>
          <w:color w:val="000000"/>
        </w:rPr>
        <w:t>(Source: Elflein, 2025a)</w:t>
      </w:r>
    </w:p>
    <w:p w14:paraId="377D9BB1" w14:textId="77777777" w:rsidR="00987A31" w:rsidRDefault="00987A31" w:rsidP="00987A31">
      <w:pPr>
        <w:spacing w:before="120" w:after="120"/>
        <w:rPr>
          <w:color w:val="000000"/>
        </w:rPr>
      </w:pPr>
      <w:r>
        <w:rPr>
          <w:color w:val="000000"/>
        </w:rPr>
        <w:t xml:space="preserve">The biopsychosocial model, first proposed by George Engel in 1977, is a pioneering framework that for the first time integrated social and psychological factors, going beyond the conventional biomedical model, to highlight a disease as an interaction among the biological, psychological, and social factors (Roberts, 2023). The analysis of this information helps to synthesise the fact that COPD, as a disease, is not only a biological burden on a patient, but also becomes a </w:t>
      </w:r>
      <w:r>
        <w:rPr>
          <w:color w:val="000000"/>
        </w:rPr>
        <w:lastRenderedPageBreak/>
        <w:t>psychological burden on their families, besides being regarded as a social burden. The following sections illustrate these in a detailed manner.</w:t>
      </w:r>
    </w:p>
    <w:p w14:paraId="68CAA180" w14:textId="77777777" w:rsidR="00987A31" w:rsidRDefault="00987A31" w:rsidP="00987A31">
      <w:pPr>
        <w:pStyle w:val="Heading1"/>
        <w:spacing w:before="120" w:after="120"/>
        <w:rPr>
          <w:color w:val="000000"/>
        </w:rPr>
      </w:pPr>
      <w:bookmarkStart w:id="2" w:name="_122289x4ffro"/>
      <w:bookmarkStart w:id="3" w:name="_Toc213684235"/>
      <w:bookmarkEnd w:id="2"/>
      <w:r>
        <w:rPr>
          <w:color w:val="000000"/>
        </w:rPr>
        <w:t>2. Epidemiology and Burden</w:t>
      </w:r>
      <w:bookmarkEnd w:id="3"/>
    </w:p>
    <w:p w14:paraId="40A2A14A" w14:textId="77777777" w:rsidR="00987A31" w:rsidRDefault="00987A31" w:rsidP="00987A31">
      <w:pPr>
        <w:spacing w:before="120" w:after="120"/>
        <w:rPr>
          <w:color w:val="000000"/>
        </w:rPr>
      </w:pPr>
      <w:r>
        <w:rPr>
          <w:color w:val="000000"/>
        </w:rPr>
        <w:t xml:space="preserve">According to the </w:t>
      </w:r>
      <w:r>
        <w:rPr>
          <w:i/>
          <w:color w:val="000000"/>
        </w:rPr>
        <w:t xml:space="preserve">World Health Organisation </w:t>
      </w:r>
      <w:r>
        <w:rPr>
          <w:color w:val="000000"/>
        </w:rPr>
        <w:t xml:space="preserve">(WHO), COPD is among the leading causes of death globally, which caused 3.5 million deaths, equivalent to 5% of the total global deaths, in 2021 (WHO, 2024). This indicates the high rate of mortality globally that is caused by the disease. Additionally, Ruan </w:t>
      </w:r>
      <w:r>
        <w:rPr>
          <w:i/>
          <w:color w:val="000000"/>
        </w:rPr>
        <w:t>et al</w:t>
      </w:r>
      <w:r>
        <w:rPr>
          <w:color w:val="000000"/>
        </w:rPr>
        <w:t>. (2023) found that 18% of patients suffering from COPD require readmission to hospitals within 30 days, while 31% patients seek hospital readmission within 90 days. Between 2014 and 2020, mortality rates from COPD remained consistently higher in Scotland and Wales compared to England, peaking at 40.2 deaths per 100,000 in Wales in 2018. This regional variation suggests differences in smoking prevalence, healthcare access, and socioeconomic deprivation across the UK (Stewart, 2025).</w:t>
      </w:r>
    </w:p>
    <w:p w14:paraId="3A125C0A" w14:textId="77777777" w:rsidR="00987A31" w:rsidRDefault="00987A31" w:rsidP="00987A31">
      <w:pPr>
        <w:spacing w:before="120" w:after="120"/>
        <w:jc w:val="center"/>
        <w:rPr>
          <w:color w:val="000000"/>
        </w:rPr>
      </w:pPr>
      <w:r>
        <w:rPr>
          <w:noProof/>
          <w:color w:val="000000"/>
        </w:rPr>
        <w:lastRenderedPageBreak/>
        <w:drawing>
          <wp:inline distT="0" distB="0" distL="0" distR="0" wp14:anchorId="393BC878" wp14:editId="1043687D">
            <wp:extent cx="3535680" cy="3380105"/>
            <wp:effectExtent l="0" t="0" r="7620" b="0"/>
            <wp:docPr id="102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3" cstate="print"/>
                    <a:srcRect/>
                    <a:stretch/>
                  </pic:blipFill>
                  <pic:spPr>
                    <a:xfrm>
                      <a:off x="0" y="0"/>
                      <a:ext cx="3535680" cy="3380105"/>
                    </a:xfrm>
                    <a:prstGeom prst="rect">
                      <a:avLst/>
                    </a:prstGeom>
                  </pic:spPr>
                </pic:pic>
              </a:graphicData>
            </a:graphic>
          </wp:inline>
        </w:drawing>
      </w:r>
    </w:p>
    <w:p w14:paraId="6D61C266" w14:textId="77777777" w:rsidR="00987A31" w:rsidRDefault="00987A31" w:rsidP="00987A31">
      <w:pPr>
        <w:spacing w:before="120" w:after="120"/>
        <w:jc w:val="center"/>
        <w:rPr>
          <w:color w:val="000000"/>
        </w:rPr>
      </w:pPr>
      <w:r>
        <w:rPr>
          <w:b/>
          <w:bCs/>
          <w:color w:val="000000"/>
        </w:rPr>
        <w:t>Figure 2: Mortality Rate Due to COPD Diseases in the UK</w:t>
      </w:r>
    </w:p>
    <w:p w14:paraId="5A6BA9EE" w14:textId="77777777" w:rsidR="00987A31" w:rsidRDefault="00987A31" w:rsidP="00987A31">
      <w:pPr>
        <w:spacing w:before="120" w:after="120"/>
        <w:jc w:val="center"/>
        <w:rPr>
          <w:color w:val="000000"/>
        </w:rPr>
      </w:pPr>
      <w:r>
        <w:rPr>
          <w:color w:val="000000"/>
        </w:rPr>
        <w:t>(Source: Stewart, 2025)</w:t>
      </w:r>
    </w:p>
    <w:p w14:paraId="6F62F86F" w14:textId="77777777" w:rsidR="00987A31" w:rsidRDefault="00987A31" w:rsidP="00987A31">
      <w:pPr>
        <w:spacing w:before="120" w:after="120"/>
        <w:rPr>
          <w:color w:val="000000"/>
        </w:rPr>
      </w:pPr>
      <w:r>
        <w:rPr>
          <w:color w:val="000000"/>
        </w:rPr>
        <w:t xml:space="preserve">Beyond the psychological and social burden of COPD, the disease also exerts a strong economic burden on the </w:t>
      </w:r>
      <w:r>
        <w:rPr>
          <w:i/>
          <w:color w:val="000000"/>
        </w:rPr>
        <w:t xml:space="preserve">National Health Service </w:t>
      </w:r>
      <w:r>
        <w:rPr>
          <w:color w:val="000000"/>
        </w:rPr>
        <w:t xml:space="preserve">(NHS) of the United Kingdom (UK). Going by the estimation presented by </w:t>
      </w:r>
      <w:proofErr w:type="spellStart"/>
      <w:r>
        <w:rPr>
          <w:color w:val="000000"/>
        </w:rPr>
        <w:t>Alwafi</w:t>
      </w:r>
      <w:proofErr w:type="spellEnd"/>
      <w:r>
        <w:rPr>
          <w:color w:val="000000"/>
        </w:rPr>
        <w:t xml:space="preserve"> </w:t>
      </w:r>
      <w:r>
        <w:rPr>
          <w:i/>
          <w:color w:val="000000"/>
        </w:rPr>
        <w:t>et al</w:t>
      </w:r>
      <w:r>
        <w:rPr>
          <w:color w:val="000000"/>
        </w:rPr>
        <w:t>. (2023), lung diseases in the UK cost 11 billion GBP per annum, and COPD alone costs 1.9 billion GBP annually, which is expected to rise to 2.32 billion GBP by 2030. The authors underscored that the majority of the cost stems from inpatient care at hospitals (</w:t>
      </w:r>
      <w:proofErr w:type="spellStart"/>
      <w:r>
        <w:rPr>
          <w:color w:val="000000"/>
        </w:rPr>
        <w:t>Alwafi</w:t>
      </w:r>
      <w:proofErr w:type="spellEnd"/>
      <w:r>
        <w:rPr>
          <w:color w:val="000000"/>
        </w:rPr>
        <w:t xml:space="preserve"> </w:t>
      </w:r>
      <w:r>
        <w:rPr>
          <w:i/>
          <w:color w:val="000000"/>
        </w:rPr>
        <w:t>et al</w:t>
      </w:r>
      <w:r>
        <w:rPr>
          <w:color w:val="000000"/>
        </w:rPr>
        <w:t xml:space="preserve">., 2023). The NHS data indicated that </w:t>
      </w:r>
      <w:proofErr w:type="spellStart"/>
      <w:r>
        <w:rPr>
          <w:color w:val="000000"/>
        </w:rPr>
        <w:t>FeNO</w:t>
      </w:r>
      <w:proofErr w:type="spellEnd"/>
      <w:r>
        <w:rPr>
          <w:color w:val="000000"/>
        </w:rPr>
        <w:t xml:space="preserve"> tests </w:t>
      </w:r>
      <w:r>
        <w:rPr>
          <w:color w:val="000000"/>
        </w:rPr>
        <w:lastRenderedPageBreak/>
        <w:t>cost 25.13 GBP, Spirometry costs are around 17 GBP, and a primary care network (PCN) consumes 9,345.16 GBP in a year (NHS, 2025a).</w:t>
      </w:r>
    </w:p>
    <w:p w14:paraId="42E1A685" w14:textId="77777777" w:rsidR="00987A31" w:rsidRDefault="00987A31" w:rsidP="00987A31">
      <w:pPr>
        <w:spacing w:before="120" w:after="120"/>
        <w:jc w:val="center"/>
        <w:rPr>
          <w:color w:val="000000"/>
        </w:rPr>
      </w:pPr>
      <w:r>
        <w:rPr>
          <w:noProof/>
          <w:color w:val="000000"/>
        </w:rPr>
        <w:lastRenderedPageBreak/>
        <w:drawing>
          <wp:inline distT="0" distB="0" distL="0" distR="0" wp14:anchorId="529287FD" wp14:editId="7B817DF3">
            <wp:extent cx="3493770" cy="5734685"/>
            <wp:effectExtent l="0" t="0" r="0" b="0"/>
            <wp:docPr id="1029"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14" cstate="print"/>
                    <a:srcRect/>
                    <a:stretch/>
                  </pic:blipFill>
                  <pic:spPr>
                    <a:xfrm>
                      <a:off x="0" y="0"/>
                      <a:ext cx="3493770" cy="5734685"/>
                    </a:xfrm>
                    <a:prstGeom prst="rect">
                      <a:avLst/>
                    </a:prstGeom>
                  </pic:spPr>
                </pic:pic>
              </a:graphicData>
            </a:graphic>
          </wp:inline>
        </w:drawing>
      </w:r>
    </w:p>
    <w:p w14:paraId="65BE213E" w14:textId="77777777" w:rsidR="00987A31" w:rsidRDefault="00987A31" w:rsidP="00987A31">
      <w:pPr>
        <w:spacing w:before="120" w:after="120"/>
        <w:jc w:val="center"/>
        <w:rPr>
          <w:color w:val="000000"/>
        </w:rPr>
      </w:pPr>
      <w:r>
        <w:rPr>
          <w:b/>
          <w:bCs/>
          <w:color w:val="000000"/>
        </w:rPr>
        <w:lastRenderedPageBreak/>
        <w:t>Figure 3: Burden of COPD on the UK's Public Healthcare</w:t>
      </w:r>
    </w:p>
    <w:p w14:paraId="4A0E3B10" w14:textId="77777777" w:rsidR="00987A31" w:rsidRDefault="00987A31" w:rsidP="00987A31">
      <w:pPr>
        <w:spacing w:before="120" w:after="120"/>
        <w:jc w:val="center"/>
        <w:rPr>
          <w:color w:val="000000"/>
        </w:rPr>
      </w:pPr>
      <w:r>
        <w:rPr>
          <w:color w:val="000000"/>
        </w:rPr>
        <w:t>(Source: University of Edinburgh, 2016)</w:t>
      </w:r>
    </w:p>
    <w:p w14:paraId="1EFCB21A" w14:textId="77777777" w:rsidR="00987A31" w:rsidRDefault="00987A31" w:rsidP="00987A31">
      <w:pPr>
        <w:spacing w:before="120" w:after="120"/>
        <w:rPr>
          <w:color w:val="000000"/>
        </w:rPr>
      </w:pPr>
      <w:r>
        <w:rPr>
          <w:color w:val="000000"/>
        </w:rPr>
        <w:t xml:space="preserve">Social inequalities are one of the major causes for the growing burden of COPD in the UK. It is found that patients residing in rural or remote areas find it difficult to access healthcare, while disproportionate propagation of industrial belts in ethnic minority areas causes air pollution, contributing to the growing number of COPD patients (Rea </w:t>
      </w:r>
      <w:r>
        <w:rPr>
          <w:i/>
          <w:color w:val="000000"/>
        </w:rPr>
        <w:t>et al</w:t>
      </w:r>
      <w:r>
        <w:rPr>
          <w:color w:val="000000"/>
        </w:rPr>
        <w:t xml:space="preserve">., 2024). Besides these, income disparities and education inequalities are the other leading causes as well (Rea </w:t>
      </w:r>
      <w:r>
        <w:rPr>
          <w:i/>
          <w:color w:val="000000"/>
        </w:rPr>
        <w:t>et al</w:t>
      </w:r>
      <w:r>
        <w:rPr>
          <w:color w:val="000000"/>
        </w:rPr>
        <w:t>., 2024). The analysis of this information helps to understand the typical determinants of health inequalities in the UK society.</w:t>
      </w:r>
    </w:p>
    <w:p w14:paraId="5F494864" w14:textId="77777777" w:rsidR="00987A31" w:rsidRDefault="00987A31" w:rsidP="00987A31">
      <w:pPr>
        <w:spacing w:before="120" w:after="120"/>
        <w:rPr>
          <w:color w:val="000000"/>
        </w:rPr>
      </w:pPr>
      <w:r>
        <w:rPr>
          <w:color w:val="000000"/>
        </w:rPr>
        <w:t xml:space="preserve">In addition to what has been discussed here up to this point, the population health model can also be integrated into this discussion. According to the findings presented by Hennessy </w:t>
      </w:r>
      <w:r>
        <w:rPr>
          <w:i/>
          <w:color w:val="000000"/>
        </w:rPr>
        <w:t>et al</w:t>
      </w:r>
      <w:r>
        <w:rPr>
          <w:color w:val="000000"/>
        </w:rPr>
        <w:t>. (2015), the population health model considers the aspects of risk factors, disease states, and health determinants to project life expectancy, health outcomes, healthcare costs, and the quality of life. Therefore, basing the discussion on this framework can facilitate taking up a holistic approach to COPD as well.</w:t>
      </w:r>
    </w:p>
    <w:p w14:paraId="196AFFF8" w14:textId="77777777" w:rsidR="00987A31" w:rsidRDefault="00987A31" w:rsidP="00987A31">
      <w:pPr>
        <w:pStyle w:val="Heading1"/>
        <w:spacing w:before="120" w:after="120"/>
        <w:rPr>
          <w:color w:val="000000"/>
        </w:rPr>
      </w:pPr>
      <w:bookmarkStart w:id="4" w:name="_blipjwxo9qy1"/>
      <w:bookmarkStart w:id="5" w:name="_Toc213684236"/>
      <w:bookmarkEnd w:id="4"/>
      <w:r>
        <w:rPr>
          <w:color w:val="000000"/>
        </w:rPr>
        <w:lastRenderedPageBreak/>
        <w:t>3. Aetiology and Risk Factors</w:t>
      </w:r>
      <w:bookmarkEnd w:id="5"/>
    </w:p>
    <w:p w14:paraId="38EA8631" w14:textId="77777777" w:rsidR="00987A31" w:rsidRDefault="00987A31" w:rsidP="00987A31">
      <w:pPr>
        <w:spacing w:before="120" w:after="120"/>
        <w:rPr>
          <w:color w:val="000000"/>
        </w:rPr>
      </w:pPr>
      <w:r>
        <w:rPr>
          <w:noProof/>
          <w:color w:val="000000"/>
        </w:rPr>
        <w:drawing>
          <wp:anchor distT="0" distB="0" distL="114300" distR="114300" simplePos="0" relativeHeight="251660288" behindDoc="0" locked="0" layoutInCell="0" allowOverlap="1" wp14:anchorId="41F2C588" wp14:editId="2B687F30">
            <wp:simplePos x="0" y="0"/>
            <wp:positionH relativeFrom="column">
              <wp:posOffset>2705100</wp:posOffset>
            </wp:positionH>
            <wp:positionV relativeFrom="paragraph">
              <wp:posOffset>466725</wp:posOffset>
            </wp:positionV>
            <wp:extent cx="3067050" cy="2310130"/>
            <wp:effectExtent l="0" t="0" r="0" b="0"/>
            <wp:wrapThrough wrapText="bothSides">
              <wp:wrapPolygon edited="0">
                <wp:start x="-2" y="0"/>
                <wp:lineTo x="-2" y="21363"/>
                <wp:lineTo x="21462" y="21363"/>
                <wp:lineTo x="21462" y="0"/>
                <wp:lineTo x="-2" y="0"/>
              </wp:wrapPolygon>
            </wp:wrapThrough>
            <wp:docPr id="1030" name="Picture 5" descr="Fact - What's Behind the Rise in COPD Cas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5"/>
                    <pic:cNvPicPr/>
                  </pic:nvPicPr>
                  <pic:blipFill>
                    <a:blip r:embed="rId15" cstate="print"/>
                    <a:srcRect t="9558" b="20360"/>
                    <a:stretch/>
                  </pic:blipFill>
                  <pic:spPr>
                    <a:xfrm>
                      <a:off x="0" y="0"/>
                      <a:ext cx="3067050" cy="2310130"/>
                    </a:xfrm>
                    <a:prstGeom prst="rect">
                      <a:avLst/>
                    </a:prstGeom>
                  </pic:spPr>
                </pic:pic>
              </a:graphicData>
            </a:graphic>
            <wp14:sizeRelH relativeFrom="margin">
              <wp14:pctWidth>0</wp14:pctWidth>
            </wp14:sizeRelH>
          </wp:anchor>
        </w:drawing>
      </w:r>
      <w:r>
        <w:rPr>
          <w:noProof/>
          <w:color w:val="000000"/>
        </w:rPr>
        <mc:AlternateContent>
          <mc:Choice Requires="wps">
            <w:drawing>
              <wp:anchor distT="40005" distB="68580" distL="109220" distR="128269" simplePos="0" relativeHeight="251659264" behindDoc="0" locked="0" layoutInCell="0" allowOverlap="1" wp14:anchorId="657961B8" wp14:editId="7CA6AAF4">
                <wp:simplePos x="0" y="0"/>
                <wp:positionH relativeFrom="column">
                  <wp:posOffset>2705100</wp:posOffset>
                </wp:positionH>
                <wp:positionV relativeFrom="paragraph">
                  <wp:posOffset>2852420</wp:posOffset>
                </wp:positionV>
                <wp:extent cx="3067050" cy="1019174"/>
                <wp:effectExtent l="0" t="0" r="19050" b="28575"/>
                <wp:wrapSquare wrapText="bothSides"/>
                <wp:docPr id="1031"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67050" cy="1019174"/>
                        </a:xfrm>
                        <a:prstGeom prst="rect">
                          <a:avLst/>
                        </a:prstGeom>
                        <a:solidFill>
                          <a:srgbClr val="FFFFFF"/>
                        </a:solidFill>
                        <a:ln w="9525" cap="flat" cmpd="sng">
                          <a:solidFill>
                            <a:srgbClr val="000000"/>
                          </a:solidFill>
                          <a:prstDash val="solid"/>
                          <a:miter/>
                          <a:headEnd/>
                          <a:tailEnd/>
                        </a:ln>
                      </wps:spPr>
                      <wps:txbx>
                        <w:txbxContent>
                          <w:p w14:paraId="4682341C" w14:textId="77777777" w:rsidR="00987A31" w:rsidRDefault="00987A31" w:rsidP="00987A31">
                            <w:pPr>
                              <w:pStyle w:val="FrameContentsuser"/>
                              <w:spacing w:before="120" w:after="120"/>
                              <w:jc w:val="center"/>
                              <w:rPr>
                                <w:color w:val="000000"/>
                              </w:rPr>
                            </w:pPr>
                            <w:r>
                              <w:rPr>
                                <w:b/>
                                <w:bCs/>
                                <w:color w:val="000000"/>
                              </w:rPr>
                              <w:t>Figure 4: Smoking Remains as the Key Cause of COPD in the UK</w:t>
                            </w:r>
                          </w:p>
                          <w:p w14:paraId="0C15EFA4" w14:textId="77777777" w:rsidR="00987A31" w:rsidRDefault="00987A31" w:rsidP="00987A31">
                            <w:pPr>
                              <w:pStyle w:val="FrameContentsuser"/>
                              <w:spacing w:before="120" w:after="120"/>
                              <w:jc w:val="center"/>
                              <w:rPr>
                                <w:color w:val="000000"/>
                              </w:rPr>
                            </w:pPr>
                            <w:r>
                              <w:rPr>
                                <w:color w:val="000000"/>
                              </w:rPr>
                              <w:t>(Source: OVA, 2024)</w:t>
                            </w:r>
                          </w:p>
                        </w:txbxContent>
                      </wps:txbx>
                      <wps:bodyPr anchor="t">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57961B8" id="Rectangle 8" o:spid="_x0000_s1026" style="position:absolute;margin-left:213pt;margin-top:224.6pt;width:241.5pt;height:80.25pt;z-index:251659264;visibility:visible;mso-wrap-style:square;mso-width-percent:0;mso-height-percent:0;mso-wrap-distance-left:8.6pt;mso-wrap-distance-top:3.15pt;mso-wrap-distance-right:3.56303mm;mso-wrap-distance-bottom:5.4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kI95gEAAOkDAAAOAAAAZHJzL2Uyb0RvYy54bWysk1Fv2yAQx98n7Tsg3hc72dKuVpxqWpa9&#10;VF2ldtrzBUOMhgFxNHa+/Q7spFm3p2l+QAccf/7347y6HTrDDjKgdrbm81nJmbTCNdrua/79afvu&#10;I2cYwTZgnJU1P0rkt+u3b1a9r+TCtc40MjASsVj1vuZtjL4qChSt7ABnzktLm8qFDiJNw75oAvSk&#10;3pliUZZXRe9C44MTEpFWN+MmX2d9paSI35RCGZmpOXmLeQx53KWxWK+g2gfwrRaTDfgHFx1oS5ee&#10;pTYQgT0H/YdUp0Vw6FScCdcVTiktZK6BqpmXr6p5bMHLXAvBQX/GhP9PVtwfHv1DSNbR3znxE4lI&#10;0XuszjtpglPOoEKXcsk4GzLF45miHCITtPi+vLoulwRb0N68nN/Mrz8kzgVUp+M+YPwqXcdSUPNA&#10;z5TpweEO45h6SsnOnNHNVhuTJ2G/+2wCOwA96TZ/kzpephnL+prfLBdLMgLUWcpApLDzTc3R7vN9&#10;v53AS+Eyf38TTsY2gO1oICuMXdTpKEPup1ZC88U2OY6gzRhT/cZOcEeeiWwcdgMlpnDnmuNDYGBF&#10;66hFRyTpuqfhBwQ/wYrE+d6dWgOqV8zG3ATKuk/P0Smdgb7oTw6on/KTTL2fGvZynrNe/tD1LwAA&#10;AP//AwBQSwMEFAAGAAgAAAAhADHIlZzjAAAACwEAAA8AAABkcnMvZG93bnJldi54bWxMj0tPwzAQ&#10;hO9I/AdrkbhUrUMoKQlxKoSEKiFVlD7ubmySqPE62M6Df89ygtvuzmj2m3w9mZYN2vnGooC7RQRM&#10;Y2lVg5WA4+F1/gjMB4lKtha1gG/tYV1cX+UyU3bEDz3sQ8UoBH0mBdQhdBnnvqy1kX5hO42kfVpn&#10;ZKDVVVw5OVK4aXkcRQk3skH6UMtOv9S6vOx7I2B23Bz61WW32bqv+9Pbezc+DLOdELc30/MTsKCn&#10;8GeGX3xCh4KYzrZH5VkrYBkn1CXQsExjYORIo5QuZwFJlK6AFzn/36H4AQAA//8DAFBLAQItABQA&#10;BgAIAAAAIQC2gziS/gAAAOEBAAATAAAAAAAAAAAAAAAAAAAAAABbQ29udGVudF9UeXBlc10ueG1s&#10;UEsBAi0AFAAGAAgAAAAhADj9If/WAAAAlAEAAAsAAAAAAAAAAAAAAAAALwEAAF9yZWxzLy5yZWxz&#10;UEsBAi0AFAAGAAgAAAAhAEj2Qj3mAQAA6QMAAA4AAAAAAAAAAAAAAAAALgIAAGRycy9lMm9Eb2Mu&#10;eG1sUEsBAi0AFAAGAAgAAAAhADHIlZzjAAAACwEAAA8AAAAAAAAAAAAAAAAAQAQAAGRycy9kb3du&#10;cmV2LnhtbFBLBQYAAAAABAAEAPMAAABQBQAAAAA=&#10;" o:allowincell="f">
                <v:path arrowok="t"/>
                <v:textbox>
                  <w:txbxContent>
                    <w:p w14:paraId="4682341C" w14:textId="77777777" w:rsidR="00987A31" w:rsidRDefault="00987A31" w:rsidP="00987A31">
                      <w:pPr>
                        <w:pStyle w:val="FrameContentsuser"/>
                        <w:spacing w:before="120" w:after="120"/>
                        <w:jc w:val="center"/>
                        <w:rPr>
                          <w:color w:val="000000"/>
                        </w:rPr>
                      </w:pPr>
                      <w:r>
                        <w:rPr>
                          <w:b/>
                          <w:bCs/>
                          <w:color w:val="000000"/>
                        </w:rPr>
                        <w:t>Figure 4: Smoking Remains as the Key Cause of COPD in the UK</w:t>
                      </w:r>
                    </w:p>
                    <w:p w14:paraId="0C15EFA4" w14:textId="77777777" w:rsidR="00987A31" w:rsidRDefault="00987A31" w:rsidP="00987A31">
                      <w:pPr>
                        <w:pStyle w:val="FrameContentsuser"/>
                        <w:spacing w:before="120" w:after="120"/>
                        <w:jc w:val="center"/>
                        <w:rPr>
                          <w:color w:val="000000"/>
                        </w:rPr>
                      </w:pPr>
                      <w:r>
                        <w:rPr>
                          <w:color w:val="000000"/>
                        </w:rPr>
                        <w:t>(Source: OVA, 2024)</w:t>
                      </w:r>
                    </w:p>
                  </w:txbxContent>
                </v:textbox>
                <w10:wrap type="square"/>
              </v:rect>
            </w:pict>
          </mc:Fallback>
        </mc:AlternateContent>
      </w:r>
      <w:r>
        <w:rPr>
          <w:color w:val="000000"/>
        </w:rPr>
        <w:t>While explaining the pathological side of COPD, the risk factor that is widely admitted to be one of the leading causes for COPD development is smoking (Prasad, 2020). The latest estimation on the smoking attributable mortality across the globe highlights that out of the total 7.4 million deaths in 2019, 1.7 million deaths were because of COPD, attributed to smoking (Elflein, 2025b). Smoking remains the dominant risk factor for COPD, accounting for 85% of UK cases, which underscores the role of behavioural and social determinants in disease development (OVA, 2024). Therefore, the analysis of this information helps to understand one of the top risk factors for COPD development, which is smoking.</w:t>
      </w:r>
    </w:p>
    <w:p w14:paraId="182AC904" w14:textId="77777777" w:rsidR="00987A31" w:rsidRDefault="00987A31" w:rsidP="00987A31">
      <w:pPr>
        <w:spacing w:before="120" w:after="120"/>
        <w:rPr>
          <w:color w:val="000000"/>
        </w:rPr>
      </w:pPr>
      <w:r>
        <w:rPr>
          <w:color w:val="000000"/>
        </w:rPr>
        <w:t xml:space="preserve">As for the physiological explanation of COPD development, the insights derived from the findings presented through the </w:t>
      </w:r>
      <w:r>
        <w:rPr>
          <w:color w:val="000000"/>
        </w:rPr>
        <w:lastRenderedPageBreak/>
        <w:t xml:space="preserve">study by David </w:t>
      </w:r>
      <w:r>
        <w:rPr>
          <w:i/>
          <w:color w:val="000000"/>
        </w:rPr>
        <w:t>et al</w:t>
      </w:r>
      <w:r>
        <w:rPr>
          <w:color w:val="000000"/>
        </w:rPr>
        <w:t xml:space="preserve">. (2021) suggest that inflammations typically mediated by neutrophils or eosinophils are the biomarkers and the underlying mechanisms of COPD as well. Thus, a chronic inflammatory condition of the lungs of an individual </w:t>
      </w:r>
      <w:proofErr w:type="gramStart"/>
      <w:r>
        <w:rPr>
          <w:color w:val="000000"/>
        </w:rPr>
        <w:t>gives</w:t>
      </w:r>
      <w:proofErr w:type="gramEnd"/>
      <w:r>
        <w:rPr>
          <w:color w:val="000000"/>
        </w:rPr>
        <w:t xml:space="preserve"> way to the development of COPD. On the other hand, the research by </w:t>
      </w:r>
      <w:proofErr w:type="spellStart"/>
      <w:r>
        <w:rPr>
          <w:color w:val="000000"/>
        </w:rPr>
        <w:t>Ralalage</w:t>
      </w:r>
      <w:proofErr w:type="spellEnd"/>
      <w:r>
        <w:rPr>
          <w:color w:val="000000"/>
        </w:rPr>
        <w:t xml:space="preserve"> and Hurst (2023) indicates that, because of airway inflammation accompanied by alveolar loss, caused by emphysema, airflow obstruction is another typical biomarker, revealing the development of COPD in an individual as well.</w:t>
      </w:r>
    </w:p>
    <w:p w14:paraId="3C6E4F4F" w14:textId="77777777" w:rsidR="00987A31" w:rsidRDefault="00987A31" w:rsidP="00987A31">
      <w:pPr>
        <w:spacing w:before="120" w:after="120"/>
        <w:rPr>
          <w:color w:val="000000"/>
        </w:rPr>
      </w:pPr>
      <w:r>
        <w:rPr>
          <w:color w:val="000000"/>
        </w:rPr>
        <w:t xml:space="preserve">The pathophysiology discussion on COPD above helps to perceive the symptoms and the causes for the development of the disease. Developing on this, it can be synthesised that if individuals want to avoid the negative physiological impacts of COPD, it is necessary for them to first consider avoiding the pathological aspects. In connection with this discussion, the health belief model can be referred to here. As per Green, Murphy and Gryboski (2020), the four main pillars of this model are based on an individual's perceptions of their vulnerability to contract the disease, its severity, the benefits of changing their behaviour, and what can prevent them from changing their behaviour. The analysis of this model helps to understand the fact that if individuals can perceive the severity of COPD and their vulnerability to contracting the disease, they tend to get motivated to change their behaviour, which can be further driven by their perception of being able to overcome the challenges that can prevent such positive behavioural change (Zeng </w:t>
      </w:r>
      <w:r>
        <w:rPr>
          <w:i/>
          <w:color w:val="000000"/>
        </w:rPr>
        <w:t>et al</w:t>
      </w:r>
      <w:r>
        <w:rPr>
          <w:color w:val="000000"/>
        </w:rPr>
        <w:t>., 2025).</w:t>
      </w:r>
    </w:p>
    <w:p w14:paraId="6EE54DA8" w14:textId="77777777" w:rsidR="00987A31" w:rsidRDefault="00987A31" w:rsidP="00987A31">
      <w:pPr>
        <w:pStyle w:val="Heading1"/>
        <w:spacing w:before="120" w:after="120"/>
        <w:rPr>
          <w:color w:val="000000"/>
        </w:rPr>
      </w:pPr>
      <w:bookmarkStart w:id="6" w:name="_zdwxtk52ff31"/>
      <w:bookmarkStart w:id="7" w:name="_Toc213684237"/>
      <w:bookmarkEnd w:id="6"/>
      <w:r>
        <w:rPr>
          <w:color w:val="000000"/>
        </w:rPr>
        <w:lastRenderedPageBreak/>
        <w:t>4. Impact on Individuals and Families</w:t>
      </w:r>
      <w:bookmarkEnd w:id="7"/>
    </w:p>
    <w:p w14:paraId="6DE11C91" w14:textId="77777777" w:rsidR="00987A31" w:rsidRDefault="00987A31" w:rsidP="00987A31">
      <w:pPr>
        <w:spacing w:before="120" w:after="120"/>
        <w:rPr>
          <w:color w:val="000000"/>
        </w:rPr>
      </w:pPr>
      <w:r>
        <w:rPr>
          <w:color w:val="000000"/>
        </w:rPr>
        <w:t>The impacts of COPD on individuals and their families can be better understood through the application of the biopsychosocial model.</w:t>
      </w:r>
    </w:p>
    <w:p w14:paraId="7011CE4D" w14:textId="77777777" w:rsidR="00987A31" w:rsidRDefault="00987A31" w:rsidP="00987A31">
      <w:pPr>
        <w:spacing w:before="120" w:after="120"/>
        <w:rPr>
          <w:color w:val="000000"/>
        </w:rPr>
      </w:pPr>
      <w:r>
        <w:rPr>
          <w:b/>
          <w:i/>
          <w:color w:val="000000"/>
        </w:rPr>
        <w:t xml:space="preserve">Physical </w:t>
      </w:r>
      <w:r>
        <w:rPr>
          <w:color w:val="000000"/>
        </w:rPr>
        <w:t xml:space="preserve">- The physical impacts of COPD are only experienced by individuals. In this context, the study carried out by Sandberg </w:t>
      </w:r>
      <w:r>
        <w:rPr>
          <w:i/>
          <w:color w:val="000000"/>
        </w:rPr>
        <w:t>et al</w:t>
      </w:r>
      <w:r>
        <w:rPr>
          <w:color w:val="000000"/>
        </w:rPr>
        <w:t xml:space="preserve">. (2020) highlighted that because of vagal influences and the neural drive associated with central respiratory sensations, combined with inward respiratory muscle movement, pulmonary diseases cause breathlessness among patients. On the other hand, through their research, Ebadi </w:t>
      </w:r>
      <w:r>
        <w:rPr>
          <w:i/>
          <w:color w:val="000000"/>
        </w:rPr>
        <w:t>et al</w:t>
      </w:r>
      <w:r>
        <w:rPr>
          <w:color w:val="000000"/>
        </w:rPr>
        <w:t>. (2021) found that limited airflow, caused by the COPD condition in patients, leads them to feel fatigued, besides their depression, which is another major contributor to the development of fatigue in COPD patients. Therefore, through breathlessness and fatigue, COPD impacts a patient's health.</w:t>
      </w:r>
    </w:p>
    <w:p w14:paraId="762441E7" w14:textId="77777777" w:rsidR="00987A31" w:rsidRDefault="00987A31" w:rsidP="00987A31">
      <w:pPr>
        <w:spacing w:before="120" w:after="120"/>
        <w:jc w:val="center"/>
        <w:rPr>
          <w:color w:val="000000"/>
        </w:rPr>
      </w:pPr>
      <w:r>
        <w:rPr>
          <w:noProof/>
          <w:color w:val="000000"/>
        </w:rPr>
        <w:lastRenderedPageBreak/>
        <w:drawing>
          <wp:inline distT="0" distB="0" distL="0" distR="0" wp14:anchorId="20F94E0D" wp14:editId="207001F6">
            <wp:extent cx="3559810" cy="4505325"/>
            <wp:effectExtent l="0" t="0" r="2540" b="9525"/>
            <wp:docPr id="1032"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8"/>
                    <pic:cNvPicPr/>
                  </pic:nvPicPr>
                  <pic:blipFill>
                    <a:blip r:embed="rId16" cstate="print"/>
                    <a:srcRect t="5481" b="11610"/>
                    <a:stretch/>
                  </pic:blipFill>
                  <pic:spPr>
                    <a:xfrm>
                      <a:off x="0" y="0"/>
                      <a:ext cx="3559810" cy="4505325"/>
                    </a:xfrm>
                    <a:prstGeom prst="rect">
                      <a:avLst/>
                    </a:prstGeom>
                  </pic:spPr>
                </pic:pic>
              </a:graphicData>
            </a:graphic>
          </wp:inline>
        </w:drawing>
      </w:r>
    </w:p>
    <w:p w14:paraId="68012457" w14:textId="77777777" w:rsidR="00987A31" w:rsidRDefault="00987A31" w:rsidP="00987A31">
      <w:pPr>
        <w:spacing w:before="120" w:after="120"/>
        <w:jc w:val="center"/>
        <w:rPr>
          <w:color w:val="000000"/>
        </w:rPr>
      </w:pPr>
      <w:r>
        <w:rPr>
          <w:b/>
          <w:bCs/>
          <w:color w:val="000000"/>
        </w:rPr>
        <w:t>Figure 5: Physical Impact of COPD</w:t>
      </w:r>
    </w:p>
    <w:p w14:paraId="0EDC0D54" w14:textId="77777777" w:rsidR="00987A31" w:rsidRDefault="00987A31" w:rsidP="00987A31">
      <w:pPr>
        <w:spacing w:before="120" w:after="120"/>
        <w:jc w:val="center"/>
        <w:rPr>
          <w:color w:val="000000"/>
        </w:rPr>
      </w:pPr>
      <w:r>
        <w:rPr>
          <w:color w:val="000000"/>
        </w:rPr>
        <w:t>(Source: Bennington-Castro, 2024)</w:t>
      </w:r>
    </w:p>
    <w:p w14:paraId="2AF7FC53" w14:textId="77777777" w:rsidR="00987A31" w:rsidRDefault="00987A31" w:rsidP="00987A31">
      <w:pPr>
        <w:spacing w:before="120" w:after="120"/>
        <w:rPr>
          <w:color w:val="000000"/>
        </w:rPr>
      </w:pPr>
      <w:r>
        <w:rPr>
          <w:b/>
          <w:i/>
          <w:color w:val="000000"/>
        </w:rPr>
        <w:t xml:space="preserve">Psychological </w:t>
      </w:r>
      <w:r>
        <w:rPr>
          <w:color w:val="000000"/>
        </w:rPr>
        <w:t xml:space="preserve">- The psychological impacts of COPD can be equally perceived by individuals, as well as their families. A study in this context, conducted by Yao </w:t>
      </w:r>
      <w:r>
        <w:rPr>
          <w:i/>
          <w:color w:val="000000"/>
        </w:rPr>
        <w:t>et al</w:t>
      </w:r>
      <w:r>
        <w:rPr>
          <w:color w:val="000000"/>
        </w:rPr>
        <w:t xml:space="preserve">. (2020), revealed </w:t>
      </w:r>
      <w:r>
        <w:rPr>
          <w:color w:val="000000"/>
        </w:rPr>
        <w:lastRenderedPageBreak/>
        <w:t xml:space="preserve">that prolonged suffering from the respiratory ailment, repeated hospital readmission, physical impairment, and a high rate of mortality contribute to the formation of depression among 42% of COPD patients. In addition to the psychological suffering of the patient, their families also go through psychological trauma. </w:t>
      </w:r>
      <w:proofErr w:type="spellStart"/>
      <w:r>
        <w:rPr>
          <w:color w:val="000000"/>
        </w:rPr>
        <w:t>Sigurgeirsdottir</w:t>
      </w:r>
      <w:proofErr w:type="spellEnd"/>
      <w:r>
        <w:rPr>
          <w:color w:val="000000"/>
        </w:rPr>
        <w:t xml:space="preserve"> </w:t>
      </w:r>
      <w:r>
        <w:rPr>
          <w:i/>
          <w:color w:val="000000"/>
        </w:rPr>
        <w:t>et al</w:t>
      </w:r>
      <w:r>
        <w:rPr>
          <w:color w:val="000000"/>
        </w:rPr>
        <w:t>. (2020) observed that COPD patients' struggle with breathlessness, and not knowing how to help them in such conditions, makes their families suffer from anxiety as well. Therefore, it can be inferred that COPD affects the psychological aspects of both patients and their families, as they suffer from depression and anxiety.</w:t>
      </w:r>
    </w:p>
    <w:p w14:paraId="0697C776" w14:textId="77777777" w:rsidR="00987A31" w:rsidRDefault="00987A31" w:rsidP="00987A31">
      <w:pPr>
        <w:spacing w:before="120" w:after="120"/>
        <w:rPr>
          <w:color w:val="000000"/>
        </w:rPr>
      </w:pPr>
      <w:r>
        <w:rPr>
          <w:b/>
          <w:i/>
          <w:color w:val="000000"/>
        </w:rPr>
        <w:t xml:space="preserve">Social </w:t>
      </w:r>
      <w:r>
        <w:rPr>
          <w:color w:val="000000"/>
        </w:rPr>
        <w:t xml:space="preserve">- COPD also impacts patients and their families socially. In support of this claim, the findings derived from the literature by Suen </w:t>
      </w:r>
      <w:r>
        <w:rPr>
          <w:i/>
          <w:color w:val="000000"/>
        </w:rPr>
        <w:t>et al</w:t>
      </w:r>
      <w:r>
        <w:rPr>
          <w:color w:val="000000"/>
        </w:rPr>
        <w:t xml:space="preserve">. (2023) can be referred to here. As per the authors, COPD patients with supplemental oxygen experience limited or no social interactions with either their friends or with other community members, leading them to feel socially isolated or lonely. The analysis of this information helps to perceive the limited mobility of patients suffering from COPD, who require supplemental oxygen. As a consequence, such patients and their families equally suffer from financial distress. Elaborating on this aspect further, </w:t>
      </w:r>
      <w:proofErr w:type="spellStart"/>
      <w:r>
        <w:rPr>
          <w:color w:val="000000"/>
        </w:rPr>
        <w:t>Stellefson</w:t>
      </w:r>
      <w:proofErr w:type="spellEnd"/>
      <w:r>
        <w:rPr>
          <w:color w:val="000000"/>
        </w:rPr>
        <w:t xml:space="preserve"> </w:t>
      </w:r>
      <w:r>
        <w:rPr>
          <w:i/>
          <w:color w:val="000000"/>
        </w:rPr>
        <w:t>et al</w:t>
      </w:r>
      <w:r>
        <w:rPr>
          <w:color w:val="000000"/>
        </w:rPr>
        <w:t>. (2025) showed that physical impairment of COPD patients can lead to either total unemployment, limited employment opportunities, or premature retirement, all of which can contribute to the overall financial distress of a COPD patient and their families.</w:t>
      </w:r>
    </w:p>
    <w:p w14:paraId="07CB9C0A" w14:textId="77777777" w:rsidR="00987A31" w:rsidRDefault="00987A31" w:rsidP="00987A31">
      <w:pPr>
        <w:spacing w:before="120" w:after="120"/>
        <w:rPr>
          <w:color w:val="000000"/>
        </w:rPr>
      </w:pPr>
      <w:r>
        <w:rPr>
          <w:color w:val="000000"/>
        </w:rPr>
        <w:t xml:space="preserve">In relation to the discussion above, the transactional model of stress, proposed by Lazarus and Folkman, can be integrated </w:t>
      </w:r>
      <w:r>
        <w:rPr>
          <w:color w:val="000000"/>
        </w:rPr>
        <w:lastRenderedPageBreak/>
        <w:t xml:space="preserve">here. According to the explanation given by Yazdani, Parsa and </w:t>
      </w:r>
      <w:proofErr w:type="spellStart"/>
      <w:r>
        <w:rPr>
          <w:color w:val="000000"/>
        </w:rPr>
        <w:t>Hajihosseinlou</w:t>
      </w:r>
      <w:proofErr w:type="spellEnd"/>
      <w:r>
        <w:rPr>
          <w:color w:val="000000"/>
        </w:rPr>
        <w:t xml:space="preserve"> (2025), individuals first assess their stress to understand if or not they are harmful, and then analyse </w:t>
      </w:r>
      <w:proofErr w:type="spellStart"/>
      <w:r>
        <w:rPr>
          <w:color w:val="000000"/>
        </w:rPr>
        <w:t>if</w:t>
      </w:r>
      <w:proofErr w:type="spellEnd"/>
      <w:r>
        <w:rPr>
          <w:color w:val="000000"/>
        </w:rPr>
        <w:t xml:space="preserve"> or not they have the right resources to deal with such stressors. Subsequent to these, individuals start to consider coping strategies, either by altering the source of their stress or by seeking emotional support to cope with their stressors (Yazdani, Parsa and </w:t>
      </w:r>
      <w:proofErr w:type="spellStart"/>
      <w:r>
        <w:rPr>
          <w:color w:val="000000"/>
        </w:rPr>
        <w:t>Hajihosseinlou</w:t>
      </w:r>
      <w:proofErr w:type="spellEnd"/>
      <w:r>
        <w:rPr>
          <w:color w:val="000000"/>
        </w:rPr>
        <w:t>, 2025). For the COPD cases, patients usually find their conditions threatening, and then rely on medications to cope with their physical stressors, such as breathlessness. Likewise, they tend to seek emotional support to deal with their psychological or social stressors, also.</w:t>
      </w:r>
    </w:p>
    <w:p w14:paraId="292DD884" w14:textId="77777777" w:rsidR="00987A31" w:rsidRDefault="00987A31" w:rsidP="00987A31">
      <w:pPr>
        <w:pStyle w:val="Heading1"/>
        <w:spacing w:before="120" w:after="120"/>
        <w:rPr>
          <w:color w:val="000000"/>
        </w:rPr>
      </w:pPr>
      <w:bookmarkStart w:id="8" w:name="_dss7i219gfqh"/>
      <w:bookmarkStart w:id="9" w:name="_Toc213684238"/>
      <w:bookmarkEnd w:id="8"/>
      <w:r>
        <w:rPr>
          <w:color w:val="000000"/>
        </w:rPr>
        <w:t>5. Evidence-based Treatment and NHS Services</w:t>
      </w:r>
      <w:bookmarkEnd w:id="9"/>
    </w:p>
    <w:p w14:paraId="5ED81239" w14:textId="77777777" w:rsidR="00987A31" w:rsidRDefault="00987A31" w:rsidP="00987A31">
      <w:pPr>
        <w:spacing w:before="120" w:after="120"/>
        <w:rPr>
          <w:color w:val="000000"/>
        </w:rPr>
      </w:pPr>
      <w:r>
        <w:rPr>
          <w:color w:val="000000"/>
        </w:rPr>
        <w:t>Prior to delving further into this discussion, it is necessary to form a robust understanding of the chronic care model to manage long-term diseases. In the context of this discussion, the model developed, refined, and introduced by Wagner in 1998 can be referred to here. As per Wagner (1998), chronic disease management needs begin by offering incentives to care delivery systems, followed by working towards improving the confidence and skills of patients to ensure better self-management of their own health, which will then be followed by establishing evidence-based guidelines and the development of a feedback information mechanism to understand the effectiveness of such interventions for chronic disease management.</w:t>
      </w:r>
    </w:p>
    <w:p w14:paraId="223FFF7B" w14:textId="77777777" w:rsidR="00987A31" w:rsidRDefault="00987A31" w:rsidP="00987A31">
      <w:pPr>
        <w:spacing w:before="120" w:after="120"/>
        <w:rPr>
          <w:color w:val="000000"/>
        </w:rPr>
      </w:pPr>
      <w:r>
        <w:rPr>
          <w:color w:val="000000"/>
        </w:rPr>
        <w:lastRenderedPageBreak/>
        <w:t>Based on the understanding of chronic disease management through evidence-based guidelines, the NHS manages long-term illness in the following ways.</w:t>
      </w:r>
    </w:p>
    <w:p w14:paraId="0C38E54F" w14:textId="77777777" w:rsidR="00987A31" w:rsidRDefault="00987A31" w:rsidP="00987A31">
      <w:pPr>
        <w:spacing w:before="120" w:after="120"/>
        <w:rPr>
          <w:color w:val="000000"/>
        </w:rPr>
      </w:pPr>
      <w:r>
        <w:rPr>
          <w:b/>
          <w:i/>
          <w:color w:val="000000"/>
        </w:rPr>
        <w:t xml:space="preserve">Decision Support </w:t>
      </w:r>
      <w:r>
        <w:rPr>
          <w:color w:val="000000"/>
        </w:rPr>
        <w:t>- The guidelines presented by the National Institute for Health and Care Excellence help caregivers to decide on their actions for the management of patients' COPD conditions. For example, the guidelines specifically inform caregivers when to consider performing spirometry, or reversibility testing, and what grades reveal the severity of airflow obstruction in patients (NICE, 2019a). The analysis of this information helps to understand the effectiveness of the NICE guidelines in terms of assisting caregivers to decide what to do with patients suffering from COPD. With clear and specific information and quantitative data, it becomes possible for the caregivers to make evidence-based decisions in managing COPD patients. This aligns with the evidence-based guidelines, as elaborated in Wagner's chronic care model.</w:t>
      </w:r>
    </w:p>
    <w:p w14:paraId="7DC1B015" w14:textId="77777777" w:rsidR="00987A31" w:rsidRDefault="00987A31" w:rsidP="00987A31">
      <w:pPr>
        <w:spacing w:before="120" w:after="120"/>
        <w:rPr>
          <w:color w:val="000000"/>
        </w:rPr>
      </w:pPr>
      <w:r>
        <w:rPr>
          <w:b/>
          <w:i/>
          <w:color w:val="000000"/>
        </w:rPr>
        <w:t xml:space="preserve">Delivery System Design </w:t>
      </w:r>
      <w:r>
        <w:rPr>
          <w:color w:val="000000"/>
        </w:rPr>
        <w:t xml:space="preserve">- The NHS designs integrated care systems (ICS) to manage chronic conditions of patients. The ICS comprises the NHS, local partners, members from the voluntary sectors, and local councils, who work together to deliver better care services to meet local needs (NHS, 2025b). It is important to note here that the local authorities in the upper-tier of the ICS oversee the planning of health and well-being services. While the social care providers for adults help in enhancing the skills of patients so that they can manage their own health from their home, the voluntary and other social enterprises deliver community-level support, and the NHS trusts extend mental health and ambulatory supports </w:t>
      </w:r>
      <w:r>
        <w:rPr>
          <w:color w:val="000000"/>
        </w:rPr>
        <w:lastRenderedPageBreak/>
        <w:t>(NHS, 2025c). For example, the Weymouth and Portland primary care network extended their support through GPs, nurses, social prescribers, and local authorities to 3,000 residents in Dorset, who were suffering from COPD (NHS, 2025d). These align with the skill development and developing care delivery systems, as noted in the chronic care model by Wagner.</w:t>
      </w:r>
    </w:p>
    <w:p w14:paraId="0A8D122A" w14:textId="77777777" w:rsidR="00987A31" w:rsidRDefault="00987A31" w:rsidP="00987A31">
      <w:pPr>
        <w:spacing w:before="120" w:after="120"/>
        <w:rPr>
          <w:color w:val="000000"/>
        </w:rPr>
      </w:pPr>
      <w:r>
        <w:rPr>
          <w:b/>
          <w:i/>
          <w:color w:val="000000"/>
        </w:rPr>
        <w:t xml:space="preserve">Self-management Support </w:t>
      </w:r>
      <w:r>
        <w:rPr>
          <w:color w:val="000000"/>
        </w:rPr>
        <w:t xml:space="preserve">- Due to the identification of smoking as one of the major factors for developing COPD, the NHS takes a number of measures to assist COPD patients to empower them to regulate their smoking habits by themselves. For example, in the first session of the </w:t>
      </w:r>
      <w:r>
        <w:rPr>
          <w:i/>
          <w:color w:val="000000"/>
        </w:rPr>
        <w:t>Stop Smoking Service</w:t>
      </w:r>
      <w:r>
        <w:rPr>
          <w:color w:val="000000"/>
        </w:rPr>
        <w:t>, patients are provided with nicotine substitute products, such as lozenges, patches, and medications, such as Bupropion or Varenicline (NHS, 2025e). Once the smoking habit goes away, another follow-up session is conducted by the NHS to prevent the relapse of this habit by providing periodic stop smoking treatment for 12 weeks continuously (NHS, 2025e). Pulmonary rehabilitation (PR) is another self-management support, extended by the NHS. With the help of PR initiatives, conducted in local community halls or hospitals, the NHS empowers better self-management of the health of patients suffering from different lung diseases, such as COPD or pulmonary fibrosis (NHS, 2025f). Tailored exercises are prescribed for such patients, and PR sessions typically last between 6 and 8 weeks, and 90% of patients who complete the entire PR session report better quality of life as well (NHS, 2025f).</w:t>
      </w:r>
    </w:p>
    <w:p w14:paraId="60FE8489" w14:textId="77777777" w:rsidR="00987A31" w:rsidRDefault="00987A31" w:rsidP="00987A31">
      <w:pPr>
        <w:spacing w:before="120" w:after="120"/>
        <w:rPr>
          <w:color w:val="000000"/>
        </w:rPr>
      </w:pPr>
      <w:r>
        <w:rPr>
          <w:color w:val="000000"/>
        </w:rPr>
        <w:t xml:space="preserve">In the context of the discussion up to this point, it becomes clear that the NHS delivers treatment to COPD patients by </w:t>
      </w:r>
      <w:r>
        <w:rPr>
          <w:color w:val="000000"/>
        </w:rPr>
        <w:lastRenderedPageBreak/>
        <w:t>integrating primary, secondary, and community-level interventions.</w:t>
      </w:r>
    </w:p>
    <w:p w14:paraId="1F2F6D37" w14:textId="77777777" w:rsidR="00987A31" w:rsidRDefault="00987A31" w:rsidP="00987A31">
      <w:pPr>
        <w:pStyle w:val="Heading1"/>
        <w:spacing w:before="120" w:after="120"/>
        <w:rPr>
          <w:color w:val="000000"/>
        </w:rPr>
      </w:pPr>
      <w:bookmarkStart w:id="10" w:name="_awrcciisa7tz"/>
      <w:bookmarkStart w:id="11" w:name="_Toc213684239"/>
      <w:bookmarkEnd w:id="10"/>
      <w:r>
        <w:rPr>
          <w:color w:val="000000"/>
        </w:rPr>
        <w:t>6. Models and Frameworks for Improved Outcomes</w:t>
      </w:r>
      <w:bookmarkEnd w:id="11"/>
    </w:p>
    <w:p w14:paraId="797D8A9A" w14:textId="77777777" w:rsidR="00987A31" w:rsidRDefault="00987A31" w:rsidP="00987A31">
      <w:pPr>
        <w:spacing w:before="120" w:after="120"/>
        <w:rPr>
          <w:color w:val="000000"/>
        </w:rPr>
      </w:pPr>
      <w:r>
        <w:rPr>
          <w:color w:val="000000"/>
        </w:rPr>
        <w:t xml:space="preserve">In order to achieve improved outcomes, the NHS in the UK followed the coordinated COPD pathways. The UK model includes two distinct bodies, the </w:t>
      </w:r>
      <w:r>
        <w:rPr>
          <w:i/>
          <w:color w:val="000000"/>
        </w:rPr>
        <w:t xml:space="preserve">integrated care boards </w:t>
      </w:r>
      <w:r>
        <w:rPr>
          <w:color w:val="000000"/>
        </w:rPr>
        <w:t xml:space="preserve">(ICB) and the </w:t>
      </w:r>
      <w:r>
        <w:rPr>
          <w:i/>
          <w:color w:val="000000"/>
        </w:rPr>
        <w:t>integrated care partnerships</w:t>
      </w:r>
      <w:r>
        <w:rPr>
          <w:color w:val="000000"/>
        </w:rPr>
        <w:t xml:space="preserve"> (ICP). While the ICB works as an interface between local governments and public health, the ICP has a broader reach because it comprises practitioners and other local organisations that can deliver effectively to ensure better public health outcomes (UK Gov, 2025). The concept has further been clarified by Thomson and Chatterjee (2024) when the authors upheld the statutory roles of ICPs that bring together the NHS, social care organisations, and local authorities as equal partners to focus on public health conditions and devise ways to meet the needs of the local populations, in terms of getting quality care. Therefore, the discussion here helps to understand the present model and framework of the UK healthcare system, focused on improving public health outcomes.</w:t>
      </w:r>
    </w:p>
    <w:p w14:paraId="603B3BEA" w14:textId="77777777" w:rsidR="00987A31" w:rsidRDefault="00987A31" w:rsidP="00987A31">
      <w:pPr>
        <w:spacing w:before="120" w:after="120"/>
        <w:rPr>
          <w:color w:val="000000"/>
        </w:rPr>
      </w:pPr>
      <w:r>
        <w:rPr>
          <w:color w:val="000000"/>
        </w:rPr>
        <w:t xml:space="preserve">In contrast, the WHO has its own internationally accepted healthcare delivery model, aimed at improving the existing health outcomes for patients with chronic conditions. Further developing on this, the findings that were derived from reviewing the literature authored by </w:t>
      </w:r>
      <w:proofErr w:type="spellStart"/>
      <w:r>
        <w:rPr>
          <w:color w:val="000000"/>
        </w:rPr>
        <w:t>Te</w:t>
      </w:r>
      <w:proofErr w:type="spellEnd"/>
      <w:r>
        <w:rPr>
          <w:color w:val="000000"/>
        </w:rPr>
        <w:t xml:space="preserve"> </w:t>
      </w:r>
      <w:r>
        <w:rPr>
          <w:i/>
          <w:color w:val="000000"/>
        </w:rPr>
        <w:t>et al</w:t>
      </w:r>
      <w:r>
        <w:rPr>
          <w:color w:val="000000"/>
        </w:rPr>
        <w:t xml:space="preserve">. (2024) suggest that the framework developed by WHO is known as the innovative care for chronic conditions (ICCC), which follows the chronic care model by Wagner. The authors further </w:t>
      </w:r>
      <w:r>
        <w:rPr>
          <w:color w:val="000000"/>
        </w:rPr>
        <w:lastRenderedPageBreak/>
        <w:t>highlighted that ICCC facilitates the collaboration among patients who are suffering from chronic ailments and their families, community partners, and healthcare teams (</w:t>
      </w:r>
      <w:proofErr w:type="spellStart"/>
      <w:r>
        <w:rPr>
          <w:color w:val="000000"/>
        </w:rPr>
        <w:t>Te</w:t>
      </w:r>
      <w:proofErr w:type="spellEnd"/>
      <w:r>
        <w:rPr>
          <w:color w:val="000000"/>
        </w:rPr>
        <w:t xml:space="preserve"> </w:t>
      </w:r>
      <w:r>
        <w:rPr>
          <w:i/>
          <w:color w:val="000000"/>
        </w:rPr>
        <w:t>et al</w:t>
      </w:r>
      <w:r>
        <w:rPr>
          <w:color w:val="000000"/>
        </w:rPr>
        <w:t>., 2024). This arrangement is known as integrated care according to the WHO. However, compared to the centrally controlled UK model with ICPs and ICBs, the formulation of policies for the ICCC model is more difficult. Additionally, funding may be a problem in the ICCC model, as the UK model ensures the involvement of the government entity, the NHS, to mitigate any funding issues. However, in terms of the availability of workforce, the ICCC model is ahead of the UK model, because of its global reach.</w:t>
      </w:r>
    </w:p>
    <w:p w14:paraId="5B767784" w14:textId="77777777" w:rsidR="00987A31" w:rsidRDefault="00987A31" w:rsidP="00987A31">
      <w:pPr>
        <w:pStyle w:val="Heading1"/>
        <w:spacing w:before="120" w:after="120"/>
        <w:rPr>
          <w:color w:val="000000"/>
        </w:rPr>
      </w:pPr>
      <w:bookmarkStart w:id="12" w:name="_t771bxik4854"/>
      <w:bookmarkStart w:id="13" w:name="_Toc213684240"/>
      <w:bookmarkEnd w:id="12"/>
      <w:r>
        <w:rPr>
          <w:color w:val="000000"/>
        </w:rPr>
        <w:t>7. Local and National Policy Implications</w:t>
      </w:r>
      <w:bookmarkEnd w:id="13"/>
    </w:p>
    <w:p w14:paraId="6AD3F84A" w14:textId="77777777" w:rsidR="00987A31" w:rsidRDefault="00987A31" w:rsidP="00987A31">
      <w:pPr>
        <w:pStyle w:val="NormalWeb"/>
        <w:spacing w:before="120" w:beforeAutospacing="0" w:after="120" w:afterAutospacing="0" w:line="360" w:lineRule="auto"/>
        <w:jc w:val="both"/>
        <w:rPr>
          <w:rFonts w:ascii="Arial" w:hAnsi="Arial" w:cs="Arial"/>
          <w:color w:val="000000"/>
          <w:lang w:val="en-GB"/>
        </w:rPr>
      </w:pPr>
      <w:r>
        <w:rPr>
          <w:rFonts w:ascii="Arial" w:hAnsi="Arial" w:cs="Arial"/>
          <w:color w:val="000000"/>
          <w:lang w:val="en-GB"/>
        </w:rPr>
        <w:t xml:space="preserve">The </w:t>
      </w:r>
      <w:r>
        <w:rPr>
          <w:rFonts w:ascii="Arial" w:hAnsi="Arial" w:cs="Arial"/>
          <w:b/>
          <w:bCs/>
          <w:i/>
          <w:iCs/>
          <w:color w:val="000000"/>
          <w:lang w:val="en-GB"/>
        </w:rPr>
        <w:t>Comprehensive Model of Personalised Care</w:t>
      </w:r>
      <w:r>
        <w:rPr>
          <w:rFonts w:ascii="Arial" w:hAnsi="Arial" w:cs="Arial"/>
          <w:color w:val="000000"/>
          <w:lang w:val="en-GB"/>
        </w:rPr>
        <w:t xml:space="preserve"> is known for being outlined in the NHS Long-term plan. Six different components are included in the model, which help in empowering patients with long-term conditions such as COPD (NHS England, 2022). This helps in promoting integrated respiratory care, along with reduced hospital admissions and also improving quality of life.</w:t>
      </w:r>
    </w:p>
    <w:p w14:paraId="60E919F4" w14:textId="77777777" w:rsidR="00987A31" w:rsidRDefault="00987A31" w:rsidP="00987A31">
      <w:pPr>
        <w:pStyle w:val="NormalWeb"/>
        <w:spacing w:before="120" w:beforeAutospacing="0" w:after="120" w:afterAutospacing="0" w:line="360" w:lineRule="auto"/>
        <w:jc w:val="center"/>
        <w:rPr>
          <w:rFonts w:ascii="Arial" w:hAnsi="Arial" w:cs="Arial"/>
          <w:color w:val="000000"/>
          <w:lang w:val="en-GB"/>
        </w:rPr>
      </w:pPr>
      <w:r>
        <w:rPr>
          <w:rFonts w:ascii="Arial" w:hAnsi="Arial" w:cs="Arial"/>
          <w:noProof/>
          <w:color w:val="000000"/>
          <w:lang w:val="en-GB"/>
        </w:rPr>
        <w:lastRenderedPageBreak/>
        <w:drawing>
          <wp:inline distT="0" distB="0" distL="0" distR="0" wp14:anchorId="41507756" wp14:editId="46FEF6BB">
            <wp:extent cx="4276725" cy="2381250"/>
            <wp:effectExtent l="0" t="0" r="28575" b="0"/>
            <wp:docPr id="1033"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69959535" w14:textId="77777777" w:rsidR="00987A31" w:rsidRDefault="00987A31" w:rsidP="00987A31">
      <w:pPr>
        <w:pStyle w:val="NormalWeb"/>
        <w:spacing w:before="120" w:beforeAutospacing="0" w:after="120" w:afterAutospacing="0" w:line="360" w:lineRule="auto"/>
        <w:jc w:val="center"/>
        <w:rPr>
          <w:rFonts w:ascii="Arial" w:hAnsi="Arial" w:cs="Arial"/>
          <w:color w:val="000000"/>
          <w:lang w:val="en-GB"/>
        </w:rPr>
      </w:pPr>
      <w:r>
        <w:rPr>
          <w:rFonts w:ascii="Arial" w:hAnsi="Arial" w:cs="Arial"/>
          <w:b/>
          <w:bCs/>
          <w:color w:val="000000"/>
          <w:lang w:val="en-GB"/>
        </w:rPr>
        <w:t>Figure 6: Comprehensive Model of Personalised Care Model by the NHS</w:t>
      </w:r>
    </w:p>
    <w:p w14:paraId="2A89FDDA" w14:textId="77777777" w:rsidR="00987A31" w:rsidRDefault="00987A31" w:rsidP="00987A31">
      <w:pPr>
        <w:pStyle w:val="NormalWeb"/>
        <w:spacing w:before="120" w:beforeAutospacing="0" w:after="120" w:afterAutospacing="0" w:line="360" w:lineRule="auto"/>
        <w:jc w:val="center"/>
        <w:rPr>
          <w:rFonts w:ascii="Arial" w:hAnsi="Arial" w:cs="Arial"/>
          <w:color w:val="000000"/>
          <w:lang w:val="en-GB"/>
        </w:rPr>
      </w:pPr>
      <w:r>
        <w:rPr>
          <w:rFonts w:ascii="Arial" w:hAnsi="Arial" w:cs="Arial"/>
          <w:color w:val="000000"/>
          <w:lang w:val="en-GB"/>
        </w:rPr>
        <w:t>(Created by Author)</w:t>
      </w:r>
    </w:p>
    <w:p w14:paraId="0ADC67BE" w14:textId="77777777" w:rsidR="00987A31" w:rsidRDefault="00987A31" w:rsidP="00987A31">
      <w:pPr>
        <w:pStyle w:val="NormalWeb"/>
        <w:spacing w:before="120" w:beforeAutospacing="0" w:after="120" w:afterAutospacing="0" w:line="360" w:lineRule="auto"/>
        <w:jc w:val="both"/>
        <w:rPr>
          <w:rFonts w:ascii="Arial" w:hAnsi="Arial" w:cs="Arial"/>
          <w:color w:val="000000"/>
          <w:lang w:val="en-GB"/>
        </w:rPr>
      </w:pPr>
      <w:r>
        <w:rPr>
          <w:rFonts w:ascii="Arial" w:hAnsi="Arial" w:cs="Arial"/>
          <w:b/>
          <w:bCs/>
          <w:i/>
          <w:iCs/>
          <w:color w:val="000000"/>
          <w:lang w:val="en-GB"/>
        </w:rPr>
        <w:t>Shared Decision Making</w:t>
      </w:r>
      <w:r>
        <w:rPr>
          <w:rFonts w:ascii="Arial" w:hAnsi="Arial" w:cs="Arial"/>
          <w:color w:val="000000"/>
          <w:lang w:val="en-GB"/>
        </w:rPr>
        <w:t xml:space="preserve"> is known for involving various clinicians alongside patients for co-creating several COPD Action Plans. These are aimed at medication, flare-up response, along with rescue packs, that are aligned with NICE NG115, which is also implemented in local primary care networks (NICE, 2019b). </w:t>
      </w:r>
      <w:r>
        <w:rPr>
          <w:rFonts w:ascii="Arial" w:hAnsi="Arial" w:cs="Arial"/>
          <w:b/>
          <w:bCs/>
          <w:i/>
          <w:iCs/>
          <w:color w:val="000000"/>
          <w:lang w:val="en-GB"/>
        </w:rPr>
        <w:t>Personalised Care and Support Planning</w:t>
      </w:r>
      <w:r>
        <w:rPr>
          <w:rFonts w:ascii="Arial" w:hAnsi="Arial" w:cs="Arial"/>
          <w:color w:val="000000"/>
          <w:lang w:val="en-GB"/>
        </w:rPr>
        <w:t xml:space="preserve"> is implemented through ICB’s Right Care </w:t>
      </w:r>
      <w:r>
        <w:rPr>
          <w:rFonts w:ascii="Arial" w:hAnsi="Arial" w:cs="Arial"/>
          <w:color w:val="000000"/>
          <w:lang w:val="en-GB"/>
        </w:rPr>
        <w:lastRenderedPageBreak/>
        <w:t xml:space="preserve">Respiratory Pathways (NHS England, 2017a). These are known for helping in aligning primary, community, along with secondary teams with various tailored rehabilitation goals. It is essential to note that such goals remain under a regional framework with local customisation.  </w:t>
      </w:r>
      <w:r>
        <w:rPr>
          <w:rFonts w:ascii="Arial" w:hAnsi="Arial" w:cs="Arial"/>
          <w:b/>
          <w:bCs/>
          <w:i/>
          <w:iCs/>
          <w:color w:val="000000"/>
          <w:lang w:val="en-GB"/>
        </w:rPr>
        <w:t>Enabling Choice</w:t>
      </w:r>
      <w:r>
        <w:rPr>
          <w:rFonts w:ascii="Arial" w:hAnsi="Arial" w:cs="Arial"/>
          <w:color w:val="000000"/>
          <w:lang w:val="en-GB"/>
        </w:rPr>
        <w:t xml:space="preserve"> is known for offering patients with community pulmonary rehab, along with online classes and also hospital sessions, which are primarily based on mobility and access. This results in providing local flexibility (NHS England, 2017b). </w:t>
      </w:r>
    </w:p>
    <w:p w14:paraId="4484ABCE" w14:textId="77777777" w:rsidR="00987A31" w:rsidRDefault="00987A31" w:rsidP="00987A31">
      <w:pPr>
        <w:pStyle w:val="NormalWeb"/>
        <w:spacing w:before="120" w:beforeAutospacing="0" w:after="120" w:afterAutospacing="0" w:line="360" w:lineRule="auto"/>
        <w:jc w:val="both"/>
        <w:rPr>
          <w:rFonts w:ascii="Arial" w:hAnsi="Arial" w:cs="Arial"/>
          <w:color w:val="000000"/>
          <w:lang w:val="en-GB"/>
        </w:rPr>
      </w:pPr>
      <w:r>
        <w:rPr>
          <w:rFonts w:ascii="Arial" w:hAnsi="Arial" w:cs="Arial"/>
          <w:b/>
          <w:bCs/>
          <w:i/>
          <w:iCs/>
          <w:color w:val="000000"/>
          <w:lang w:val="en-GB"/>
        </w:rPr>
        <w:t>Social Prescribing and Community Support</w:t>
      </w:r>
      <w:r>
        <w:rPr>
          <w:rFonts w:ascii="Arial" w:hAnsi="Arial" w:cs="Arial"/>
          <w:color w:val="000000"/>
          <w:lang w:val="en-GB"/>
        </w:rPr>
        <w:t xml:space="preserve"> is known for using link workers for referring to smoking cessation, along with various </w:t>
      </w:r>
      <w:r>
        <w:rPr>
          <w:rFonts w:ascii="Arial" w:hAnsi="Arial" w:cs="Arial"/>
          <w:i/>
          <w:iCs/>
          <w:color w:val="000000"/>
          <w:lang w:val="en-GB"/>
        </w:rPr>
        <w:t>“Breath Easy”</w:t>
      </w:r>
      <w:r>
        <w:rPr>
          <w:rFonts w:ascii="Arial" w:hAnsi="Arial" w:cs="Arial"/>
          <w:color w:val="000000"/>
          <w:lang w:val="en-GB"/>
        </w:rPr>
        <w:t xml:space="preserve"> groups and air-quality support, which is provided via local and voluntary sector collaboration (NHS England, 2024). </w:t>
      </w:r>
      <w:r>
        <w:rPr>
          <w:rFonts w:ascii="Arial" w:hAnsi="Arial" w:cs="Arial"/>
          <w:b/>
          <w:bCs/>
          <w:i/>
          <w:iCs/>
          <w:color w:val="000000"/>
          <w:lang w:val="en-GB"/>
        </w:rPr>
        <w:t>Supported Self-Management</w:t>
      </w:r>
      <w:r>
        <w:rPr>
          <w:rFonts w:ascii="Arial" w:hAnsi="Arial" w:cs="Arial"/>
          <w:color w:val="000000"/>
          <w:lang w:val="en-GB"/>
        </w:rPr>
        <w:t>, on the other hand, is known for leveraging various Digital Toolkits of the NHS along with</w:t>
      </w:r>
      <w:r>
        <w:rPr>
          <w:rFonts w:ascii="Arial" w:hAnsi="Arial" w:cs="Arial"/>
          <w:i/>
          <w:iCs/>
          <w:color w:val="000000"/>
          <w:lang w:val="en-GB"/>
        </w:rPr>
        <w:t xml:space="preserve"> “Asthma + Lung UK resources” </w:t>
      </w:r>
      <w:r>
        <w:rPr>
          <w:rFonts w:ascii="Arial" w:hAnsi="Arial" w:cs="Arial"/>
          <w:color w:val="000000"/>
          <w:lang w:val="en-GB"/>
        </w:rPr>
        <w:t xml:space="preserve">(Asthma and Lung UK, 2024). This helps in symptom tracking along with providing self-monitoring </w:t>
      </w:r>
      <w:r>
        <w:rPr>
          <w:rFonts w:ascii="Arial" w:hAnsi="Arial" w:cs="Arial"/>
          <w:color w:val="000000"/>
          <w:lang w:val="en-GB"/>
        </w:rPr>
        <w:lastRenderedPageBreak/>
        <w:t>guidance, resulting in combining local use with various national tools.</w:t>
      </w:r>
      <w:r>
        <w:rPr>
          <w:rFonts w:ascii="Arial" w:hAnsi="Arial" w:cs="Arial"/>
          <w:b/>
          <w:bCs/>
          <w:i/>
          <w:iCs/>
          <w:color w:val="000000"/>
          <w:lang w:val="en-GB"/>
        </w:rPr>
        <w:t xml:space="preserve"> Personal Health Budgets </w:t>
      </w:r>
      <w:r>
        <w:rPr>
          <w:rFonts w:ascii="Arial" w:hAnsi="Arial" w:cs="Arial"/>
          <w:color w:val="000000"/>
          <w:lang w:val="en-GB"/>
        </w:rPr>
        <w:t>are known for funding portable oxygen, along with home spirometry and various exercise equipment, through local pilot schemes. for cases that are severe in nature (NHS England, 2017c). Together, these components represent a comprehensive, whole-system response that integrates prevention, treatment, and empowerment to enhance COPD outcomes nationwide.</w:t>
      </w:r>
    </w:p>
    <w:p w14:paraId="30BFD820" w14:textId="77777777" w:rsidR="00987A31" w:rsidRDefault="00987A31" w:rsidP="00987A31">
      <w:pPr>
        <w:pStyle w:val="Heading1"/>
        <w:spacing w:before="120" w:after="120"/>
        <w:rPr>
          <w:color w:val="000000"/>
        </w:rPr>
      </w:pPr>
      <w:bookmarkStart w:id="14" w:name="_2uzuw5eqhus3"/>
      <w:bookmarkStart w:id="15" w:name="_Toc213684241"/>
      <w:bookmarkEnd w:id="14"/>
      <w:r>
        <w:rPr>
          <w:color w:val="000000"/>
        </w:rPr>
        <w:t>8. Recommendations</w:t>
      </w:r>
      <w:bookmarkEnd w:id="15"/>
    </w:p>
    <w:p w14:paraId="4AD318BE" w14:textId="77777777" w:rsidR="00987A31" w:rsidRDefault="00987A31" w:rsidP="00987A31">
      <w:pPr>
        <w:numPr>
          <w:ilvl w:val="0"/>
          <w:numId w:val="3"/>
        </w:numPr>
        <w:suppressAutoHyphens/>
        <w:spacing w:before="120" w:after="120" w:line="360" w:lineRule="auto"/>
        <w:jc w:val="both"/>
        <w:rPr>
          <w:color w:val="000000"/>
        </w:rPr>
      </w:pPr>
      <w:r>
        <w:rPr>
          <w:color w:val="000000"/>
        </w:rPr>
        <w:t>It is recommended that to improve the clinical management of COPD, healthcare professionals find ways to enhance patient referrals for PR. The reason for this recommendation is that the PR is one of the most effective non-pharmacological interventions for COPD. To achieve this, the NHS may consider embedding PR referrals into standard care practices. This suggestion is in alignment with the chronic care model by Wagner, where promoting self-management of one's own health is prioritised.</w:t>
      </w:r>
    </w:p>
    <w:p w14:paraId="1F69180D" w14:textId="77777777" w:rsidR="00987A31" w:rsidRDefault="00987A31" w:rsidP="00987A31">
      <w:pPr>
        <w:numPr>
          <w:ilvl w:val="0"/>
          <w:numId w:val="3"/>
        </w:numPr>
        <w:suppressAutoHyphens/>
        <w:spacing w:before="120" w:after="120" w:line="360" w:lineRule="auto"/>
        <w:jc w:val="both"/>
        <w:rPr>
          <w:color w:val="000000"/>
        </w:rPr>
      </w:pPr>
      <w:r>
        <w:rPr>
          <w:color w:val="000000"/>
        </w:rPr>
        <w:lastRenderedPageBreak/>
        <w:t>It is also suggested that the NHS consider integrating mental health screening into standard care practices for COPD. The justification for this recommendation is that by taking care of the mental health issues of patients and their families, it would be possible to deliver holistic care. Routine mental health screening integrated into standard care practices aligns perfectly with the feedback mechanisms highlighted in the chronic care model by Wagner.</w:t>
      </w:r>
    </w:p>
    <w:p w14:paraId="1DCC7B33" w14:textId="77777777" w:rsidR="00987A31" w:rsidRDefault="00987A31" w:rsidP="00987A31">
      <w:pPr>
        <w:numPr>
          <w:ilvl w:val="0"/>
          <w:numId w:val="3"/>
        </w:numPr>
        <w:suppressAutoHyphens/>
        <w:spacing w:before="120" w:after="120" w:line="360" w:lineRule="auto"/>
        <w:jc w:val="both"/>
        <w:rPr>
          <w:color w:val="000000"/>
        </w:rPr>
      </w:pPr>
      <w:r>
        <w:rPr>
          <w:color w:val="000000"/>
        </w:rPr>
        <w:t>It is advised that healthcare professionals consider forming and deploying local rapid-response teams to manage exacerbated cases of COPD. The rationale is that it can reduce the burden on healthcare facilities by minimising hospital admission scenarios. Integrated coordination among such teams, community healthcare providers, and remote health monitoring teams can help in achieving this objective, while being in alignment with the evidence-based practices suggested by the chronic care model by Wagner.</w:t>
      </w:r>
    </w:p>
    <w:p w14:paraId="489F0A26" w14:textId="77777777" w:rsidR="00987A31" w:rsidRDefault="00987A31" w:rsidP="00987A31">
      <w:pPr>
        <w:pStyle w:val="Heading1"/>
        <w:spacing w:before="120" w:after="120"/>
        <w:rPr>
          <w:color w:val="000000"/>
        </w:rPr>
      </w:pPr>
      <w:bookmarkStart w:id="16" w:name="_ezutf8nvlqv7"/>
      <w:bookmarkStart w:id="17" w:name="_Toc213684242"/>
      <w:bookmarkEnd w:id="16"/>
      <w:r>
        <w:rPr>
          <w:color w:val="000000"/>
        </w:rPr>
        <w:lastRenderedPageBreak/>
        <w:t>9. Conclusion</w:t>
      </w:r>
      <w:bookmarkEnd w:id="17"/>
    </w:p>
    <w:p w14:paraId="18553D9B" w14:textId="77777777" w:rsidR="00987A31" w:rsidRDefault="00987A31" w:rsidP="00987A31">
      <w:pPr>
        <w:spacing w:before="120" w:after="120"/>
        <w:rPr>
          <w:color w:val="000000"/>
        </w:rPr>
      </w:pPr>
      <w:r>
        <w:rPr>
          <w:color w:val="000000"/>
        </w:rPr>
        <w:t>Based on the discussion up to this point, it can be concluded that sustainable improvement in COPD management by the NHS depends on integrated, person-centred care that can address all of the biological, social, and psychological aspects of the disease. Coordinated efforts through integrated care systems, robust referral pathways, and mental health screening activities ensure offering holistic support for patients with COPD conditions and their families. It is also important to note here that the alignment of service delivery with Wagner's chronic care model makes the system proactive, evidence-based, and collaborative in the community as well as in clinical settings. Contextually, it can also be inferred that PR, self-management, and rapid response teams can enhance the continuity of care as well.</w:t>
      </w:r>
      <w:r>
        <w:rPr>
          <w:color w:val="000000"/>
        </w:rPr>
        <w:br w:type="page"/>
      </w:r>
    </w:p>
    <w:p w14:paraId="19292912" w14:textId="77777777" w:rsidR="00987A31" w:rsidRDefault="00987A31" w:rsidP="00987A31">
      <w:pPr>
        <w:pStyle w:val="Heading1"/>
        <w:spacing w:before="120" w:after="120"/>
        <w:rPr>
          <w:color w:val="000000"/>
        </w:rPr>
      </w:pPr>
      <w:bookmarkStart w:id="18" w:name="_Toc213684243"/>
      <w:r>
        <w:rPr>
          <w:color w:val="000000"/>
        </w:rPr>
        <w:lastRenderedPageBreak/>
        <w:t>References</w:t>
      </w:r>
      <w:bookmarkEnd w:id="18"/>
    </w:p>
    <w:p w14:paraId="5B194F22" w14:textId="77777777" w:rsidR="00987A31" w:rsidRDefault="00987A31" w:rsidP="00987A31">
      <w:pPr>
        <w:spacing w:before="120" w:after="120"/>
        <w:rPr>
          <w:color w:val="000000"/>
        </w:rPr>
      </w:pPr>
      <w:r>
        <w:rPr>
          <w:color w:val="000000"/>
        </w:rPr>
        <w:t xml:space="preserve">Alwafi, H., Naser, A. Y., Ashoor, D. S., </w:t>
      </w:r>
      <w:proofErr w:type="spellStart"/>
      <w:r>
        <w:rPr>
          <w:color w:val="000000"/>
        </w:rPr>
        <w:t>Aldhahir</w:t>
      </w:r>
      <w:proofErr w:type="spellEnd"/>
      <w:r>
        <w:rPr>
          <w:color w:val="000000"/>
        </w:rPr>
        <w:t xml:space="preserve">, A. M., Alqahtani, J. S., </w:t>
      </w:r>
      <w:proofErr w:type="spellStart"/>
      <w:r>
        <w:rPr>
          <w:color w:val="000000"/>
        </w:rPr>
        <w:t>Minshawi</w:t>
      </w:r>
      <w:proofErr w:type="spellEnd"/>
      <w:r>
        <w:rPr>
          <w:color w:val="000000"/>
        </w:rPr>
        <w:t xml:space="preserve">, F., </w:t>
      </w:r>
      <w:proofErr w:type="spellStart"/>
      <w:r>
        <w:rPr>
          <w:color w:val="000000"/>
        </w:rPr>
        <w:t>Salawati</w:t>
      </w:r>
      <w:proofErr w:type="spellEnd"/>
      <w:r>
        <w:rPr>
          <w:color w:val="000000"/>
        </w:rPr>
        <w:t xml:space="preserve">. E. </w:t>
      </w:r>
      <w:proofErr w:type="spellStart"/>
      <w:r>
        <w:rPr>
          <w:color w:val="000000"/>
        </w:rPr>
        <w:t>Samannodi</w:t>
      </w:r>
      <w:proofErr w:type="spellEnd"/>
      <w:r>
        <w:rPr>
          <w:color w:val="000000"/>
        </w:rPr>
        <w:t xml:space="preserve">. M. Dairi. M. S. Alansari. A. K. and Ekram, R. (2023). Trends in hospital admissions and prescribing due to chronic obstructive pulmonary disease and asthma in England and Wales between 1999 and 2020: an ecological study. </w:t>
      </w:r>
      <w:r>
        <w:rPr>
          <w:i/>
          <w:iCs/>
          <w:color w:val="000000"/>
        </w:rPr>
        <w:t>BMC Pulmonary Medicine</w:t>
      </w:r>
      <w:r>
        <w:rPr>
          <w:color w:val="000000"/>
        </w:rPr>
        <w:t xml:space="preserve">, </w:t>
      </w:r>
      <w:r>
        <w:rPr>
          <w:i/>
          <w:iCs/>
          <w:color w:val="000000"/>
        </w:rPr>
        <w:t>23</w:t>
      </w:r>
      <w:r>
        <w:rPr>
          <w:color w:val="000000"/>
        </w:rPr>
        <w:t>(1), 49.</w:t>
      </w:r>
    </w:p>
    <w:p w14:paraId="74FDC302" w14:textId="77777777" w:rsidR="00987A31" w:rsidRDefault="00987A31" w:rsidP="00987A31">
      <w:pPr>
        <w:spacing w:before="120" w:after="120"/>
        <w:rPr>
          <w:rFonts w:eastAsia="Times New Roman"/>
          <w:color w:val="000000"/>
        </w:rPr>
      </w:pPr>
      <w:r>
        <w:rPr>
          <w:rFonts w:eastAsia="Times New Roman"/>
          <w:color w:val="000000"/>
        </w:rPr>
        <w:t xml:space="preserve">Asthma and Lung UK (2024). </w:t>
      </w:r>
      <w:r>
        <w:rPr>
          <w:rFonts w:eastAsia="Times New Roman"/>
          <w:i/>
          <w:iCs/>
          <w:color w:val="000000"/>
        </w:rPr>
        <w:t>Asthma + Lung UK | Home</w:t>
      </w:r>
      <w:r>
        <w:rPr>
          <w:rFonts w:eastAsia="Times New Roman"/>
          <w:color w:val="000000"/>
        </w:rPr>
        <w:t>. [online] Asthma &amp; Lung UK. Available at: https://www.asthmaandlung.org.uk/ [Accessed 10 Nov. 2025].</w:t>
      </w:r>
    </w:p>
    <w:p w14:paraId="462F2700" w14:textId="77777777" w:rsidR="00987A31" w:rsidRDefault="00987A31" w:rsidP="00987A31">
      <w:pPr>
        <w:spacing w:before="120" w:after="120"/>
        <w:rPr>
          <w:color w:val="000000"/>
        </w:rPr>
      </w:pPr>
      <w:r>
        <w:rPr>
          <w:color w:val="000000"/>
        </w:rPr>
        <w:t xml:space="preserve">Bennington-Castro, J. (2024). </w:t>
      </w:r>
      <w:r>
        <w:rPr>
          <w:i/>
          <w:iCs/>
          <w:color w:val="000000"/>
        </w:rPr>
        <w:t>What Is COPD? Symptoms, Causes, Diagnosis, Treatment, and Prevention</w:t>
      </w:r>
      <w:r>
        <w:rPr>
          <w:color w:val="000000"/>
        </w:rPr>
        <w:t>. Everyday Health. https://www.everydayhealth.com/copd/guide/#what-are-the-signs-and-symptoms-of-copd [Accessed 30 Oct. 2025].</w:t>
      </w:r>
    </w:p>
    <w:p w14:paraId="19F80DD5" w14:textId="77777777" w:rsidR="00987A31" w:rsidRDefault="00987A31" w:rsidP="00987A31">
      <w:pPr>
        <w:spacing w:before="120" w:after="120"/>
        <w:rPr>
          <w:color w:val="000000"/>
        </w:rPr>
      </w:pPr>
      <w:r>
        <w:rPr>
          <w:color w:val="000000"/>
        </w:rPr>
        <w:t xml:space="preserve">Celli, B., Fabbri, L., Criner, G., Martinez, F. J., Mannino, D., </w:t>
      </w:r>
      <w:proofErr w:type="spellStart"/>
      <w:r>
        <w:rPr>
          <w:color w:val="000000"/>
        </w:rPr>
        <w:t>Vogelmeier</w:t>
      </w:r>
      <w:proofErr w:type="spellEnd"/>
      <w:r>
        <w:rPr>
          <w:color w:val="000000"/>
        </w:rPr>
        <w:t xml:space="preserve">, C., de Oca. M. M. Papi. A. Sin. D. D. Han. M. K. and Agusti, A. (2022). Definition and nomenclature of chronic obstructive pulmonary disease: time for its revision. </w:t>
      </w:r>
      <w:r>
        <w:rPr>
          <w:i/>
          <w:iCs/>
          <w:color w:val="000000"/>
        </w:rPr>
        <w:t>American journal of respiratory and critical care medicine</w:t>
      </w:r>
      <w:r>
        <w:rPr>
          <w:color w:val="000000"/>
        </w:rPr>
        <w:t xml:space="preserve">, </w:t>
      </w:r>
      <w:r>
        <w:rPr>
          <w:i/>
          <w:iCs/>
          <w:color w:val="000000"/>
        </w:rPr>
        <w:t>206</w:t>
      </w:r>
      <w:r>
        <w:rPr>
          <w:color w:val="000000"/>
        </w:rPr>
        <w:t>(11), 1317-1325.</w:t>
      </w:r>
    </w:p>
    <w:p w14:paraId="5C376E42" w14:textId="77777777" w:rsidR="00987A31" w:rsidRDefault="00987A31" w:rsidP="00987A31">
      <w:pPr>
        <w:spacing w:before="120" w:after="120"/>
        <w:rPr>
          <w:color w:val="000000"/>
        </w:rPr>
      </w:pPr>
      <w:r>
        <w:rPr>
          <w:color w:val="000000"/>
        </w:rPr>
        <w:t xml:space="preserve">David, B., </w:t>
      </w:r>
      <w:proofErr w:type="spellStart"/>
      <w:r>
        <w:rPr>
          <w:color w:val="000000"/>
        </w:rPr>
        <w:t>Bafadhel</w:t>
      </w:r>
      <w:proofErr w:type="spellEnd"/>
      <w:r>
        <w:rPr>
          <w:color w:val="000000"/>
        </w:rPr>
        <w:t xml:space="preserve">, M., Koenderman, L., and De Soyza, A. (2021). Eosinophilic inflammation in COPD: from an inflammatory marker to a treatable trait. </w:t>
      </w:r>
      <w:r>
        <w:rPr>
          <w:i/>
          <w:iCs/>
          <w:color w:val="000000"/>
        </w:rPr>
        <w:t>Thorax</w:t>
      </w:r>
      <w:r>
        <w:rPr>
          <w:color w:val="000000"/>
        </w:rPr>
        <w:t xml:space="preserve">, </w:t>
      </w:r>
      <w:r>
        <w:rPr>
          <w:i/>
          <w:iCs/>
          <w:color w:val="000000"/>
        </w:rPr>
        <w:t>76</w:t>
      </w:r>
      <w:r>
        <w:rPr>
          <w:color w:val="000000"/>
        </w:rPr>
        <w:t>(2), 188-195.</w:t>
      </w:r>
    </w:p>
    <w:p w14:paraId="558DB790" w14:textId="77777777" w:rsidR="00987A31" w:rsidRDefault="00987A31" w:rsidP="00987A31">
      <w:pPr>
        <w:spacing w:before="120" w:after="120"/>
        <w:rPr>
          <w:color w:val="000000"/>
        </w:rPr>
      </w:pPr>
      <w:r>
        <w:rPr>
          <w:color w:val="000000"/>
        </w:rPr>
        <w:lastRenderedPageBreak/>
        <w:t xml:space="preserve">Ebadi, Z., </w:t>
      </w:r>
      <w:proofErr w:type="spellStart"/>
      <w:r>
        <w:rPr>
          <w:color w:val="000000"/>
        </w:rPr>
        <w:t>Goërtz</w:t>
      </w:r>
      <w:proofErr w:type="spellEnd"/>
      <w:r>
        <w:rPr>
          <w:color w:val="000000"/>
        </w:rPr>
        <w:t xml:space="preserve">, Y. M., Van Herck, M., Janssen, D. J., Spruit, M. A., Burtin, C., Thong. M. S. Y. Muris. J. </w:t>
      </w:r>
      <w:proofErr w:type="spellStart"/>
      <w:r>
        <w:rPr>
          <w:color w:val="000000"/>
        </w:rPr>
        <w:t>Otkar</w:t>
      </w:r>
      <w:proofErr w:type="spellEnd"/>
      <w:r>
        <w:rPr>
          <w:color w:val="000000"/>
        </w:rPr>
        <w:t xml:space="preserve">. J. </w:t>
      </w:r>
      <w:proofErr w:type="spellStart"/>
      <w:r>
        <w:rPr>
          <w:color w:val="000000"/>
        </w:rPr>
        <w:t>Looijmans</w:t>
      </w:r>
      <w:proofErr w:type="spellEnd"/>
      <w:r>
        <w:rPr>
          <w:color w:val="000000"/>
        </w:rPr>
        <w:t xml:space="preserve">. M. </w:t>
      </w:r>
      <w:proofErr w:type="spellStart"/>
      <w:r>
        <w:rPr>
          <w:color w:val="000000"/>
        </w:rPr>
        <w:t>Vlasblom</w:t>
      </w:r>
      <w:proofErr w:type="spellEnd"/>
      <w:r>
        <w:rPr>
          <w:color w:val="000000"/>
        </w:rPr>
        <w:t xml:space="preserve">. C. </w:t>
      </w:r>
      <w:proofErr w:type="spellStart"/>
      <w:r>
        <w:rPr>
          <w:color w:val="000000"/>
        </w:rPr>
        <w:t>Bastiaansen</w:t>
      </w:r>
      <w:proofErr w:type="spellEnd"/>
      <w:r>
        <w:rPr>
          <w:color w:val="000000"/>
        </w:rPr>
        <w:t xml:space="preserve">. J. Prins. J. Wouters. E. F. M. </w:t>
      </w:r>
      <w:proofErr w:type="spellStart"/>
      <w:r>
        <w:rPr>
          <w:color w:val="000000"/>
        </w:rPr>
        <w:t>Vercoulen</w:t>
      </w:r>
      <w:proofErr w:type="spellEnd"/>
      <w:r>
        <w:rPr>
          <w:color w:val="000000"/>
        </w:rPr>
        <w:t xml:space="preserve">. J. H. and Peters, J. B. (2021). The prevalence and related factors of fatigue in patients with COPD: a systematic review. </w:t>
      </w:r>
      <w:r>
        <w:rPr>
          <w:i/>
          <w:iCs/>
          <w:color w:val="000000"/>
        </w:rPr>
        <w:t>European Respiratory Review</w:t>
      </w:r>
      <w:r>
        <w:rPr>
          <w:color w:val="000000"/>
        </w:rPr>
        <w:t xml:space="preserve">, </w:t>
      </w:r>
      <w:r>
        <w:rPr>
          <w:i/>
          <w:iCs/>
          <w:color w:val="000000"/>
        </w:rPr>
        <w:t>30</w:t>
      </w:r>
      <w:r>
        <w:rPr>
          <w:color w:val="000000"/>
        </w:rPr>
        <w:t>(160).</w:t>
      </w:r>
    </w:p>
    <w:p w14:paraId="38C7E422" w14:textId="77777777" w:rsidR="00987A31" w:rsidRDefault="00987A31" w:rsidP="00987A31">
      <w:pPr>
        <w:spacing w:before="120" w:after="120"/>
        <w:rPr>
          <w:color w:val="000000"/>
        </w:rPr>
      </w:pPr>
      <w:r>
        <w:rPr>
          <w:color w:val="000000"/>
        </w:rPr>
        <w:t xml:space="preserve">Elflein, J. (2025a). </w:t>
      </w:r>
      <w:r>
        <w:rPr>
          <w:i/>
          <w:iCs/>
          <w:color w:val="000000"/>
        </w:rPr>
        <w:t>Prevalence rate of chronic obstructive pulmonary disease (COPD) cases worldwide in 2020, by region</w:t>
      </w:r>
      <w:r>
        <w:rPr>
          <w:color w:val="000000"/>
        </w:rPr>
        <w:t>. [online] Statista. Available at: https://www.statista.com/statistics/1341864/prevalence-rate-of-copd-worldwide-by-region/ [Accessed 30 Oct. 2025].</w:t>
      </w:r>
    </w:p>
    <w:p w14:paraId="6787B781" w14:textId="77777777" w:rsidR="00987A31" w:rsidRDefault="00987A31" w:rsidP="00987A31">
      <w:pPr>
        <w:spacing w:before="120" w:after="120"/>
        <w:rPr>
          <w:color w:val="000000"/>
        </w:rPr>
      </w:pPr>
      <w:r>
        <w:rPr>
          <w:color w:val="000000"/>
        </w:rPr>
        <w:t xml:space="preserve">Elflein. J. (2025b). </w:t>
      </w:r>
      <w:r>
        <w:rPr>
          <w:i/>
          <w:iCs/>
          <w:color w:val="000000"/>
        </w:rPr>
        <w:t>Total number of smoking-attributable deaths from tobacco-related diseases worldwide in 2019 [Online]</w:t>
      </w:r>
      <w:r>
        <w:rPr>
          <w:color w:val="000000"/>
        </w:rPr>
        <w:t xml:space="preserve">. Available at: </w:t>
      </w:r>
      <w:hyperlink r:id="rId22" w:history="1">
        <w:r>
          <w:rPr>
            <w:rStyle w:val="Hyperlink"/>
            <w:color w:val="000000"/>
          </w:rPr>
          <w:t>https://www.statista.com/statistics/279461/tobacco-caused-deaths-in-2015/</w:t>
        </w:r>
      </w:hyperlink>
      <w:r>
        <w:rPr>
          <w:color w:val="000000"/>
        </w:rPr>
        <w:t xml:space="preserve"> [Accessed on: 30.10.2025]</w:t>
      </w:r>
    </w:p>
    <w:p w14:paraId="5C97B0D2" w14:textId="77777777" w:rsidR="00987A31" w:rsidRDefault="00987A31" w:rsidP="00987A31">
      <w:pPr>
        <w:spacing w:before="120" w:after="120"/>
        <w:rPr>
          <w:color w:val="000000"/>
        </w:rPr>
      </w:pPr>
      <w:r>
        <w:rPr>
          <w:color w:val="000000"/>
        </w:rPr>
        <w:t xml:space="preserve">Green, E. C., Murphy, E. M., and Gryboski, K. (2020). The health belief model. </w:t>
      </w:r>
      <w:r>
        <w:rPr>
          <w:i/>
          <w:iCs/>
          <w:color w:val="000000"/>
        </w:rPr>
        <w:t xml:space="preserve">The Wiley </w:t>
      </w:r>
      <w:proofErr w:type="spellStart"/>
      <w:r>
        <w:rPr>
          <w:i/>
          <w:iCs/>
          <w:color w:val="000000"/>
        </w:rPr>
        <w:t>encyclopedia</w:t>
      </w:r>
      <w:proofErr w:type="spellEnd"/>
      <w:r>
        <w:rPr>
          <w:i/>
          <w:iCs/>
          <w:color w:val="000000"/>
        </w:rPr>
        <w:t xml:space="preserve"> of health psychology</w:t>
      </w:r>
      <w:r>
        <w:rPr>
          <w:color w:val="000000"/>
        </w:rPr>
        <w:t>, 211-214.</w:t>
      </w:r>
    </w:p>
    <w:p w14:paraId="426743C7" w14:textId="77777777" w:rsidR="00987A31" w:rsidRDefault="00987A31" w:rsidP="00987A31">
      <w:pPr>
        <w:spacing w:before="120" w:after="120"/>
        <w:rPr>
          <w:color w:val="000000"/>
        </w:rPr>
      </w:pPr>
      <w:r>
        <w:rPr>
          <w:color w:val="000000"/>
        </w:rPr>
        <w:t xml:space="preserve">Hennessy, D. A., Flanagan, W. M., </w:t>
      </w:r>
      <w:proofErr w:type="spellStart"/>
      <w:r>
        <w:rPr>
          <w:color w:val="000000"/>
        </w:rPr>
        <w:t>Tanuseputro</w:t>
      </w:r>
      <w:proofErr w:type="spellEnd"/>
      <w:r>
        <w:rPr>
          <w:color w:val="000000"/>
        </w:rPr>
        <w:t xml:space="preserve">, P., Bennett, C., Tuna, M., Kopec, J., Wolfson. M. C. and Manuel, D. G. (2015). The Population Health Model (POHEM): an overview of rationale, methods and applications. </w:t>
      </w:r>
      <w:r>
        <w:rPr>
          <w:i/>
          <w:iCs/>
          <w:color w:val="000000"/>
        </w:rPr>
        <w:t>Population health metrics</w:t>
      </w:r>
      <w:r>
        <w:rPr>
          <w:color w:val="000000"/>
        </w:rPr>
        <w:t xml:space="preserve">, </w:t>
      </w:r>
      <w:r>
        <w:rPr>
          <w:i/>
          <w:iCs/>
          <w:color w:val="000000"/>
        </w:rPr>
        <w:t>13</w:t>
      </w:r>
      <w:r>
        <w:rPr>
          <w:color w:val="000000"/>
        </w:rPr>
        <w:t>(1), 24.</w:t>
      </w:r>
    </w:p>
    <w:p w14:paraId="0E9FFAD1" w14:textId="77777777" w:rsidR="00987A31" w:rsidRDefault="00987A31" w:rsidP="00987A31">
      <w:pPr>
        <w:spacing w:before="120" w:after="120"/>
        <w:rPr>
          <w:rFonts w:eastAsia="Times New Roman"/>
          <w:color w:val="000000"/>
        </w:rPr>
      </w:pPr>
      <w:r>
        <w:rPr>
          <w:rFonts w:eastAsia="Times New Roman"/>
          <w:color w:val="000000"/>
        </w:rPr>
        <w:t xml:space="preserve">NHS England (2017b). </w:t>
      </w:r>
      <w:r>
        <w:rPr>
          <w:rFonts w:eastAsia="Times New Roman"/>
          <w:i/>
          <w:iCs/>
          <w:color w:val="000000"/>
        </w:rPr>
        <w:t>NHS England, Pulmonary Rehabilitation</w:t>
      </w:r>
      <w:r>
        <w:rPr>
          <w:rFonts w:eastAsia="Times New Roman"/>
          <w:color w:val="000000"/>
        </w:rPr>
        <w:t>. [online] NHS England. Available at: https://www.england.nhs.uk/ourwork/clinical-policy/respiratory-disease/pulmonary-rehabilitation/ [Accessed 10 Nov. 2025].</w:t>
      </w:r>
    </w:p>
    <w:p w14:paraId="2A65EF61" w14:textId="77777777" w:rsidR="00987A31" w:rsidRDefault="00987A31" w:rsidP="00987A31">
      <w:pPr>
        <w:spacing w:before="120" w:after="120"/>
        <w:rPr>
          <w:rFonts w:eastAsia="Times New Roman"/>
          <w:color w:val="000000"/>
        </w:rPr>
      </w:pPr>
      <w:r>
        <w:rPr>
          <w:rFonts w:eastAsia="Times New Roman"/>
          <w:color w:val="000000"/>
        </w:rPr>
        <w:lastRenderedPageBreak/>
        <w:t xml:space="preserve">NHS England (2017b). </w:t>
      </w:r>
      <w:proofErr w:type="spellStart"/>
      <w:r>
        <w:rPr>
          <w:rFonts w:eastAsia="Times New Roman"/>
          <w:i/>
          <w:iCs/>
          <w:color w:val="000000"/>
        </w:rPr>
        <w:t>RightCare</w:t>
      </w:r>
      <w:proofErr w:type="spellEnd"/>
      <w:r>
        <w:rPr>
          <w:rFonts w:eastAsia="Times New Roman"/>
          <w:i/>
          <w:iCs/>
          <w:color w:val="000000"/>
        </w:rPr>
        <w:t xml:space="preserve"> Pathway: COPD</w:t>
      </w:r>
      <w:r>
        <w:rPr>
          <w:rFonts w:eastAsia="Times New Roman"/>
          <w:color w:val="000000"/>
        </w:rPr>
        <w:t>. [online] Available at: https://www.england.nhs.uk/rightcare/wp-content/uploads/sites/40/2017/12/nhs-rightcare-copd-pathway-v18.pdf [Accessed 10 Nov. 2025].</w:t>
      </w:r>
    </w:p>
    <w:p w14:paraId="239D32B5" w14:textId="77777777" w:rsidR="00987A31" w:rsidRDefault="00987A31" w:rsidP="00987A31">
      <w:pPr>
        <w:spacing w:before="120" w:after="120"/>
        <w:rPr>
          <w:color w:val="000000"/>
        </w:rPr>
      </w:pPr>
      <w:r>
        <w:rPr>
          <w:rFonts w:eastAsia="Times New Roman"/>
          <w:color w:val="000000"/>
        </w:rPr>
        <w:t xml:space="preserve">NHS England (2017c). </w:t>
      </w:r>
      <w:r>
        <w:rPr>
          <w:rFonts w:eastAsia="Times New Roman"/>
          <w:i/>
          <w:iCs/>
          <w:color w:val="000000"/>
        </w:rPr>
        <w:t>Home oxygen therapy</w:t>
      </w:r>
      <w:r>
        <w:rPr>
          <w:rFonts w:eastAsia="Times New Roman"/>
          <w:color w:val="000000"/>
        </w:rPr>
        <w:t>. [online] nhs.uk. Available at: https://www.nhs.uk/tests-and-treatments/home-oxygen-treatment/ [Accessed 10 Nov. 2025].</w:t>
      </w:r>
    </w:p>
    <w:p w14:paraId="60AF14C1" w14:textId="77777777" w:rsidR="00987A31" w:rsidRDefault="00987A31" w:rsidP="00987A31">
      <w:pPr>
        <w:spacing w:before="120" w:after="120"/>
        <w:rPr>
          <w:rFonts w:eastAsia="Times New Roman"/>
          <w:color w:val="000000"/>
        </w:rPr>
      </w:pPr>
      <w:r>
        <w:rPr>
          <w:rFonts w:eastAsia="Times New Roman"/>
          <w:color w:val="000000"/>
        </w:rPr>
        <w:t xml:space="preserve">NHS England (2022). </w:t>
      </w:r>
      <w:r>
        <w:rPr>
          <w:rFonts w:eastAsia="Times New Roman"/>
          <w:i/>
          <w:iCs/>
          <w:color w:val="000000"/>
        </w:rPr>
        <w:t>NHS England» Personal health budgets</w:t>
      </w:r>
      <w:r>
        <w:rPr>
          <w:rFonts w:eastAsia="Times New Roman"/>
          <w:color w:val="000000"/>
        </w:rPr>
        <w:t>. [online] www.england.nhs.uk. Available at: https://www.england.nhs.uk/personalisedcare/personal-health-budgets/ [Accessed 10 Nov. 2025].</w:t>
      </w:r>
    </w:p>
    <w:p w14:paraId="37BC297F" w14:textId="77777777" w:rsidR="00987A31" w:rsidRDefault="00987A31" w:rsidP="00987A31">
      <w:pPr>
        <w:spacing w:before="120" w:after="120"/>
        <w:rPr>
          <w:rFonts w:eastAsia="Times New Roman"/>
          <w:color w:val="000000"/>
        </w:rPr>
      </w:pPr>
      <w:r>
        <w:rPr>
          <w:rFonts w:eastAsia="Times New Roman"/>
          <w:color w:val="000000"/>
        </w:rPr>
        <w:t xml:space="preserve">NHS England (2024). </w:t>
      </w:r>
      <w:r>
        <w:rPr>
          <w:rFonts w:eastAsia="Times New Roman"/>
          <w:i/>
          <w:iCs/>
          <w:color w:val="000000"/>
        </w:rPr>
        <w:t>Breathe Easy - Sheffield</w:t>
      </w:r>
      <w:r>
        <w:rPr>
          <w:rFonts w:eastAsia="Times New Roman"/>
          <w:color w:val="000000"/>
        </w:rPr>
        <w:t>. [online] Www.nhs.uk. Available at: https://www.nhs.uk/services/service-directory/breathe-easy-sheffield/N10500942 [Accessed 10 Nov. 2025].</w:t>
      </w:r>
    </w:p>
    <w:p w14:paraId="4890D0DE" w14:textId="77777777" w:rsidR="00987A31" w:rsidRDefault="00987A31" w:rsidP="00987A31">
      <w:pPr>
        <w:spacing w:before="120" w:after="120"/>
        <w:rPr>
          <w:color w:val="000000"/>
        </w:rPr>
      </w:pPr>
      <w:r>
        <w:rPr>
          <w:color w:val="000000"/>
        </w:rPr>
        <w:t xml:space="preserve">NHS. (2025a). </w:t>
      </w:r>
      <w:r>
        <w:rPr>
          <w:i/>
          <w:iCs/>
          <w:color w:val="000000"/>
        </w:rPr>
        <w:t>Respiratory high impact interventions [Online]</w:t>
      </w:r>
      <w:r>
        <w:rPr>
          <w:color w:val="000000"/>
        </w:rPr>
        <w:t xml:space="preserve">. Available at: </w:t>
      </w:r>
      <w:hyperlink r:id="rId23" w:history="1">
        <w:r>
          <w:rPr>
            <w:rStyle w:val="Hyperlink"/>
            <w:color w:val="000000"/>
          </w:rPr>
          <w:t>https://www.england.nhs.uk/ourwork/prevention/secondary-prevention/respiratory-high-impact-interventions/</w:t>
        </w:r>
      </w:hyperlink>
      <w:r>
        <w:rPr>
          <w:color w:val="000000"/>
        </w:rPr>
        <w:t xml:space="preserve"> [Accessed on: 30.10.2025]</w:t>
      </w:r>
    </w:p>
    <w:p w14:paraId="76A9A56B" w14:textId="77777777" w:rsidR="00987A31" w:rsidRDefault="00987A31" w:rsidP="00987A31">
      <w:pPr>
        <w:spacing w:before="120" w:after="120"/>
        <w:rPr>
          <w:color w:val="000000"/>
        </w:rPr>
      </w:pPr>
      <w:r>
        <w:rPr>
          <w:color w:val="000000"/>
        </w:rPr>
        <w:t xml:space="preserve">NHS. (2025b). </w:t>
      </w:r>
      <w:r>
        <w:rPr>
          <w:i/>
          <w:iCs/>
          <w:color w:val="000000"/>
        </w:rPr>
        <w:t>What are integrated care systems? [Online]</w:t>
      </w:r>
      <w:r>
        <w:rPr>
          <w:color w:val="000000"/>
        </w:rPr>
        <w:t xml:space="preserve">. Available at: </w:t>
      </w:r>
      <w:hyperlink r:id="rId24" w:history="1">
        <w:r>
          <w:rPr>
            <w:rStyle w:val="Hyperlink"/>
            <w:color w:val="000000"/>
          </w:rPr>
          <w:t>https://www.england.nhs.uk/integratedcare/what-is-integrated-care/</w:t>
        </w:r>
      </w:hyperlink>
      <w:r>
        <w:rPr>
          <w:color w:val="000000"/>
        </w:rPr>
        <w:t xml:space="preserve"> [Accessed on: 30.10.2025]</w:t>
      </w:r>
    </w:p>
    <w:p w14:paraId="653BF2BA" w14:textId="77777777" w:rsidR="00987A31" w:rsidRDefault="00987A31" w:rsidP="00987A31">
      <w:pPr>
        <w:spacing w:before="120" w:after="120"/>
        <w:rPr>
          <w:color w:val="000000"/>
        </w:rPr>
      </w:pPr>
      <w:r>
        <w:rPr>
          <w:color w:val="000000"/>
        </w:rPr>
        <w:t xml:space="preserve">NHS. (2025c). </w:t>
      </w:r>
      <w:r>
        <w:rPr>
          <w:i/>
          <w:iCs/>
          <w:color w:val="000000"/>
        </w:rPr>
        <w:t>Working in partnership [Online]</w:t>
      </w:r>
      <w:r>
        <w:rPr>
          <w:color w:val="000000"/>
        </w:rPr>
        <w:t xml:space="preserve">. Available at: </w:t>
      </w:r>
      <w:hyperlink r:id="rId25" w:history="1">
        <w:r>
          <w:rPr>
            <w:rStyle w:val="Hyperlink"/>
            <w:color w:val="000000"/>
          </w:rPr>
          <w:t>https://www.england.nhs.uk/integratedcare/what-is-</w:t>
        </w:r>
        <w:r>
          <w:rPr>
            <w:rStyle w:val="Hyperlink"/>
            <w:color w:val="000000"/>
          </w:rPr>
          <w:lastRenderedPageBreak/>
          <w:t>integrated-care/working-in-partnership/</w:t>
        </w:r>
      </w:hyperlink>
      <w:r>
        <w:rPr>
          <w:color w:val="000000"/>
        </w:rPr>
        <w:t xml:space="preserve"> [Accessed on: 30.10.2025]</w:t>
      </w:r>
    </w:p>
    <w:p w14:paraId="47DBC953" w14:textId="77777777" w:rsidR="00987A31" w:rsidRDefault="00987A31" w:rsidP="00987A31">
      <w:pPr>
        <w:spacing w:before="120" w:after="120"/>
        <w:rPr>
          <w:color w:val="000000"/>
        </w:rPr>
      </w:pPr>
      <w:r>
        <w:rPr>
          <w:color w:val="000000"/>
        </w:rPr>
        <w:t xml:space="preserve">NHS. (2025d). </w:t>
      </w:r>
      <w:r>
        <w:rPr>
          <w:i/>
          <w:iCs/>
          <w:color w:val="000000"/>
        </w:rPr>
        <w:t xml:space="preserve">Using Population Health Management to target COPD support for low, medium and </w:t>
      </w:r>
      <w:proofErr w:type="gramStart"/>
      <w:r>
        <w:rPr>
          <w:i/>
          <w:iCs/>
          <w:color w:val="000000"/>
        </w:rPr>
        <w:t>high risk</w:t>
      </w:r>
      <w:proofErr w:type="gramEnd"/>
      <w:r>
        <w:rPr>
          <w:i/>
          <w:iCs/>
          <w:color w:val="000000"/>
        </w:rPr>
        <w:t xml:space="preserve"> groups in Dorset [Online]</w:t>
      </w:r>
      <w:r>
        <w:rPr>
          <w:color w:val="000000"/>
        </w:rPr>
        <w:t xml:space="preserve">. Available at: </w:t>
      </w:r>
      <w:hyperlink r:id="rId26" w:history="1">
        <w:r>
          <w:rPr>
            <w:rStyle w:val="Hyperlink"/>
            <w:color w:val="000000"/>
          </w:rPr>
          <w:t>https://www.england.nhs.uk/integratedcare/resources/case-studies/using-population-health-management-to-target-copd-support-for-low-medium-and-high-risk-groups-in-dorset/</w:t>
        </w:r>
      </w:hyperlink>
      <w:r>
        <w:rPr>
          <w:color w:val="000000"/>
        </w:rPr>
        <w:t xml:space="preserve"> [Accessed on: 30.10.2025]</w:t>
      </w:r>
    </w:p>
    <w:p w14:paraId="55C74360" w14:textId="77777777" w:rsidR="00987A31" w:rsidRDefault="00987A31" w:rsidP="00987A31">
      <w:pPr>
        <w:spacing w:before="120" w:after="120"/>
        <w:rPr>
          <w:color w:val="000000"/>
        </w:rPr>
      </w:pPr>
      <w:r>
        <w:rPr>
          <w:color w:val="000000"/>
        </w:rPr>
        <w:t xml:space="preserve">NHS. (2025e). </w:t>
      </w:r>
      <w:r>
        <w:rPr>
          <w:i/>
          <w:iCs/>
          <w:color w:val="000000"/>
        </w:rPr>
        <w:t xml:space="preserve">NHS stop smoking services help you </w:t>
      </w:r>
      <w:proofErr w:type="gramStart"/>
      <w:r>
        <w:rPr>
          <w:i/>
          <w:iCs/>
          <w:color w:val="000000"/>
        </w:rPr>
        <w:t>quit</w:t>
      </w:r>
      <w:proofErr w:type="gramEnd"/>
      <w:r>
        <w:rPr>
          <w:i/>
          <w:iCs/>
          <w:color w:val="000000"/>
        </w:rPr>
        <w:t xml:space="preserve"> [Online]</w:t>
      </w:r>
      <w:r>
        <w:rPr>
          <w:color w:val="000000"/>
        </w:rPr>
        <w:t xml:space="preserve">. Available at: </w:t>
      </w:r>
      <w:hyperlink r:id="rId27" w:anchor=":~:text=Preventing%20relapse,%2Dsmoker%2C%22%20says%20Jennifer" w:history="1">
        <w:r>
          <w:rPr>
            <w:rStyle w:val="Hyperlink"/>
            <w:color w:val="000000"/>
          </w:rPr>
          <w:t>https://www.nhs.uk/live-well/quit-smoking/nhs-stop-smoking-services-help-you-quit/#:~:text=Preventing%20relapse,%2Dsmoker%2C%22%20says%20Jennifer</w:t>
        </w:r>
      </w:hyperlink>
      <w:r>
        <w:rPr>
          <w:color w:val="000000"/>
        </w:rPr>
        <w:t>. [Accessed on: 30.10.2025]</w:t>
      </w:r>
    </w:p>
    <w:p w14:paraId="5870ABFD" w14:textId="77777777" w:rsidR="00987A31" w:rsidRDefault="00987A31" w:rsidP="00987A31">
      <w:pPr>
        <w:spacing w:before="120" w:after="120"/>
        <w:rPr>
          <w:color w:val="000000"/>
        </w:rPr>
      </w:pPr>
      <w:r>
        <w:rPr>
          <w:color w:val="000000"/>
        </w:rPr>
        <w:t xml:space="preserve">NHS. (2025f). </w:t>
      </w:r>
      <w:r>
        <w:rPr>
          <w:i/>
          <w:iCs/>
          <w:color w:val="000000"/>
        </w:rPr>
        <w:t>Pulmonary rehabilitation [Online]</w:t>
      </w:r>
      <w:r>
        <w:rPr>
          <w:color w:val="000000"/>
        </w:rPr>
        <w:t xml:space="preserve">. Available at: </w:t>
      </w:r>
      <w:hyperlink r:id="rId28" w:anchor=":~:text=What%20is%20Pulmonary%20Rehabilitation%20(PR,physiotherapists%2C%20nurses%20and%20occupational%20therapists" w:history="1">
        <w:r>
          <w:rPr>
            <w:rStyle w:val="Hyperlink"/>
            <w:color w:val="000000"/>
          </w:rPr>
          <w:t>https://www.england.nhs.uk/ourwork/clinical-policy/respiratory-disease/pulmonary-rehabilitation/#:~:text=What%20is%20Pulmonary%20Rehabilitation%20(PR,physiotherapists%2C%20nurses%20and%20occupational%20therapists</w:t>
        </w:r>
      </w:hyperlink>
      <w:r>
        <w:rPr>
          <w:color w:val="000000"/>
        </w:rPr>
        <w:t>. [Accessed on: 30.10.2025]</w:t>
      </w:r>
    </w:p>
    <w:p w14:paraId="7582FB3F" w14:textId="77777777" w:rsidR="00987A31" w:rsidRDefault="00987A31" w:rsidP="00987A31">
      <w:pPr>
        <w:spacing w:before="120" w:after="120"/>
        <w:rPr>
          <w:color w:val="000000"/>
        </w:rPr>
      </w:pPr>
      <w:r>
        <w:rPr>
          <w:color w:val="000000"/>
        </w:rPr>
        <w:t xml:space="preserve">NICE. (2019a). </w:t>
      </w:r>
      <w:r>
        <w:rPr>
          <w:i/>
          <w:iCs/>
          <w:color w:val="000000"/>
        </w:rPr>
        <w:t>Chronic obstructive pulmonary disease in over 16s: diagnosis and management [Online]</w:t>
      </w:r>
      <w:r>
        <w:rPr>
          <w:color w:val="000000"/>
        </w:rPr>
        <w:t xml:space="preserve">. Available at: </w:t>
      </w:r>
      <w:hyperlink r:id="rId29" w:history="1">
        <w:r>
          <w:rPr>
            <w:rStyle w:val="Hyperlink"/>
            <w:color w:val="000000"/>
          </w:rPr>
          <w:t>https://www.nice.org.uk/guidance/ng115/chapter/Recommendations</w:t>
        </w:r>
      </w:hyperlink>
      <w:r>
        <w:rPr>
          <w:color w:val="000000"/>
        </w:rPr>
        <w:t xml:space="preserve"> [Accessed on: 30.10.2025]</w:t>
      </w:r>
    </w:p>
    <w:p w14:paraId="3CEDA722" w14:textId="77777777" w:rsidR="00987A31" w:rsidRDefault="00987A31" w:rsidP="00987A31">
      <w:pPr>
        <w:spacing w:before="120" w:after="120"/>
        <w:rPr>
          <w:color w:val="000000"/>
        </w:rPr>
      </w:pPr>
      <w:r>
        <w:rPr>
          <w:color w:val="000000"/>
        </w:rPr>
        <w:t xml:space="preserve">NICE. (2019b). </w:t>
      </w:r>
      <w:r>
        <w:rPr>
          <w:i/>
          <w:iCs/>
          <w:color w:val="000000"/>
        </w:rPr>
        <w:t>Chronic obstructive pulmonary disease in over 16s: diagnosis and management [Online]</w:t>
      </w:r>
      <w:r>
        <w:rPr>
          <w:color w:val="000000"/>
        </w:rPr>
        <w:t xml:space="preserve">. Available at: </w:t>
      </w:r>
      <w:hyperlink r:id="rId30" w:history="1">
        <w:r>
          <w:rPr>
            <w:rStyle w:val="Hyperlink"/>
            <w:color w:val="000000"/>
          </w:rPr>
          <w:t>https://www.nice.org.uk/guidance/ng115</w:t>
        </w:r>
      </w:hyperlink>
      <w:r>
        <w:rPr>
          <w:color w:val="000000"/>
        </w:rPr>
        <w:t xml:space="preserve"> [Accessed on: 30.10.2025]</w:t>
      </w:r>
    </w:p>
    <w:p w14:paraId="043197F3" w14:textId="77777777" w:rsidR="00987A31" w:rsidRDefault="00987A31" w:rsidP="00987A31">
      <w:pPr>
        <w:spacing w:before="120" w:after="120"/>
        <w:rPr>
          <w:color w:val="000000"/>
        </w:rPr>
      </w:pPr>
      <w:r>
        <w:rPr>
          <w:color w:val="000000"/>
        </w:rPr>
        <w:lastRenderedPageBreak/>
        <w:t xml:space="preserve">OVA (2024). </w:t>
      </w:r>
      <w:r>
        <w:rPr>
          <w:i/>
          <w:iCs/>
          <w:color w:val="000000"/>
        </w:rPr>
        <w:t>COPD and Vaping UK: What You Need to Know – Our Vape Advocacy</w:t>
      </w:r>
      <w:r>
        <w:rPr>
          <w:color w:val="000000"/>
        </w:rPr>
        <w:t>. [online] Ourvapeadvocacy.org. Available at: https://www.ourvapeadvocacy.org/copd-and-vaping-uk-what-you-need-to-know/ [Accessed 30 Oct. 2025].</w:t>
      </w:r>
    </w:p>
    <w:p w14:paraId="7D9EFB86" w14:textId="77777777" w:rsidR="00987A31" w:rsidRDefault="00987A31" w:rsidP="00987A31">
      <w:pPr>
        <w:spacing w:before="120" w:after="120"/>
        <w:rPr>
          <w:color w:val="000000"/>
        </w:rPr>
      </w:pPr>
      <w:r>
        <w:rPr>
          <w:color w:val="000000"/>
        </w:rPr>
        <w:t xml:space="preserve">Prasad, B. (2020). Chronic obstructive pulmonary disease (COPD). </w:t>
      </w:r>
      <w:r>
        <w:rPr>
          <w:i/>
          <w:iCs/>
          <w:color w:val="000000"/>
        </w:rPr>
        <w:t>International Journal of Pharmacy Research &amp; Technology (IJPRT)</w:t>
      </w:r>
      <w:r>
        <w:rPr>
          <w:color w:val="000000"/>
        </w:rPr>
        <w:t xml:space="preserve">, </w:t>
      </w:r>
      <w:r>
        <w:rPr>
          <w:i/>
          <w:iCs/>
          <w:color w:val="000000"/>
        </w:rPr>
        <w:t>10</w:t>
      </w:r>
      <w:r>
        <w:rPr>
          <w:color w:val="000000"/>
        </w:rPr>
        <w:t>(1), 67-71.</w:t>
      </w:r>
    </w:p>
    <w:p w14:paraId="57243100" w14:textId="77777777" w:rsidR="00987A31" w:rsidRDefault="00987A31" w:rsidP="00987A31">
      <w:pPr>
        <w:spacing w:before="120" w:after="120"/>
        <w:rPr>
          <w:color w:val="000000"/>
        </w:rPr>
      </w:pPr>
      <w:proofErr w:type="spellStart"/>
      <w:r>
        <w:rPr>
          <w:color w:val="000000"/>
        </w:rPr>
        <w:t>Ralalage</w:t>
      </w:r>
      <w:proofErr w:type="spellEnd"/>
      <w:r>
        <w:rPr>
          <w:color w:val="000000"/>
        </w:rPr>
        <w:t xml:space="preserve">, D. D., and Hurst, J. R. (2023). Chronic obstructive pulmonary disease: aetiology, pathology, physiology and outcome. </w:t>
      </w:r>
      <w:r>
        <w:rPr>
          <w:i/>
          <w:iCs/>
          <w:color w:val="000000"/>
        </w:rPr>
        <w:t>Medicine</w:t>
      </w:r>
      <w:r>
        <w:rPr>
          <w:color w:val="000000"/>
        </w:rPr>
        <w:t xml:space="preserve">, </w:t>
      </w:r>
      <w:r>
        <w:rPr>
          <w:i/>
          <w:iCs/>
          <w:color w:val="000000"/>
        </w:rPr>
        <w:t>51</w:t>
      </w:r>
      <w:r>
        <w:rPr>
          <w:color w:val="000000"/>
        </w:rPr>
        <w:t>(10), 737-741.</w:t>
      </w:r>
    </w:p>
    <w:p w14:paraId="2278A771" w14:textId="77777777" w:rsidR="00987A31" w:rsidRDefault="00987A31" w:rsidP="00987A31">
      <w:pPr>
        <w:spacing w:before="120" w:after="120"/>
        <w:rPr>
          <w:color w:val="000000"/>
        </w:rPr>
      </w:pPr>
      <w:r>
        <w:rPr>
          <w:color w:val="000000"/>
        </w:rPr>
        <w:t xml:space="preserve">Rea, J., Babek, J. T., Anderson, R. M., Bacani, R., Staggs, J., and Vassar, M. (2024). The current state of health inequities in COPD. </w:t>
      </w:r>
      <w:r>
        <w:rPr>
          <w:i/>
          <w:iCs/>
          <w:color w:val="000000"/>
        </w:rPr>
        <w:t>Respiratory care</w:t>
      </w:r>
      <w:r>
        <w:rPr>
          <w:color w:val="000000"/>
        </w:rPr>
        <w:t xml:space="preserve">, </w:t>
      </w:r>
      <w:r>
        <w:rPr>
          <w:i/>
          <w:iCs/>
          <w:color w:val="000000"/>
        </w:rPr>
        <w:t>69</w:t>
      </w:r>
      <w:r>
        <w:rPr>
          <w:color w:val="000000"/>
        </w:rPr>
        <w:t>(2), 238-249.</w:t>
      </w:r>
    </w:p>
    <w:p w14:paraId="09BC56BF" w14:textId="77777777" w:rsidR="00987A31" w:rsidRDefault="00987A31" w:rsidP="00987A31">
      <w:pPr>
        <w:spacing w:before="120" w:after="120"/>
        <w:rPr>
          <w:color w:val="000000"/>
        </w:rPr>
      </w:pPr>
      <w:r>
        <w:rPr>
          <w:color w:val="000000"/>
        </w:rPr>
        <w:t xml:space="preserve">Roberts, A. (2023). The biopsychosocial model: Its use and abuse. </w:t>
      </w:r>
      <w:r>
        <w:rPr>
          <w:i/>
          <w:iCs/>
          <w:color w:val="000000"/>
        </w:rPr>
        <w:t>Medicine, Health Care and Philosophy</w:t>
      </w:r>
      <w:r>
        <w:rPr>
          <w:color w:val="000000"/>
        </w:rPr>
        <w:t xml:space="preserve">, </w:t>
      </w:r>
      <w:r>
        <w:rPr>
          <w:i/>
          <w:iCs/>
          <w:color w:val="000000"/>
        </w:rPr>
        <w:t>26</w:t>
      </w:r>
      <w:r>
        <w:rPr>
          <w:color w:val="000000"/>
        </w:rPr>
        <w:t>(3), 367-384.</w:t>
      </w:r>
    </w:p>
    <w:p w14:paraId="195895CF" w14:textId="77777777" w:rsidR="00987A31" w:rsidRDefault="00987A31" w:rsidP="00987A31">
      <w:pPr>
        <w:spacing w:before="120" w:after="120"/>
        <w:rPr>
          <w:color w:val="000000"/>
        </w:rPr>
      </w:pPr>
      <w:r>
        <w:rPr>
          <w:color w:val="000000"/>
        </w:rPr>
        <w:t xml:space="preserve">Ruan, H., Zhao, H., Wang, J., Zhang, H., and Li, J. (2023). All-cause readmission rate and risk factors of 30-and 90-day after discharge in patients with chronic obstructive pulmonary disease: a systematic review and meta-analysis. </w:t>
      </w:r>
      <w:r>
        <w:rPr>
          <w:i/>
          <w:iCs/>
          <w:color w:val="000000"/>
        </w:rPr>
        <w:t>Therapeutic Advances in Respiratory Disease</w:t>
      </w:r>
      <w:r>
        <w:rPr>
          <w:color w:val="000000"/>
        </w:rPr>
        <w:t xml:space="preserve">, </w:t>
      </w:r>
      <w:r>
        <w:rPr>
          <w:i/>
          <w:iCs/>
          <w:color w:val="000000"/>
        </w:rPr>
        <w:t>17</w:t>
      </w:r>
      <w:r>
        <w:rPr>
          <w:color w:val="000000"/>
        </w:rPr>
        <w:t>, 17534666231202742.</w:t>
      </w:r>
    </w:p>
    <w:p w14:paraId="7677F76B" w14:textId="77777777" w:rsidR="00987A31" w:rsidRDefault="00987A31" w:rsidP="00987A31">
      <w:pPr>
        <w:spacing w:before="120" w:after="120"/>
        <w:rPr>
          <w:color w:val="000000"/>
        </w:rPr>
      </w:pPr>
      <w:r>
        <w:rPr>
          <w:color w:val="000000"/>
        </w:rPr>
        <w:t xml:space="preserve">Sandberg, J., Ekström, M., Börjesson, M., Bergström, G., Rosengren, A., </w:t>
      </w:r>
      <w:proofErr w:type="spellStart"/>
      <w:r>
        <w:rPr>
          <w:color w:val="000000"/>
        </w:rPr>
        <w:t>Angerås</w:t>
      </w:r>
      <w:proofErr w:type="spellEnd"/>
      <w:r>
        <w:rPr>
          <w:color w:val="000000"/>
        </w:rPr>
        <w:t xml:space="preserve">, O., and Toren, K. (2020). Underlying contributing conditions to breathlessness among middle-aged individuals in the general population: a cross-sectional study. </w:t>
      </w:r>
      <w:r>
        <w:rPr>
          <w:i/>
          <w:iCs/>
          <w:color w:val="000000"/>
        </w:rPr>
        <w:t>BMJ Open Respiratory Research</w:t>
      </w:r>
      <w:r>
        <w:rPr>
          <w:color w:val="000000"/>
        </w:rPr>
        <w:t xml:space="preserve">, </w:t>
      </w:r>
      <w:r>
        <w:rPr>
          <w:i/>
          <w:iCs/>
          <w:color w:val="000000"/>
        </w:rPr>
        <w:t>7</w:t>
      </w:r>
      <w:r>
        <w:rPr>
          <w:color w:val="000000"/>
        </w:rPr>
        <w:t>(1), e000643.</w:t>
      </w:r>
    </w:p>
    <w:p w14:paraId="735BC02D" w14:textId="77777777" w:rsidR="00987A31" w:rsidRDefault="00987A31" w:rsidP="00987A31">
      <w:pPr>
        <w:spacing w:before="120" w:after="120"/>
        <w:rPr>
          <w:color w:val="000000"/>
        </w:rPr>
      </w:pPr>
      <w:proofErr w:type="spellStart"/>
      <w:r>
        <w:rPr>
          <w:color w:val="000000"/>
        </w:rPr>
        <w:t>Sigurgeirsdottir</w:t>
      </w:r>
      <w:proofErr w:type="spellEnd"/>
      <w:r>
        <w:rPr>
          <w:color w:val="000000"/>
        </w:rPr>
        <w:t xml:space="preserve">, J., Halldorsdottir, S., Arnardottir, R. H., Gudmundsson, G., and Bjornsson, E. H. (2020). Frustrated caring: family members’ experience of motivating COPD </w:t>
      </w:r>
      <w:r>
        <w:rPr>
          <w:color w:val="000000"/>
        </w:rPr>
        <w:lastRenderedPageBreak/>
        <w:t xml:space="preserve">patients towards self-management. </w:t>
      </w:r>
      <w:r>
        <w:rPr>
          <w:i/>
          <w:iCs/>
          <w:color w:val="000000"/>
        </w:rPr>
        <w:t>International journal of chronic obstructive pulmonary disease</w:t>
      </w:r>
      <w:r>
        <w:rPr>
          <w:color w:val="000000"/>
        </w:rPr>
        <w:t>, 2953-2965.</w:t>
      </w:r>
    </w:p>
    <w:p w14:paraId="21E86560" w14:textId="77777777" w:rsidR="00987A31" w:rsidRDefault="00987A31" w:rsidP="00987A31">
      <w:pPr>
        <w:spacing w:before="120" w:after="120"/>
        <w:rPr>
          <w:color w:val="000000"/>
        </w:rPr>
      </w:pPr>
      <w:r>
        <w:rPr>
          <w:color w:val="000000"/>
        </w:rPr>
        <w:t xml:space="preserve">Stellefson, M., Wang, M. Q., Yao, Y., Campbell, O., and Sivalingam, R. (2025). Exploring the Link Between Social and Economic Instability and COPD: A Cross-Sectional Analysis of the 2022 BRFSS. </w:t>
      </w:r>
      <w:r>
        <w:rPr>
          <w:i/>
          <w:iCs/>
          <w:color w:val="000000"/>
        </w:rPr>
        <w:t>International Journal of Environmental Research and Public Health</w:t>
      </w:r>
      <w:r>
        <w:rPr>
          <w:color w:val="000000"/>
        </w:rPr>
        <w:t xml:space="preserve">, </w:t>
      </w:r>
      <w:r>
        <w:rPr>
          <w:i/>
          <w:iCs/>
          <w:color w:val="000000"/>
        </w:rPr>
        <w:t>22</w:t>
      </w:r>
      <w:r>
        <w:rPr>
          <w:color w:val="000000"/>
        </w:rPr>
        <w:t>(8), 1207.</w:t>
      </w:r>
    </w:p>
    <w:p w14:paraId="6B85E46C" w14:textId="77777777" w:rsidR="00987A31" w:rsidRDefault="00987A31" w:rsidP="00987A31">
      <w:pPr>
        <w:spacing w:before="120" w:after="120"/>
        <w:rPr>
          <w:color w:val="000000"/>
        </w:rPr>
      </w:pPr>
      <w:r>
        <w:rPr>
          <w:color w:val="000000"/>
        </w:rPr>
        <w:t xml:space="preserve">Stewart, C. (2025). </w:t>
      </w:r>
      <w:r>
        <w:rPr>
          <w:i/>
          <w:iCs/>
          <w:color w:val="000000"/>
        </w:rPr>
        <w:t>Avoidable mortality from respiratory disease in Great Britain 2014-2020| Statista</w:t>
      </w:r>
      <w:r>
        <w:rPr>
          <w:color w:val="000000"/>
        </w:rPr>
        <w:t>. [online] Statista. Available at: https://www.statista.com/statistics/985735/avoidable-mortality-from-respiratory-disease-in-the-uk-since-2014/ [Accessed 30 Oct. 2025].</w:t>
      </w:r>
    </w:p>
    <w:p w14:paraId="0A98E731" w14:textId="77777777" w:rsidR="00987A31" w:rsidRDefault="00987A31" w:rsidP="00987A31">
      <w:pPr>
        <w:spacing w:before="120" w:after="120"/>
        <w:rPr>
          <w:color w:val="000000"/>
        </w:rPr>
      </w:pPr>
      <w:r>
        <w:rPr>
          <w:color w:val="000000"/>
        </w:rPr>
        <w:t xml:space="preserve">Suen, A. O., Iyer, A. S., </w:t>
      </w:r>
      <w:proofErr w:type="spellStart"/>
      <w:r>
        <w:rPr>
          <w:color w:val="000000"/>
        </w:rPr>
        <w:t>Cenzer</w:t>
      </w:r>
      <w:proofErr w:type="spellEnd"/>
      <w:r>
        <w:rPr>
          <w:color w:val="000000"/>
        </w:rPr>
        <w:t xml:space="preserve">, I., Farrand, E., White, D. B., Singer, J., </w:t>
      </w:r>
      <w:proofErr w:type="spellStart"/>
      <w:r>
        <w:rPr>
          <w:color w:val="000000"/>
        </w:rPr>
        <w:t>Sudore</w:t>
      </w:r>
      <w:proofErr w:type="spellEnd"/>
      <w:r>
        <w:rPr>
          <w:color w:val="000000"/>
        </w:rPr>
        <w:t xml:space="preserve">. R. and Kotwal, A. (2023). National prevalence of social isolation and loneliness in adults with chronic obstructive pulmonary disease. </w:t>
      </w:r>
      <w:r>
        <w:rPr>
          <w:i/>
          <w:iCs/>
          <w:color w:val="000000"/>
        </w:rPr>
        <w:t>Annals of the American Thoracic Society</w:t>
      </w:r>
      <w:r>
        <w:rPr>
          <w:color w:val="000000"/>
        </w:rPr>
        <w:t xml:space="preserve">, </w:t>
      </w:r>
      <w:r>
        <w:rPr>
          <w:i/>
          <w:iCs/>
          <w:color w:val="000000"/>
        </w:rPr>
        <w:t>20</w:t>
      </w:r>
      <w:r>
        <w:rPr>
          <w:color w:val="000000"/>
        </w:rPr>
        <w:t>(12), 1709-1717.</w:t>
      </w:r>
    </w:p>
    <w:p w14:paraId="26EA0244" w14:textId="77777777" w:rsidR="00987A31" w:rsidRDefault="00987A31" w:rsidP="00987A31">
      <w:pPr>
        <w:spacing w:before="120" w:after="120"/>
        <w:rPr>
          <w:color w:val="000000"/>
        </w:rPr>
      </w:pPr>
      <w:proofErr w:type="spellStart"/>
      <w:r>
        <w:rPr>
          <w:color w:val="000000"/>
        </w:rPr>
        <w:t>Te</w:t>
      </w:r>
      <w:proofErr w:type="spellEnd"/>
      <w:r>
        <w:rPr>
          <w:color w:val="000000"/>
        </w:rPr>
        <w:t xml:space="preserve">, V., Long, S., Van Damme, W., </w:t>
      </w:r>
      <w:proofErr w:type="spellStart"/>
      <w:r>
        <w:rPr>
          <w:color w:val="000000"/>
        </w:rPr>
        <w:t>Ir</w:t>
      </w:r>
      <w:proofErr w:type="spellEnd"/>
      <w:r>
        <w:rPr>
          <w:color w:val="000000"/>
        </w:rPr>
        <w:t xml:space="preserve">, P., Wouters, E., AND van </w:t>
      </w:r>
      <w:proofErr w:type="spellStart"/>
      <w:r>
        <w:rPr>
          <w:color w:val="000000"/>
        </w:rPr>
        <w:t>Olmen</w:t>
      </w:r>
      <w:proofErr w:type="spellEnd"/>
      <w:r>
        <w:rPr>
          <w:color w:val="000000"/>
        </w:rPr>
        <w:t xml:space="preserve">, J. (2024). An in-depth analysis of the degree of implementation of integrated care for diabetes in primary health care in Cambodia. </w:t>
      </w:r>
      <w:r>
        <w:rPr>
          <w:i/>
          <w:iCs/>
          <w:color w:val="000000"/>
        </w:rPr>
        <w:t>International Journal of Integrated Care</w:t>
      </w:r>
      <w:r>
        <w:rPr>
          <w:color w:val="000000"/>
        </w:rPr>
        <w:t xml:space="preserve">, </w:t>
      </w:r>
      <w:r>
        <w:rPr>
          <w:i/>
          <w:iCs/>
          <w:color w:val="000000"/>
        </w:rPr>
        <w:t>24</w:t>
      </w:r>
      <w:r>
        <w:rPr>
          <w:color w:val="000000"/>
        </w:rPr>
        <w:t>(4), 11.</w:t>
      </w:r>
    </w:p>
    <w:p w14:paraId="7A65BEC5" w14:textId="77777777" w:rsidR="00987A31" w:rsidRDefault="00987A31" w:rsidP="00987A31">
      <w:pPr>
        <w:spacing w:before="120" w:after="120"/>
        <w:rPr>
          <w:color w:val="000000"/>
        </w:rPr>
      </w:pPr>
      <w:r>
        <w:rPr>
          <w:color w:val="000000"/>
        </w:rPr>
        <w:t xml:space="preserve">The University of Edinburgh (2016). </w:t>
      </w:r>
      <w:r>
        <w:rPr>
          <w:i/>
          <w:iCs/>
          <w:color w:val="000000"/>
        </w:rPr>
        <w:t>COPD care costs to exceed £2.5bn</w:t>
      </w:r>
      <w:r>
        <w:rPr>
          <w:color w:val="000000"/>
        </w:rPr>
        <w:t>. [online] The University of Edinburgh. Available at: https://usher.ed.ac.uk/news-events/news-2016/copd-care-costs-to-exceed-ps2-5bn [Accessed 30 Oct. 2025].</w:t>
      </w:r>
    </w:p>
    <w:p w14:paraId="2C548421" w14:textId="77777777" w:rsidR="00987A31" w:rsidRDefault="00987A31" w:rsidP="00987A31">
      <w:pPr>
        <w:spacing w:before="120" w:after="120"/>
        <w:rPr>
          <w:color w:val="000000"/>
        </w:rPr>
      </w:pPr>
      <w:r>
        <w:rPr>
          <w:color w:val="000000"/>
        </w:rPr>
        <w:lastRenderedPageBreak/>
        <w:t xml:space="preserve">Thomson, L. J., and Chatterjee, H. J. (2024). Barriers and enablers of integrated care in the UK: a rapid evidence review of review articles and grey literature 2018–2022. </w:t>
      </w:r>
      <w:r>
        <w:rPr>
          <w:i/>
          <w:iCs/>
          <w:color w:val="000000"/>
        </w:rPr>
        <w:t>Frontiers in Public Health</w:t>
      </w:r>
      <w:r>
        <w:rPr>
          <w:color w:val="000000"/>
        </w:rPr>
        <w:t xml:space="preserve">, </w:t>
      </w:r>
      <w:r>
        <w:rPr>
          <w:i/>
          <w:iCs/>
          <w:color w:val="000000"/>
        </w:rPr>
        <w:t>11</w:t>
      </w:r>
      <w:r>
        <w:rPr>
          <w:color w:val="000000"/>
        </w:rPr>
        <w:t>, 1286479.</w:t>
      </w:r>
    </w:p>
    <w:p w14:paraId="415DA381" w14:textId="77777777" w:rsidR="00987A31" w:rsidRDefault="00987A31" w:rsidP="00987A31">
      <w:pPr>
        <w:spacing w:before="120" w:after="120"/>
        <w:rPr>
          <w:color w:val="000000"/>
        </w:rPr>
      </w:pPr>
      <w:r>
        <w:rPr>
          <w:color w:val="000000"/>
        </w:rPr>
        <w:t xml:space="preserve">UK Gov. (2025). </w:t>
      </w:r>
      <w:r>
        <w:rPr>
          <w:i/>
          <w:iCs/>
          <w:color w:val="000000"/>
        </w:rPr>
        <w:t>Integrated care partnership (ICP) engagement document: integrated care system (ICS) implementation [Online]</w:t>
      </w:r>
      <w:r>
        <w:rPr>
          <w:color w:val="000000"/>
        </w:rPr>
        <w:t xml:space="preserve">. Available at: </w:t>
      </w:r>
      <w:hyperlink r:id="rId31" w:anchor=":~:text=integrated%20records%20%E2%80%93%20for%20example%20using,for%20the%20benefit%20of%20communities" w:history="1">
        <w:r>
          <w:rPr>
            <w:rStyle w:val="Hyperlink"/>
            <w:color w:val="000000"/>
          </w:rPr>
          <w:t>https://www.gov.uk/government/publications/integrated-care-partnership-icp-engagement-document/integrated-care-partnership-icp-engagement-document-integrated-care-system-ics-implementation#:~:text=integrated%20records%20%E2%80%93%20for%20example%20using,for%20the%20benefit%20of%20communities</w:t>
        </w:r>
      </w:hyperlink>
      <w:r>
        <w:rPr>
          <w:color w:val="000000"/>
        </w:rPr>
        <w:t xml:space="preserve"> [Accessed on: 30.10.2025]</w:t>
      </w:r>
    </w:p>
    <w:p w14:paraId="40566A93" w14:textId="77777777" w:rsidR="00987A31" w:rsidRDefault="00987A31" w:rsidP="00987A31">
      <w:pPr>
        <w:spacing w:before="120" w:after="120"/>
        <w:rPr>
          <w:color w:val="000000"/>
        </w:rPr>
      </w:pPr>
      <w:r>
        <w:rPr>
          <w:color w:val="000000"/>
        </w:rPr>
        <w:t xml:space="preserve">Wagner, E. H. (1998). Chronic disease management: what will it take to improve care for chronic </w:t>
      </w:r>
      <w:proofErr w:type="gramStart"/>
      <w:r>
        <w:rPr>
          <w:color w:val="000000"/>
        </w:rPr>
        <w:t>illness?.</w:t>
      </w:r>
      <w:proofErr w:type="gramEnd"/>
      <w:r>
        <w:rPr>
          <w:color w:val="000000"/>
        </w:rPr>
        <w:t xml:space="preserve"> </w:t>
      </w:r>
      <w:r>
        <w:rPr>
          <w:i/>
          <w:iCs/>
          <w:color w:val="000000"/>
        </w:rPr>
        <w:t>Effective clinical practice</w:t>
      </w:r>
      <w:r>
        <w:rPr>
          <w:color w:val="000000"/>
        </w:rPr>
        <w:t xml:space="preserve">, </w:t>
      </w:r>
      <w:r>
        <w:rPr>
          <w:i/>
          <w:iCs/>
          <w:color w:val="000000"/>
        </w:rPr>
        <w:t>1</w:t>
      </w:r>
      <w:r>
        <w:rPr>
          <w:color w:val="000000"/>
        </w:rPr>
        <w:t>(1).</w:t>
      </w:r>
    </w:p>
    <w:p w14:paraId="4E4353A8" w14:textId="77777777" w:rsidR="00987A31" w:rsidRDefault="00987A31" w:rsidP="00987A31">
      <w:pPr>
        <w:spacing w:before="120" w:after="120"/>
        <w:rPr>
          <w:color w:val="000000"/>
        </w:rPr>
      </w:pPr>
      <w:r>
        <w:rPr>
          <w:color w:val="000000"/>
        </w:rPr>
        <w:t xml:space="preserve">WHO. (2024). </w:t>
      </w:r>
      <w:r>
        <w:rPr>
          <w:i/>
          <w:iCs/>
          <w:color w:val="000000"/>
        </w:rPr>
        <w:t>Chronic obstructive pulmonary disease (COPD) [Online]</w:t>
      </w:r>
      <w:r>
        <w:rPr>
          <w:color w:val="000000"/>
        </w:rPr>
        <w:t xml:space="preserve">. Available at: </w:t>
      </w:r>
      <w:hyperlink r:id="rId32" w:history="1">
        <w:r>
          <w:rPr>
            <w:rStyle w:val="Hyperlink"/>
            <w:color w:val="000000"/>
          </w:rPr>
          <w:t>https://www.who.int/news-room/fact-sheets/detail/chronic-obstructive-pulmonary-disease-(copd)</w:t>
        </w:r>
      </w:hyperlink>
      <w:r>
        <w:rPr>
          <w:color w:val="000000"/>
        </w:rPr>
        <w:t xml:space="preserve"> [Accessed on: 30.10.2025]</w:t>
      </w:r>
    </w:p>
    <w:p w14:paraId="07ED2E19" w14:textId="77777777" w:rsidR="00987A31" w:rsidRDefault="00987A31" w:rsidP="00987A31">
      <w:pPr>
        <w:spacing w:before="120" w:after="120"/>
        <w:rPr>
          <w:color w:val="000000"/>
        </w:rPr>
      </w:pPr>
      <w:r>
        <w:rPr>
          <w:color w:val="000000"/>
        </w:rPr>
        <w:t xml:space="preserve">Yao, H. M., Xiao, R. S., Cao, P. L., Wang, X. L., Zuo, W., and Zhang, W. (2020). Risk factors for depression in patients with chronic obstructive pulmonary disease. </w:t>
      </w:r>
      <w:r>
        <w:rPr>
          <w:i/>
          <w:iCs/>
          <w:color w:val="000000"/>
        </w:rPr>
        <w:t>World journal of psychiatry</w:t>
      </w:r>
      <w:r>
        <w:rPr>
          <w:color w:val="000000"/>
        </w:rPr>
        <w:t xml:space="preserve">, </w:t>
      </w:r>
      <w:r>
        <w:rPr>
          <w:i/>
          <w:iCs/>
          <w:color w:val="000000"/>
        </w:rPr>
        <w:t>10</w:t>
      </w:r>
      <w:r>
        <w:rPr>
          <w:color w:val="000000"/>
        </w:rPr>
        <w:t>(4), 59.</w:t>
      </w:r>
    </w:p>
    <w:p w14:paraId="310E354C" w14:textId="77777777" w:rsidR="00987A31" w:rsidRDefault="00987A31" w:rsidP="00987A31">
      <w:pPr>
        <w:spacing w:before="120" w:after="120"/>
        <w:rPr>
          <w:color w:val="000000"/>
        </w:rPr>
      </w:pPr>
      <w:r>
        <w:rPr>
          <w:color w:val="000000"/>
        </w:rPr>
        <w:t xml:space="preserve">Yazdani, S., Parsa, M., and </w:t>
      </w:r>
      <w:proofErr w:type="spellStart"/>
      <w:r>
        <w:rPr>
          <w:color w:val="000000"/>
        </w:rPr>
        <w:t>Hajihosseinlou</w:t>
      </w:r>
      <w:proofErr w:type="spellEnd"/>
      <w:r>
        <w:rPr>
          <w:color w:val="000000"/>
        </w:rPr>
        <w:t>, F. (2025). Health Psychology and Stress Management in Chronic Illness. Heritage Branch, Library and Archives Canada. pp.1-228.</w:t>
      </w:r>
    </w:p>
    <w:p w14:paraId="091F71A4" w14:textId="77777777" w:rsidR="00987A31" w:rsidRDefault="00987A31" w:rsidP="00987A31">
      <w:pPr>
        <w:spacing w:before="120" w:after="120"/>
        <w:rPr>
          <w:color w:val="000000"/>
        </w:rPr>
      </w:pPr>
      <w:r>
        <w:rPr>
          <w:color w:val="000000"/>
        </w:rPr>
        <w:lastRenderedPageBreak/>
        <w:t xml:space="preserve">Zeng, Q., Chen, W., Xu, S., Yang, X., Xue, D., Peng, Y., Lin. X. Yu. Y. Huang. H. Huang. P. Dong. M. and Li, J. (2025). Understanding facilitators and barriers to adherence in home-based pulmonary rehabilitation for chronic obstructive pulmonary disease patients using the Health Belief Model: a qualitative study. </w:t>
      </w:r>
      <w:r>
        <w:rPr>
          <w:i/>
          <w:iCs/>
          <w:color w:val="000000"/>
        </w:rPr>
        <w:t>Frontiers in Public Health</w:t>
      </w:r>
      <w:r>
        <w:rPr>
          <w:color w:val="000000"/>
        </w:rPr>
        <w:t xml:space="preserve">, </w:t>
      </w:r>
      <w:r>
        <w:rPr>
          <w:i/>
          <w:iCs/>
          <w:color w:val="000000"/>
        </w:rPr>
        <w:t>13</w:t>
      </w:r>
      <w:r>
        <w:rPr>
          <w:color w:val="000000"/>
        </w:rPr>
        <w:t>, 1553744.</w:t>
      </w:r>
    </w:p>
    <w:p w14:paraId="6C85674A" w14:textId="16B1CC4F" w:rsidR="00801DDA" w:rsidRPr="00987A31" w:rsidRDefault="00801DDA" w:rsidP="00987A31"/>
    <w:sectPr w:rsidR="00801DDA" w:rsidRPr="00987A31" w:rsidSect="00567FDC">
      <w:headerReference w:type="default" r:id="rId33"/>
      <w:footerReference w:type="default" r:id="rId34"/>
      <w:pgSz w:w="8420" w:h="11907" w:orient="landscape"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altName w:val="Wingdings 2"/>
    <w:panose1 w:val="05020102010507070707"/>
    <w:charset w:val="02"/>
    <w:family w:val="roman"/>
    <w:pitch w:val="variable"/>
    <w:sig w:usb0="00000000" w:usb1="10000000" w:usb2="00000000" w:usb3="00000000" w:csb0="80000000" w:csb1="00000000"/>
  </w:font>
  <w:font w:name="OpenSymbol">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C51A1" w14:textId="77777777" w:rsidR="00987A31" w:rsidRDefault="00987A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E9D85D" w14:textId="77777777" w:rsidR="00987A31" w:rsidRDefault="00987A31">
    <w:pPr>
      <w:pStyle w:val="Footer"/>
      <w:jc w:val="right"/>
      <w:rPr>
        <w:sz w:val="20"/>
        <w:szCs w:val="20"/>
      </w:rPr>
    </w:pPr>
    <w:r>
      <w:fldChar w:fldCharType="begin"/>
    </w:r>
    <w:r>
      <w:instrText xml:space="preserve"> PAGE </w:instrText>
    </w:r>
    <w:r>
      <w:fldChar w:fldCharType="separate"/>
    </w:r>
    <w:r>
      <w:t>i</w:t>
    </w:r>
    <w:proofErr w:type="spellStart"/>
    <w:r>
      <w:t>i</w:t>
    </w:r>
    <w:proofErr w:type="spellEnd"/>
    <w:r>
      <w:fldChar w:fldCharType="end"/>
    </w:r>
  </w:p>
  <w:p w14:paraId="3A1E2633" w14:textId="77777777" w:rsidR="00987A31" w:rsidRDefault="00987A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DCF84" w14:textId="77777777" w:rsidR="00987A31" w:rsidRDefault="00987A3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0D16F9" w14:textId="77777777" w:rsidR="00567FDC" w:rsidRDefault="00567FDC">
    <w:pPr>
      <w:jc w:val="right"/>
    </w:pPr>
    <w:r>
      <w:fldChar w:fldCharType="begin"/>
    </w:r>
    <w:r>
      <w:instrText>PAGE</w:instrText>
    </w:r>
    <w:r>
      <w:fldChar w:fldCharType="separate"/>
    </w:r>
    <w:r>
      <w:rPr>
        <w:noProof/>
      </w:rPr>
      <w:t>2</w:t>
    </w:r>
    <w:r>
      <w:fldChar w:fldCharType="end"/>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DB1A6" w14:textId="77777777" w:rsidR="00567FDC" w:rsidRDefault="00567FD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7F30CA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C637140"/>
    <w:multiLevelType w:val="multilevel"/>
    <w:tmpl w:val="8E247F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B6525BF"/>
    <w:multiLevelType w:val="multilevel"/>
    <w:tmpl w:val="544411B4"/>
    <w:lvl w:ilvl="0">
      <w:start w:val="1"/>
      <w:numFmt w:val="bullet"/>
      <w:lvlText w:val=""/>
      <w:lvlJc w:val="left"/>
      <w:pPr>
        <w:tabs>
          <w:tab w:val="left" w:pos="0"/>
        </w:tabs>
        <w:ind w:left="720" w:hanging="360"/>
      </w:pPr>
      <w:rPr>
        <w:rFonts w:ascii="Wingdings" w:hAnsi="Wingdings" w:cs="Wingdings" w:hint="default"/>
        <w:u w:val="none"/>
      </w:rPr>
    </w:lvl>
    <w:lvl w:ilvl="1">
      <w:start w:val="1"/>
      <w:numFmt w:val="bullet"/>
      <w:lvlText w:val=""/>
      <w:lvlJc w:val="left"/>
      <w:pPr>
        <w:tabs>
          <w:tab w:val="left" w:pos="0"/>
        </w:tabs>
        <w:ind w:left="1440" w:hanging="360"/>
      </w:pPr>
      <w:rPr>
        <w:rFonts w:ascii="Wingdings 2" w:hAnsi="Wingdings 2" w:cs="Wingdings 2" w:hint="default"/>
        <w:u w:val="none"/>
      </w:rPr>
    </w:lvl>
    <w:lvl w:ilvl="2">
      <w:start w:val="1"/>
      <w:numFmt w:val="bullet"/>
      <w:lvlText w:val="■"/>
      <w:lvlJc w:val="left"/>
      <w:pPr>
        <w:tabs>
          <w:tab w:val="left" w:pos="0"/>
        </w:tabs>
        <w:ind w:left="2160" w:hanging="360"/>
      </w:pPr>
      <w:rPr>
        <w:rFonts w:ascii="OpenSymbol" w:hAnsi="OpenSymbol" w:cs="OpenSymbol" w:hint="default"/>
        <w:u w:val="none"/>
      </w:rPr>
    </w:lvl>
    <w:lvl w:ilvl="3">
      <w:start w:val="1"/>
      <w:numFmt w:val="bullet"/>
      <w:lvlText w:val=""/>
      <w:lvlJc w:val="left"/>
      <w:pPr>
        <w:tabs>
          <w:tab w:val="left" w:pos="0"/>
        </w:tabs>
        <w:ind w:left="2880" w:hanging="360"/>
      </w:pPr>
      <w:rPr>
        <w:rFonts w:ascii="Wingdings" w:hAnsi="Wingdings" w:cs="Wingdings" w:hint="default"/>
        <w:u w:val="none"/>
      </w:rPr>
    </w:lvl>
    <w:lvl w:ilvl="4">
      <w:start w:val="1"/>
      <w:numFmt w:val="bullet"/>
      <w:lvlText w:val=""/>
      <w:lvlJc w:val="left"/>
      <w:pPr>
        <w:tabs>
          <w:tab w:val="left" w:pos="0"/>
        </w:tabs>
        <w:ind w:left="3600" w:hanging="360"/>
      </w:pPr>
      <w:rPr>
        <w:rFonts w:ascii="Wingdings 2" w:hAnsi="Wingdings 2" w:cs="Wingdings 2" w:hint="default"/>
        <w:u w:val="none"/>
      </w:rPr>
    </w:lvl>
    <w:lvl w:ilvl="5">
      <w:start w:val="1"/>
      <w:numFmt w:val="bullet"/>
      <w:lvlText w:val="■"/>
      <w:lvlJc w:val="left"/>
      <w:pPr>
        <w:tabs>
          <w:tab w:val="left" w:pos="0"/>
        </w:tabs>
        <w:ind w:left="4320" w:hanging="360"/>
      </w:pPr>
      <w:rPr>
        <w:rFonts w:ascii="OpenSymbol" w:hAnsi="OpenSymbol" w:cs="OpenSymbol" w:hint="default"/>
        <w:u w:val="none"/>
      </w:rPr>
    </w:lvl>
    <w:lvl w:ilvl="6">
      <w:start w:val="1"/>
      <w:numFmt w:val="bullet"/>
      <w:lvlText w:val=""/>
      <w:lvlJc w:val="left"/>
      <w:pPr>
        <w:tabs>
          <w:tab w:val="left" w:pos="0"/>
        </w:tabs>
        <w:ind w:left="5040" w:hanging="360"/>
      </w:pPr>
      <w:rPr>
        <w:rFonts w:ascii="Wingdings" w:hAnsi="Wingdings" w:cs="Wingdings" w:hint="default"/>
        <w:u w:val="none"/>
      </w:rPr>
    </w:lvl>
    <w:lvl w:ilvl="7">
      <w:start w:val="1"/>
      <w:numFmt w:val="bullet"/>
      <w:lvlText w:val=""/>
      <w:lvlJc w:val="left"/>
      <w:pPr>
        <w:tabs>
          <w:tab w:val="left" w:pos="0"/>
        </w:tabs>
        <w:ind w:left="5760" w:hanging="360"/>
      </w:pPr>
      <w:rPr>
        <w:rFonts w:ascii="Wingdings 2" w:hAnsi="Wingdings 2" w:cs="Wingdings 2" w:hint="default"/>
        <w:u w:val="none"/>
      </w:rPr>
    </w:lvl>
    <w:lvl w:ilvl="8">
      <w:start w:val="1"/>
      <w:numFmt w:val="bullet"/>
      <w:lvlText w:val="■"/>
      <w:lvlJc w:val="left"/>
      <w:pPr>
        <w:tabs>
          <w:tab w:val="left" w:pos="0"/>
        </w:tabs>
        <w:ind w:left="6480" w:hanging="360"/>
      </w:pPr>
      <w:rPr>
        <w:rFonts w:ascii="OpenSymbol" w:hAnsi="OpenSymbol" w:cs="OpenSymbol" w:hint="default"/>
        <w:u w:val="none"/>
      </w:rPr>
    </w:lvl>
  </w:abstractNum>
  <w:num w:numId="1" w16cid:durableId="1549147883">
    <w:abstractNumId w:val="0"/>
  </w:num>
  <w:num w:numId="2" w16cid:durableId="819151182">
    <w:abstractNumId w:val="1"/>
  </w:num>
  <w:num w:numId="3" w16cid:durableId="20438204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5764D"/>
    <w:rsid w:val="00231106"/>
    <w:rsid w:val="002F4E3B"/>
    <w:rsid w:val="003002CE"/>
    <w:rsid w:val="005560F3"/>
    <w:rsid w:val="00567FDC"/>
    <w:rsid w:val="006C4883"/>
    <w:rsid w:val="00801DDA"/>
    <w:rsid w:val="00973DEC"/>
    <w:rsid w:val="00987A31"/>
    <w:rsid w:val="00A32912"/>
    <w:rsid w:val="00A50B57"/>
    <w:rsid w:val="00A86BA4"/>
    <w:rsid w:val="00D068BE"/>
    <w:rsid w:val="00DA1C9C"/>
    <w:rsid w:val="00DF3743"/>
    <w:rsid w:val="00E35272"/>
    <w:rsid w:val="00F80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4883"/>
  </w:style>
  <w:style w:type="paragraph" w:styleId="Heading1">
    <w:name w:val="heading 1"/>
    <w:basedOn w:val="Normal"/>
    <w:next w:val="Normal"/>
    <w:link w:val="Heading1Char"/>
    <w:uiPriority w:val="9"/>
    <w:qFormat/>
    <w:rsid w:val="006C488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6C488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6C488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488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6C488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6C488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semiHidden/>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7FDC"/>
    <w:rPr>
      <w:color w:val="0000FF" w:themeColor="hyperlink"/>
      <w:u w:val="single"/>
    </w:rPr>
  </w:style>
  <w:style w:type="character" w:customStyle="1" w:styleId="FooterChar">
    <w:name w:val="Footer Char"/>
    <w:basedOn w:val="DefaultParagraphFont"/>
    <w:link w:val="Footer"/>
    <w:uiPriority w:val="99"/>
    <w:qFormat/>
    <w:rsid w:val="00987A31"/>
  </w:style>
  <w:style w:type="character" w:customStyle="1" w:styleId="IndexLink">
    <w:name w:val="Index Link"/>
    <w:qFormat/>
    <w:rsid w:val="00987A31"/>
  </w:style>
  <w:style w:type="paragraph" w:styleId="Footer">
    <w:name w:val="footer"/>
    <w:basedOn w:val="Normal"/>
    <w:link w:val="FooterChar"/>
    <w:uiPriority w:val="99"/>
    <w:rsid w:val="00987A31"/>
    <w:pPr>
      <w:tabs>
        <w:tab w:val="center" w:pos="4513"/>
        <w:tab w:val="right" w:pos="9026"/>
      </w:tabs>
      <w:suppressAutoHyphens/>
      <w:spacing w:after="0" w:line="240" w:lineRule="auto"/>
      <w:jc w:val="both"/>
    </w:pPr>
  </w:style>
  <w:style w:type="character" w:customStyle="1" w:styleId="FooterChar1">
    <w:name w:val="Footer Char1"/>
    <w:basedOn w:val="DefaultParagraphFont"/>
    <w:uiPriority w:val="99"/>
    <w:semiHidden/>
    <w:rsid w:val="00987A31"/>
  </w:style>
  <w:style w:type="paragraph" w:styleId="TOC1">
    <w:name w:val="toc 1"/>
    <w:basedOn w:val="Normal"/>
    <w:next w:val="Normal"/>
    <w:uiPriority w:val="39"/>
    <w:rsid w:val="00987A31"/>
    <w:pPr>
      <w:suppressAutoHyphens/>
      <w:spacing w:before="200" w:after="100" w:line="360" w:lineRule="auto"/>
      <w:jc w:val="both"/>
    </w:pPr>
    <w:rPr>
      <w:rFonts w:ascii="Arial" w:eastAsia="Arial" w:hAnsi="Arial" w:cs="Arial"/>
      <w:sz w:val="24"/>
      <w:szCs w:val="24"/>
      <w:lang w:val="en-IN"/>
    </w:rPr>
  </w:style>
  <w:style w:type="paragraph" w:customStyle="1" w:styleId="FrameContentsuser">
    <w:name w:val="Frame Contents (user)"/>
    <w:basedOn w:val="Normal"/>
    <w:qFormat/>
    <w:rsid w:val="00987A31"/>
    <w:pPr>
      <w:suppressAutoHyphens/>
      <w:spacing w:before="200" w:after="200" w:line="360" w:lineRule="auto"/>
      <w:jc w:val="both"/>
    </w:pPr>
    <w:rPr>
      <w:rFonts w:ascii="Arial" w:eastAsia="Arial" w:hAnsi="Arial" w:cs="Arial"/>
      <w:sz w:val="24"/>
      <w:szCs w:val="24"/>
      <w:lang w:val="en-IN"/>
    </w:rPr>
  </w:style>
  <w:style w:type="paragraph" w:styleId="NormalWeb">
    <w:name w:val="Normal (Web)"/>
    <w:basedOn w:val="Normal"/>
    <w:uiPriority w:val="99"/>
    <w:rsid w:val="00987A31"/>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diagramLayout" Target="diagrams/layout1.xml"/><Relationship Id="rId26" Type="http://schemas.openxmlformats.org/officeDocument/2006/relationships/hyperlink" Target="https://www.england.nhs.uk/integratedcare/resources/case-studies/using-population-health-management-to-target-copd-support-for-low-medium-and-high-risk-groups-in-dorset/" TargetMode="External"/><Relationship Id="rId3" Type="http://schemas.openxmlformats.org/officeDocument/2006/relationships/customXml" Target="../customXml/item3.xml"/><Relationship Id="rId21" Type="http://schemas.microsoft.com/office/2007/relationships/diagramDrawing" Target="diagrams/drawing1.xml"/><Relationship Id="rId34" Type="http://schemas.openxmlformats.org/officeDocument/2006/relationships/footer" Target="footer4.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diagramData" Target="diagrams/data1.xml"/><Relationship Id="rId25" Type="http://schemas.openxmlformats.org/officeDocument/2006/relationships/hyperlink" Target="https://www.england.nhs.uk/integratedcare/what-is-integrated-care/working-in-partnership/"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diagramColors" Target="diagrams/colors1.xml"/><Relationship Id="rId29" Type="http://schemas.openxmlformats.org/officeDocument/2006/relationships/hyperlink" Target="https://www.nice.org.uk/guidance/ng115/chapter/Recommendation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3.xml"/><Relationship Id="rId24" Type="http://schemas.openxmlformats.org/officeDocument/2006/relationships/hyperlink" Target="https://www.england.nhs.uk/integratedcare/what-is-integrated-care/" TargetMode="External"/><Relationship Id="rId32" Type="http://schemas.openxmlformats.org/officeDocument/2006/relationships/hyperlink" Target="https://www.who.int/news-room/fact-sheets/detail/chronic-obstructive-pulmonary-disease-(copd)" TargetMode="Externa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england.nhs.uk/ourwork/prevention/secondary-prevention/respiratory-high-impact-interventions/" TargetMode="External"/><Relationship Id="rId28" Type="http://schemas.openxmlformats.org/officeDocument/2006/relationships/hyperlink" Target="https://www.england.nhs.uk/ourwork/clinical-policy/respiratory-disease/pulmonary-rehabilitation/" TargetMode="External"/><Relationship Id="rId36"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diagramQuickStyle" Target="diagrams/quickStyle1.xml"/><Relationship Id="rId31" Type="http://schemas.openxmlformats.org/officeDocument/2006/relationships/hyperlink" Target="https://www.gov.uk/government/publications/integrated-care-partnership-icp-engagement-document/integrated-care-partnership-icp-engagement-document-integrated-care-system-ics-implementation" TargetMode="External"/><Relationship Id="rId4" Type="http://schemas.openxmlformats.org/officeDocument/2006/relationships/numbering" Target="numbering.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www.statista.com/statistics/279461/tobacco-caused-deaths-in-2015/" TargetMode="External"/><Relationship Id="rId27" Type="http://schemas.openxmlformats.org/officeDocument/2006/relationships/hyperlink" Target="https://www.nhs.uk/live-well/quit-smoking/nhs-stop-smoking-services-help-you-quit/" TargetMode="External"/><Relationship Id="rId30" Type="http://schemas.openxmlformats.org/officeDocument/2006/relationships/hyperlink" Target="https://www.nice.org.uk/guidance/ng115" TargetMode="External"/><Relationship Id="rId35" Type="http://schemas.openxmlformats.org/officeDocument/2006/relationships/fontTable" Target="fontTable.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B1CDF1-CEE9-4144-BAD2-9FC09E9ACA2D}"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F68A7031-7A45-475F-BB10-8C1060984841}">
      <dgm:prSet phldrT="[Text]" custT="1"/>
      <dgm:spPr/>
      <dgm:t>
        <a:bodyPr/>
        <a:lstStyle/>
        <a:p>
          <a:r>
            <a:rPr lang="en-US" sz="1000"/>
            <a:t>Shared decision making</a:t>
          </a:r>
        </a:p>
      </dgm:t>
    </dgm:pt>
    <dgm:pt modelId="{439B6813-AD8A-4372-ADD7-F0B4678FB6A3}" type="parTrans" cxnId="{AE183BCF-7746-4706-A1F0-FE013793F6D2}">
      <dgm:prSet/>
      <dgm:spPr/>
      <dgm:t>
        <a:bodyPr/>
        <a:lstStyle/>
        <a:p>
          <a:endParaRPr lang="en-US" sz="1000"/>
        </a:p>
      </dgm:t>
    </dgm:pt>
    <dgm:pt modelId="{37E7A143-5B3F-4B0B-8C6E-C0250AFE7635}" type="sibTrans" cxnId="{AE183BCF-7746-4706-A1F0-FE013793F6D2}">
      <dgm:prSet/>
      <dgm:spPr/>
      <dgm:t>
        <a:bodyPr/>
        <a:lstStyle/>
        <a:p>
          <a:endParaRPr lang="en-US" sz="1000"/>
        </a:p>
      </dgm:t>
    </dgm:pt>
    <dgm:pt modelId="{5078DE9D-3DA7-4526-B292-9B5D3CA4B2FC}">
      <dgm:prSet phldrT="[Text]" custT="1"/>
      <dgm:spPr/>
      <dgm:t>
        <a:bodyPr/>
        <a:lstStyle/>
        <a:p>
          <a:r>
            <a:rPr lang="en-US" sz="1000"/>
            <a:t>Personalised care and support planning</a:t>
          </a:r>
        </a:p>
      </dgm:t>
    </dgm:pt>
    <dgm:pt modelId="{33D8C8FF-C60A-433F-B15E-920C82ECA000}" type="parTrans" cxnId="{DC70ECDD-C79A-4AF2-BCC9-EB41FDAA2C6E}">
      <dgm:prSet/>
      <dgm:spPr/>
      <dgm:t>
        <a:bodyPr/>
        <a:lstStyle/>
        <a:p>
          <a:endParaRPr lang="en-US" sz="1000"/>
        </a:p>
      </dgm:t>
    </dgm:pt>
    <dgm:pt modelId="{08546A3F-39C5-40F9-96C4-A5F3B3E9D917}" type="sibTrans" cxnId="{DC70ECDD-C79A-4AF2-BCC9-EB41FDAA2C6E}">
      <dgm:prSet/>
      <dgm:spPr/>
      <dgm:t>
        <a:bodyPr/>
        <a:lstStyle/>
        <a:p>
          <a:endParaRPr lang="en-US" sz="1000"/>
        </a:p>
      </dgm:t>
    </dgm:pt>
    <dgm:pt modelId="{A92E88AF-CE4F-4FE4-8789-ED9B570DD74A}">
      <dgm:prSet phldrT="[Text]" custT="1"/>
      <dgm:spPr/>
      <dgm:t>
        <a:bodyPr/>
        <a:lstStyle/>
        <a:p>
          <a:r>
            <a:rPr lang="en-US" sz="1000"/>
            <a:t>Enabling choice, including legal rights to choice</a:t>
          </a:r>
        </a:p>
      </dgm:t>
    </dgm:pt>
    <dgm:pt modelId="{061CF39A-1165-46D8-8686-19ABD621CAE5}" type="parTrans" cxnId="{2FF9EC8C-34E3-4134-A3FD-156069B7BD2C}">
      <dgm:prSet/>
      <dgm:spPr/>
      <dgm:t>
        <a:bodyPr/>
        <a:lstStyle/>
        <a:p>
          <a:endParaRPr lang="en-US" sz="1000"/>
        </a:p>
      </dgm:t>
    </dgm:pt>
    <dgm:pt modelId="{763296BB-2FB0-4D71-9CB5-404AA9C4ACFB}" type="sibTrans" cxnId="{2FF9EC8C-34E3-4134-A3FD-156069B7BD2C}">
      <dgm:prSet/>
      <dgm:spPr/>
      <dgm:t>
        <a:bodyPr/>
        <a:lstStyle/>
        <a:p>
          <a:endParaRPr lang="en-US" sz="1000"/>
        </a:p>
      </dgm:t>
    </dgm:pt>
    <dgm:pt modelId="{663439EC-5825-4E24-B975-4B6F328CA7F9}">
      <dgm:prSet phldrT="[Text]" custT="1"/>
      <dgm:spPr/>
      <dgm:t>
        <a:bodyPr/>
        <a:lstStyle/>
        <a:p>
          <a:r>
            <a:rPr lang="en-US" sz="1000"/>
            <a:t>Social prescribing and community-based support</a:t>
          </a:r>
        </a:p>
      </dgm:t>
    </dgm:pt>
    <dgm:pt modelId="{F6A947D6-1A3F-41B4-B30C-CD7395D78D5A}" type="parTrans" cxnId="{7EB03632-BEC2-40A1-9CE4-96127E8638C1}">
      <dgm:prSet/>
      <dgm:spPr/>
      <dgm:t>
        <a:bodyPr/>
        <a:lstStyle/>
        <a:p>
          <a:endParaRPr lang="en-US" sz="1000"/>
        </a:p>
      </dgm:t>
    </dgm:pt>
    <dgm:pt modelId="{4682E641-BDC5-4F90-8F5D-49EF34677908}" type="sibTrans" cxnId="{7EB03632-BEC2-40A1-9CE4-96127E8638C1}">
      <dgm:prSet/>
      <dgm:spPr/>
      <dgm:t>
        <a:bodyPr/>
        <a:lstStyle/>
        <a:p>
          <a:endParaRPr lang="en-US" sz="1000"/>
        </a:p>
      </dgm:t>
    </dgm:pt>
    <dgm:pt modelId="{861277B7-98EB-45AE-BAB1-98F9517D98A3}">
      <dgm:prSet phldrT="[Text]" custT="1"/>
      <dgm:spPr/>
      <dgm:t>
        <a:bodyPr/>
        <a:lstStyle/>
        <a:p>
          <a:r>
            <a:rPr lang="en-US" sz="1000"/>
            <a:t>Supported self-management</a:t>
          </a:r>
        </a:p>
      </dgm:t>
    </dgm:pt>
    <dgm:pt modelId="{2601C5A6-2909-4276-9B42-73542B1B05E1}" type="parTrans" cxnId="{8EF17346-92FB-4B65-94CC-7EAD3874394C}">
      <dgm:prSet/>
      <dgm:spPr/>
      <dgm:t>
        <a:bodyPr/>
        <a:lstStyle/>
        <a:p>
          <a:endParaRPr lang="en-US" sz="1000"/>
        </a:p>
      </dgm:t>
    </dgm:pt>
    <dgm:pt modelId="{09C07102-6335-473E-A44F-6BBD9367203C}" type="sibTrans" cxnId="{8EF17346-92FB-4B65-94CC-7EAD3874394C}">
      <dgm:prSet/>
      <dgm:spPr/>
      <dgm:t>
        <a:bodyPr/>
        <a:lstStyle/>
        <a:p>
          <a:endParaRPr lang="en-US" sz="1000"/>
        </a:p>
      </dgm:t>
    </dgm:pt>
    <dgm:pt modelId="{F2D05C41-7B6E-4394-A4F5-4506463958B9}">
      <dgm:prSet phldrT="[Text]" custT="1"/>
      <dgm:spPr/>
      <dgm:t>
        <a:bodyPr/>
        <a:lstStyle/>
        <a:p>
          <a:r>
            <a:rPr lang="en-US" sz="1000"/>
            <a:t>Personal health budgets</a:t>
          </a:r>
        </a:p>
      </dgm:t>
    </dgm:pt>
    <dgm:pt modelId="{E593B9A3-C1A8-4459-B877-CD8C5FA293B1}" type="parTrans" cxnId="{7EB046D5-7846-4AA5-AEDC-08406B4D51D2}">
      <dgm:prSet/>
      <dgm:spPr/>
      <dgm:t>
        <a:bodyPr/>
        <a:lstStyle/>
        <a:p>
          <a:endParaRPr lang="en-US" sz="1000"/>
        </a:p>
      </dgm:t>
    </dgm:pt>
    <dgm:pt modelId="{976EDA82-434D-49CF-9D7A-B4531E59D740}" type="sibTrans" cxnId="{7EB046D5-7846-4AA5-AEDC-08406B4D51D2}">
      <dgm:prSet/>
      <dgm:spPr/>
      <dgm:t>
        <a:bodyPr/>
        <a:lstStyle/>
        <a:p>
          <a:endParaRPr lang="en-US" sz="1000"/>
        </a:p>
      </dgm:t>
    </dgm:pt>
    <dgm:pt modelId="{0AE3994C-565E-495F-8653-9A3CBD496B6B}" type="pres">
      <dgm:prSet presAssocID="{93B1CDF1-CEE9-4144-BAD2-9FC09E9ACA2D}" presName="linear" presStyleCnt="0">
        <dgm:presLayoutVars>
          <dgm:dir/>
          <dgm:animLvl val="lvl"/>
          <dgm:resizeHandles val="exact"/>
        </dgm:presLayoutVars>
      </dgm:prSet>
      <dgm:spPr/>
    </dgm:pt>
    <dgm:pt modelId="{B70F2EA1-2E8C-4520-82A3-55D7E4BBC83A}" type="pres">
      <dgm:prSet presAssocID="{F68A7031-7A45-475F-BB10-8C1060984841}" presName="parentLin" presStyleCnt="0"/>
      <dgm:spPr/>
    </dgm:pt>
    <dgm:pt modelId="{7890E691-F563-4434-B1FF-5B1D9A8C2223}" type="pres">
      <dgm:prSet presAssocID="{F68A7031-7A45-475F-BB10-8C1060984841}" presName="parentLeftMargin" presStyleLbl="node1" presStyleIdx="0" presStyleCnt="6"/>
      <dgm:spPr/>
    </dgm:pt>
    <dgm:pt modelId="{212822C6-BFBB-4789-8215-77715B5595C3}" type="pres">
      <dgm:prSet presAssocID="{F68A7031-7A45-475F-BB10-8C1060984841}" presName="parentText" presStyleLbl="node1" presStyleIdx="0" presStyleCnt="6">
        <dgm:presLayoutVars>
          <dgm:chMax val="0"/>
          <dgm:bulletEnabled val="1"/>
        </dgm:presLayoutVars>
      </dgm:prSet>
      <dgm:spPr/>
    </dgm:pt>
    <dgm:pt modelId="{C957FAEF-3DCE-43F7-9419-3EF15E773351}" type="pres">
      <dgm:prSet presAssocID="{F68A7031-7A45-475F-BB10-8C1060984841}" presName="negativeSpace" presStyleCnt="0"/>
      <dgm:spPr/>
    </dgm:pt>
    <dgm:pt modelId="{BA226F1E-E089-4288-A727-DDA74BFE3C3B}" type="pres">
      <dgm:prSet presAssocID="{F68A7031-7A45-475F-BB10-8C1060984841}" presName="childText" presStyleLbl="conFgAcc1" presStyleIdx="0" presStyleCnt="6">
        <dgm:presLayoutVars>
          <dgm:bulletEnabled val="1"/>
        </dgm:presLayoutVars>
      </dgm:prSet>
      <dgm:spPr/>
    </dgm:pt>
    <dgm:pt modelId="{A8775378-4E0E-4BBB-A80C-F35681377153}" type="pres">
      <dgm:prSet presAssocID="{37E7A143-5B3F-4B0B-8C6E-C0250AFE7635}" presName="spaceBetweenRectangles" presStyleCnt="0"/>
      <dgm:spPr/>
    </dgm:pt>
    <dgm:pt modelId="{06F77DBB-5309-469B-818D-351A50DDCA14}" type="pres">
      <dgm:prSet presAssocID="{5078DE9D-3DA7-4526-B292-9B5D3CA4B2FC}" presName="parentLin" presStyleCnt="0"/>
      <dgm:spPr/>
    </dgm:pt>
    <dgm:pt modelId="{E5942B5D-71CD-4CF5-BBB7-AA87A62DA066}" type="pres">
      <dgm:prSet presAssocID="{5078DE9D-3DA7-4526-B292-9B5D3CA4B2FC}" presName="parentLeftMargin" presStyleLbl="node1" presStyleIdx="0" presStyleCnt="6"/>
      <dgm:spPr/>
    </dgm:pt>
    <dgm:pt modelId="{5114310F-5B0C-4B8B-ADFE-33708750209D}" type="pres">
      <dgm:prSet presAssocID="{5078DE9D-3DA7-4526-B292-9B5D3CA4B2FC}" presName="parentText" presStyleLbl="node1" presStyleIdx="1" presStyleCnt="6">
        <dgm:presLayoutVars>
          <dgm:chMax val="0"/>
          <dgm:bulletEnabled val="1"/>
        </dgm:presLayoutVars>
      </dgm:prSet>
      <dgm:spPr/>
    </dgm:pt>
    <dgm:pt modelId="{E1469E58-159F-4F5D-A600-3BC6F0260375}" type="pres">
      <dgm:prSet presAssocID="{5078DE9D-3DA7-4526-B292-9B5D3CA4B2FC}" presName="negativeSpace" presStyleCnt="0"/>
      <dgm:spPr/>
    </dgm:pt>
    <dgm:pt modelId="{C70FEA11-1CB7-4600-8F5D-3EECED6C07F3}" type="pres">
      <dgm:prSet presAssocID="{5078DE9D-3DA7-4526-B292-9B5D3CA4B2FC}" presName="childText" presStyleLbl="conFgAcc1" presStyleIdx="1" presStyleCnt="6">
        <dgm:presLayoutVars>
          <dgm:bulletEnabled val="1"/>
        </dgm:presLayoutVars>
      </dgm:prSet>
      <dgm:spPr/>
    </dgm:pt>
    <dgm:pt modelId="{2F05949E-22A5-49A1-A40C-9B4E4D19E86A}" type="pres">
      <dgm:prSet presAssocID="{08546A3F-39C5-40F9-96C4-A5F3B3E9D917}" presName="spaceBetweenRectangles" presStyleCnt="0"/>
      <dgm:spPr/>
    </dgm:pt>
    <dgm:pt modelId="{6AA75AF0-F952-4F38-A506-8991FEDAEDCE}" type="pres">
      <dgm:prSet presAssocID="{A92E88AF-CE4F-4FE4-8789-ED9B570DD74A}" presName="parentLin" presStyleCnt="0"/>
      <dgm:spPr/>
    </dgm:pt>
    <dgm:pt modelId="{58F58A8B-7D24-4070-BC83-2004DECEB760}" type="pres">
      <dgm:prSet presAssocID="{A92E88AF-CE4F-4FE4-8789-ED9B570DD74A}" presName="parentLeftMargin" presStyleLbl="node1" presStyleIdx="1" presStyleCnt="6"/>
      <dgm:spPr/>
    </dgm:pt>
    <dgm:pt modelId="{B2F02E5C-5BE6-4422-B6A8-768FB625995B}" type="pres">
      <dgm:prSet presAssocID="{A92E88AF-CE4F-4FE4-8789-ED9B570DD74A}" presName="parentText" presStyleLbl="node1" presStyleIdx="2" presStyleCnt="6">
        <dgm:presLayoutVars>
          <dgm:chMax val="0"/>
          <dgm:bulletEnabled val="1"/>
        </dgm:presLayoutVars>
      </dgm:prSet>
      <dgm:spPr/>
    </dgm:pt>
    <dgm:pt modelId="{117F2D33-A534-41DC-87C2-5F17468B78B2}" type="pres">
      <dgm:prSet presAssocID="{A92E88AF-CE4F-4FE4-8789-ED9B570DD74A}" presName="negativeSpace" presStyleCnt="0"/>
      <dgm:spPr/>
    </dgm:pt>
    <dgm:pt modelId="{A621E477-9864-49ED-8B79-1C4CF51AE515}" type="pres">
      <dgm:prSet presAssocID="{A92E88AF-CE4F-4FE4-8789-ED9B570DD74A}" presName="childText" presStyleLbl="conFgAcc1" presStyleIdx="2" presStyleCnt="6">
        <dgm:presLayoutVars>
          <dgm:bulletEnabled val="1"/>
        </dgm:presLayoutVars>
      </dgm:prSet>
      <dgm:spPr/>
    </dgm:pt>
    <dgm:pt modelId="{788BB5FA-7F7F-418B-A48D-374036438744}" type="pres">
      <dgm:prSet presAssocID="{763296BB-2FB0-4D71-9CB5-404AA9C4ACFB}" presName="spaceBetweenRectangles" presStyleCnt="0"/>
      <dgm:spPr/>
    </dgm:pt>
    <dgm:pt modelId="{643D1ED1-9866-405B-9622-C1D06C2F574E}" type="pres">
      <dgm:prSet presAssocID="{663439EC-5825-4E24-B975-4B6F328CA7F9}" presName="parentLin" presStyleCnt="0"/>
      <dgm:spPr/>
    </dgm:pt>
    <dgm:pt modelId="{2F40B0C9-CB84-405A-A2FA-91727B386C47}" type="pres">
      <dgm:prSet presAssocID="{663439EC-5825-4E24-B975-4B6F328CA7F9}" presName="parentLeftMargin" presStyleLbl="node1" presStyleIdx="2" presStyleCnt="6"/>
      <dgm:spPr/>
    </dgm:pt>
    <dgm:pt modelId="{8D38427C-D741-4413-B02B-B83775331419}" type="pres">
      <dgm:prSet presAssocID="{663439EC-5825-4E24-B975-4B6F328CA7F9}" presName="parentText" presStyleLbl="node1" presStyleIdx="3" presStyleCnt="6">
        <dgm:presLayoutVars>
          <dgm:chMax val="0"/>
          <dgm:bulletEnabled val="1"/>
        </dgm:presLayoutVars>
      </dgm:prSet>
      <dgm:spPr/>
    </dgm:pt>
    <dgm:pt modelId="{A6A5B95B-545E-4790-8802-7DAC56B7F9E9}" type="pres">
      <dgm:prSet presAssocID="{663439EC-5825-4E24-B975-4B6F328CA7F9}" presName="negativeSpace" presStyleCnt="0"/>
      <dgm:spPr/>
    </dgm:pt>
    <dgm:pt modelId="{2612CB92-10A2-499E-BF35-94281B899351}" type="pres">
      <dgm:prSet presAssocID="{663439EC-5825-4E24-B975-4B6F328CA7F9}" presName="childText" presStyleLbl="conFgAcc1" presStyleIdx="3" presStyleCnt="6">
        <dgm:presLayoutVars>
          <dgm:bulletEnabled val="1"/>
        </dgm:presLayoutVars>
      </dgm:prSet>
      <dgm:spPr/>
    </dgm:pt>
    <dgm:pt modelId="{7313568B-CEC6-4CFD-8A88-7BEBCD57DA5B}" type="pres">
      <dgm:prSet presAssocID="{4682E641-BDC5-4F90-8F5D-49EF34677908}" presName="spaceBetweenRectangles" presStyleCnt="0"/>
      <dgm:spPr/>
    </dgm:pt>
    <dgm:pt modelId="{7A789D20-5C3A-4610-8897-9661AA4936A9}" type="pres">
      <dgm:prSet presAssocID="{861277B7-98EB-45AE-BAB1-98F9517D98A3}" presName="parentLin" presStyleCnt="0"/>
      <dgm:spPr/>
    </dgm:pt>
    <dgm:pt modelId="{0FF2B33E-6203-4C40-A816-7325FB614008}" type="pres">
      <dgm:prSet presAssocID="{861277B7-98EB-45AE-BAB1-98F9517D98A3}" presName="parentLeftMargin" presStyleLbl="node1" presStyleIdx="3" presStyleCnt="6"/>
      <dgm:spPr/>
    </dgm:pt>
    <dgm:pt modelId="{5A97275D-BC96-41D9-A6AB-27CDE0F77F88}" type="pres">
      <dgm:prSet presAssocID="{861277B7-98EB-45AE-BAB1-98F9517D98A3}" presName="parentText" presStyleLbl="node1" presStyleIdx="4" presStyleCnt="6">
        <dgm:presLayoutVars>
          <dgm:chMax val="0"/>
          <dgm:bulletEnabled val="1"/>
        </dgm:presLayoutVars>
      </dgm:prSet>
      <dgm:spPr/>
    </dgm:pt>
    <dgm:pt modelId="{34568E0B-CBE9-4C2B-9F3E-8054263F1750}" type="pres">
      <dgm:prSet presAssocID="{861277B7-98EB-45AE-BAB1-98F9517D98A3}" presName="negativeSpace" presStyleCnt="0"/>
      <dgm:spPr/>
    </dgm:pt>
    <dgm:pt modelId="{B28FD553-1A00-4E63-BFCF-789D36D39698}" type="pres">
      <dgm:prSet presAssocID="{861277B7-98EB-45AE-BAB1-98F9517D98A3}" presName="childText" presStyleLbl="conFgAcc1" presStyleIdx="4" presStyleCnt="6">
        <dgm:presLayoutVars>
          <dgm:bulletEnabled val="1"/>
        </dgm:presLayoutVars>
      </dgm:prSet>
      <dgm:spPr/>
    </dgm:pt>
    <dgm:pt modelId="{A233A348-A74C-4073-8045-95E85D9D2384}" type="pres">
      <dgm:prSet presAssocID="{09C07102-6335-473E-A44F-6BBD9367203C}" presName="spaceBetweenRectangles" presStyleCnt="0"/>
      <dgm:spPr/>
    </dgm:pt>
    <dgm:pt modelId="{33521CF0-583E-48E3-9627-B7F41BA5D640}" type="pres">
      <dgm:prSet presAssocID="{F2D05C41-7B6E-4394-A4F5-4506463958B9}" presName="parentLin" presStyleCnt="0"/>
      <dgm:spPr/>
    </dgm:pt>
    <dgm:pt modelId="{21B93D6C-941E-43EF-8FCB-6FEDE2F719F3}" type="pres">
      <dgm:prSet presAssocID="{F2D05C41-7B6E-4394-A4F5-4506463958B9}" presName="parentLeftMargin" presStyleLbl="node1" presStyleIdx="4" presStyleCnt="6"/>
      <dgm:spPr/>
    </dgm:pt>
    <dgm:pt modelId="{8EFC3753-B6BB-4C48-A763-D316A2FCDFCD}" type="pres">
      <dgm:prSet presAssocID="{F2D05C41-7B6E-4394-A4F5-4506463958B9}" presName="parentText" presStyleLbl="node1" presStyleIdx="5" presStyleCnt="6">
        <dgm:presLayoutVars>
          <dgm:chMax val="0"/>
          <dgm:bulletEnabled val="1"/>
        </dgm:presLayoutVars>
      </dgm:prSet>
      <dgm:spPr/>
    </dgm:pt>
    <dgm:pt modelId="{ED01D317-A814-4AD3-93DD-E1FDC9F9BAE5}" type="pres">
      <dgm:prSet presAssocID="{F2D05C41-7B6E-4394-A4F5-4506463958B9}" presName="negativeSpace" presStyleCnt="0"/>
      <dgm:spPr/>
    </dgm:pt>
    <dgm:pt modelId="{D6F8E5CC-D629-40DD-BC62-5E54C921E91D}" type="pres">
      <dgm:prSet presAssocID="{F2D05C41-7B6E-4394-A4F5-4506463958B9}" presName="childText" presStyleLbl="conFgAcc1" presStyleIdx="5" presStyleCnt="6">
        <dgm:presLayoutVars>
          <dgm:bulletEnabled val="1"/>
        </dgm:presLayoutVars>
      </dgm:prSet>
      <dgm:spPr/>
    </dgm:pt>
  </dgm:ptLst>
  <dgm:cxnLst>
    <dgm:cxn modelId="{7EB03632-BEC2-40A1-9CE4-96127E8638C1}" srcId="{93B1CDF1-CEE9-4144-BAD2-9FC09E9ACA2D}" destId="{663439EC-5825-4E24-B975-4B6F328CA7F9}" srcOrd="3" destOrd="0" parTransId="{F6A947D6-1A3F-41B4-B30C-CD7395D78D5A}" sibTransId="{4682E641-BDC5-4F90-8F5D-49EF34677908}"/>
    <dgm:cxn modelId="{FE9E3E33-A42F-493E-9855-2213AF0359D9}" type="presOf" srcId="{663439EC-5825-4E24-B975-4B6F328CA7F9}" destId="{8D38427C-D741-4413-B02B-B83775331419}" srcOrd="1" destOrd="0" presId="urn:microsoft.com/office/officeart/2005/8/layout/list1"/>
    <dgm:cxn modelId="{7E210834-A4C0-41CB-B726-4926186DBDC0}" type="presOf" srcId="{861277B7-98EB-45AE-BAB1-98F9517D98A3}" destId="{5A97275D-BC96-41D9-A6AB-27CDE0F77F88}" srcOrd="1" destOrd="0" presId="urn:microsoft.com/office/officeart/2005/8/layout/list1"/>
    <dgm:cxn modelId="{806C7738-A099-4A28-B280-95E8D115D320}" type="presOf" srcId="{F68A7031-7A45-475F-BB10-8C1060984841}" destId="{7890E691-F563-4434-B1FF-5B1D9A8C2223}" srcOrd="0" destOrd="0" presId="urn:microsoft.com/office/officeart/2005/8/layout/list1"/>
    <dgm:cxn modelId="{E1C5423C-BE82-4ABA-A4B1-ABB6A8431991}" type="presOf" srcId="{A92E88AF-CE4F-4FE4-8789-ED9B570DD74A}" destId="{B2F02E5C-5BE6-4422-B6A8-768FB625995B}" srcOrd="1" destOrd="0" presId="urn:microsoft.com/office/officeart/2005/8/layout/list1"/>
    <dgm:cxn modelId="{8EF17346-92FB-4B65-94CC-7EAD3874394C}" srcId="{93B1CDF1-CEE9-4144-BAD2-9FC09E9ACA2D}" destId="{861277B7-98EB-45AE-BAB1-98F9517D98A3}" srcOrd="4" destOrd="0" parTransId="{2601C5A6-2909-4276-9B42-73542B1B05E1}" sibTransId="{09C07102-6335-473E-A44F-6BBD9367203C}"/>
    <dgm:cxn modelId="{2FF9EC8C-34E3-4134-A3FD-156069B7BD2C}" srcId="{93B1CDF1-CEE9-4144-BAD2-9FC09E9ACA2D}" destId="{A92E88AF-CE4F-4FE4-8789-ED9B570DD74A}" srcOrd="2" destOrd="0" parTransId="{061CF39A-1165-46D8-8686-19ABD621CAE5}" sibTransId="{763296BB-2FB0-4D71-9CB5-404AA9C4ACFB}"/>
    <dgm:cxn modelId="{A1E1F29A-AEC6-4004-AA4B-C73F64A400F3}" type="presOf" srcId="{663439EC-5825-4E24-B975-4B6F328CA7F9}" destId="{2F40B0C9-CB84-405A-A2FA-91727B386C47}" srcOrd="0" destOrd="0" presId="urn:microsoft.com/office/officeart/2005/8/layout/list1"/>
    <dgm:cxn modelId="{D756559B-1DE5-4495-89A2-53941212D29A}" type="presOf" srcId="{F2D05C41-7B6E-4394-A4F5-4506463958B9}" destId="{8EFC3753-B6BB-4C48-A763-D316A2FCDFCD}" srcOrd="1" destOrd="0" presId="urn:microsoft.com/office/officeart/2005/8/layout/list1"/>
    <dgm:cxn modelId="{CD4B80A2-2543-4208-B5EC-FDFE96639A59}" type="presOf" srcId="{F68A7031-7A45-475F-BB10-8C1060984841}" destId="{212822C6-BFBB-4789-8215-77715B5595C3}" srcOrd="1" destOrd="0" presId="urn:microsoft.com/office/officeart/2005/8/layout/list1"/>
    <dgm:cxn modelId="{AE183BCF-7746-4706-A1F0-FE013793F6D2}" srcId="{93B1CDF1-CEE9-4144-BAD2-9FC09E9ACA2D}" destId="{F68A7031-7A45-475F-BB10-8C1060984841}" srcOrd="0" destOrd="0" parTransId="{439B6813-AD8A-4372-ADD7-F0B4678FB6A3}" sibTransId="{37E7A143-5B3F-4B0B-8C6E-C0250AFE7635}"/>
    <dgm:cxn modelId="{D6051DD0-3AEB-463B-B381-FC6D03127E48}" type="presOf" srcId="{5078DE9D-3DA7-4526-B292-9B5D3CA4B2FC}" destId="{5114310F-5B0C-4B8B-ADFE-33708750209D}" srcOrd="1" destOrd="0" presId="urn:microsoft.com/office/officeart/2005/8/layout/list1"/>
    <dgm:cxn modelId="{7EB046D5-7846-4AA5-AEDC-08406B4D51D2}" srcId="{93B1CDF1-CEE9-4144-BAD2-9FC09E9ACA2D}" destId="{F2D05C41-7B6E-4394-A4F5-4506463958B9}" srcOrd="5" destOrd="0" parTransId="{E593B9A3-C1A8-4459-B877-CD8C5FA293B1}" sibTransId="{976EDA82-434D-49CF-9D7A-B4531E59D740}"/>
    <dgm:cxn modelId="{A188F1D8-AD2B-41C0-A255-315E34AB43B5}" type="presOf" srcId="{5078DE9D-3DA7-4526-B292-9B5D3CA4B2FC}" destId="{E5942B5D-71CD-4CF5-BBB7-AA87A62DA066}" srcOrd="0" destOrd="0" presId="urn:microsoft.com/office/officeart/2005/8/layout/list1"/>
    <dgm:cxn modelId="{DC70ECDD-C79A-4AF2-BCC9-EB41FDAA2C6E}" srcId="{93B1CDF1-CEE9-4144-BAD2-9FC09E9ACA2D}" destId="{5078DE9D-3DA7-4526-B292-9B5D3CA4B2FC}" srcOrd="1" destOrd="0" parTransId="{33D8C8FF-C60A-433F-B15E-920C82ECA000}" sibTransId="{08546A3F-39C5-40F9-96C4-A5F3B3E9D917}"/>
    <dgm:cxn modelId="{FEC7A9E5-E4F3-41C5-B03A-88B0AAC816E9}" type="presOf" srcId="{A92E88AF-CE4F-4FE4-8789-ED9B570DD74A}" destId="{58F58A8B-7D24-4070-BC83-2004DECEB760}" srcOrd="0" destOrd="0" presId="urn:microsoft.com/office/officeart/2005/8/layout/list1"/>
    <dgm:cxn modelId="{654A89ED-1BC2-47CF-91D2-EDEC7BE3E439}" type="presOf" srcId="{93B1CDF1-CEE9-4144-BAD2-9FC09E9ACA2D}" destId="{0AE3994C-565E-495F-8653-9A3CBD496B6B}" srcOrd="0" destOrd="0" presId="urn:microsoft.com/office/officeart/2005/8/layout/list1"/>
    <dgm:cxn modelId="{395B16F1-51EE-484B-A7FF-00683B8F3A09}" type="presOf" srcId="{F2D05C41-7B6E-4394-A4F5-4506463958B9}" destId="{21B93D6C-941E-43EF-8FCB-6FEDE2F719F3}" srcOrd="0" destOrd="0" presId="urn:microsoft.com/office/officeart/2005/8/layout/list1"/>
    <dgm:cxn modelId="{94E79DFE-4F85-4EAB-86A0-ED0277715BFC}" type="presOf" srcId="{861277B7-98EB-45AE-BAB1-98F9517D98A3}" destId="{0FF2B33E-6203-4C40-A816-7325FB614008}" srcOrd="0" destOrd="0" presId="urn:microsoft.com/office/officeart/2005/8/layout/list1"/>
    <dgm:cxn modelId="{64B81BA2-CFB1-4EE1-A678-EB64E9215103}" type="presParOf" srcId="{0AE3994C-565E-495F-8653-9A3CBD496B6B}" destId="{B70F2EA1-2E8C-4520-82A3-55D7E4BBC83A}" srcOrd="0" destOrd="0" presId="urn:microsoft.com/office/officeart/2005/8/layout/list1"/>
    <dgm:cxn modelId="{373F981A-20D2-4DD6-9792-BEE9BC4C2D34}" type="presParOf" srcId="{B70F2EA1-2E8C-4520-82A3-55D7E4BBC83A}" destId="{7890E691-F563-4434-B1FF-5B1D9A8C2223}" srcOrd="0" destOrd="0" presId="urn:microsoft.com/office/officeart/2005/8/layout/list1"/>
    <dgm:cxn modelId="{C4456C93-DEA8-46E2-B1A6-2A900F6B8717}" type="presParOf" srcId="{B70F2EA1-2E8C-4520-82A3-55D7E4BBC83A}" destId="{212822C6-BFBB-4789-8215-77715B5595C3}" srcOrd="1" destOrd="0" presId="urn:microsoft.com/office/officeart/2005/8/layout/list1"/>
    <dgm:cxn modelId="{9BFFF22D-56EE-433A-B380-E75643E1EB76}" type="presParOf" srcId="{0AE3994C-565E-495F-8653-9A3CBD496B6B}" destId="{C957FAEF-3DCE-43F7-9419-3EF15E773351}" srcOrd="1" destOrd="0" presId="urn:microsoft.com/office/officeart/2005/8/layout/list1"/>
    <dgm:cxn modelId="{41FE1666-687A-4465-A327-BC1885C18827}" type="presParOf" srcId="{0AE3994C-565E-495F-8653-9A3CBD496B6B}" destId="{BA226F1E-E089-4288-A727-DDA74BFE3C3B}" srcOrd="2" destOrd="0" presId="urn:microsoft.com/office/officeart/2005/8/layout/list1"/>
    <dgm:cxn modelId="{5624ABF5-0E41-49DD-8ABA-3D9165D1C943}" type="presParOf" srcId="{0AE3994C-565E-495F-8653-9A3CBD496B6B}" destId="{A8775378-4E0E-4BBB-A80C-F35681377153}" srcOrd="3" destOrd="0" presId="urn:microsoft.com/office/officeart/2005/8/layout/list1"/>
    <dgm:cxn modelId="{6A3F15AC-E4C0-4046-B6E5-E0697A9C2136}" type="presParOf" srcId="{0AE3994C-565E-495F-8653-9A3CBD496B6B}" destId="{06F77DBB-5309-469B-818D-351A50DDCA14}" srcOrd="4" destOrd="0" presId="urn:microsoft.com/office/officeart/2005/8/layout/list1"/>
    <dgm:cxn modelId="{279987E3-F6D7-4201-96E7-66C8E061BFE7}" type="presParOf" srcId="{06F77DBB-5309-469B-818D-351A50DDCA14}" destId="{E5942B5D-71CD-4CF5-BBB7-AA87A62DA066}" srcOrd="0" destOrd="0" presId="urn:microsoft.com/office/officeart/2005/8/layout/list1"/>
    <dgm:cxn modelId="{26715436-B20B-4649-952D-EA7576081BB8}" type="presParOf" srcId="{06F77DBB-5309-469B-818D-351A50DDCA14}" destId="{5114310F-5B0C-4B8B-ADFE-33708750209D}" srcOrd="1" destOrd="0" presId="urn:microsoft.com/office/officeart/2005/8/layout/list1"/>
    <dgm:cxn modelId="{B7BC0329-410C-4E54-94D4-32F4FA10D86F}" type="presParOf" srcId="{0AE3994C-565E-495F-8653-9A3CBD496B6B}" destId="{E1469E58-159F-4F5D-A600-3BC6F0260375}" srcOrd="5" destOrd="0" presId="urn:microsoft.com/office/officeart/2005/8/layout/list1"/>
    <dgm:cxn modelId="{1EC08339-DCE8-41C1-89DD-00E4014A32E2}" type="presParOf" srcId="{0AE3994C-565E-495F-8653-9A3CBD496B6B}" destId="{C70FEA11-1CB7-4600-8F5D-3EECED6C07F3}" srcOrd="6" destOrd="0" presId="urn:microsoft.com/office/officeart/2005/8/layout/list1"/>
    <dgm:cxn modelId="{C0D6E778-F6BA-4A4D-9188-70ED92E82219}" type="presParOf" srcId="{0AE3994C-565E-495F-8653-9A3CBD496B6B}" destId="{2F05949E-22A5-49A1-A40C-9B4E4D19E86A}" srcOrd="7" destOrd="0" presId="urn:microsoft.com/office/officeart/2005/8/layout/list1"/>
    <dgm:cxn modelId="{667E509D-F99E-40C5-A628-DACA6ED6B99F}" type="presParOf" srcId="{0AE3994C-565E-495F-8653-9A3CBD496B6B}" destId="{6AA75AF0-F952-4F38-A506-8991FEDAEDCE}" srcOrd="8" destOrd="0" presId="urn:microsoft.com/office/officeart/2005/8/layout/list1"/>
    <dgm:cxn modelId="{D984C123-6DB1-4179-972B-C403243666B5}" type="presParOf" srcId="{6AA75AF0-F952-4F38-A506-8991FEDAEDCE}" destId="{58F58A8B-7D24-4070-BC83-2004DECEB760}" srcOrd="0" destOrd="0" presId="urn:microsoft.com/office/officeart/2005/8/layout/list1"/>
    <dgm:cxn modelId="{FEE77B48-B306-4384-BE44-E506BC797EF2}" type="presParOf" srcId="{6AA75AF0-F952-4F38-A506-8991FEDAEDCE}" destId="{B2F02E5C-5BE6-4422-B6A8-768FB625995B}" srcOrd="1" destOrd="0" presId="urn:microsoft.com/office/officeart/2005/8/layout/list1"/>
    <dgm:cxn modelId="{CEB58276-A601-4456-8834-DA02A7E94CBE}" type="presParOf" srcId="{0AE3994C-565E-495F-8653-9A3CBD496B6B}" destId="{117F2D33-A534-41DC-87C2-5F17468B78B2}" srcOrd="9" destOrd="0" presId="urn:microsoft.com/office/officeart/2005/8/layout/list1"/>
    <dgm:cxn modelId="{62E2B889-8AC5-4BD5-9B89-F669B6E60F8D}" type="presParOf" srcId="{0AE3994C-565E-495F-8653-9A3CBD496B6B}" destId="{A621E477-9864-49ED-8B79-1C4CF51AE515}" srcOrd="10" destOrd="0" presId="urn:microsoft.com/office/officeart/2005/8/layout/list1"/>
    <dgm:cxn modelId="{4B4C424B-AEB9-4455-AFF6-425C5185B9FD}" type="presParOf" srcId="{0AE3994C-565E-495F-8653-9A3CBD496B6B}" destId="{788BB5FA-7F7F-418B-A48D-374036438744}" srcOrd="11" destOrd="0" presId="urn:microsoft.com/office/officeart/2005/8/layout/list1"/>
    <dgm:cxn modelId="{022029C6-165D-4D8F-A044-EA569D0FE4F6}" type="presParOf" srcId="{0AE3994C-565E-495F-8653-9A3CBD496B6B}" destId="{643D1ED1-9866-405B-9622-C1D06C2F574E}" srcOrd="12" destOrd="0" presId="urn:microsoft.com/office/officeart/2005/8/layout/list1"/>
    <dgm:cxn modelId="{CBB17973-880D-4379-9E0E-135BF8CF18A5}" type="presParOf" srcId="{643D1ED1-9866-405B-9622-C1D06C2F574E}" destId="{2F40B0C9-CB84-405A-A2FA-91727B386C47}" srcOrd="0" destOrd="0" presId="urn:microsoft.com/office/officeart/2005/8/layout/list1"/>
    <dgm:cxn modelId="{620F19EC-16F9-4290-8961-7C4E985AB1FF}" type="presParOf" srcId="{643D1ED1-9866-405B-9622-C1D06C2F574E}" destId="{8D38427C-D741-4413-B02B-B83775331419}" srcOrd="1" destOrd="0" presId="urn:microsoft.com/office/officeart/2005/8/layout/list1"/>
    <dgm:cxn modelId="{0143524A-11C8-4FC0-A736-BAFD3DF735B3}" type="presParOf" srcId="{0AE3994C-565E-495F-8653-9A3CBD496B6B}" destId="{A6A5B95B-545E-4790-8802-7DAC56B7F9E9}" srcOrd="13" destOrd="0" presId="urn:microsoft.com/office/officeart/2005/8/layout/list1"/>
    <dgm:cxn modelId="{47AEB6BF-0E0A-41BF-9C82-8511D6C27304}" type="presParOf" srcId="{0AE3994C-565E-495F-8653-9A3CBD496B6B}" destId="{2612CB92-10A2-499E-BF35-94281B899351}" srcOrd="14" destOrd="0" presId="urn:microsoft.com/office/officeart/2005/8/layout/list1"/>
    <dgm:cxn modelId="{D31C127D-0D18-4B30-AE9E-26400E9735FF}" type="presParOf" srcId="{0AE3994C-565E-495F-8653-9A3CBD496B6B}" destId="{7313568B-CEC6-4CFD-8A88-7BEBCD57DA5B}" srcOrd="15" destOrd="0" presId="urn:microsoft.com/office/officeart/2005/8/layout/list1"/>
    <dgm:cxn modelId="{F6FA68C2-B585-470D-B163-EFB72293D7A6}" type="presParOf" srcId="{0AE3994C-565E-495F-8653-9A3CBD496B6B}" destId="{7A789D20-5C3A-4610-8897-9661AA4936A9}" srcOrd="16" destOrd="0" presId="urn:microsoft.com/office/officeart/2005/8/layout/list1"/>
    <dgm:cxn modelId="{7FA4F16F-6F8C-40B6-AA4B-C3D4D9DEF984}" type="presParOf" srcId="{7A789D20-5C3A-4610-8897-9661AA4936A9}" destId="{0FF2B33E-6203-4C40-A816-7325FB614008}" srcOrd="0" destOrd="0" presId="urn:microsoft.com/office/officeart/2005/8/layout/list1"/>
    <dgm:cxn modelId="{5106739B-EE5C-46E9-BF95-2682AE2730F0}" type="presParOf" srcId="{7A789D20-5C3A-4610-8897-9661AA4936A9}" destId="{5A97275D-BC96-41D9-A6AB-27CDE0F77F88}" srcOrd="1" destOrd="0" presId="urn:microsoft.com/office/officeart/2005/8/layout/list1"/>
    <dgm:cxn modelId="{471501DC-27B0-41F7-A230-32E30A66640D}" type="presParOf" srcId="{0AE3994C-565E-495F-8653-9A3CBD496B6B}" destId="{34568E0B-CBE9-4C2B-9F3E-8054263F1750}" srcOrd="17" destOrd="0" presId="urn:microsoft.com/office/officeart/2005/8/layout/list1"/>
    <dgm:cxn modelId="{CA5A3DC7-5AF1-45DF-88A4-608F14B94F0D}" type="presParOf" srcId="{0AE3994C-565E-495F-8653-9A3CBD496B6B}" destId="{B28FD553-1A00-4E63-BFCF-789D36D39698}" srcOrd="18" destOrd="0" presId="urn:microsoft.com/office/officeart/2005/8/layout/list1"/>
    <dgm:cxn modelId="{115B992B-8A93-4FE6-A167-96EFC2618EBC}" type="presParOf" srcId="{0AE3994C-565E-495F-8653-9A3CBD496B6B}" destId="{A233A348-A74C-4073-8045-95E85D9D2384}" srcOrd="19" destOrd="0" presId="urn:microsoft.com/office/officeart/2005/8/layout/list1"/>
    <dgm:cxn modelId="{F2F00F5D-D246-4BB8-8504-A29405F44B99}" type="presParOf" srcId="{0AE3994C-565E-495F-8653-9A3CBD496B6B}" destId="{33521CF0-583E-48E3-9627-B7F41BA5D640}" srcOrd="20" destOrd="0" presId="urn:microsoft.com/office/officeart/2005/8/layout/list1"/>
    <dgm:cxn modelId="{DC046836-C9E7-4585-8AB2-6C8A7398447B}" type="presParOf" srcId="{33521CF0-583E-48E3-9627-B7F41BA5D640}" destId="{21B93D6C-941E-43EF-8FCB-6FEDE2F719F3}" srcOrd="0" destOrd="0" presId="urn:microsoft.com/office/officeart/2005/8/layout/list1"/>
    <dgm:cxn modelId="{EA98E24C-A4E9-4448-BFDB-B281E7E76D28}" type="presParOf" srcId="{33521CF0-583E-48E3-9627-B7F41BA5D640}" destId="{8EFC3753-B6BB-4C48-A763-D316A2FCDFCD}" srcOrd="1" destOrd="0" presId="urn:microsoft.com/office/officeart/2005/8/layout/list1"/>
    <dgm:cxn modelId="{D93B8DBC-15E4-4C7D-B904-A2738B25AA88}" type="presParOf" srcId="{0AE3994C-565E-495F-8653-9A3CBD496B6B}" destId="{ED01D317-A814-4AD3-93DD-E1FDC9F9BAE5}" srcOrd="21" destOrd="0" presId="urn:microsoft.com/office/officeart/2005/8/layout/list1"/>
    <dgm:cxn modelId="{B61A28A7-D9CC-4A3F-B7BD-AA9FBAD51931}" type="presParOf" srcId="{0AE3994C-565E-495F-8653-9A3CBD496B6B}" destId="{D6F8E5CC-D629-40DD-BC62-5E54C921E91D}" srcOrd="22" destOrd="0" presId="urn:microsoft.com/office/officeart/2005/8/layout/lis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226F1E-E089-4288-A727-DDA74BFE3C3B}">
      <dsp:nvSpPr>
        <dsp:cNvPr id="0" name=""/>
        <dsp:cNvSpPr/>
      </dsp:nvSpPr>
      <dsp:spPr>
        <a:xfrm>
          <a:off x="0" y="241664"/>
          <a:ext cx="4276725" cy="2016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12822C6-BFBB-4789-8215-77715B5595C3}">
      <dsp:nvSpPr>
        <dsp:cNvPr id="0" name=""/>
        <dsp:cNvSpPr/>
      </dsp:nvSpPr>
      <dsp:spPr>
        <a:xfrm>
          <a:off x="213836" y="123584"/>
          <a:ext cx="2993707" cy="23616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Shared decision making</a:t>
          </a:r>
        </a:p>
      </dsp:txBody>
      <dsp:txXfrm>
        <a:off x="225364" y="135112"/>
        <a:ext cx="2970651" cy="213104"/>
      </dsp:txXfrm>
    </dsp:sp>
    <dsp:sp modelId="{C70FEA11-1CB7-4600-8F5D-3EECED6C07F3}">
      <dsp:nvSpPr>
        <dsp:cNvPr id="0" name=""/>
        <dsp:cNvSpPr/>
      </dsp:nvSpPr>
      <dsp:spPr>
        <a:xfrm>
          <a:off x="0" y="604544"/>
          <a:ext cx="4276725" cy="201600"/>
        </a:xfrm>
        <a:prstGeom prst="rect">
          <a:avLst/>
        </a:prstGeom>
        <a:solidFill>
          <a:schemeClr val="lt1">
            <a:alpha val="90000"/>
            <a:hueOff val="0"/>
            <a:satOff val="0"/>
            <a:lumOff val="0"/>
            <a:alphaOff val="0"/>
          </a:schemeClr>
        </a:solidFill>
        <a:ln w="25400" cap="flat" cmpd="sng" algn="ctr">
          <a:solidFill>
            <a:schemeClr val="accent2">
              <a:hueOff val="936304"/>
              <a:satOff val="-1168"/>
              <a:lumOff val="275"/>
              <a:alphaOff val="0"/>
            </a:schemeClr>
          </a:solidFill>
          <a:prstDash val="solid"/>
        </a:ln>
        <a:effectLst/>
      </dsp:spPr>
      <dsp:style>
        <a:lnRef idx="2">
          <a:scrgbClr r="0" g="0" b="0"/>
        </a:lnRef>
        <a:fillRef idx="1">
          <a:scrgbClr r="0" g="0" b="0"/>
        </a:fillRef>
        <a:effectRef idx="0">
          <a:scrgbClr r="0" g="0" b="0"/>
        </a:effectRef>
        <a:fontRef idx="minor"/>
      </dsp:style>
    </dsp:sp>
    <dsp:sp modelId="{5114310F-5B0C-4B8B-ADFE-33708750209D}">
      <dsp:nvSpPr>
        <dsp:cNvPr id="0" name=""/>
        <dsp:cNvSpPr/>
      </dsp:nvSpPr>
      <dsp:spPr>
        <a:xfrm>
          <a:off x="213836" y="486464"/>
          <a:ext cx="2993707" cy="236160"/>
        </a:xfrm>
        <a:prstGeom prst="roundRect">
          <a:avLst/>
        </a:prstGeom>
        <a:solidFill>
          <a:schemeClr val="accent2">
            <a:hueOff val="936304"/>
            <a:satOff val="-1168"/>
            <a:lumOff val="27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Personalised care and support planning</a:t>
          </a:r>
        </a:p>
      </dsp:txBody>
      <dsp:txXfrm>
        <a:off x="225364" y="497992"/>
        <a:ext cx="2970651" cy="213104"/>
      </dsp:txXfrm>
    </dsp:sp>
    <dsp:sp modelId="{A621E477-9864-49ED-8B79-1C4CF51AE515}">
      <dsp:nvSpPr>
        <dsp:cNvPr id="0" name=""/>
        <dsp:cNvSpPr/>
      </dsp:nvSpPr>
      <dsp:spPr>
        <a:xfrm>
          <a:off x="0" y="967424"/>
          <a:ext cx="4276725" cy="201600"/>
        </a:xfrm>
        <a:prstGeom prst="rect">
          <a:avLst/>
        </a:prstGeom>
        <a:solidFill>
          <a:schemeClr val="lt1">
            <a:alpha val="90000"/>
            <a:hueOff val="0"/>
            <a:satOff val="0"/>
            <a:lumOff val="0"/>
            <a:alphaOff val="0"/>
          </a:schemeClr>
        </a:solidFill>
        <a:ln w="25400" cap="flat" cmpd="sng" algn="ctr">
          <a:solidFill>
            <a:schemeClr val="accent2">
              <a:hueOff val="1872608"/>
              <a:satOff val="-2336"/>
              <a:lumOff val="549"/>
              <a:alphaOff val="0"/>
            </a:schemeClr>
          </a:solidFill>
          <a:prstDash val="solid"/>
        </a:ln>
        <a:effectLst/>
      </dsp:spPr>
      <dsp:style>
        <a:lnRef idx="2">
          <a:scrgbClr r="0" g="0" b="0"/>
        </a:lnRef>
        <a:fillRef idx="1">
          <a:scrgbClr r="0" g="0" b="0"/>
        </a:fillRef>
        <a:effectRef idx="0">
          <a:scrgbClr r="0" g="0" b="0"/>
        </a:effectRef>
        <a:fontRef idx="minor"/>
      </dsp:style>
    </dsp:sp>
    <dsp:sp modelId="{B2F02E5C-5BE6-4422-B6A8-768FB625995B}">
      <dsp:nvSpPr>
        <dsp:cNvPr id="0" name=""/>
        <dsp:cNvSpPr/>
      </dsp:nvSpPr>
      <dsp:spPr>
        <a:xfrm>
          <a:off x="213836" y="849344"/>
          <a:ext cx="2993707" cy="236160"/>
        </a:xfrm>
        <a:prstGeom prst="roundRect">
          <a:avLst/>
        </a:prstGeom>
        <a:solidFill>
          <a:schemeClr val="accent2">
            <a:hueOff val="1872608"/>
            <a:satOff val="-2336"/>
            <a:lumOff val="54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Enabling choice, including legal rights to choice</a:t>
          </a:r>
        </a:p>
      </dsp:txBody>
      <dsp:txXfrm>
        <a:off x="225364" y="860872"/>
        <a:ext cx="2970651" cy="213104"/>
      </dsp:txXfrm>
    </dsp:sp>
    <dsp:sp modelId="{2612CB92-10A2-499E-BF35-94281B899351}">
      <dsp:nvSpPr>
        <dsp:cNvPr id="0" name=""/>
        <dsp:cNvSpPr/>
      </dsp:nvSpPr>
      <dsp:spPr>
        <a:xfrm>
          <a:off x="0" y="1330304"/>
          <a:ext cx="4276725" cy="201600"/>
        </a:xfrm>
        <a:prstGeom prst="rect">
          <a:avLst/>
        </a:prstGeom>
        <a:solidFill>
          <a:schemeClr val="lt1">
            <a:alpha val="90000"/>
            <a:hueOff val="0"/>
            <a:satOff val="0"/>
            <a:lumOff val="0"/>
            <a:alphaOff val="0"/>
          </a:schemeClr>
        </a:solidFill>
        <a:ln w="25400" cap="flat" cmpd="sng" algn="ctr">
          <a:solidFill>
            <a:schemeClr val="accent2">
              <a:hueOff val="2808911"/>
              <a:satOff val="-3503"/>
              <a:lumOff val="824"/>
              <a:alphaOff val="0"/>
            </a:schemeClr>
          </a:solidFill>
          <a:prstDash val="solid"/>
        </a:ln>
        <a:effectLst/>
      </dsp:spPr>
      <dsp:style>
        <a:lnRef idx="2">
          <a:scrgbClr r="0" g="0" b="0"/>
        </a:lnRef>
        <a:fillRef idx="1">
          <a:scrgbClr r="0" g="0" b="0"/>
        </a:fillRef>
        <a:effectRef idx="0">
          <a:scrgbClr r="0" g="0" b="0"/>
        </a:effectRef>
        <a:fontRef idx="minor"/>
      </dsp:style>
    </dsp:sp>
    <dsp:sp modelId="{8D38427C-D741-4413-B02B-B83775331419}">
      <dsp:nvSpPr>
        <dsp:cNvPr id="0" name=""/>
        <dsp:cNvSpPr/>
      </dsp:nvSpPr>
      <dsp:spPr>
        <a:xfrm>
          <a:off x="213836" y="1212224"/>
          <a:ext cx="2993707" cy="236160"/>
        </a:xfrm>
        <a:prstGeom prst="roundRect">
          <a:avLst/>
        </a:prstGeom>
        <a:solidFill>
          <a:schemeClr val="accent2">
            <a:hueOff val="2808911"/>
            <a:satOff val="-3503"/>
            <a:lumOff val="82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Social prescribing and community-based support</a:t>
          </a:r>
        </a:p>
      </dsp:txBody>
      <dsp:txXfrm>
        <a:off x="225364" y="1223752"/>
        <a:ext cx="2970651" cy="213104"/>
      </dsp:txXfrm>
    </dsp:sp>
    <dsp:sp modelId="{B28FD553-1A00-4E63-BFCF-789D36D39698}">
      <dsp:nvSpPr>
        <dsp:cNvPr id="0" name=""/>
        <dsp:cNvSpPr/>
      </dsp:nvSpPr>
      <dsp:spPr>
        <a:xfrm>
          <a:off x="0" y="1693185"/>
          <a:ext cx="4276725" cy="201600"/>
        </a:xfrm>
        <a:prstGeom prst="rect">
          <a:avLst/>
        </a:prstGeom>
        <a:solidFill>
          <a:schemeClr val="lt1">
            <a:alpha val="90000"/>
            <a:hueOff val="0"/>
            <a:satOff val="0"/>
            <a:lumOff val="0"/>
            <a:alphaOff val="0"/>
          </a:schemeClr>
        </a:solidFill>
        <a:ln w="25400" cap="flat" cmpd="sng" algn="ctr">
          <a:solidFill>
            <a:schemeClr val="accent2">
              <a:hueOff val="3745215"/>
              <a:satOff val="-4671"/>
              <a:lumOff val="1098"/>
              <a:alphaOff val="0"/>
            </a:schemeClr>
          </a:solidFill>
          <a:prstDash val="solid"/>
        </a:ln>
        <a:effectLst/>
      </dsp:spPr>
      <dsp:style>
        <a:lnRef idx="2">
          <a:scrgbClr r="0" g="0" b="0"/>
        </a:lnRef>
        <a:fillRef idx="1">
          <a:scrgbClr r="0" g="0" b="0"/>
        </a:fillRef>
        <a:effectRef idx="0">
          <a:scrgbClr r="0" g="0" b="0"/>
        </a:effectRef>
        <a:fontRef idx="minor"/>
      </dsp:style>
    </dsp:sp>
    <dsp:sp modelId="{5A97275D-BC96-41D9-A6AB-27CDE0F77F88}">
      <dsp:nvSpPr>
        <dsp:cNvPr id="0" name=""/>
        <dsp:cNvSpPr/>
      </dsp:nvSpPr>
      <dsp:spPr>
        <a:xfrm>
          <a:off x="213836" y="1575104"/>
          <a:ext cx="2993707" cy="236160"/>
        </a:xfrm>
        <a:prstGeom prst="roundRect">
          <a:avLst/>
        </a:prstGeom>
        <a:solidFill>
          <a:schemeClr val="accent2">
            <a:hueOff val="3745215"/>
            <a:satOff val="-4671"/>
            <a:lumOff val="109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Supported self-management</a:t>
          </a:r>
        </a:p>
      </dsp:txBody>
      <dsp:txXfrm>
        <a:off x="225364" y="1586632"/>
        <a:ext cx="2970651" cy="213104"/>
      </dsp:txXfrm>
    </dsp:sp>
    <dsp:sp modelId="{D6F8E5CC-D629-40DD-BC62-5E54C921E91D}">
      <dsp:nvSpPr>
        <dsp:cNvPr id="0" name=""/>
        <dsp:cNvSpPr/>
      </dsp:nvSpPr>
      <dsp:spPr>
        <a:xfrm>
          <a:off x="0" y="2056065"/>
          <a:ext cx="4276725" cy="2016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8EFC3753-B6BB-4C48-A763-D316A2FCDFCD}">
      <dsp:nvSpPr>
        <dsp:cNvPr id="0" name=""/>
        <dsp:cNvSpPr/>
      </dsp:nvSpPr>
      <dsp:spPr>
        <a:xfrm>
          <a:off x="213836" y="1937985"/>
          <a:ext cx="2993707" cy="23616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3155" tIns="0" rIns="113155" bIns="0" numCol="1" spcCol="1270" anchor="ctr" anchorCtr="0">
          <a:noAutofit/>
        </a:bodyPr>
        <a:lstStyle/>
        <a:p>
          <a:pPr marL="0" lvl="0" indent="0" algn="l" defTabSz="444500">
            <a:lnSpc>
              <a:spcPct val="90000"/>
            </a:lnSpc>
            <a:spcBef>
              <a:spcPct val="0"/>
            </a:spcBef>
            <a:spcAft>
              <a:spcPct val="35000"/>
            </a:spcAft>
            <a:buNone/>
          </a:pPr>
          <a:r>
            <a:rPr lang="en-US" sz="1000" kern="1200"/>
            <a:t>Personal health budgets</a:t>
          </a:r>
        </a:p>
      </dsp:txBody>
      <dsp:txXfrm>
        <a:off x="225364" y="1949513"/>
        <a:ext cx="2970651" cy="21310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E61463923763747934411F8A7747912" ma:contentTypeVersion="14" ma:contentTypeDescription="Create a new document." ma:contentTypeScope="" ma:versionID="76804772d3cefa71ae11b20fb11d9edb">
  <xsd:schema xmlns:xsd="http://www.w3.org/2001/XMLSchema" xmlns:xs="http://www.w3.org/2001/XMLSchema" xmlns:p="http://schemas.microsoft.com/office/2006/metadata/properties" xmlns:ns3="63b1c55e-397b-44e8-a0a0-55d52bc170b8" xmlns:ns4="21893288-4161-4708-b8d9-f88209a4a02f" targetNamespace="http://schemas.microsoft.com/office/2006/metadata/properties" ma:root="true" ma:fieldsID="8cb0cbc76ee99e47f3586dd732ffb051" ns3:_="" ns4:_="">
    <xsd:import namespace="63b1c55e-397b-44e8-a0a0-55d52bc170b8"/>
    <xsd:import namespace="21893288-4161-4708-b8d9-f88209a4a02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b1c55e-397b-44e8-a0a0-55d52bc170b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93288-4161-4708-b8d9-f88209a4a02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MediaServiceDateTaken" ma:index="20" nillable="true" ma:displayName="MediaServiceDateTaken" ma:hidden="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3.xml><?xml version="1.0" encoding="utf-8"?>
<ds:datastoreItem xmlns:ds="http://schemas.openxmlformats.org/officeDocument/2006/customXml" ds:itemID="{75C2EFB5-2CBD-4A89-88D6-A388C19A1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b1c55e-397b-44e8-a0a0-55d52bc170b8"/>
    <ds:schemaRef ds:uri="21893288-4161-4708-b8d9-f88209a4a0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33</Pages>
  <Words>5151</Words>
  <Characters>29363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Helliwell</dc:creator>
  <cp:keywords/>
  <dc:description/>
  <cp:lastModifiedBy>Kashyap Kanasara</cp:lastModifiedBy>
  <cp:revision>13</cp:revision>
  <dcterms:created xsi:type="dcterms:W3CDTF">2023-06-26T09:30:00Z</dcterms:created>
  <dcterms:modified xsi:type="dcterms:W3CDTF">2025-11-14T11:16:00Z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0x010100FE61463923763747934411F8A7747912</vt:lpwstr>
  </property>
</Properties>
</file>