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glossary/document.xml" ContentType="application/vnd.openxmlformats-officedocument.wordprocessingml.document.glossary+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344239D" w:rsidRDefault="0344239D" w14:paraId="7ED244CC" w14:textId="04C3062B" w:rsidP="497F120E">
      <w:pPr>
        <w:pStyle w:val="Normal"/>
        <w:jc w:val="center"/>
        <w:rPr>
          <w:rFonts w:ascii="Arial"/>
        </w:rPr>
      </w:pPr>
      <w:r w:rsidR="0344239D" w:rsidRPr="497F120E">
        <w:rPr>
          <w:bCs w:val="1"/>
          <w:noProof w:val="0"/>
          <w:lang w:val="en-US"/>
          <w:b/>
          <w:rFonts w:ascii="Arial" w:cs="Calibri" w:eastAsia="Calibri" w:hAnsi="Calibri"/>
          <w:sz w:val="22"/>
          <w:szCs w:val="22"/>
        </w:rPr>
        <w:t>Assessment Component 1 –</w:t>
      </w:r>
      <w:r w:rsidR="0344239D" w:rsidRPr="497F120E">
        <w:rPr>
          <w:noProof w:val="0"/>
          <w:lang w:val="en-US"/>
          <w:rFonts w:ascii="Arial" w:cs="Calibri" w:eastAsia="Calibri" w:hAnsi="Calibri"/>
          <w:sz w:val="22"/>
          <w:szCs w:val="22"/>
        </w:rPr>
        <w:t xml:space="preserve"> </w:t>
      </w:r>
    </w:p>
    <w:p w:rsidR="0344239D" w:rsidRDefault="0344239D" w14:paraId="244A3730" w14:textId="6F244589" w:rsidP="497F120E">
      <w:pPr>
        <w:pStyle w:val="Normal"/>
        <w:jc w:val="center"/>
      </w:pPr>
      <w:r w:rsidR="0344239D" w:rsidRPr="497F120E">
        <w:rPr>
          <w:bCs w:val="1"/>
          <w:noProof w:val="0"/>
          <w:lang w:val="en-US"/>
          <w:b/>
          <w:rFonts w:ascii="Arial" w:cs="Calibri" w:eastAsia="Calibri" w:hAnsi="Calibri"/>
          <w:sz w:val="22"/>
          <w:szCs w:val="22"/>
        </w:rPr>
        <w:t>Incidence of disease in communities.</w:t>
      </w:r>
      <w:r>
        <w:rPr>
          <w:rFonts w:ascii="Arial"/>
        </w:rPr>
        <w:br/>
      </w:r>
    </w:p>
    <w:p w:rsidR="4CF03064" w:rsidRDefault="4CF03064" w14:paraId="6A1D3B77" w14:textId="595B0899" w:rsidP="497F120E">
      <w:pPr>
        <w:jc w:val="center"/>
      </w:pPr>
      <w:r>
        <w:rPr>
          <w:rFonts w:ascii="Arial"/>
        </w:rPr>
        <w:br/>
      </w:r>
    </w:p>
    <w:p w:rsidR="4CF03064" w:rsidRDefault="4CF03064" w14:paraId="6E8376D8" w14:textId="7F10A7E0" w:rsidP="497F120E">
      <w:pPr>
        <w:bidi w:val="0"/>
        <w:pStyle w:val="Normal"/>
        <w:jc w:val="center"/>
        <w:ind w:left="0"/>
        <w:ind w:right="0"/>
        <w:spacing w:before="0" w:beforeAutospacing="0" w:after="200" w:afterAutospacing="0" w:line="276" w:lineRule="auto"/>
      </w:pPr>
      <w:r>
        <w:rPr>
          <w:rFonts w:ascii="Arial"/>
        </w:rPr>
        <w:br/>
      </w:r>
    </w:p>
    <w:p w:rsidR="4CF03064" w:rsidRDefault="4CF03064" w14:paraId="209D4E6D" w14:textId="76FEC40B" w:rsidP="497F120E">
      <w:pPr>
        <w:jc w:val="center"/>
        <w:rPr>
          <w:rFonts w:ascii="Arial"/>
        </w:rPr>
      </w:pPr>
      <w:r w:rsidR="4CF03064" w:rsidRPr="497F120E">
        <w:rPr>
          <w:bCs w:val="0"/>
          <w:iCs w:val="0"/>
          <w:noProof w:val="0"/>
          <w:lang w:val="en-US"/>
          <w:b w:val="0"/>
          <w:i w:val="0"/>
          <w:color w:val="000000"/>
          <w:rFonts w:ascii="Arial"/>
          <w:sz w:val="22"/>
          <w:szCs w:val="22"/>
        </w:rPr>
        <w:t xml:space="preserve">Student Name: Sonia Altaf </w:t>
      </w:r>
    </w:p>
    <w:p w:rsidR="4CF03064" w:rsidRDefault="4CF03064" w14:paraId="2B851489" w14:textId="60B3A7A6" w:rsidP="497F120E">
      <w:pPr>
        <w:jc w:val="center"/>
        <w:rPr>
          <w:rFonts w:ascii="Arial"/>
        </w:rPr>
      </w:pPr>
      <w:r w:rsidR="4CF03064" w:rsidRPr="497F120E">
        <w:rPr>
          <w:bCs w:val="0"/>
          <w:iCs w:val="0"/>
          <w:noProof w:val="0"/>
          <w:lang w:val="en-US"/>
          <w:b w:val="0"/>
          <w:i w:val="0"/>
          <w:color w:val="000000"/>
          <w:rFonts w:ascii="Arial"/>
          <w:sz w:val="22"/>
          <w:szCs w:val="22"/>
        </w:rPr>
        <w:t xml:space="preserve">Student Number: 2209656 </w:t>
      </w:r>
    </w:p>
    <w:p w:rsidR="4CF03064" w:rsidRDefault="4CF03064" w14:paraId="2A0D2877" w14:textId="20B4EC46" w:rsidP="497F120E">
      <w:pPr>
        <w:jc w:val="center"/>
        <w:rPr>
          <w:rFonts w:ascii="Arial"/>
        </w:rPr>
      </w:pPr>
      <w:r w:rsidR="4CF03064" w:rsidRPr="497F120E">
        <w:rPr>
          <w:bCs w:val="0"/>
          <w:iCs w:val="0"/>
          <w:noProof w:val="0"/>
          <w:lang w:val="en-US"/>
          <w:b w:val="0"/>
          <w:i w:val="0"/>
          <w:color w:val="000000"/>
          <w:rFonts w:ascii="Arial"/>
          <w:sz w:val="22"/>
          <w:szCs w:val="22"/>
        </w:rPr>
        <w:t xml:space="preserve">Lecturer Name: </w:t>
      </w:r>
      <w:r w:rsidR="4E74C9E3" w:rsidRPr="497F120E">
        <w:rPr>
          <w:bCs w:val="0"/>
          <w:iCs w:val="0"/>
          <w:noProof w:val="0"/>
          <w:lang w:val="en-US"/>
          <w:b w:val="0"/>
          <w:i w:val="0"/>
          <w:color w:val="000000"/>
          <w:rFonts w:ascii="Arial"/>
          <w:sz w:val="22"/>
          <w:szCs w:val="22"/>
        </w:rPr>
        <w:t>Aishat Bakre</w:t>
      </w:r>
      <w:r w:rsidR="4CF03064" w:rsidRPr="497F120E">
        <w:rPr>
          <w:noProof w:val="0"/>
          <w:lang w:val="en-US"/>
          <w:rFonts w:ascii="Arial"/>
        </w:rPr>
        <w:t xml:space="preserve"> </w:t>
      </w:r>
    </w:p>
    <w:p w:rsidR="4CF03064" w:rsidRDefault="4CF03064" w14:paraId="178FE02C" w14:textId="79B62ACA" w:rsidP="497F120E">
      <w:pPr>
        <w:jc w:val="center"/>
        <w:rPr>
          <w:bCs w:val="0"/>
          <w:iCs w:val="0"/>
          <w:noProof w:val="0"/>
          <w:lang w:val="en-US"/>
          <w:b w:val="0"/>
          <w:i w:val="0"/>
          <w:color w:val="000000"/>
          <w:rFonts w:ascii="Arial"/>
          <w:sz w:val="22"/>
          <w:szCs w:val="22"/>
        </w:rPr>
      </w:pPr>
      <w:r w:rsidR="4CF03064" w:rsidRPr="497F120E">
        <w:rPr>
          <w:bCs w:val="1"/>
          <w:iCs w:val="0"/>
          <w:noProof w:val="0"/>
          <w:lang w:val="en-US"/>
          <w:b/>
          <w:i w:val="0"/>
          <w:color w:val="000000"/>
          <w:rFonts w:ascii="Arial"/>
          <w:sz w:val="22"/>
          <w:szCs w:val="22"/>
        </w:rPr>
        <w:t>LCHS400</w:t>
      </w:r>
      <w:r w:rsidR="5020A0AA" w:rsidRPr="497F120E">
        <w:rPr>
          <w:bCs w:val="1"/>
          <w:iCs w:val="0"/>
          <w:noProof w:val="0"/>
          <w:lang w:val="en-US"/>
          <w:b/>
          <w:i w:val="0"/>
          <w:color w:val="000000"/>
          <w:rFonts w:ascii="Arial"/>
          <w:sz w:val="22"/>
          <w:szCs w:val="22"/>
        </w:rPr>
        <w:t>4</w:t>
      </w:r>
    </w:p>
    <w:p w:rsidR="5020A0AA" w:rsidRDefault="5020A0AA" w14:paraId="3FFA6DF8" w14:textId="43DE54E5" w:rsidP="497F120E">
      <w:pPr>
        <w:bidi w:val="0"/>
        <w:pStyle w:val="Normal"/>
        <w:jc w:val="center"/>
        <w:ind w:left="0"/>
        <w:ind w:right="0"/>
        <w:spacing w:before="0" w:beforeAutospacing="0" w:after="200" w:afterAutospacing="0" w:line="276" w:lineRule="auto"/>
        <w:rPr>
          <w:rFonts w:ascii="Arial"/>
        </w:rPr>
      </w:pPr>
      <w:r w:rsidR="5020A0AA" w:rsidRPr="497F120E">
        <w:rPr>
          <w:bCs w:val="1"/>
          <w:iCs w:val="0"/>
          <w:noProof w:val="0"/>
          <w:lang w:val="en-US"/>
          <w:b/>
          <w:i w:val="0"/>
          <w:color w:val="000000"/>
          <w:rFonts w:ascii="Arial"/>
          <w:sz w:val="22"/>
          <w:szCs w:val="22"/>
        </w:rPr>
        <w:t>Introduction to Public Health</w:t>
      </w:r>
    </w:p>
    <w:p w:rsidR="497F120E" w:rsidRDefault="497F120E" w14:paraId="4BC77737" w14:textId="23D517AA" w:rsidP="497F120E">
      <w:pPr>
        <w:pStyle w:val="Normal"/>
      </w:pPr>
    </w:p>
    <w:p w:rsidR="497F120E" w:rsidRDefault="497F120E" w14:paraId="26E48D11" w14:textId="4804C18C" w:rsidP="497F120E">
      <w:pPr>
        <w:pStyle w:val="Normal"/>
      </w:pPr>
    </w:p>
    <w:p w:rsidR="497F120E" w:rsidRDefault="497F120E" w14:paraId="38155A63" w14:textId="151C2FCD" w:rsidP="497F120E">
      <w:pPr>
        <w:pStyle w:val="Normal"/>
      </w:pPr>
    </w:p>
    <w:p w:rsidR="497F120E" w:rsidRDefault="497F120E" w14:paraId="1FBB3850" w14:textId="6AC8D0F3" w:rsidP="497F120E">
      <w:pPr>
        <w:pStyle w:val="Normal"/>
      </w:pPr>
    </w:p>
    <w:p w:rsidR="497F120E" w:rsidRDefault="497F120E" w14:paraId="3852FB12" w14:textId="00AF8EF6" w:rsidP="497F120E">
      <w:pPr>
        <w:pStyle w:val="Normal"/>
      </w:pPr>
    </w:p>
    <w:p w:rsidR="497F120E" w:rsidRDefault="497F120E" w14:paraId="39DAB81E" w14:textId="2ECB9CF5" w:rsidP="497F120E">
      <w:pPr>
        <w:pStyle w:val="Normal"/>
      </w:pPr>
    </w:p>
    <w:sdt>
      <w:sdtPr>
        <w:id w:val="907804131"/>
        <w:docPartObj>
          <w:docPartGallery w:val="Table of Contents"/>
          <w:docPartUnique/>
        </w:docPartObj>
      </w:sdtPr>
      <w:sdtEndPr>
        <w:rPr>
          <w:rFonts w:ascii="Calibri" w:hAnsi="Calibri" w:eastAsia="SimSun" w:cs="Times New Roman"/>
          <w:b/>
          <w:bCs/>
          <w:noProof/>
          <w:color w:val="auto"/>
          <w:sz w:val="22"/>
          <w:szCs w:val="22"/>
          <w:lang w:eastAsia="zh-CN"/>
        </w:rPr>
      </w:sdtEndPr>
      <w:sdtContent>
        <w:p w:rsidR="00532FA2" w:rsidRDefault="00532FA2" w14:paraId="588DE103" w14:textId="66886EC2" w:rsidP="003F7805">
          <w:pPr>
            <w:pStyle w:val="TOCHeading"/>
            <w:spacing w:line="360" w:lineRule="auto"/>
            <w:rPr>
              <w:rFonts w:ascii="Arial"/>
            </w:rPr>
          </w:pPr>
          <w:r>
            <w:rPr>
              <w:rFonts w:ascii="Arial"/>
            </w:rPr>
            <w:t>Contents</w:t>
          </w:r>
        </w:p>
        <w:p w:rsidR="00532FA2" w:rsidRDefault="00532FA2" w14:paraId="51E87DEB" w14:textId="589F68A3" w:rsidP="003F7805">
          <w:pPr>
            <w:pStyle w:val="TOC1"/>
            <w:spacing w:line="360" w:lineRule="auto"/>
            <w:tabs>
              <w:tab w:val="right" w:leader="dot" w:pos="9350"/>
            </w:tabs>
            <w:rPr>
              <w:noProof/>
              <w:rFonts w:ascii="Arial"/>
            </w:rPr>
          </w:pPr>
          <w:r>
            <w:rPr>
              <w:rFonts w:ascii="Arial"/>
            </w:rPr>
            <w:fldChar w:fldCharType="begin"/>
          </w:r>
          <w:r>
            <w:rPr>
              <w:rFonts w:ascii="Arial"/>
            </w:rPr>
            <w:instrText xml:space="preserve"> TOC \o "1-3" \h \z \u </w:instrText>
          </w:r>
          <w:r>
            <w:rPr>
              <w:rFonts w:ascii="Arial"/>
            </w:rPr>
            <w:fldChar w:fldCharType="separate"/>
          </w:r>
          <w:hyperlink w:anchor="_Toc128878946" w:history="1">
            <w:r w:rsidRPr="00A633C2">
              <w:rPr>
                <w:noProof/>
                <w:rStyle w:val="Hyperlink"/>
              </w:rPr>
              <w:t>Introduction</w:t>
            </w:r>
            <w:r>
              <w:rPr>
                <w:noProof/>
                <w:webHidden/>
              </w:rPr>
              <w:tab/>
            </w:r>
            <w:r>
              <w:rPr>
                <w:noProof/>
                <w:webHidden/>
              </w:rPr>
              <w:fldChar w:fldCharType="begin"/>
            </w:r>
            <w:r>
              <w:rPr>
                <w:noProof/>
                <w:webHidden/>
              </w:rPr>
              <w:instrText xml:space="preserve"> PAGEREF _Toc128878946 \h </w:instrText>
            </w:r>
            <w:r>
              <w:rPr>
                <w:noProof/>
                <w:webHidden/>
              </w:rPr>
            </w:r>
            <w:r>
              <w:rPr>
                <w:noProof/>
                <w:webHidden/>
              </w:rPr>
              <w:fldChar w:fldCharType="separate"/>
            </w:r>
            <w:r>
              <w:rPr>
                <w:noProof/>
                <w:webHidden/>
              </w:rPr>
              <w:t>2</w:t>
            </w:r>
            <w:r>
              <w:rPr>
                <w:noProof/>
                <w:webHidden/>
              </w:rPr>
              <w:fldChar w:fldCharType="end"/>
            </w:r>
          </w:hyperlink>
        </w:p>
        <w:p w:rsidR="00532FA2" w:rsidRDefault="00532FA2" w14:paraId="5F33781C" w14:textId="2C200648" w:rsidP="003F7805">
          <w:pPr>
            <w:pStyle w:val="TOC1"/>
            <w:spacing w:line="360" w:lineRule="auto"/>
            <w:tabs>
              <w:tab w:val="right" w:leader="dot" w:pos="9350"/>
            </w:tabs>
            <w:rPr>
              <w:noProof/>
            </w:rPr>
          </w:pPr>
          <w:hyperlink w:anchor="_Toc128878947" w:history="1">
            <w:r w:rsidRPr="00A633C2">
              <w:rPr>
                <w:noProof/>
                <w:rStyle w:val="Hyperlink"/>
              </w:rPr>
              <w:t>Strategies Used to Measure the Incidence of Rotavirus</w:t>
            </w:r>
            <w:r>
              <w:rPr>
                <w:noProof/>
                <w:webHidden/>
              </w:rPr>
              <w:tab/>
            </w:r>
            <w:r>
              <w:rPr>
                <w:noProof/>
                <w:webHidden/>
              </w:rPr>
              <w:fldChar w:fldCharType="begin"/>
            </w:r>
            <w:r>
              <w:rPr>
                <w:noProof/>
                <w:webHidden/>
              </w:rPr>
              <w:instrText xml:space="preserve"> PAGEREF _Toc128878947 \h </w:instrText>
            </w:r>
            <w:r>
              <w:rPr>
                <w:noProof/>
                <w:webHidden/>
              </w:rPr>
            </w:r>
            <w:r>
              <w:rPr>
                <w:noProof/>
                <w:webHidden/>
              </w:rPr>
              <w:fldChar w:fldCharType="separate"/>
            </w:r>
            <w:r>
              <w:rPr>
                <w:noProof/>
                <w:webHidden/>
              </w:rPr>
              <w:t>2</w:t>
            </w:r>
            <w:r>
              <w:rPr>
                <w:noProof/>
                <w:webHidden/>
              </w:rPr>
              <w:fldChar w:fldCharType="end"/>
            </w:r>
          </w:hyperlink>
        </w:p>
        <w:p w:rsidR="00532FA2" w:rsidRDefault="00532FA2" w14:paraId="5493BEE9" w14:textId="008A9B11" w:rsidP="003F7805">
          <w:pPr>
            <w:pStyle w:val="TOC1"/>
            <w:spacing w:line="360" w:lineRule="auto"/>
            <w:tabs>
              <w:tab w:val="right" w:leader="dot" w:pos="9350"/>
            </w:tabs>
            <w:rPr>
              <w:noProof/>
            </w:rPr>
          </w:pPr>
          <w:hyperlink w:anchor="_Toc128878948" w:history="1">
            <w:r w:rsidRPr="00A633C2">
              <w:rPr>
                <w:noProof/>
                <w:rStyle w:val="Hyperlink"/>
              </w:rPr>
              <w:t>Strategies Used to Monitor the Incidence of Rotavirus</w:t>
            </w:r>
            <w:r>
              <w:rPr>
                <w:noProof/>
                <w:webHidden/>
              </w:rPr>
              <w:tab/>
            </w:r>
            <w:r>
              <w:rPr>
                <w:noProof/>
                <w:webHidden/>
              </w:rPr>
              <w:fldChar w:fldCharType="begin"/>
            </w:r>
            <w:r>
              <w:rPr>
                <w:noProof/>
                <w:webHidden/>
              </w:rPr>
              <w:instrText xml:space="preserve"> PAGEREF _Toc128878948 \h </w:instrText>
            </w:r>
            <w:r>
              <w:rPr>
                <w:noProof/>
                <w:webHidden/>
              </w:rPr>
            </w:r>
            <w:r>
              <w:rPr>
                <w:noProof/>
                <w:webHidden/>
              </w:rPr>
              <w:fldChar w:fldCharType="separate"/>
            </w:r>
            <w:r>
              <w:rPr>
                <w:noProof/>
                <w:webHidden/>
              </w:rPr>
              <w:t>3</w:t>
            </w:r>
            <w:r>
              <w:rPr>
                <w:noProof/>
                <w:webHidden/>
              </w:rPr>
              <w:fldChar w:fldCharType="end"/>
            </w:r>
          </w:hyperlink>
        </w:p>
        <w:p w:rsidR="00532FA2" w:rsidRDefault="00532FA2" w14:paraId="430FCA55" w14:textId="6B94B152" w:rsidP="003F7805">
          <w:pPr>
            <w:pStyle w:val="TOC1"/>
            <w:spacing w:line="360" w:lineRule="auto"/>
            <w:tabs>
              <w:tab w:val="right" w:leader="dot" w:pos="9350"/>
            </w:tabs>
            <w:rPr>
              <w:noProof/>
            </w:rPr>
          </w:pPr>
          <w:hyperlink w:anchor="_Toc128878949" w:history="1">
            <w:r w:rsidRPr="00A633C2">
              <w:rPr>
                <w:noProof/>
                <w:rStyle w:val="Hyperlink"/>
              </w:rPr>
              <w:t>Strategies Used to Control the Incidence of Rotavirus</w:t>
            </w:r>
            <w:r>
              <w:rPr>
                <w:noProof/>
                <w:webHidden/>
              </w:rPr>
              <w:tab/>
            </w:r>
            <w:r>
              <w:rPr>
                <w:noProof/>
                <w:webHidden/>
              </w:rPr>
              <w:fldChar w:fldCharType="begin"/>
            </w:r>
            <w:r>
              <w:rPr>
                <w:noProof/>
                <w:webHidden/>
              </w:rPr>
              <w:instrText xml:space="preserve"> PAGEREF _Toc128878949 \h </w:instrText>
            </w:r>
            <w:r>
              <w:rPr>
                <w:noProof/>
                <w:webHidden/>
              </w:rPr>
            </w:r>
            <w:r>
              <w:rPr>
                <w:noProof/>
                <w:webHidden/>
              </w:rPr>
              <w:fldChar w:fldCharType="separate"/>
            </w:r>
            <w:r>
              <w:rPr>
                <w:noProof/>
                <w:webHidden/>
              </w:rPr>
              <w:t>3</w:t>
            </w:r>
            <w:r>
              <w:rPr>
                <w:noProof/>
                <w:webHidden/>
              </w:rPr>
              <w:fldChar w:fldCharType="end"/>
            </w:r>
          </w:hyperlink>
        </w:p>
        <w:p w:rsidR="00532FA2" w:rsidRDefault="00532FA2" w14:paraId="4FD208FA" w14:textId="495D7934" w:rsidP="003F7805">
          <w:pPr>
            <w:pStyle w:val="TOC1"/>
            <w:spacing w:line="360" w:lineRule="auto"/>
            <w:tabs>
              <w:tab w:val="right" w:leader="dot" w:pos="9350"/>
            </w:tabs>
            <w:rPr>
              <w:noProof/>
            </w:rPr>
          </w:pPr>
          <w:hyperlink w:anchor="_Toc128878950" w:history="1">
            <w:r w:rsidRPr="00A633C2">
              <w:rPr>
                <w:noProof/>
                <w:rStyle w:val="Hyperlink"/>
              </w:rPr>
              <w:t>Conclusion</w:t>
            </w:r>
            <w:r>
              <w:rPr>
                <w:noProof/>
                <w:webHidden/>
              </w:rPr>
              <w:tab/>
            </w:r>
            <w:r>
              <w:rPr>
                <w:noProof/>
                <w:webHidden/>
              </w:rPr>
              <w:fldChar w:fldCharType="begin"/>
            </w:r>
            <w:r>
              <w:rPr>
                <w:noProof/>
                <w:webHidden/>
              </w:rPr>
              <w:instrText xml:space="preserve"> PAGEREF _Toc128878950 \h </w:instrText>
            </w:r>
            <w:r>
              <w:rPr>
                <w:noProof/>
                <w:webHidden/>
              </w:rPr>
            </w:r>
            <w:r>
              <w:rPr>
                <w:noProof/>
                <w:webHidden/>
              </w:rPr>
              <w:fldChar w:fldCharType="separate"/>
            </w:r>
            <w:r>
              <w:rPr>
                <w:noProof/>
                <w:webHidden/>
              </w:rPr>
              <w:t>4</w:t>
            </w:r>
            <w:r>
              <w:rPr>
                <w:noProof/>
                <w:webHidden/>
              </w:rPr>
              <w:fldChar w:fldCharType="end"/>
            </w:r>
          </w:hyperlink>
        </w:p>
        <w:p w:rsidR="00532FA2" w:rsidRDefault="00532FA2" w14:paraId="55FE18D7" w14:textId="21FF9F21" w:rsidP="003F7805">
          <w:pPr>
            <w:spacing w:line="360" w:lineRule="auto"/>
            <w:rPr>
              <w:rFonts w:ascii="Arial"/>
            </w:rPr>
          </w:pPr>
          <w:r>
            <w:rPr>
              <w:bCs/>
              <w:noProof/>
              <w:b/>
              <w:rFonts w:ascii="Arial"/>
            </w:rPr>
            <w:fldChar w:fldCharType="end"/>
          </w:r>
        </w:p>
      </w:sdtContent>
    </w:sdt>
    <w:p w:rsidR="00532FA2" w:rsidRDefault="00532FA2" w14:paraId="3D6FEC16" w14:textId="77777777" w:rsidP="003F7805">
      <w:pPr>
        <w:pStyle w:val="Heading1"/>
        <w:jc w:val="both"/>
        <w:spacing w:line="360" w:lineRule="auto"/>
      </w:pPr>
    </w:p>
    <w:p w:rsidR="00532FA2" w:rsidRDefault="00532FA2" w14:paraId="46C44423" w14:textId="77777777" w:rsidP="003F7805">
      <w:pPr>
        <w:spacing w:after="0" w:line="360" w:lineRule="auto"/>
        <w:rPr>
          <w:color w:val="365F91"/>
          <w:rFonts w:ascii="Cambria" w:hAnsiTheme="majorHAnsi" w:eastAsiaTheme="majorEastAsia" w:cstheme="majorBidi"/>
          <w:sz w:val="32"/>
          <w:szCs w:val="32"/>
        </w:rPr>
      </w:pPr>
      <w:r>
        <w:br w:type="page"/>
      </w:r>
    </w:p>
    <w:p w:rsidR="007D5F3F" w:rsidRDefault="007D5F3F" w14:paraId="6B4BAC2F" w14:textId="09C0DBFE" w:rsidP="003F7805" w:rsidRPr="0042226E">
      <w:pPr>
        <w:pStyle w:val="Heading1"/>
        <w:jc w:val="both"/>
        <w:spacing w:line="360" w:lineRule="auto"/>
        <w:rPr>
          <w:rFonts w:ascii="Arial"/>
        </w:rPr>
      </w:pPr>
      <w:bookmarkStart w:name="_Toc128878946" w:id="0"/>
      <w:r w:rsidRPr="0042226E">
        <w:rPr>
          <w:rFonts w:ascii="Arial"/>
        </w:rPr>
        <w:t>Introduction</w:t>
        <w:lastRenderedPageBreak/>
      </w:r>
      <w:bookmarkEnd w:id="0"/>
    </w:p>
    <w:p w:rsidR="007D5F3F" w:rsidRDefault="007D5F3F" w14:paraId="51197119" w14:textId="69614761" w:rsidP="497F120E" w:rsidRPr="0042226E">
      <w:pPr>
        <w:jc w:val="both"/>
        <w:spacing w:line="360" w:lineRule="auto"/>
        <w:rPr>
          <w:rFonts w:ascii="Arial" w:cs="Arial" w:hAnsi="Arial" w:asciiTheme="minorBidi" w:hAnsiTheme="minorBidi" w:cstheme="minorBidi"/>
        </w:rPr>
      </w:pPr>
      <w:r w:rsidR="007D5F3F" w:rsidRPr="497F120E">
        <w:rPr>
          <w:rFonts w:ascii="Arial" w:cs="Arial" w:hAnsi="Arial" w:asciiTheme="minorBidi" w:hAnsiTheme="minorBidi" w:cstheme="minorBidi"/>
        </w:rPr>
        <w:t>Rotavirus is a viral infection that causes gastroenteritis in young children and babies, leading to hospitalization in severe cases</w:t>
      </w:r>
      <w:r w:rsidR="00D46B67" w:rsidRPr="497F120E">
        <w:rPr>
          <w:rFonts w:ascii="Arial" w:cs="Arial" w:hAnsi="Arial" w:asciiTheme="minorBidi" w:hAnsiTheme="minorBidi" w:cstheme="minorBidi"/>
        </w:rPr>
        <w:t xml:space="preserve"> </w:t>
      </w:r>
      <w:r w:rsidR="00D46B67" w:rsidRPr="497F120E">
        <w:rPr>
          <w:rFonts w:ascii="Arial" w:cs="Arial" w:hAnsi="Arial" w:asciiTheme="minorBidi" w:hAnsiTheme="minorBidi" w:cstheme="minorBidi"/>
        </w:rPr>
        <w:t>(</w:t>
      </w:r>
      <w:r w:rsidR="00D46B67" w:rsidRPr="497F120E">
        <w:rPr>
          <w:rFonts w:ascii="Arial" w:cs="Arial" w:hAnsi="Arial" w:asciiTheme="minorBidi" w:hAnsiTheme="minorBidi" w:cstheme="minorBidi"/>
        </w:rPr>
        <w:t>Desselberger</w:t>
      </w:r>
      <w:r w:rsidR="00D46B67" w:rsidRPr="497F120E">
        <w:rPr>
          <w:rFonts w:ascii="Arial" w:cs="Arial" w:hAnsi="Arial" w:asciiTheme="minorBidi" w:hAnsiTheme="minorBidi" w:cstheme="minorBidi"/>
        </w:rPr>
        <w:t>, 2017)</w:t>
      </w:r>
      <w:r w:rsidR="007D5F3F" w:rsidRPr="497F120E">
        <w:rPr>
          <w:rFonts w:ascii="Arial" w:cs="Arial" w:hAnsi="Arial" w:asciiTheme="minorBidi" w:hAnsiTheme="minorBidi" w:cstheme="minorBidi"/>
        </w:rPr>
        <w:t xml:space="preserve">. The disease is transmitted through the oral-fecal route and can be spread through person-to-person or indirectly through contaminated objects. In this report, the main approaches and strategies used in the UK to measure, monitor, and control the incidence of </w:t>
      </w:r>
      <w:r w:rsidR="213A107F" w:rsidRPr="497F120E">
        <w:rPr>
          <w:rFonts w:ascii="Arial" w:cs="Arial" w:hAnsi="Arial" w:asciiTheme="minorBidi" w:hAnsiTheme="minorBidi" w:cstheme="minorBidi"/>
        </w:rPr>
        <w:t>rotavirus</w:t>
      </w:r>
      <w:r w:rsidR="00C67B3B" w:rsidRPr="497F120E">
        <w:rPr>
          <w:rFonts w:ascii="Arial" w:cs="Arial" w:hAnsi="Arial" w:asciiTheme="minorBidi" w:hAnsiTheme="minorBidi" w:cstheme="minorBidi"/>
        </w:rPr>
        <w:t xml:space="preserve"> are being studied. </w:t>
      </w:r>
    </w:p>
    <w:p w:rsidR="007D5F3F" w:rsidRDefault="007D5F3F" w14:paraId="5814A6D2" w14:textId="696DD637" w:rsidP="003F7805" w:rsidRPr="0042226E">
      <w:pPr>
        <w:pStyle w:val="Heading1"/>
        <w:jc w:val="both"/>
        <w:spacing w:line="360" w:lineRule="auto"/>
        <w:rPr>
          <w:rFonts w:ascii="Arial"/>
        </w:rPr>
      </w:pPr>
      <w:bookmarkStart w:name="_Toc128878947" w:id="1"/>
      <w:r w:rsidRPr="0042226E">
        <w:rPr>
          <w:rFonts w:ascii="Arial"/>
        </w:rPr>
        <w:t>Strategies Used to Measure the Incidence of Rotavirus</w:t>
      </w:r>
      <w:bookmarkEnd w:id="1"/>
    </w:p>
    <w:p w:rsidR="0042226E" w:rsidRDefault="0042226E" w14:paraId="6EAEE084" w14:textId="0691804D" w:rsidP="003F7805" w:rsidRPr="0042226E">
      <w:pPr>
        <w:jc w:val="both"/>
        <w:spacing w:line="360" w:lineRule="auto"/>
        <w:rPr>
          <w:rFonts w:ascii="Arial" w:asciiTheme="minorBidi" w:hAnsiTheme="minorBidi" w:cstheme="minorBidi"/>
        </w:rPr>
      </w:pPr>
      <w:r>
        <w:rPr>
          <w:rFonts w:ascii="Arial" w:asciiTheme="minorBidi" w:hAnsiTheme="minorBidi" w:cstheme="minorBidi"/>
        </w:rPr>
        <w:t>The UK government used</w:t>
      </w:r>
      <w:r w:rsidR="00EE05BB">
        <w:rPr>
          <w:rFonts w:ascii="Arial" w:asciiTheme="minorBidi" w:hAnsiTheme="minorBidi" w:cstheme="minorBidi"/>
        </w:rPr>
        <w:t xml:space="preserve"> to implement</w:t>
      </w:r>
      <w:r>
        <w:rPr>
          <w:rFonts w:ascii="Arial" w:asciiTheme="minorBidi" w:hAnsiTheme="minorBidi" w:cstheme="minorBidi"/>
        </w:rPr>
        <w:t xml:space="preserve"> these strategies to measure the extent of Rotavirus</w:t>
      </w:r>
      <w:r w:rsidR="001E21CD">
        <w:rPr>
          <w:rFonts w:ascii="Arial" w:asciiTheme="minorBidi" w:hAnsiTheme="minorBidi" w:cstheme="minorBidi"/>
        </w:rPr>
        <w:t>:</w:t>
      </w:r>
    </w:p>
    <w:p w:rsidR="007D5F3F" w:rsidRDefault="007D5F3F" w14:paraId="2B509EDB" w14:textId="1B9E71B9" w:rsidP="003F7805" w:rsidRPr="001E21CD">
      <w:pPr>
        <w:pStyle w:val="ListParagraph"/>
        <w:numPr>
          <w:ilvl w:val="0"/>
          <w:numId w:val="1"/>
        </w:numPr>
        <w:jc w:val="both"/>
        <w:spacing w:line="360" w:lineRule="auto"/>
        <w:rPr>
          <w:rFonts w:ascii="Arial" w:asciiTheme="minorBidi" w:hAnsiTheme="minorBidi" w:cstheme="minorBidi"/>
        </w:rPr>
      </w:pPr>
      <w:r w:rsidRPr="001E21CD">
        <w:rPr>
          <w:bCs/>
          <w:b/>
          <w:rFonts w:ascii="Arial" w:asciiTheme="minorBidi" w:hAnsiTheme="minorBidi" w:cstheme="minorBidi"/>
        </w:rPr>
        <w:t>Surveillance:</w:t>
      </w:r>
      <w:r w:rsidRPr="001E21CD">
        <w:rPr>
          <w:rFonts w:ascii="Arial" w:asciiTheme="minorBidi" w:hAnsiTheme="minorBidi" w:cstheme="minorBidi"/>
        </w:rPr>
        <w:t xml:space="preserve"> Public Health England (PHE) carries out surveillance of rotavirus through laboratory testing and reporting of cases</w:t>
      </w:r>
      <w:r w:rsidR="00230389">
        <w:rPr>
          <w:rFonts w:ascii="Arial" w:asciiTheme="minorBidi" w:hAnsiTheme="minorBidi" w:cstheme="minorBidi"/>
        </w:rPr>
        <w:t xml:space="preserve"> </w:t>
      </w:r>
      <w:r w:rsidR="00230389" w:rsidRPr="00230389">
        <w:rPr>
          <w:rFonts w:ascii="Arial" w:asciiTheme="minorBidi" w:hAnsiTheme="minorBidi" w:cstheme="minorBidi"/>
        </w:rPr>
        <w:t>(Gower et al., 2019)</w:t>
      </w:r>
      <w:r w:rsidRPr="001E21CD">
        <w:rPr>
          <w:rFonts w:ascii="Arial" w:asciiTheme="minorBidi" w:hAnsiTheme="minorBidi" w:cstheme="minorBidi"/>
        </w:rPr>
        <w:t>. The laboratory-confirmed cases of rotavirus are reported weekly to PHE, which helps in tracking the incidence of the disease.</w:t>
      </w:r>
    </w:p>
    <w:p w:rsidR="007D5F3F" w:rsidRDefault="007D5F3F" w14:paraId="4EEB05DC" w14:textId="625A023F" w:rsidP="497F120E" w:rsidRPr="001E21CD">
      <w:pPr>
        <w:pStyle w:val="ListParagraph"/>
        <w:jc w:val="both"/>
        <w:spacing w:line="360" w:lineRule="auto"/>
        <w:rPr>
          <w:rFonts w:ascii="Arial" w:cs="Arial" w:hAnsi="Arial" w:asciiTheme="minorBidi" w:hAnsiTheme="minorBidi" w:cstheme="minorBidi"/>
        </w:rPr>
      </w:pPr>
      <w:r w:rsidR="007D5F3F" w:rsidRPr="497F120E">
        <w:rPr>
          <w:rFonts w:ascii="Arial" w:cs="Arial" w:hAnsi="Arial" w:asciiTheme="minorBidi" w:hAnsiTheme="minorBidi" w:cstheme="minorBidi"/>
        </w:rPr>
        <w:t xml:space="preserve">The UK relies on laboratory-based surveillance systems to measure the incidence of rotavirus infections. Data is collected from NHS laboratories across the country and reported to the UK's Health Protection Agency (HPA) through the </w:t>
      </w:r>
      <w:r w:rsidR="37252494" w:rsidRPr="497F120E">
        <w:rPr>
          <w:rFonts w:ascii="Arial" w:cs="Arial" w:hAnsi="Arial" w:asciiTheme="minorBidi" w:hAnsiTheme="minorBidi" w:cstheme="minorBidi"/>
        </w:rPr>
        <w:t>Second-Generation</w:t>
      </w:r>
      <w:r w:rsidR="007D5F3F" w:rsidRPr="497F120E">
        <w:rPr>
          <w:rFonts w:ascii="Arial" w:cs="Arial" w:hAnsi="Arial" w:asciiTheme="minorBidi" w:hAnsiTheme="minorBidi" w:cstheme="minorBidi"/>
        </w:rPr>
        <w:t xml:space="preserve"> Surveillance System (SGSS). This system captures information on the age, gender, and geographical location of the infected individuals, enabling the HPA to track the disease's spread and </w:t>
      </w:r>
      <w:r w:rsidR="007D5F3F" w:rsidRPr="497F120E">
        <w:rPr>
          <w:rFonts w:ascii="Arial" w:cs="Arial" w:hAnsi="Arial" w:asciiTheme="minorBidi" w:hAnsiTheme="minorBidi" w:cstheme="minorBidi"/>
        </w:rPr>
        <w:t>identify</w:t>
      </w:r>
      <w:r w:rsidR="007D5F3F" w:rsidRPr="497F120E">
        <w:rPr>
          <w:rFonts w:ascii="Arial" w:cs="Arial" w:hAnsi="Arial" w:asciiTheme="minorBidi" w:hAnsiTheme="minorBidi" w:cstheme="minorBidi"/>
        </w:rPr>
        <w:t xml:space="preserve"> any outbreaks</w:t>
      </w:r>
      <w:r w:rsidR="006A27DF" w:rsidRPr="497F120E">
        <w:rPr>
          <w:rFonts w:ascii="Arial" w:cs="Arial" w:hAnsi="Arial" w:asciiTheme="minorBidi" w:hAnsiTheme="minorBidi" w:cstheme="minorBidi"/>
        </w:rPr>
        <w:t xml:space="preserve"> </w:t>
      </w:r>
      <w:r w:rsidR="006A27DF" w:rsidRPr="497F120E">
        <w:rPr>
          <w:rFonts w:ascii="Arial" w:cs="Arial" w:hAnsi="Arial" w:asciiTheme="minorBidi" w:hAnsiTheme="minorBidi" w:cstheme="minorBidi"/>
        </w:rPr>
        <w:t>(Gower et al., 2019)</w:t>
      </w:r>
      <w:r w:rsidR="007D5F3F" w:rsidRPr="497F120E">
        <w:rPr>
          <w:rFonts w:ascii="Arial" w:cs="Arial" w:hAnsi="Arial" w:asciiTheme="minorBidi" w:hAnsiTheme="minorBidi" w:cstheme="minorBidi"/>
        </w:rPr>
        <w:t>.</w:t>
      </w:r>
    </w:p>
    <w:p w:rsidR="007D5F3F" w:rsidRDefault="007D5F3F" w14:paraId="294C9BA5" w14:textId="162016F6" w:rsidP="003F7805" w:rsidRPr="001E21CD">
      <w:pPr>
        <w:pStyle w:val="ListParagraph"/>
        <w:jc w:val="both"/>
        <w:spacing w:line="360" w:lineRule="auto"/>
        <w:rPr>
          <w:rFonts w:ascii="Arial" w:asciiTheme="minorBidi" w:hAnsiTheme="minorBidi" w:cstheme="minorBidi"/>
        </w:rPr>
      </w:pPr>
      <w:r w:rsidRPr="001E21CD">
        <w:rPr>
          <w:rFonts w:ascii="Arial" w:asciiTheme="minorBidi" w:hAnsiTheme="minorBidi" w:cstheme="minorBidi"/>
        </w:rPr>
        <w:t>While the SGSS is an effective method for measuring the incidence of rotavirus infections, it does have limitations. For example, not all infected individuals seek medical attention, and some may not be tested for the virus. Therefore, the SGSS data only captures a fraction of the total number of rotavirus infections. Additionally, the SGSS does not capture information on the severity of the disease, making it difficult to assess the overall impact of the virus on public health</w:t>
      </w:r>
      <w:r w:rsidR="006A27DF">
        <w:rPr>
          <w:rFonts w:ascii="Arial" w:asciiTheme="minorBidi" w:hAnsiTheme="minorBidi" w:cstheme="minorBidi"/>
        </w:rPr>
        <w:t xml:space="preserve"> </w:t>
      </w:r>
      <w:r w:rsidR="006A27DF" w:rsidRPr="006A27DF">
        <w:rPr>
          <w:rFonts w:ascii="Arial" w:asciiTheme="minorBidi" w:hAnsiTheme="minorBidi" w:cstheme="minorBidi"/>
        </w:rPr>
        <w:t>(Gower et al., 2019)</w:t>
      </w:r>
      <w:r w:rsidRPr="001E21CD">
        <w:rPr>
          <w:rFonts w:ascii="Arial" w:asciiTheme="minorBidi" w:hAnsiTheme="minorBidi" w:cstheme="minorBidi"/>
        </w:rPr>
        <w:t>.</w:t>
      </w:r>
    </w:p>
    <w:p w:rsidR="007D5F3F" w:rsidRDefault="007D5F3F" w14:paraId="7AFBD0CB" w14:textId="77777777" w:rsidP="003F7805" w:rsidRPr="001E21CD">
      <w:pPr>
        <w:pStyle w:val="ListParagraph"/>
        <w:numPr>
          <w:ilvl w:val="0"/>
          <w:numId w:val="1"/>
        </w:numPr>
        <w:jc w:val="both"/>
        <w:spacing w:line="360" w:lineRule="auto"/>
        <w:rPr>
          <w:rFonts w:ascii="Arial" w:asciiTheme="minorBidi" w:hAnsiTheme="minorBidi" w:cstheme="minorBidi"/>
        </w:rPr>
      </w:pPr>
      <w:r w:rsidRPr="001E21CD">
        <w:rPr>
          <w:bCs/>
          <w:b/>
          <w:rFonts w:ascii="Arial" w:asciiTheme="minorBidi" w:hAnsiTheme="minorBidi" w:cstheme="minorBidi"/>
        </w:rPr>
        <w:t>Epidemiological Studies:</w:t>
      </w:r>
      <w:r w:rsidRPr="001E21CD">
        <w:rPr>
          <w:rFonts w:ascii="Arial" w:asciiTheme="minorBidi" w:hAnsiTheme="minorBidi" w:cstheme="minorBidi"/>
        </w:rPr>
        <w:t xml:space="preserve"> Epidemiological studies </w:t>
      </w:r>
      <w:proofErr w:type="gramStart"/>
      <w:r w:rsidRPr="001E21CD">
        <w:rPr>
          <w:rFonts w:ascii="Arial" w:asciiTheme="minorBidi" w:hAnsiTheme="minorBidi" w:cstheme="minorBidi"/>
        </w:rPr>
        <w:t>are conducted</w:t>
      </w:r>
      <w:proofErr w:type="gramEnd"/>
      <w:r w:rsidRPr="001E21CD">
        <w:rPr>
          <w:rFonts w:ascii="Arial" w:asciiTheme="minorBidi" w:hAnsiTheme="minorBidi" w:cstheme="minorBidi"/>
        </w:rPr>
        <w:t xml:space="preserve"> to determine the prevalence of rotavirus in different populations. These studies provide valuable insights into the risk factors associated with the disease, its mode of transmission, and the effectiveness of control measures.</w:t>
      </w:r>
    </w:p>
    <w:p w:rsidR="007D5F3F" w:rsidRDefault="007D5F3F" w14:paraId="2986035E" w14:textId="4135A7EC" w:rsidP="497F120E" w:rsidRPr="001E21CD">
      <w:pPr>
        <w:pStyle w:val="ListParagraph"/>
        <w:numPr>
          <w:ilvl w:val="0"/>
          <w:numId w:val="1"/>
        </w:numPr>
        <w:jc w:val="both"/>
        <w:spacing w:line="360" w:lineRule="auto"/>
        <w:rPr>
          <w:rFonts w:ascii="Arial" w:cs="Arial" w:hAnsi="Arial" w:asciiTheme="minorBidi" w:hAnsiTheme="minorBidi" w:cstheme="minorBidi"/>
        </w:rPr>
      </w:pPr>
      <w:r w:rsidR="007D5F3F" w:rsidRPr="497F120E">
        <w:rPr>
          <w:bCs w:val="1"/>
          <w:b/>
          <w:rFonts w:ascii="Arial" w:cs="Arial" w:hAnsi="Arial" w:asciiTheme="minorBidi" w:hAnsiTheme="minorBidi" w:cstheme="minorBidi"/>
        </w:rPr>
        <w:t>National Rotavirus Reference Laboratory:</w:t>
      </w:r>
      <w:r w:rsidR="007D5F3F" w:rsidRPr="497F120E">
        <w:rPr>
          <w:rFonts w:ascii="Arial" w:cs="Arial" w:hAnsi="Arial" w:asciiTheme="minorBidi" w:hAnsiTheme="minorBidi" w:cstheme="minorBidi"/>
        </w:rPr>
        <w:t xml:space="preserve"> The National Rotavirus Reference Laboratory (NRRL) in the UK </w:t>
      </w:r>
      <w:r w:rsidR="007D5F3F" w:rsidRPr="497F120E">
        <w:rPr>
          <w:rFonts w:ascii="Arial" w:cs="Arial" w:hAnsi="Arial" w:asciiTheme="minorBidi" w:hAnsiTheme="minorBidi" w:cstheme="minorBidi"/>
        </w:rPr>
        <w:t>provides</w:t>
      </w:r>
      <w:r w:rsidR="007D5F3F" w:rsidRPr="497F120E">
        <w:rPr>
          <w:rFonts w:ascii="Arial" w:cs="Arial" w:hAnsi="Arial" w:asciiTheme="minorBidi" w:hAnsiTheme="minorBidi" w:cstheme="minorBidi"/>
        </w:rPr>
        <w:t xml:space="preserve"> diagnostic services for rotavirus </w:t>
      </w:r>
      <w:r w:rsidR="173191E3" w:rsidRPr="497F120E">
        <w:rPr>
          <w:rFonts w:ascii="Arial" w:cs="Arial" w:hAnsi="Arial" w:asciiTheme="minorBidi" w:hAnsiTheme="minorBidi" w:cstheme="minorBidi"/>
        </w:rPr>
        <w:t>and</w:t>
      </w:r>
      <w:r w:rsidR="007D5F3F" w:rsidRPr="497F120E">
        <w:rPr>
          <w:rFonts w:ascii="Arial" w:cs="Arial" w:hAnsi="Arial" w:asciiTheme="minorBidi" w:hAnsiTheme="minorBidi" w:cstheme="minorBidi"/>
        </w:rPr>
        <w:t xml:space="preserve"> carries out research on the virus</w:t>
      </w:r>
      <w:r w:rsidR="0073310D" w:rsidRPr="497F120E">
        <w:rPr>
          <w:rFonts w:ascii="Arial" w:cs="Arial" w:hAnsi="Arial" w:asciiTheme="minorBidi" w:hAnsiTheme="minorBidi" w:cstheme="minorBidi"/>
        </w:rPr>
        <w:t xml:space="preserve"> </w:t>
      </w:r>
      <w:r w:rsidR="0073310D" w:rsidRPr="497F120E">
        <w:rPr>
          <w:rFonts w:ascii="Arial" w:cs="Arial" w:hAnsi="Arial" w:asciiTheme="minorBidi" w:hAnsiTheme="minorBidi" w:cstheme="minorBidi"/>
        </w:rPr>
        <w:t>(</w:t>
      </w:r>
      <w:r w:rsidR="0073310D" w:rsidRPr="497F120E">
        <w:rPr>
          <w:rFonts w:ascii="Arial" w:cs="Arial" w:hAnsi="Arial" w:asciiTheme="minorBidi" w:hAnsiTheme="minorBidi" w:cstheme="minorBidi"/>
        </w:rPr>
        <w:t>Keyvani</w:t>
      </w:r>
      <w:r w:rsidR="0073310D" w:rsidRPr="497F120E">
        <w:rPr>
          <w:rFonts w:ascii="Arial" w:cs="Arial" w:hAnsi="Arial" w:asciiTheme="minorBidi" w:hAnsiTheme="minorBidi" w:cstheme="minorBidi"/>
        </w:rPr>
        <w:t xml:space="preserve"> et al., 2012)</w:t>
      </w:r>
      <w:r w:rsidR="007D5F3F" w:rsidRPr="497F120E">
        <w:rPr>
          <w:rFonts w:ascii="Arial" w:cs="Arial" w:hAnsi="Arial" w:asciiTheme="minorBidi" w:hAnsiTheme="minorBidi" w:cstheme="minorBidi"/>
        </w:rPr>
        <w:t xml:space="preserve">. The NRRL is a valuable resource for </w:t>
      </w:r>
      <w:r w:rsidR="007D5F3F" w:rsidRPr="497F120E">
        <w:rPr>
          <w:rFonts w:ascii="Arial" w:cs="Arial" w:hAnsi="Arial" w:asciiTheme="minorBidi" w:hAnsiTheme="minorBidi" w:cstheme="minorBidi"/>
        </w:rPr>
        <w:t xml:space="preserve">measuring the incidence of </w:t>
      </w:r>
      <w:r w:rsidR="41D06544" w:rsidRPr="497F120E">
        <w:rPr>
          <w:rFonts w:ascii="Arial" w:cs="Arial" w:hAnsi="Arial" w:asciiTheme="minorBidi" w:hAnsiTheme="minorBidi" w:cstheme="minorBidi"/>
        </w:rPr>
        <w:t>disease</w:t>
      </w:r>
      <w:r w:rsidR="007D5F3F" w:rsidRPr="497F120E">
        <w:rPr>
          <w:rFonts w:ascii="Arial" w:cs="Arial" w:hAnsi="Arial" w:asciiTheme="minorBidi" w:hAnsiTheme="minorBidi" w:cstheme="minorBidi"/>
        </w:rPr>
        <w:t xml:space="preserve"> and monitoring changes in its prevalence over time.</w:t>
      </w:r>
    </w:p>
    <w:p w:rsidR="007D5F3F" w:rsidRDefault="007D5F3F" w14:paraId="153BFE4C" w14:textId="26ACB364" w:rsidP="003F7805" w:rsidRPr="0042226E">
      <w:pPr>
        <w:pStyle w:val="Heading1"/>
        <w:jc w:val="both"/>
        <w:spacing w:line="360" w:lineRule="auto"/>
        <w:rPr>
          <w:rFonts w:ascii="Arial"/>
        </w:rPr>
      </w:pPr>
      <w:bookmarkStart w:name="_Toc128878948" w:id="2"/>
      <w:r w:rsidRPr="0042226E">
        <w:rPr>
          <w:rFonts w:ascii="Arial"/>
        </w:rPr>
        <w:t>Strategies Used to Monitor the Incidence of Rotavirus</w:t>
      </w:r>
      <w:bookmarkEnd w:id="2"/>
    </w:p>
    <w:p w:rsidR="00800C5E" w:rsidRDefault="00800C5E" w14:paraId="0B120902" w14:textId="18A84DED" w:rsidP="003F7805" w:rsidRPr="00800C5E">
      <w:pPr>
        <w:jc w:val="both"/>
        <w:spacing w:line="360" w:lineRule="auto"/>
        <w:rPr>
          <w:rFonts w:ascii="Arial" w:asciiTheme="minorBidi" w:hAnsiTheme="minorBidi" w:cstheme="minorBidi"/>
        </w:rPr>
      </w:pPr>
      <w:r w:rsidRPr="00800C5E">
        <w:rPr>
          <w:rFonts w:ascii="Arial" w:asciiTheme="minorBidi" w:hAnsiTheme="minorBidi" w:cstheme="minorBidi"/>
        </w:rPr>
        <w:t xml:space="preserve">The UK has implemented </w:t>
      </w:r>
      <w:proofErr w:type="gramStart"/>
      <w:r w:rsidRPr="00800C5E">
        <w:rPr>
          <w:rFonts w:ascii="Arial" w:asciiTheme="minorBidi" w:hAnsiTheme="minorBidi" w:cstheme="minorBidi"/>
        </w:rPr>
        <w:t>several</w:t>
      </w:r>
      <w:proofErr w:type="gramEnd"/>
      <w:r w:rsidRPr="00800C5E">
        <w:rPr>
          <w:rFonts w:ascii="Arial" w:asciiTheme="minorBidi" w:hAnsiTheme="minorBidi" w:cstheme="minorBidi"/>
        </w:rPr>
        <w:t xml:space="preserve"> strategies to monitor the incidence of rotavirus infections. These include enhanced surveillance, outbreak investigations, and </w:t>
      </w:r>
      <w:r w:rsidR="00F94862">
        <w:rPr>
          <w:rFonts w:ascii="Arial" w:asciiTheme="minorBidi" w:hAnsiTheme="minorBidi" w:cstheme="minorBidi"/>
        </w:rPr>
        <w:t>vaccine coverage</w:t>
      </w:r>
      <w:r w:rsidRPr="00800C5E">
        <w:rPr>
          <w:rFonts w:ascii="Arial" w:asciiTheme="minorBidi" w:hAnsiTheme="minorBidi" w:cstheme="minorBidi"/>
        </w:rPr>
        <w:t xml:space="preserve">. </w:t>
      </w:r>
    </w:p>
    <w:p w:rsidR="00F94862" w:rsidRDefault="007D5F3F" w14:paraId="41500DCA" w14:textId="6CE96820" w:rsidP="003F7805">
      <w:pPr>
        <w:pStyle w:val="ListParagraph"/>
        <w:numPr>
          <w:ilvl w:val="0"/>
          <w:numId w:val="2"/>
        </w:numPr>
        <w:jc w:val="both"/>
        <w:spacing w:line="360" w:lineRule="auto"/>
        <w:rPr>
          <w:rFonts w:ascii="Arial" w:asciiTheme="minorBidi" w:hAnsiTheme="minorBidi" w:cstheme="minorBidi"/>
        </w:rPr>
      </w:pPr>
      <w:r w:rsidRPr="00C051C7">
        <w:rPr>
          <w:bCs/>
          <w:b/>
          <w:rFonts w:ascii="Arial" w:asciiTheme="minorBidi" w:hAnsiTheme="minorBidi" w:cstheme="minorBidi"/>
        </w:rPr>
        <w:t>Sentinel Surveillance:</w:t>
      </w:r>
      <w:r w:rsidRPr="00C051C7">
        <w:rPr>
          <w:rFonts w:ascii="Arial" w:asciiTheme="minorBidi" w:hAnsiTheme="minorBidi" w:cstheme="minorBidi"/>
        </w:rPr>
        <w:t xml:space="preserve"> Enhanced surveillance involves the collection of additional information on individual cases, such as travel history and contact tracing, to identify potential sources of infection</w:t>
      </w:r>
      <w:r w:rsidR="00DB2AEC">
        <w:rPr>
          <w:rFonts w:ascii="Arial" w:asciiTheme="minorBidi" w:hAnsiTheme="minorBidi" w:cstheme="minorBidi"/>
        </w:rPr>
        <w:t xml:space="preserve"> </w:t>
      </w:r>
      <w:r w:rsidR="00DB2AEC" w:rsidRPr="00DB2AEC">
        <w:rPr>
          <w:rFonts w:ascii="Arial" w:asciiTheme="minorBidi" w:hAnsiTheme="minorBidi" w:cstheme="minorBidi"/>
        </w:rPr>
        <w:t>(The Lancet Infectious Diseases, 2008)</w:t>
      </w:r>
      <w:r w:rsidRPr="00C051C7">
        <w:rPr>
          <w:rFonts w:ascii="Arial" w:asciiTheme="minorBidi" w:hAnsiTheme="minorBidi" w:cstheme="minorBidi"/>
        </w:rPr>
        <w:t xml:space="preserve">. </w:t>
      </w:r>
    </w:p>
    <w:p w:rsidR="007D5F3F" w:rsidRDefault="00FE6FB9" w14:paraId="39977896" w14:textId="3E401D57" w:rsidP="003F7805" w:rsidRPr="00C051C7">
      <w:pPr>
        <w:pStyle w:val="ListParagraph"/>
        <w:numPr>
          <w:ilvl w:val="0"/>
          <w:numId w:val="2"/>
        </w:numPr>
        <w:jc w:val="both"/>
        <w:spacing w:line="360" w:lineRule="auto"/>
        <w:rPr>
          <w:rFonts w:ascii="Arial" w:asciiTheme="minorBidi" w:hAnsiTheme="minorBidi" w:cstheme="minorBidi"/>
        </w:rPr>
      </w:pPr>
      <w:r w:rsidRPr="00FE6FB9">
        <w:rPr>
          <w:bCs/>
          <w:b/>
          <w:rFonts w:ascii="Arial" w:asciiTheme="minorBidi" w:hAnsiTheme="minorBidi" w:cstheme="minorBidi"/>
        </w:rPr>
        <w:t>Sentinel Surveillance</w:t>
      </w:r>
      <w:r>
        <w:rPr>
          <w:rFonts w:ascii="Arial" w:asciiTheme="minorBidi" w:hAnsiTheme="minorBidi" w:cstheme="minorBidi"/>
        </w:rPr>
        <w:t xml:space="preserve">: </w:t>
      </w:r>
      <w:r w:rsidR="007D5F3F" w:rsidRPr="00C051C7">
        <w:rPr>
          <w:rFonts w:ascii="Arial" w:asciiTheme="minorBidi" w:hAnsiTheme="minorBidi" w:cstheme="minorBidi"/>
        </w:rPr>
        <w:t xml:space="preserve">The PHE runs a sentinel surveillance program to monitor the incidence of rotavirus in hospitals and community settings. </w:t>
      </w:r>
      <w:r w:rsidR="00AF3E95" w:rsidRPr="00C051C7">
        <w:rPr>
          <w:rFonts w:ascii="Arial" w:asciiTheme="minorBidi" w:hAnsiTheme="minorBidi" w:cstheme="minorBidi"/>
        </w:rPr>
        <w:t xml:space="preserve">Sentinel surveillance involves monitoring a representative sample of individuals across the country to detect trends in disease incidence. </w:t>
      </w:r>
      <w:r w:rsidR="007D5F3F" w:rsidRPr="00C051C7">
        <w:rPr>
          <w:rFonts w:ascii="Arial" w:asciiTheme="minorBidi" w:hAnsiTheme="minorBidi" w:cstheme="minorBidi"/>
        </w:rPr>
        <w:t xml:space="preserve">The program involves collecting data on the number of cases of gastroenteritis and testing for rotavirus. The data collected </w:t>
      </w:r>
      <w:proofErr w:type="gramStart"/>
      <w:r w:rsidR="007D5F3F" w:rsidRPr="00C051C7">
        <w:rPr>
          <w:rFonts w:ascii="Arial" w:asciiTheme="minorBidi" w:hAnsiTheme="minorBidi" w:cstheme="minorBidi"/>
        </w:rPr>
        <w:t>is used</w:t>
      </w:r>
      <w:proofErr w:type="gramEnd"/>
      <w:r w:rsidR="007D5F3F" w:rsidRPr="00C051C7">
        <w:rPr>
          <w:rFonts w:ascii="Arial" w:asciiTheme="minorBidi" w:hAnsiTheme="minorBidi" w:cstheme="minorBidi"/>
        </w:rPr>
        <w:t xml:space="preserve"> to monitor trends in the incidence of the disease and to inform public health interventions.</w:t>
      </w:r>
    </w:p>
    <w:p w:rsidR="007D5F3F" w:rsidRDefault="007D5F3F" w14:paraId="02F9D735" w14:textId="5AD05FEA" w:rsidP="003F7805" w:rsidRPr="00C051C7">
      <w:pPr>
        <w:pStyle w:val="ListParagraph"/>
        <w:numPr>
          <w:ilvl w:val="0"/>
          <w:numId w:val="2"/>
        </w:numPr>
        <w:jc w:val="both"/>
        <w:spacing w:line="360" w:lineRule="auto"/>
        <w:rPr>
          <w:rFonts w:ascii="Arial" w:asciiTheme="minorBidi" w:hAnsiTheme="minorBidi" w:cstheme="minorBidi"/>
        </w:rPr>
      </w:pPr>
      <w:r w:rsidRPr="00C051C7">
        <w:rPr>
          <w:bCs/>
          <w:b/>
          <w:rFonts w:ascii="Arial" w:asciiTheme="minorBidi" w:hAnsiTheme="minorBidi" w:cstheme="minorBidi"/>
        </w:rPr>
        <w:t>Outbreak Investigations:</w:t>
      </w:r>
      <w:r w:rsidRPr="00C051C7">
        <w:rPr>
          <w:rFonts w:ascii="Arial" w:asciiTheme="minorBidi" w:hAnsiTheme="minorBidi" w:cstheme="minorBidi"/>
        </w:rPr>
        <w:t xml:space="preserve"> </w:t>
      </w:r>
      <w:r w:rsidR="00F94862" w:rsidRPr="00C051C7">
        <w:rPr>
          <w:rFonts w:ascii="Arial" w:asciiTheme="minorBidi" w:hAnsiTheme="minorBidi" w:cstheme="minorBidi"/>
        </w:rPr>
        <w:t xml:space="preserve">Outbreak investigations </w:t>
      </w:r>
      <w:proofErr w:type="gramStart"/>
      <w:r w:rsidR="00F94862" w:rsidRPr="00C051C7">
        <w:rPr>
          <w:rFonts w:ascii="Arial" w:asciiTheme="minorBidi" w:hAnsiTheme="minorBidi" w:cstheme="minorBidi"/>
        </w:rPr>
        <w:t>are conducted</w:t>
      </w:r>
      <w:proofErr w:type="gramEnd"/>
      <w:r w:rsidR="00F94862" w:rsidRPr="00C051C7">
        <w:rPr>
          <w:rFonts w:ascii="Arial" w:asciiTheme="minorBidi" w:hAnsiTheme="minorBidi" w:cstheme="minorBidi"/>
        </w:rPr>
        <w:t xml:space="preserve"> when there is a sudden increase in the number of reported cases in a particular area or institution. </w:t>
      </w:r>
      <w:r w:rsidRPr="00C051C7">
        <w:rPr>
          <w:rFonts w:ascii="Arial" w:asciiTheme="minorBidi" w:hAnsiTheme="minorBidi" w:cstheme="minorBidi"/>
        </w:rPr>
        <w:t>Outbreak investigations are carried out to identify the source of the outbreak and to implement control measures to prevent the further spread of the disease. These investigations involve tracing the contacts of infected individuals, testing for rotavirus, and implementing control measures such as quarantine and decontamination.</w:t>
      </w:r>
    </w:p>
    <w:p w:rsidR="007D5F3F" w:rsidRDefault="007D5F3F" w14:paraId="45C1AF05" w14:textId="58367136" w:rsidP="003F7805" w:rsidRPr="00C051C7">
      <w:pPr>
        <w:pStyle w:val="ListParagraph"/>
        <w:numPr>
          <w:ilvl w:val="0"/>
          <w:numId w:val="2"/>
        </w:numPr>
        <w:jc w:val="both"/>
        <w:spacing w:line="360" w:lineRule="auto"/>
        <w:rPr>
          <w:rFonts w:ascii="Arial" w:asciiTheme="minorBidi" w:hAnsiTheme="minorBidi" w:cstheme="minorBidi"/>
        </w:rPr>
      </w:pPr>
      <w:r w:rsidRPr="00C051C7">
        <w:rPr>
          <w:bCs/>
          <w:b/>
          <w:rFonts w:ascii="Arial" w:asciiTheme="minorBidi" w:hAnsiTheme="minorBidi" w:cstheme="minorBidi"/>
        </w:rPr>
        <w:t>Vaccine Coverage:</w:t>
      </w:r>
      <w:r w:rsidRPr="00C051C7">
        <w:rPr>
          <w:rFonts w:ascii="Arial" w:asciiTheme="minorBidi" w:hAnsiTheme="minorBidi" w:cstheme="minorBidi"/>
        </w:rPr>
        <w:t xml:space="preserve"> Monitoring the coverage of rotavirus vaccines is an important strategy for monitoring the incidence of the disease</w:t>
      </w:r>
      <w:r w:rsidR="00FF37F0">
        <w:rPr>
          <w:rFonts w:ascii="Arial" w:asciiTheme="minorBidi" w:hAnsiTheme="minorBidi" w:cstheme="minorBidi"/>
        </w:rPr>
        <w:t xml:space="preserve"> </w:t>
      </w:r>
      <w:r w:rsidR="00FF37F0" w:rsidRPr="00FF37F0">
        <w:rPr>
          <w:rFonts w:ascii="Arial" w:asciiTheme="minorBidi" w:hAnsiTheme="minorBidi" w:cstheme="minorBidi"/>
        </w:rPr>
        <w:t>(Tate and Parashar, 2011)</w:t>
      </w:r>
      <w:r w:rsidRPr="00C051C7">
        <w:rPr>
          <w:rFonts w:ascii="Arial" w:asciiTheme="minorBidi" w:hAnsiTheme="minorBidi" w:cstheme="minorBidi"/>
        </w:rPr>
        <w:t>. The PHE collects data on the number of children who receive the vaccine, which helps to track the effectiveness of the vaccine in reducing the incidence of the disease.</w:t>
      </w:r>
    </w:p>
    <w:p w:rsidR="007D5F3F" w:rsidRDefault="007D5F3F" w14:paraId="32643773" w14:textId="12D93F4F" w:rsidP="003F7805" w:rsidRPr="0042226E">
      <w:pPr>
        <w:pStyle w:val="Heading1"/>
        <w:jc w:val="both"/>
        <w:spacing w:line="360" w:lineRule="auto"/>
        <w:rPr>
          <w:rFonts w:ascii="Arial"/>
        </w:rPr>
      </w:pPr>
      <w:bookmarkStart w:name="_Toc128878949" w:id="3"/>
      <w:r w:rsidRPr="0042226E">
        <w:rPr>
          <w:rFonts w:ascii="Arial"/>
        </w:rPr>
        <w:t>Strategies Used to Control the Incidence of Rotavirus</w:t>
      </w:r>
      <w:bookmarkEnd w:id="3"/>
    </w:p>
    <w:p w:rsidR="007D5F3F" w:rsidRDefault="007D5F3F" w14:paraId="49AFFF15" w14:textId="77777777" w:rsidP="003F7805" w:rsidRPr="0042226E">
      <w:pPr>
        <w:jc w:val="both"/>
        <w:spacing w:line="360" w:lineRule="auto"/>
        <w:rPr>
          <w:rFonts w:ascii="Arial" w:asciiTheme="minorBidi" w:hAnsiTheme="minorBidi" w:cstheme="minorBidi"/>
        </w:rPr>
      </w:pPr>
      <w:r w:rsidRPr="0042226E">
        <w:rPr>
          <w:rFonts w:ascii="Arial" w:asciiTheme="minorBidi" w:hAnsiTheme="minorBidi" w:cstheme="minorBidi"/>
        </w:rPr>
        <w:t xml:space="preserve">The UK has implemented </w:t>
      </w:r>
      <w:proofErr w:type="gramStart"/>
      <w:r w:rsidRPr="0042226E">
        <w:rPr>
          <w:rFonts w:ascii="Arial" w:asciiTheme="minorBidi" w:hAnsiTheme="minorBidi" w:cstheme="minorBidi"/>
        </w:rPr>
        <w:t>several</w:t>
      </w:r>
      <w:proofErr w:type="gramEnd"/>
      <w:r w:rsidRPr="0042226E">
        <w:rPr>
          <w:rFonts w:ascii="Arial" w:asciiTheme="minorBidi" w:hAnsiTheme="minorBidi" w:cstheme="minorBidi"/>
        </w:rPr>
        <w:t xml:space="preserve"> strategies to control the incidence of rotavirus infections. These include vaccination, infection control measures, and public health messaging. </w:t>
      </w:r>
    </w:p>
    <w:p w:rsidR="007D5F3F" w:rsidRDefault="007D5F3F" w14:paraId="7FD9AD54" w14:textId="4F5C5C65" w:rsidP="003F7805" w:rsidRPr="00C051C7">
      <w:pPr>
        <w:pStyle w:val="ListParagraph"/>
        <w:numPr>
          <w:ilvl w:val="0"/>
          <w:numId w:val="3"/>
        </w:numPr>
        <w:jc w:val="both"/>
        <w:spacing w:line="360" w:lineRule="auto"/>
        <w:rPr>
          <w:rFonts w:ascii="Arial" w:asciiTheme="minorBidi" w:hAnsiTheme="minorBidi" w:cstheme="minorBidi"/>
        </w:rPr>
      </w:pPr>
      <w:r w:rsidRPr="00C051C7">
        <w:rPr>
          <w:bCs/>
          <w:b/>
          <w:rFonts w:ascii="Arial" w:asciiTheme="minorBidi" w:hAnsiTheme="minorBidi" w:cstheme="minorBidi"/>
        </w:rPr>
        <w:t>Vaccination:</w:t>
      </w:r>
      <w:r w:rsidRPr="00C051C7">
        <w:rPr>
          <w:rFonts w:ascii="Arial" w:asciiTheme="minorBidi" w:hAnsiTheme="minorBidi" w:cstheme="minorBidi"/>
        </w:rPr>
        <w:t xml:space="preserve"> The UK introduced a national vaccination program for rotavirus in 2013, targeting infants aged between two and three months old</w:t>
      </w:r>
      <w:r w:rsidR="005557E9">
        <w:rPr>
          <w:rFonts w:ascii="Arial" w:asciiTheme="minorBidi" w:hAnsiTheme="minorBidi" w:cstheme="minorBidi"/>
        </w:rPr>
        <w:t xml:space="preserve"> </w:t>
      </w:r>
      <w:r w:rsidR="005557E9" w:rsidRPr="005557E9">
        <w:rPr>
          <w:rFonts w:ascii="Arial" w:asciiTheme="minorBidi" w:hAnsiTheme="minorBidi" w:cstheme="minorBidi"/>
        </w:rPr>
        <w:t>(Thomas et al., 2017)</w:t>
      </w:r>
      <w:r w:rsidRPr="00C051C7">
        <w:rPr>
          <w:rFonts w:ascii="Arial" w:asciiTheme="minorBidi" w:hAnsiTheme="minorBidi" w:cstheme="minorBidi"/>
        </w:rPr>
        <w:t xml:space="preserve">. The vaccine has been highly effective in reducing the incidence of rotavirus infections in the </w:t>
      </w:r>
      <w:r w:rsidRPr="00C051C7">
        <w:rPr>
          <w:rFonts w:ascii="Arial" w:asciiTheme="minorBidi" w:hAnsiTheme="minorBidi" w:cstheme="minorBidi"/>
        </w:rPr>
        <w:t>UK. The rotavirus vaccine is now included in the UK's routine childhood immunization program, which has led to a significant decrease in hospital admissions due to rotavirus.</w:t>
        <w:lastRenderedPageBreak/>
      </w:r>
    </w:p>
    <w:p w:rsidR="007D5F3F" w:rsidRDefault="007D5F3F" w14:paraId="5CDB7483" w14:textId="77777777" w:rsidP="003F7805" w:rsidRPr="00C051C7">
      <w:pPr>
        <w:pStyle w:val="ListParagraph"/>
        <w:numPr>
          <w:ilvl w:val="0"/>
          <w:numId w:val="3"/>
        </w:numPr>
        <w:jc w:val="both"/>
        <w:spacing w:line="360" w:lineRule="auto"/>
        <w:rPr>
          <w:rFonts w:ascii="Arial" w:asciiTheme="minorBidi" w:hAnsiTheme="minorBidi" w:cstheme="minorBidi"/>
        </w:rPr>
      </w:pPr>
      <w:r w:rsidRPr="00C051C7">
        <w:rPr>
          <w:bCs/>
          <w:b/>
          <w:rFonts w:ascii="Arial" w:asciiTheme="minorBidi" w:hAnsiTheme="minorBidi" w:cstheme="minorBidi"/>
        </w:rPr>
        <w:t>Infection control measures:</w:t>
      </w:r>
      <w:r w:rsidRPr="00C051C7">
        <w:rPr>
          <w:rFonts w:ascii="Arial" w:asciiTheme="minorBidi" w:hAnsiTheme="minorBidi" w:cstheme="minorBidi"/>
        </w:rPr>
        <w:t xml:space="preserve"> Infection control measures, such as hand hygiene, disinfection of surfaces, and isolation of infected individuals, are also essential in controlling the spread of rotavirus infections. Public health messaging is used to promote awareness of the disease and encourage individuals to take preventative measures, such as washing their hands and seeking medical attention when symptoms arise.</w:t>
      </w:r>
    </w:p>
    <w:p w:rsidR="007D5F3F" w:rsidRDefault="007D5F3F" w14:paraId="6A11AF50" w14:textId="5FC2A5B4" w:rsidP="003F7805" w:rsidRPr="00C051C7">
      <w:pPr>
        <w:pStyle w:val="ListParagraph"/>
        <w:numPr>
          <w:ilvl w:val="0"/>
          <w:numId w:val="3"/>
        </w:numPr>
        <w:jc w:val="both"/>
        <w:spacing w:line="360" w:lineRule="auto"/>
        <w:rPr>
          <w:rFonts w:ascii="Arial" w:asciiTheme="minorBidi" w:hAnsiTheme="minorBidi" w:cstheme="minorBidi"/>
        </w:rPr>
      </w:pPr>
      <w:r w:rsidRPr="00C051C7">
        <w:rPr>
          <w:bCs/>
          <w:b/>
          <w:rFonts w:ascii="Arial" w:asciiTheme="minorBidi" w:hAnsiTheme="minorBidi" w:cstheme="minorBidi"/>
        </w:rPr>
        <w:t>Public Health Campaigns:</w:t>
      </w:r>
      <w:r w:rsidRPr="00C051C7">
        <w:rPr>
          <w:rFonts w:ascii="Arial" w:asciiTheme="minorBidi" w:hAnsiTheme="minorBidi" w:cstheme="minorBidi"/>
        </w:rPr>
        <w:t xml:space="preserve"> Public health campaigns aimed at promoting good hygiene practices such as hand washing and proper disposal of nappies can help to reduce the spread of rotavirus</w:t>
      </w:r>
      <w:r w:rsidR="00556288">
        <w:rPr>
          <w:rFonts w:ascii="Arial" w:asciiTheme="minorBidi" w:hAnsiTheme="minorBidi" w:cstheme="minorBidi"/>
        </w:rPr>
        <w:t xml:space="preserve"> </w:t>
      </w:r>
      <w:r w:rsidR="00556288" w:rsidRPr="00556288">
        <w:rPr>
          <w:rFonts w:ascii="Arial" w:asciiTheme="minorBidi" w:hAnsiTheme="minorBidi" w:cstheme="minorBidi"/>
        </w:rPr>
        <w:t>(Bloomfield et al., 2007)</w:t>
      </w:r>
      <w:r w:rsidRPr="00C051C7">
        <w:rPr>
          <w:rFonts w:ascii="Arial" w:asciiTheme="minorBidi" w:hAnsiTheme="minorBidi" w:cstheme="minorBidi"/>
        </w:rPr>
        <w:t>. These campaigns are targeted at parents, childcare providers, and healthcare workers.</w:t>
      </w:r>
    </w:p>
    <w:p w:rsidR="007D5F3F" w:rsidRDefault="007D5F3F" w14:paraId="437F7537" w14:textId="77777777" w:rsidP="003F7805" w:rsidRPr="00C051C7">
      <w:pPr>
        <w:pStyle w:val="ListParagraph"/>
        <w:numPr>
          <w:ilvl w:val="0"/>
          <w:numId w:val="3"/>
        </w:numPr>
        <w:jc w:val="both"/>
        <w:spacing w:line="360" w:lineRule="auto"/>
        <w:rPr>
          <w:rFonts w:ascii="Arial" w:asciiTheme="minorBidi" w:hAnsiTheme="minorBidi" w:cstheme="minorBidi"/>
        </w:rPr>
      </w:pPr>
      <w:r w:rsidRPr="00C051C7">
        <w:rPr>
          <w:bCs/>
          <w:b/>
          <w:rFonts w:ascii="Arial" w:asciiTheme="minorBidi" w:hAnsiTheme="minorBidi" w:cstheme="minorBidi"/>
        </w:rPr>
        <w:t>Environmental Control Measures:</w:t>
      </w:r>
      <w:r w:rsidRPr="00C051C7">
        <w:rPr>
          <w:rFonts w:ascii="Arial" w:asciiTheme="minorBidi" w:hAnsiTheme="minorBidi" w:cstheme="minorBidi"/>
        </w:rPr>
        <w:t xml:space="preserve"> Environmental control measures such as decontamination of surfaces and objects can help to reduce the spread of rotavirus. These measures are particularly important in settings such as hospitals and childcare facilities where the risk of transmission is high.</w:t>
      </w:r>
    </w:p>
    <w:p w:rsidR="007D5F3F" w:rsidRDefault="007D5F3F" w14:paraId="0BC0A111" w14:textId="77777777" w:rsidP="003F7805" w:rsidRPr="0042226E">
      <w:pPr>
        <w:jc w:val="both"/>
        <w:spacing w:line="360" w:lineRule="auto"/>
        <w:rPr>
          <w:rFonts w:ascii="Arial" w:asciiTheme="minorBidi" w:hAnsiTheme="minorBidi" w:cstheme="minorBidi"/>
        </w:rPr>
      </w:pPr>
      <w:r w:rsidRPr="0042226E">
        <w:rPr>
          <w:rFonts w:ascii="Arial" w:asciiTheme="minorBidi" w:hAnsiTheme="minorBidi" w:cstheme="minorBidi"/>
        </w:rPr>
        <w:t>While these control strategies are effective, they also have limitations. Vaccination coverage may not be universal, and some individuals may not respond adequately to the vaccine. Additionally, infection control measures and public health messaging require sustained effort and may not always be effective in changing behavior.</w:t>
      </w:r>
    </w:p>
    <w:p w:rsidR="007D5F3F" w:rsidRDefault="007D5F3F" w14:paraId="77EFB3BB" w14:textId="11F32106" w:rsidP="003F7805" w:rsidRPr="0042226E">
      <w:pPr>
        <w:pStyle w:val="Heading1"/>
        <w:jc w:val="both"/>
        <w:spacing w:line="360" w:lineRule="auto"/>
        <w:rPr>
          <w:rFonts w:ascii="Arial"/>
        </w:rPr>
      </w:pPr>
      <w:bookmarkStart w:name="_Toc128878950" w:id="4"/>
      <w:r w:rsidRPr="0042226E">
        <w:rPr>
          <w:rFonts w:ascii="Arial"/>
        </w:rPr>
        <w:t>Conclusion</w:t>
      </w:r>
      <w:bookmarkEnd w:id="4"/>
    </w:p>
    <w:p w:rsidR="007A0CDD" w:rsidRDefault="007D5F3F" w14:paraId="36482C53" w14:textId="43E391D0" w:rsidP="003F7805">
      <w:pPr>
        <w:jc w:val="both"/>
        <w:spacing w:line="360" w:lineRule="auto"/>
        <w:rPr>
          <w:rFonts w:ascii="Arial" w:asciiTheme="minorBidi" w:hAnsiTheme="minorBidi" w:cstheme="minorBidi"/>
        </w:rPr>
      </w:pPr>
      <w:r w:rsidRPr="0042226E">
        <w:rPr>
          <w:rFonts w:ascii="Arial" w:asciiTheme="minorBidi" w:hAnsiTheme="minorBidi" w:cstheme="minorBidi"/>
        </w:rPr>
        <w:t>In conclusion, the incidence of rotavirus is measured, monitored, and controlled in the UK through various strategies. Surveillance, epidemiological studies, and the National Rotavirus Reference Laboratory are used to measure the incidence of the disease. Sentinel surveillance, outbreak investigations, and vaccine coverage monitoring are used to monitor the incidence of the disease</w:t>
      </w:r>
      <w:r w:rsidR="007A0CDD">
        <w:rPr>
          <w:rFonts w:ascii="Arial" w:asciiTheme="minorBidi" w:hAnsiTheme="minorBidi" w:cstheme="minorBidi"/>
        </w:rPr>
        <w:t xml:space="preserve"> </w:t>
      </w:r>
      <w:r w:rsidR="007A0CDD" w:rsidRPr="007A0CDD">
        <w:rPr>
          <w:rFonts w:ascii="Arial" w:asciiTheme="minorBidi" w:hAnsiTheme="minorBidi" w:cstheme="minorBidi"/>
        </w:rPr>
        <w:t>(Bloomfield et al., 2007)</w:t>
      </w:r>
      <w:r w:rsidRPr="0042226E">
        <w:rPr>
          <w:rFonts w:ascii="Arial" w:asciiTheme="minorBidi" w:hAnsiTheme="minorBidi" w:cstheme="minorBidi"/>
        </w:rPr>
        <w:t>. Vaccination, public health campaigns, and environmental control measures are used to control the incidence of the disease. The implementation of these strategies has led to a significant decrease in the incidence of rotavirus in the UK. Additionally, sustained efforts are required to promote universal vaccination coverage, effective infection control measures, and public health messaging to prevent the spread of rotavirus infections.</w:t>
      </w:r>
    </w:p>
    <w:p w:rsidR="007A0CDD" w:rsidRDefault="007A0CDD" w14:paraId="0C5DC091" w14:textId="77777777" w:rsidP="003F7805">
      <w:pPr>
        <w:jc w:val="both"/>
        <w:spacing w:after="0" w:line="360" w:lineRule="auto"/>
        <w:rPr>
          <w:rFonts w:asciiTheme="minorBidi" w:hAnsiTheme="minorBidi" w:cstheme="minorBidi"/>
        </w:rPr>
      </w:pPr>
      <w:r>
        <w:rPr>
          <w:rFonts w:asciiTheme="minorBidi" w:hAnsiTheme="minorBidi" w:cstheme="minorBidi"/>
        </w:rPr>
        <w:br w:type="page"/>
      </w:r>
    </w:p>
    <w:p w:rsidR="00FD2443" w:rsidRDefault="00FD2443" w14:paraId="48C5CE4A" w14:textId="77777777" w:rsidP="003F7805">
      <w:pPr>
        <w:pStyle w:val="NormalWeb"/>
        <w:jc w:val="both"/>
        <w:spacing w:before="0" w:beforeAutospacing="0" w:after="240" w:afterAutospacing="0" w:line="360" w:lineRule="auto"/>
        <w:rPr>
          <w:rFonts w:ascii="Arial"/>
          <w:sz w:val="36"/>
          <w:szCs w:val="36"/>
        </w:rPr>
      </w:pPr>
      <w:r>
        <w:rPr>
          <w:rFonts w:ascii="Arial"/>
          <w:sz w:val="36"/>
          <w:szCs w:val="36"/>
        </w:rPr>
        <w:t>Reference list</w:t>
        <w:lastRenderedPageBreak/>
      </w:r>
    </w:p>
    <w:p w:rsidR="00FD2443" w:rsidRDefault="00FD2443" w14:paraId="6787BA82" w14:textId="77777777" w:rsidP="003F7805">
      <w:pPr>
        <w:pStyle w:val="NormalWeb"/>
        <w:jc w:val="both"/>
        <w:spacing w:before="0" w:beforeAutospacing="0" w:after="240" w:afterAutospacing="0" w:line="360" w:lineRule="auto"/>
        <w:rPr>
          <w:rFonts w:ascii="Arial"/>
        </w:rPr>
      </w:pPr>
      <w:r>
        <w:rPr>
          <w:rFonts w:ascii="Arial"/>
        </w:rPr>
        <w:t xml:space="preserve">Bloomfield, S.F., Aiello, A.E., Cookson, B., O’Boyle, C. and Larson, E.L. (2007). The effectiveness of hand hygiene procedures in reducing the risks of infections in home and community settings including handwashing and alcohol-based hand sanitizers. </w:t>
      </w:r>
      <w:r>
        <w:rPr>
          <w:iCs/>
          <w:i/>
          <w:rFonts w:ascii="Arial"/>
        </w:rPr>
        <w:t>American Journal of Infection Control</w:t>
      </w:r>
      <w:r>
        <w:rPr>
          <w:rFonts w:ascii="Arial"/>
        </w:rPr>
        <w:t>, 35(10), pp.S27–S64. doi:https://doi.org/10.1016/j.ajic.2007.07.001.</w:t>
      </w:r>
    </w:p>
    <w:p w:rsidR="00FD2443" w:rsidRDefault="00FD2443" w14:paraId="5D0AEDF5" w14:textId="77777777" w:rsidP="003F7805">
      <w:pPr>
        <w:pStyle w:val="NormalWeb"/>
        <w:jc w:val="both"/>
        <w:spacing w:before="0" w:beforeAutospacing="0" w:after="240" w:afterAutospacing="0" w:line="360" w:lineRule="auto"/>
        <w:rPr>
          <w:rFonts w:ascii="Arial"/>
        </w:rPr>
      </w:pPr>
      <w:r>
        <w:rPr>
          <w:rFonts w:ascii="Arial"/>
        </w:rPr>
        <w:t xml:space="preserve">Desselberger, U. (2017). Viral gastroenteritis. </w:t>
      </w:r>
      <w:r>
        <w:rPr>
          <w:iCs/>
          <w:i/>
          <w:rFonts w:ascii="Arial"/>
        </w:rPr>
        <w:t>Medicine</w:t>
      </w:r>
      <w:r>
        <w:rPr>
          <w:rFonts w:ascii="Arial"/>
        </w:rPr>
        <w:t>, 45(11), pp.690–694. doi:https://doi.org/10.1016/j.mpmed.2017.08.005.</w:t>
      </w:r>
    </w:p>
    <w:p w:rsidR="00FD2443" w:rsidRDefault="00FD2443" w14:paraId="0757BCF4" w14:textId="77777777" w:rsidP="003F7805">
      <w:pPr>
        <w:pStyle w:val="NormalWeb"/>
        <w:jc w:val="both"/>
        <w:spacing w:before="0" w:beforeAutospacing="0" w:after="240" w:afterAutospacing="0" w:line="360" w:lineRule="auto"/>
        <w:rPr>
          <w:rFonts w:ascii="Arial"/>
        </w:rPr>
      </w:pPr>
      <w:r>
        <w:rPr>
          <w:rFonts w:ascii="Arial"/>
        </w:rPr>
        <w:t xml:space="preserve">Gower, C.M., Dunning, J., Nawaz, S., Allen, D., Ramsay, M.E. and Ladhani, S. (2019). Vaccine-derived rotavirus strains in infants in England. </w:t>
      </w:r>
      <w:r>
        <w:rPr>
          <w:iCs/>
          <w:i/>
          <w:rFonts w:ascii="Arial"/>
        </w:rPr>
        <w:t>Archives of Disease in Childhood</w:t>
      </w:r>
      <w:r>
        <w:rPr>
          <w:rFonts w:ascii="Arial"/>
        </w:rPr>
        <w:t>, 105(6), pp.553–557. doi:https://doi.org/10.1136/archdischild-2019-317428.</w:t>
      </w:r>
    </w:p>
    <w:p w:rsidR="00FD2443" w:rsidRDefault="00FD2443" w14:paraId="4BF89429" w14:textId="77777777" w:rsidP="003F7805">
      <w:pPr>
        <w:pStyle w:val="NormalWeb"/>
        <w:jc w:val="both"/>
        <w:spacing w:before="0" w:beforeAutospacing="0" w:after="240" w:afterAutospacing="0" w:line="360" w:lineRule="auto"/>
        <w:rPr>
          <w:rFonts w:ascii="Arial"/>
        </w:rPr>
      </w:pPr>
      <w:r>
        <w:rPr>
          <w:rFonts w:ascii="Arial"/>
        </w:rPr>
        <w:t xml:space="preserve">Keyvani, H., Fazlalipour, M., Monavari, S.H.R. and Mollaie, H.R. (2012). Hepatitis C Virus - Proteins, Diagnosis, Treatment and New Approaches for Vaccine Development. </w:t>
      </w:r>
      <w:r>
        <w:rPr>
          <w:iCs/>
          <w:i/>
          <w:rFonts w:ascii="Arial"/>
        </w:rPr>
        <w:t>Asian Pacific Journal of Cancer Prevention</w:t>
      </w:r>
      <w:r>
        <w:rPr>
          <w:rFonts w:ascii="Arial"/>
        </w:rPr>
        <w:t>, 13(12), pp.5917–5935. doi:https://doi.org/10.7314/apjcp.2012.13.12.5917.</w:t>
      </w:r>
    </w:p>
    <w:p w:rsidR="00FD2443" w:rsidRDefault="00FD2443" w14:paraId="1A58D997" w14:textId="77777777" w:rsidP="003F7805">
      <w:pPr>
        <w:pStyle w:val="NormalWeb"/>
        <w:jc w:val="both"/>
        <w:spacing w:before="0" w:beforeAutospacing="0" w:after="240" w:afterAutospacing="0" w:line="360" w:lineRule="auto"/>
        <w:rPr>
          <w:rFonts w:ascii="Arial"/>
        </w:rPr>
      </w:pPr>
      <w:r>
        <w:rPr>
          <w:rFonts w:ascii="Arial"/>
        </w:rPr>
        <w:t xml:space="preserve">Tate, J.E. and Parashar, U.D. (2011). Monitoring impact and effectiveness of rotavirus vaccination. </w:t>
      </w:r>
      <w:r>
        <w:rPr>
          <w:iCs/>
          <w:i/>
          <w:rFonts w:ascii="Arial"/>
        </w:rPr>
        <w:t>Expert Review of Vaccines</w:t>
      </w:r>
      <w:r>
        <w:rPr>
          <w:rFonts w:ascii="Arial"/>
        </w:rPr>
        <w:t>, 10(8), pp.1123–1125. doi:https://doi.org/10.1586/erv.11.94.</w:t>
      </w:r>
    </w:p>
    <w:p w:rsidR="00FD2443" w:rsidRDefault="00FD2443" w14:paraId="5DA03086" w14:textId="77777777" w:rsidP="003F7805">
      <w:pPr>
        <w:pStyle w:val="NormalWeb"/>
        <w:jc w:val="both"/>
        <w:spacing w:before="0" w:beforeAutospacing="0" w:after="240" w:afterAutospacing="0" w:line="360" w:lineRule="auto"/>
        <w:rPr>
          <w:rFonts w:ascii="Arial"/>
        </w:rPr>
      </w:pPr>
      <w:r>
        <w:rPr>
          <w:rFonts w:ascii="Arial"/>
        </w:rPr>
        <w:t xml:space="preserve">The Lancet Infectious Diseases (2008). Strengthening infectious disease surveillance in Europe. </w:t>
      </w:r>
      <w:r>
        <w:rPr>
          <w:iCs/>
          <w:i/>
          <w:rFonts w:ascii="Arial"/>
        </w:rPr>
        <w:t>The Lancet Infectious Diseases</w:t>
      </w:r>
      <w:r>
        <w:rPr>
          <w:rFonts w:ascii="Arial"/>
        </w:rPr>
        <w:t>, 8(9), p.525. doi:https://doi.org/10.1016/s1473-3099(08)70188-9.</w:t>
      </w:r>
    </w:p>
    <w:p w:rsidR="00FD2443" w:rsidRDefault="00FD2443" w14:paraId="65726722" w14:textId="77777777" w:rsidP="003F7805">
      <w:pPr>
        <w:pStyle w:val="NormalWeb"/>
        <w:jc w:val="both"/>
        <w:spacing w:before="0" w:beforeAutospacing="0" w:after="240" w:afterAutospacing="0" w:line="360" w:lineRule="auto"/>
        <w:rPr>
          <w:rFonts w:ascii="Arial"/>
        </w:rPr>
      </w:pPr>
      <w:r>
        <w:rPr>
          <w:rFonts w:ascii="Arial"/>
        </w:rPr>
        <w:t xml:space="preserve">Thomas, S.L., Walker, J.L., Fenty, J., Atkins, K.E., Elliot, A.J., Hughes, H.E., Stowe, J., Ladhani, S. and Andrews, N.J. (2017). Impact of the national rotavirus vaccination programme on acute gastroenteritis in England and associated costs averted. </w:t>
      </w:r>
      <w:r>
        <w:rPr>
          <w:iCs/>
          <w:i/>
          <w:rFonts w:ascii="Arial"/>
        </w:rPr>
        <w:t>Vaccine</w:t>
      </w:r>
      <w:r>
        <w:rPr>
          <w:rFonts w:ascii="Arial"/>
        </w:rPr>
        <w:t>, 35(4), pp.680–686. doi:https://doi.org/10.1016/j.vaccine.2016.11.057.</w:t>
      </w:r>
    </w:p>
    <w:p w:rsidR="00395C7E" w:rsidRDefault="00395C7E" w14:paraId="4DFB7C7C" w14:textId="77777777" w:rsidP="003F7805" w:rsidRPr="0042226E">
      <w:pPr>
        <w:jc w:val="both"/>
        <w:spacing w:line="360" w:lineRule="auto"/>
        <w:rPr>
          <w:rFonts w:asciiTheme="minorBidi" w:hAnsiTheme="minorBidi" w:cstheme="minorBidi"/>
        </w:rPr>
      </w:pPr>
    </w:p>
    <w:sectPr w:rsidR="00395C7E" w:rsidRPr="0042226E">
      <w:docGrid w:linePitch="360"/>
      <w:footerReference r:id="rId8" w:type="default"/>
      <w:pgSz w:w="12240" w:h="15840" w:orient="portrait"/>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645C" w:rsidP="0052386B" w:rsidRDefault="00AC645C" w14:paraId="5A518C7B" w14:textId="77777777">
      <w:pPr>
        <w:spacing w:after="0" w:line="240" w:lineRule="auto"/>
      </w:pPr>
      <w:r>
        <w:separator/>
      </w:r>
    </w:p>
  </w:endnote>
  <w:endnote w:type="continuationSeparator" w:id="0">
    <w:p w:rsidR="00AC645C" w:rsidP="0052386B" w:rsidRDefault="00AC645C" w14:paraId="2E7F641C" w14:textId="7777777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118459"/>
      <w:docPartObj>
        <w:docPartGallery w:val="Page Numbers (Bottom of Page)"/>
        <w:docPartUnique/>
      </w:docPartObj>
    </w:sdtPr>
    <w:sdtEndPr>
      <w:rPr>
        <w:noProof/>
      </w:rPr>
    </w:sdtEndPr>
    <w:sdtContent>
      <w:p w:rsidR="0052386B" w:rsidRDefault="0052386B" w14:paraId="70AEE235" w14:textId="4BA259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2386B" w:rsidRDefault="0052386B" w14:paraId="3F5A9D3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645C" w:rsidP="0052386B" w:rsidRDefault="00AC645C" w14:paraId="7AE778CC" w14:textId="77777777">
      <w:pPr>
        <w:spacing w:after="0" w:line="240" w:lineRule="auto"/>
      </w:pPr>
      <w:r>
        <w:separator/>
      </w:r>
    </w:p>
  </w:footnote>
  <w:footnote w:type="continuationSeparator" w:id="0">
    <w:p w:rsidR="00AC645C" w:rsidP="0052386B" w:rsidRDefault="00AC645C" w14:paraId="5C3BD8D3" w14:textId="7777777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6484561A"/>
    <w:tmpl w:val="BC000258"/>
    <w:lvl w:ilvl="0" w:tplc="10000001">
      <w:numFmt w:val="bullet"/>
      <w:lvlText w:val=""/>
      <w:start w:val="1"/>
      <w:rPr>
        <w:rFonts w:ascii="Symbol" w:hAnsi="Symbol" w:hint="default"/>
      </w:rPr>
      <w:pPr>
        <w:ind w:left="720"/>
        <w:ind w:hanging="360"/>
      </w:pPr>
      <w:lvlJc w:val="left"/>
    </w:lvl>
    <w:lvl w:ilvl="1" w:tentative="1" w:tplc="10000003">
      <w:numFmt w:val="bullet"/>
      <w:lvlText w:val="o"/>
      <w:start w:val="1"/>
      <w:rPr>
        <w:rFonts w:ascii="Courier New" w:cs="Courier New" w:hAnsi="Courier New" w:hint="default"/>
      </w:rPr>
      <w:pPr>
        <w:ind w:left="1440"/>
        <w:ind w:hanging="360"/>
      </w:pPr>
      <w:lvlJc w:val="left"/>
    </w:lvl>
    <w:lvl w:ilvl="2" w:tentative="1" w:tplc="10000005">
      <w:numFmt w:val="bullet"/>
      <w:lvlText w:val=""/>
      <w:start w:val="1"/>
      <w:rPr>
        <w:rFonts w:ascii="Wingdings" w:hAnsi="Wingdings" w:hint="default"/>
      </w:rPr>
      <w:pPr>
        <w:ind w:left="2160"/>
        <w:ind w:hanging="360"/>
      </w:pPr>
      <w:lvlJc w:val="left"/>
    </w:lvl>
    <w:lvl w:ilvl="3" w:tentative="1" w:tplc="10000001">
      <w:numFmt w:val="bullet"/>
      <w:lvlText w:val=""/>
      <w:start w:val="1"/>
      <w:rPr>
        <w:rFonts w:ascii="Symbol" w:hAnsi="Symbol" w:hint="default"/>
      </w:rPr>
      <w:pPr>
        <w:ind w:left="2880"/>
        <w:ind w:hanging="360"/>
      </w:pPr>
      <w:lvlJc w:val="left"/>
    </w:lvl>
    <w:lvl w:ilvl="4" w:tentative="1" w:tplc="10000003">
      <w:numFmt w:val="bullet"/>
      <w:lvlText w:val="o"/>
      <w:start w:val="1"/>
      <w:rPr>
        <w:rFonts w:ascii="Courier New" w:cs="Courier New" w:hAnsi="Courier New" w:hint="default"/>
      </w:rPr>
      <w:pPr>
        <w:ind w:left="3600"/>
        <w:ind w:hanging="360"/>
      </w:pPr>
      <w:lvlJc w:val="left"/>
    </w:lvl>
    <w:lvl w:ilvl="5" w:tentative="1" w:tplc="10000005">
      <w:numFmt w:val="bullet"/>
      <w:lvlText w:val=""/>
      <w:start w:val="1"/>
      <w:rPr>
        <w:rFonts w:ascii="Wingdings" w:hAnsi="Wingdings" w:hint="default"/>
      </w:rPr>
      <w:pPr>
        <w:ind w:left="4320"/>
        <w:ind w:hanging="360"/>
      </w:pPr>
      <w:lvlJc w:val="left"/>
    </w:lvl>
    <w:lvl w:ilvl="6" w:tentative="1" w:tplc="10000001">
      <w:numFmt w:val="bullet"/>
      <w:lvlText w:val=""/>
      <w:start w:val="1"/>
      <w:rPr>
        <w:rFonts w:ascii="Symbol" w:hAnsi="Symbol" w:hint="default"/>
      </w:rPr>
      <w:pPr>
        <w:ind w:left="5040"/>
        <w:ind w:hanging="360"/>
      </w:pPr>
      <w:lvlJc w:val="left"/>
    </w:lvl>
    <w:lvl w:ilvl="7" w:tentative="1" w:tplc="10000003">
      <w:numFmt w:val="bullet"/>
      <w:lvlText w:val="o"/>
      <w:start w:val="1"/>
      <w:rPr>
        <w:rFonts w:ascii="Courier New" w:cs="Courier New" w:hAnsi="Courier New" w:hint="default"/>
      </w:rPr>
      <w:pPr>
        <w:ind w:left="5760"/>
        <w:ind w:hanging="360"/>
      </w:pPr>
      <w:lvlJc w:val="left"/>
    </w:lvl>
    <w:lvl w:ilvl="8" w:tentative="1" w:tplc="10000005">
      <w:numFmt w:val="bullet"/>
      <w:lvlText w:val=""/>
      <w:start w:val="1"/>
      <w:rPr>
        <w:rFonts w:ascii="Wingdings" w:hAnsi="Wingdings" w:hint="default"/>
      </w:rPr>
      <w:pPr>
        <w:ind w:left="6480"/>
        <w:ind w:hanging="360"/>
      </w:pPr>
      <w:lvlJc w:val="left"/>
    </w:lvl>
  </w:abstractNum>
  <w:abstractNum w:abstractNumId="1">
    <w:multiLevelType w:val="hybridMultilevel"/>
    <w:nsid w:val="6B113BD9"/>
    <w:tmpl w:val="842867B2"/>
    <w:lvl w:ilvl="0" w:tplc="10000001">
      <w:numFmt w:val="bullet"/>
      <w:lvlText w:val=""/>
      <w:start w:val="1"/>
      <w:rPr>
        <w:rFonts w:ascii="Symbol" w:hAnsi="Symbol" w:hint="default"/>
      </w:rPr>
      <w:pPr>
        <w:ind w:left="720"/>
        <w:ind w:hanging="360"/>
      </w:pPr>
      <w:lvlJc w:val="left"/>
    </w:lvl>
    <w:lvl w:ilvl="1" w:tentative="1" w:tplc="10000003">
      <w:numFmt w:val="bullet"/>
      <w:lvlText w:val="o"/>
      <w:start w:val="1"/>
      <w:rPr>
        <w:rFonts w:ascii="Courier New" w:cs="Courier New" w:hAnsi="Courier New" w:hint="default"/>
      </w:rPr>
      <w:pPr>
        <w:ind w:left="1440"/>
        <w:ind w:hanging="360"/>
      </w:pPr>
      <w:lvlJc w:val="left"/>
    </w:lvl>
    <w:lvl w:ilvl="2" w:tentative="1" w:tplc="10000005">
      <w:numFmt w:val="bullet"/>
      <w:lvlText w:val=""/>
      <w:start w:val="1"/>
      <w:rPr>
        <w:rFonts w:ascii="Wingdings" w:hAnsi="Wingdings" w:hint="default"/>
      </w:rPr>
      <w:pPr>
        <w:ind w:left="2160"/>
        <w:ind w:hanging="360"/>
      </w:pPr>
      <w:lvlJc w:val="left"/>
    </w:lvl>
    <w:lvl w:ilvl="3" w:tentative="1" w:tplc="10000001">
      <w:numFmt w:val="bullet"/>
      <w:lvlText w:val=""/>
      <w:start w:val="1"/>
      <w:rPr>
        <w:rFonts w:ascii="Symbol" w:hAnsi="Symbol" w:hint="default"/>
      </w:rPr>
      <w:pPr>
        <w:ind w:left="2880"/>
        <w:ind w:hanging="360"/>
      </w:pPr>
      <w:lvlJc w:val="left"/>
    </w:lvl>
    <w:lvl w:ilvl="4" w:tentative="1" w:tplc="10000003">
      <w:numFmt w:val="bullet"/>
      <w:lvlText w:val="o"/>
      <w:start w:val="1"/>
      <w:rPr>
        <w:rFonts w:ascii="Courier New" w:cs="Courier New" w:hAnsi="Courier New" w:hint="default"/>
      </w:rPr>
      <w:pPr>
        <w:ind w:left="3600"/>
        <w:ind w:hanging="360"/>
      </w:pPr>
      <w:lvlJc w:val="left"/>
    </w:lvl>
    <w:lvl w:ilvl="5" w:tentative="1" w:tplc="10000005">
      <w:numFmt w:val="bullet"/>
      <w:lvlText w:val=""/>
      <w:start w:val="1"/>
      <w:rPr>
        <w:rFonts w:ascii="Wingdings" w:hAnsi="Wingdings" w:hint="default"/>
      </w:rPr>
      <w:pPr>
        <w:ind w:left="4320"/>
        <w:ind w:hanging="360"/>
      </w:pPr>
      <w:lvlJc w:val="left"/>
    </w:lvl>
    <w:lvl w:ilvl="6" w:tentative="1" w:tplc="10000001">
      <w:numFmt w:val="bullet"/>
      <w:lvlText w:val=""/>
      <w:start w:val="1"/>
      <w:rPr>
        <w:rFonts w:ascii="Symbol" w:hAnsi="Symbol" w:hint="default"/>
      </w:rPr>
      <w:pPr>
        <w:ind w:left="5040"/>
        <w:ind w:hanging="360"/>
      </w:pPr>
      <w:lvlJc w:val="left"/>
    </w:lvl>
    <w:lvl w:ilvl="7" w:tentative="1" w:tplc="10000003">
      <w:numFmt w:val="bullet"/>
      <w:lvlText w:val="o"/>
      <w:start w:val="1"/>
      <w:rPr>
        <w:rFonts w:ascii="Courier New" w:cs="Courier New" w:hAnsi="Courier New" w:hint="default"/>
      </w:rPr>
      <w:pPr>
        <w:ind w:left="5760"/>
        <w:ind w:hanging="360"/>
      </w:pPr>
      <w:lvlJc w:val="left"/>
    </w:lvl>
    <w:lvl w:ilvl="8" w:tentative="1" w:tplc="10000005">
      <w:numFmt w:val="bullet"/>
      <w:lvlText w:val=""/>
      <w:start w:val="1"/>
      <w:rPr>
        <w:rFonts w:ascii="Wingdings" w:hAnsi="Wingdings" w:hint="default"/>
      </w:rPr>
      <w:pPr>
        <w:ind w:left="6480"/>
        <w:ind w:hanging="360"/>
      </w:pPr>
      <w:lvlJc w:val="left"/>
    </w:lvl>
  </w:abstractNum>
  <w:abstractNum w:abstractNumId="2">
    <w:multiLevelType w:val="hybridMultilevel"/>
    <w:nsid w:val="7F820376"/>
    <w:tmpl w:val="DAD4AD86"/>
    <w:lvl w:ilvl="0" w:tplc="10000001">
      <w:numFmt w:val="bullet"/>
      <w:lvlText w:val=""/>
      <w:start w:val="1"/>
      <w:rPr>
        <w:rFonts w:ascii="Symbol" w:hAnsi="Symbol" w:hint="default"/>
      </w:rPr>
      <w:pPr>
        <w:ind w:left="720"/>
        <w:ind w:hanging="360"/>
      </w:pPr>
      <w:lvlJc w:val="left"/>
    </w:lvl>
    <w:lvl w:ilvl="1" w:tentative="1" w:tplc="10000003">
      <w:numFmt w:val="bullet"/>
      <w:lvlText w:val="o"/>
      <w:start w:val="1"/>
      <w:rPr>
        <w:rFonts w:ascii="Courier New" w:cs="Courier New" w:hAnsi="Courier New" w:hint="default"/>
      </w:rPr>
      <w:pPr>
        <w:ind w:left="1440"/>
        <w:ind w:hanging="360"/>
      </w:pPr>
      <w:lvlJc w:val="left"/>
    </w:lvl>
    <w:lvl w:ilvl="2" w:tentative="1" w:tplc="10000005">
      <w:numFmt w:val="bullet"/>
      <w:lvlText w:val=""/>
      <w:start w:val="1"/>
      <w:rPr>
        <w:rFonts w:ascii="Wingdings" w:hAnsi="Wingdings" w:hint="default"/>
      </w:rPr>
      <w:pPr>
        <w:ind w:left="2160"/>
        <w:ind w:hanging="360"/>
      </w:pPr>
      <w:lvlJc w:val="left"/>
    </w:lvl>
    <w:lvl w:ilvl="3" w:tentative="1" w:tplc="10000001">
      <w:numFmt w:val="bullet"/>
      <w:lvlText w:val=""/>
      <w:start w:val="1"/>
      <w:rPr>
        <w:rFonts w:ascii="Symbol" w:hAnsi="Symbol" w:hint="default"/>
      </w:rPr>
      <w:pPr>
        <w:ind w:left="2880"/>
        <w:ind w:hanging="360"/>
      </w:pPr>
      <w:lvlJc w:val="left"/>
    </w:lvl>
    <w:lvl w:ilvl="4" w:tentative="1" w:tplc="10000003">
      <w:numFmt w:val="bullet"/>
      <w:lvlText w:val="o"/>
      <w:start w:val="1"/>
      <w:rPr>
        <w:rFonts w:ascii="Courier New" w:cs="Courier New" w:hAnsi="Courier New" w:hint="default"/>
      </w:rPr>
      <w:pPr>
        <w:ind w:left="3600"/>
        <w:ind w:hanging="360"/>
      </w:pPr>
      <w:lvlJc w:val="left"/>
    </w:lvl>
    <w:lvl w:ilvl="5" w:tentative="1" w:tplc="10000005">
      <w:numFmt w:val="bullet"/>
      <w:lvlText w:val=""/>
      <w:start w:val="1"/>
      <w:rPr>
        <w:rFonts w:ascii="Wingdings" w:hAnsi="Wingdings" w:hint="default"/>
      </w:rPr>
      <w:pPr>
        <w:ind w:left="4320"/>
        <w:ind w:hanging="360"/>
      </w:pPr>
      <w:lvlJc w:val="left"/>
    </w:lvl>
    <w:lvl w:ilvl="6" w:tentative="1" w:tplc="10000001">
      <w:numFmt w:val="bullet"/>
      <w:lvlText w:val=""/>
      <w:start w:val="1"/>
      <w:rPr>
        <w:rFonts w:ascii="Symbol" w:hAnsi="Symbol" w:hint="default"/>
      </w:rPr>
      <w:pPr>
        <w:ind w:left="5040"/>
        <w:ind w:hanging="360"/>
      </w:pPr>
      <w:lvlJc w:val="left"/>
    </w:lvl>
    <w:lvl w:ilvl="7" w:tentative="1" w:tplc="10000003">
      <w:numFmt w:val="bullet"/>
      <w:lvlText w:val="o"/>
      <w:start w:val="1"/>
      <w:rPr>
        <w:rFonts w:ascii="Courier New" w:cs="Courier New" w:hAnsi="Courier New" w:hint="default"/>
      </w:rPr>
      <w:pPr>
        <w:ind w:left="5760"/>
        <w:ind w:hanging="360"/>
      </w:pPr>
      <w:lvlJc w:val="left"/>
    </w:lvl>
    <w:lvl w:ilvl="8" w:tentative="1" w:tplc="1000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2"/>
  </w:num>
  <w:num w:numId="2">
    <w:abstractNumId w:val="0"/>
  </w:num>
  <w:num w:numId="3">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trackRevisions w:val="false"/>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761D6B"/>
  <w15:docId w15:val="{D4B63B50-1FF7-4E91-9103-4F413A64B050}"/>
  <w:rsids>
    <w:rsidRoot val="00395C7E"/>
    <w:rsid val="001E21CD"/>
    <w:rsid val="00230389"/>
    <w:rsid val="00395C7E"/>
    <w:rsid val="003F7805"/>
    <w:rsid val="0042226E"/>
    <w:rsid val="0052386B"/>
    <w:rsid val="00532FA2"/>
    <w:rsid val="005557E9"/>
    <w:rsid val="00556288"/>
    <w:rsid val="005A582E"/>
    <w:rsid val="006A27DF"/>
    <w:rsid val="0073310D"/>
    <w:rsid val="007A0CDD"/>
    <w:rsid val="007D5F3F"/>
    <w:rsid val="00800C5E"/>
    <w:rsid val="00AC645C"/>
    <w:rsid val="00AF3E95"/>
    <w:rsid val="00C051C7"/>
    <w:rsid val="00C67B3B"/>
    <w:rsid val="00D46B67"/>
    <w:rsid val="00DB2AEC"/>
    <w:rsid val="00E05B7C"/>
    <w:rsid val="00EE05BB"/>
    <w:rsid val="00F94862"/>
    <w:rsid val="00FD2443"/>
    <w:rsid val="00FE6FB9"/>
    <w:rsid val="00FF37F0"/>
    <w:rsid val="0344239D"/>
    <w:rsid val="0D30944A"/>
    <w:rsid val="0FF1B7AC"/>
    <w:rsid val="173191E3"/>
    <w:rsid val="19F5EEF5"/>
    <w:rsid val="1B0C22E6"/>
    <w:rsid val="213A107F"/>
    <w:rsid val="217E41D6"/>
    <w:rsid val="281ADAE1"/>
    <w:rsid val="2A56DC80"/>
    <w:rsid val="2E70F408"/>
    <w:rsid val="321F62A5"/>
    <w:rsid val="32CD46B6"/>
    <w:rsid val="34691717"/>
    <w:rsid val="3604E778"/>
    <w:rsid val="37252494"/>
    <w:rsid val="41D06544"/>
    <w:rsid val="47F471D9"/>
    <w:rsid val="497F120E"/>
    <w:rsid val="4CF03064"/>
    <w:rsid val="4E74C9E3"/>
    <w:rsid val="5020A0AA"/>
    <w:rsid val="5992A622"/>
    <w:rsid val="5C59049A"/>
    <w:rsid val="62952B4D"/>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zh-CN" w:bidi="ar-SA"/>
        <w:rFonts w:ascii="Calibri" w:cs="Times New Roman" w:eastAsia="SimSun" w:hAnsi="Calibri"/>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qFormat/>
    <w:basedOn w:val="Normal"/>
    <w:next w:val="Normal"/>
    <w:link w:val="Heading1Char"/>
    <w:uiPriority w:val="9"/>
    <w:rsid w:val="0042226E"/>
    <w:pPr>
      <w:keepNext/>
      <w:keepLines/>
      <w:outlineLvl w:val="0"/>
      <w:spacing w:before="240" w:after="0"/>
    </w:pPr>
    <w:rPr>
      <w:color w:val="365F91"/>
      <w:rFonts w:ascii="Cambria" w:hAnsiTheme="majorHAnsi" w:eastAsiaTheme="majorEastAsia" w:cstheme="majorBidi"/>
      <w:sz w:val="32"/>
      <w:szCs w:val="32"/>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42226E"/>
    <w:rPr>
      <w:color w:val="365F91"/>
      <w:rFonts w:ascii="Cambria" w:hAnsiTheme="majorHAnsi" w:eastAsiaTheme="majorEastAsia" w:cstheme="majorBidi"/>
      <w:sz w:val="32"/>
      <w:szCs w:val="32"/>
    </w:rPr>
  </w:style>
  <w:style w:type="paragraph" w:styleId="ListParagraph">
    <w:name w:val="List Paragraph"/>
    <w:qFormat/>
    <w:basedOn w:val="Normal"/>
    <w:uiPriority w:val="34"/>
    <w:rsid w:val="001E21CD"/>
    <w:pPr>
      <w:ind w:left="720"/>
      <w:contextualSpacing/>
    </w:pPr>
  </w:style>
  <w:style w:type="paragraph" w:styleId="Header">
    <w:name w:val="header"/>
    <w:basedOn w:val="Normal"/>
    <w:link w:val="HeaderChar"/>
    <w:uiPriority w:val="99"/>
    <w:unhideWhenUsed/>
    <w:rsid w:val="0052386B"/>
    <w:pPr>
      <w:spacing w:after="0" w:line="240" w:lineRule="auto"/>
      <w:tabs>
        <w:tab w:val="center" w:pos="4513"/>
        <w:tab w:val="right" w:pos="9026"/>
      </w:tabs>
    </w:pPr>
  </w:style>
  <w:style w:type="character" w:styleId="HeaderChar">
    <w:name w:val="Header Char"/>
    <w:basedOn w:val="DefaultParagraphFont"/>
    <w:link w:val="Header"/>
    <w:uiPriority w:val="99"/>
    <w:rsid w:val="0052386B"/>
    <w:rPr>
      <w:sz w:val="22"/>
      <w:szCs w:val="22"/>
    </w:rPr>
  </w:style>
  <w:style w:type="paragraph" w:styleId="Footer">
    <w:name w:val="footer"/>
    <w:basedOn w:val="Normal"/>
    <w:link w:val="FooterChar"/>
    <w:uiPriority w:val="99"/>
    <w:unhideWhenUsed/>
    <w:rsid w:val="0052386B"/>
    <w:pPr>
      <w:spacing w:after="0" w:line="240" w:lineRule="auto"/>
      <w:tabs>
        <w:tab w:val="center" w:pos="4513"/>
        <w:tab w:val="right" w:pos="9026"/>
      </w:tabs>
    </w:pPr>
  </w:style>
  <w:style w:type="character" w:styleId="FooterChar">
    <w:name w:val="Footer Char"/>
    <w:basedOn w:val="DefaultParagraphFont"/>
    <w:link w:val="Footer"/>
    <w:uiPriority w:val="99"/>
    <w:rsid w:val="0052386B"/>
    <w:rPr>
      <w:sz w:val="22"/>
      <w:szCs w:val="22"/>
    </w:rPr>
  </w:style>
  <w:style w:type="paragraph" w:styleId="NormalWeb">
    <w:name w:val="Normal (Web)"/>
    <w:basedOn w:val="Normal"/>
    <w:uiPriority w:val="99"/>
    <w:semiHidden/>
    <w:unhideWhenUsed/>
    <w:rsid w:val="00FD2443"/>
    <w:pPr>
      <w:spacing w:before="100" w:beforeAutospacing="1" w:after="100" w:afterAutospacing="1" w:line="240" w:lineRule="auto"/>
    </w:pPr>
    <w:rPr>
      <w:lang/>
      <w:rFonts w:ascii="Times New Roman" w:eastAsia="Times New Roman" w:hAnsi="Times New Roman"/>
      <w:sz w:val="24"/>
      <w:szCs w:val="24"/>
    </w:rPr>
  </w:style>
  <w:style w:type="paragraph" w:styleId="TOCHeading">
    <w:name w:val="TOC Heading"/>
    <w:qFormat/>
    <w:basedOn w:val="Heading1"/>
    <w:next w:val="Normal"/>
    <w:uiPriority w:val="39"/>
    <w:unhideWhenUsed/>
    <w:rsid w:val="00532FA2"/>
    <w:pPr>
      <w:outlineLvl w:val="9"/>
      <w:spacing w:line="259" w:lineRule="auto"/>
    </w:pPr>
    <w:rPr>
      <w:lang w:eastAsia="en-US"/>
    </w:rPr>
  </w:style>
  <w:style w:type="paragraph" w:styleId="TOC1">
    <w:name w:val="toc 1"/>
    <w:basedOn w:val="Normal"/>
    <w:next w:val="Normal"/>
    <w:autoRedefine/>
    <w:uiPriority w:val="39"/>
    <w:unhideWhenUsed/>
    <w:rsid w:val="00532FA2"/>
    <w:pPr>
      <w:spacing w:after="100"/>
    </w:pPr>
  </w:style>
  <w:style w:type="character" w:styleId="Hyperlink">
    <w:name w:val="Hyperlink"/>
    <w:basedOn w:val="DefaultParagraphFont"/>
    <w:uiPriority w:val="99"/>
    <w:unhideWhenUsed/>
    <w:rsid w:val="00532FA2"/>
    <w:rPr>
      <w:u w:val="single"/>
      <w:color w:val="0000FF"/>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44033">
      <w:bodyDiv w:val="1"/>
      <w:marLeft w:val="0"/>
      <w:marRight w:val="0"/>
      <w:marTop w:val="0"/>
      <w:marBottom w:val="0"/>
      <w:divBdr>
        <w:top w:val="none" w:sz="0" w:space="0" w:color="auto"/>
        <w:left w:val="none" w:sz="0" w:space="0" w:color="auto"/>
        <w:bottom w:val="none" w:sz="0" w:space="0" w:color="auto"/>
        <w:right w:val="none" w:sz="0" w:space="0" w:color="auto"/>
      </w:divBdr>
      <w:divsChild>
        <w:div w:id="8026226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037dcfc98bf0420e" Type="http://schemas.openxmlformats.org/officeDocument/2006/relationships/glossaryDocument" Target="glossary/document.xm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12709e0-103b-47b7-bf2a-4a69bebbc506}"/>
      </w:docPartPr>
      <w:docPartBody>
        <w:p w14:paraId="63BB312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BD2D9-BF66-4DFF-B207-FE51375106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revision>27</revision>
  <dcterms:created xsi:type="dcterms:W3CDTF">2023-03-04T22:01:00.0000000Z</dcterms:created>
  <dcterms:modified xsi:type="dcterms:W3CDTF">2023-03-05T22:39:10.8426383Z</dcterms:modified>
  <lastModifiedBy>Sonia Altaf (2209656)</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df6e214384a64beb9f2abf6b3bf853b0</vt:lpwstr>
  </property>
</Properties>
</file>