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FC2C9" w14:textId="29B16531" w:rsidR="0013180F" w:rsidRPr="004A25C8" w:rsidRDefault="004A25C8">
      <w:pPr>
        <w:rPr>
          <w:rFonts w:ascii="Arial" w:hAnsi="Arial" w:cs="Arial"/>
          <w:sz w:val="52"/>
          <w:szCs w:val="52"/>
        </w:rPr>
      </w:pPr>
      <w:r w:rsidRPr="004A25C8">
        <w:rPr>
          <w:rFonts w:ascii="Arial" w:hAnsi="Arial" w:cs="Arial"/>
          <w:sz w:val="52"/>
          <w:szCs w:val="52"/>
        </w:rPr>
        <w:t xml:space="preserve">Abbi Crocker                 Student No. 1901489 </w:t>
      </w:r>
    </w:p>
    <w:p w14:paraId="12481DB4" w14:textId="73A83DCE" w:rsidR="004A25C8" w:rsidRDefault="004A25C8">
      <w:pPr>
        <w:rPr>
          <w:rFonts w:ascii="Arial" w:hAnsi="Arial" w:cs="Arial"/>
          <w:sz w:val="48"/>
          <w:szCs w:val="48"/>
        </w:rPr>
      </w:pPr>
    </w:p>
    <w:p w14:paraId="1858099D" w14:textId="04759698" w:rsidR="004A25C8" w:rsidRDefault="004A25C8">
      <w:pPr>
        <w:rPr>
          <w:rFonts w:ascii="Arial" w:hAnsi="Arial" w:cs="Arial"/>
          <w:sz w:val="48"/>
          <w:szCs w:val="48"/>
        </w:rPr>
      </w:pPr>
    </w:p>
    <w:p w14:paraId="2E1EEE6E" w14:textId="73ADC80D" w:rsidR="004A25C8" w:rsidRDefault="004A25C8">
      <w:pPr>
        <w:rPr>
          <w:rFonts w:ascii="Arial" w:hAnsi="Arial" w:cs="Arial"/>
          <w:sz w:val="48"/>
          <w:szCs w:val="48"/>
        </w:rPr>
      </w:pPr>
    </w:p>
    <w:p w14:paraId="6CE08F9C" w14:textId="7DF23B4B" w:rsidR="004A25C8" w:rsidRDefault="004A25C8">
      <w:pPr>
        <w:rPr>
          <w:rFonts w:ascii="Arial" w:hAnsi="Arial" w:cs="Arial"/>
          <w:sz w:val="48"/>
          <w:szCs w:val="48"/>
        </w:rPr>
      </w:pPr>
    </w:p>
    <w:p w14:paraId="50D9B48A" w14:textId="4AEFFB8E" w:rsidR="004A25C8" w:rsidRDefault="004A25C8">
      <w:pPr>
        <w:rPr>
          <w:rFonts w:ascii="Arial" w:hAnsi="Arial" w:cs="Arial"/>
          <w:sz w:val="48"/>
          <w:szCs w:val="48"/>
        </w:rPr>
      </w:pPr>
    </w:p>
    <w:p w14:paraId="7392663A" w14:textId="72B0D966" w:rsidR="004A25C8" w:rsidRDefault="004A25C8" w:rsidP="00ED4E91">
      <w:pPr>
        <w:spacing w:line="360" w:lineRule="auto"/>
        <w:jc w:val="center"/>
        <w:rPr>
          <w:rFonts w:ascii="Arial" w:hAnsi="Arial" w:cs="Arial"/>
          <w:sz w:val="56"/>
          <w:szCs w:val="56"/>
        </w:rPr>
      </w:pPr>
      <w:r w:rsidRPr="004A25C8">
        <w:rPr>
          <w:rFonts w:ascii="Arial" w:hAnsi="Arial" w:cs="Arial"/>
          <w:sz w:val="56"/>
          <w:szCs w:val="56"/>
        </w:rPr>
        <w:t xml:space="preserve">Evaluate </w:t>
      </w:r>
      <w:r w:rsidR="001219C2">
        <w:rPr>
          <w:rFonts w:ascii="Arial" w:hAnsi="Arial" w:cs="Arial"/>
          <w:sz w:val="56"/>
          <w:szCs w:val="56"/>
        </w:rPr>
        <w:t>the use of Stop and Search Powers by Police in England and Wales.</w:t>
      </w:r>
    </w:p>
    <w:p w14:paraId="059124B4" w14:textId="2C39D09A" w:rsidR="001219C2" w:rsidRDefault="001219C2" w:rsidP="001219C2">
      <w:pPr>
        <w:spacing w:line="276" w:lineRule="auto"/>
        <w:jc w:val="center"/>
        <w:rPr>
          <w:rFonts w:ascii="Arial" w:hAnsi="Arial" w:cs="Arial"/>
          <w:sz w:val="56"/>
          <w:szCs w:val="56"/>
        </w:rPr>
      </w:pPr>
    </w:p>
    <w:p w14:paraId="41047B29" w14:textId="63F5BE37" w:rsidR="001219C2" w:rsidRDefault="001219C2" w:rsidP="001219C2">
      <w:pPr>
        <w:spacing w:line="276" w:lineRule="auto"/>
        <w:jc w:val="center"/>
        <w:rPr>
          <w:rFonts w:ascii="Arial" w:hAnsi="Arial" w:cs="Arial"/>
          <w:sz w:val="56"/>
          <w:szCs w:val="56"/>
        </w:rPr>
      </w:pPr>
    </w:p>
    <w:p w14:paraId="658F3A84" w14:textId="542EC961" w:rsidR="001219C2" w:rsidRDefault="001219C2" w:rsidP="001219C2">
      <w:pPr>
        <w:spacing w:line="276" w:lineRule="auto"/>
        <w:jc w:val="center"/>
        <w:rPr>
          <w:rFonts w:ascii="Arial" w:hAnsi="Arial" w:cs="Arial"/>
          <w:sz w:val="56"/>
          <w:szCs w:val="56"/>
        </w:rPr>
      </w:pPr>
    </w:p>
    <w:p w14:paraId="21F07112" w14:textId="202E896C" w:rsidR="00ED4E91" w:rsidRDefault="00ED4E91" w:rsidP="001219C2">
      <w:pPr>
        <w:spacing w:line="276" w:lineRule="auto"/>
        <w:jc w:val="center"/>
        <w:rPr>
          <w:rFonts w:ascii="Arial" w:hAnsi="Arial" w:cs="Arial"/>
          <w:sz w:val="56"/>
          <w:szCs w:val="56"/>
        </w:rPr>
      </w:pPr>
    </w:p>
    <w:p w14:paraId="345AAB75" w14:textId="77777777" w:rsidR="00ED4E91" w:rsidRDefault="00ED4E91" w:rsidP="001219C2">
      <w:pPr>
        <w:spacing w:line="276" w:lineRule="auto"/>
        <w:jc w:val="center"/>
        <w:rPr>
          <w:rFonts w:ascii="Arial" w:hAnsi="Arial" w:cs="Arial"/>
          <w:sz w:val="56"/>
          <w:szCs w:val="56"/>
        </w:rPr>
      </w:pPr>
    </w:p>
    <w:p w14:paraId="113D6CE2" w14:textId="7C86DE5C" w:rsidR="001219C2" w:rsidRDefault="001219C2" w:rsidP="001219C2">
      <w:pPr>
        <w:spacing w:line="276" w:lineRule="auto"/>
        <w:jc w:val="center"/>
        <w:rPr>
          <w:rFonts w:ascii="Arial" w:hAnsi="Arial" w:cs="Arial"/>
          <w:sz w:val="56"/>
          <w:szCs w:val="56"/>
        </w:rPr>
      </w:pPr>
    </w:p>
    <w:p w14:paraId="5D0D5B78" w14:textId="647AE1BC" w:rsidR="001219C2" w:rsidRDefault="001219C2" w:rsidP="001219C2">
      <w:pPr>
        <w:spacing w:line="276" w:lineRule="auto"/>
        <w:jc w:val="center"/>
        <w:rPr>
          <w:rFonts w:ascii="Arial" w:hAnsi="Arial" w:cs="Arial"/>
          <w:sz w:val="56"/>
          <w:szCs w:val="56"/>
        </w:rPr>
      </w:pPr>
    </w:p>
    <w:p w14:paraId="5932CCA7" w14:textId="2C55A616" w:rsidR="001219C2" w:rsidRDefault="001219C2" w:rsidP="001219C2">
      <w:pPr>
        <w:spacing w:line="276" w:lineRule="auto"/>
        <w:jc w:val="center"/>
        <w:rPr>
          <w:rFonts w:ascii="Arial" w:hAnsi="Arial" w:cs="Arial"/>
          <w:sz w:val="56"/>
          <w:szCs w:val="56"/>
        </w:rPr>
      </w:pPr>
      <w:r>
        <w:rPr>
          <w:rFonts w:ascii="Arial" w:hAnsi="Arial" w:cs="Arial"/>
          <w:sz w:val="56"/>
          <w:szCs w:val="56"/>
        </w:rPr>
        <w:t>Operational Policing (BMPL5001)</w:t>
      </w:r>
    </w:p>
    <w:p w14:paraId="6CD167FD" w14:textId="07188CF5" w:rsidR="001219C2" w:rsidRDefault="001219C2" w:rsidP="001219C2">
      <w:pPr>
        <w:spacing w:line="276" w:lineRule="auto"/>
        <w:jc w:val="center"/>
        <w:rPr>
          <w:rFonts w:ascii="Arial" w:hAnsi="Arial" w:cs="Arial"/>
          <w:sz w:val="56"/>
          <w:szCs w:val="56"/>
        </w:rPr>
      </w:pPr>
      <w:r>
        <w:rPr>
          <w:rFonts w:ascii="Arial" w:hAnsi="Arial" w:cs="Arial"/>
          <w:sz w:val="56"/>
          <w:szCs w:val="56"/>
        </w:rPr>
        <w:t>Assignment 2</w:t>
      </w:r>
    </w:p>
    <w:p w14:paraId="4EE74327" w14:textId="77777777" w:rsidR="006D036B" w:rsidRDefault="006D036B" w:rsidP="003072F9">
      <w:pPr>
        <w:spacing w:line="276" w:lineRule="auto"/>
        <w:rPr>
          <w:rFonts w:ascii="Arial" w:hAnsi="Arial" w:cs="Arial"/>
          <w:sz w:val="24"/>
          <w:szCs w:val="24"/>
        </w:rPr>
      </w:pPr>
    </w:p>
    <w:p w14:paraId="6677F1E9" w14:textId="0040B4EE" w:rsidR="008D2599" w:rsidRDefault="006766F4" w:rsidP="006766F4">
      <w:pPr>
        <w:spacing w:line="480" w:lineRule="auto"/>
        <w:rPr>
          <w:rFonts w:ascii="Arial" w:hAnsi="Arial" w:cs="Arial"/>
          <w:sz w:val="24"/>
          <w:szCs w:val="24"/>
        </w:rPr>
      </w:pPr>
      <w:r>
        <w:rPr>
          <w:rFonts w:ascii="Arial" w:hAnsi="Arial" w:cs="Arial"/>
          <w:sz w:val="24"/>
          <w:szCs w:val="24"/>
        </w:rPr>
        <w:lastRenderedPageBreak/>
        <w:t xml:space="preserve">           </w:t>
      </w:r>
      <w:r w:rsidR="005D4EAA">
        <w:rPr>
          <w:rFonts w:ascii="Arial" w:hAnsi="Arial" w:cs="Arial"/>
          <w:sz w:val="24"/>
          <w:szCs w:val="24"/>
        </w:rPr>
        <w:t xml:space="preserve">Stop and search </w:t>
      </w:r>
      <w:r w:rsidR="0013180F">
        <w:rPr>
          <w:rFonts w:ascii="Arial" w:hAnsi="Arial" w:cs="Arial"/>
          <w:sz w:val="24"/>
          <w:szCs w:val="24"/>
        </w:rPr>
        <w:t>powers are a widely encountered mechanis</w:t>
      </w:r>
      <w:r w:rsidR="002F03DD">
        <w:rPr>
          <w:rFonts w:ascii="Arial" w:hAnsi="Arial" w:cs="Arial"/>
          <w:sz w:val="24"/>
          <w:szCs w:val="24"/>
        </w:rPr>
        <w:t xml:space="preserve">m used within the police force and </w:t>
      </w:r>
      <w:r>
        <w:rPr>
          <w:rFonts w:ascii="Arial" w:hAnsi="Arial" w:cs="Arial"/>
          <w:sz w:val="24"/>
          <w:szCs w:val="24"/>
        </w:rPr>
        <w:t xml:space="preserve">they are considered to be a </w:t>
      </w:r>
      <w:r w:rsidR="00BF076B">
        <w:rPr>
          <w:rFonts w:ascii="Arial" w:hAnsi="Arial" w:cs="Arial"/>
          <w:sz w:val="24"/>
          <w:szCs w:val="24"/>
        </w:rPr>
        <w:t xml:space="preserve">pragmatic </w:t>
      </w:r>
      <w:r w:rsidR="002F03DD">
        <w:rPr>
          <w:rFonts w:ascii="Arial" w:hAnsi="Arial" w:cs="Arial"/>
          <w:sz w:val="24"/>
          <w:szCs w:val="24"/>
        </w:rPr>
        <w:t xml:space="preserve">tool for police officers. </w:t>
      </w:r>
      <w:r w:rsidR="0007257A">
        <w:rPr>
          <w:rFonts w:ascii="Arial" w:hAnsi="Arial" w:cs="Arial"/>
          <w:sz w:val="24"/>
          <w:szCs w:val="24"/>
        </w:rPr>
        <w:t>Similar to other policing methods, stop and search powers have many purposes but as explained by Blackstone’s, (2021, p 173), “the main purpose of stop and search powers is to enable officers to allay or confirm sus</w:t>
      </w:r>
      <w:r w:rsidR="004E3115">
        <w:rPr>
          <w:rFonts w:ascii="Arial" w:hAnsi="Arial" w:cs="Arial"/>
          <w:sz w:val="24"/>
          <w:szCs w:val="24"/>
        </w:rPr>
        <w:t xml:space="preserve">picions </w:t>
      </w:r>
      <w:r w:rsidR="0059353A">
        <w:rPr>
          <w:rFonts w:ascii="Arial" w:hAnsi="Arial" w:cs="Arial"/>
          <w:sz w:val="24"/>
          <w:szCs w:val="24"/>
        </w:rPr>
        <w:t xml:space="preserve">about individuals </w:t>
      </w:r>
      <w:r w:rsidR="00D31548">
        <w:rPr>
          <w:rFonts w:ascii="Arial" w:hAnsi="Arial" w:cs="Arial"/>
          <w:sz w:val="24"/>
          <w:szCs w:val="24"/>
        </w:rPr>
        <w:t xml:space="preserve">without exercising their power of arrest”. </w:t>
      </w:r>
      <w:r w:rsidR="00823B6C">
        <w:rPr>
          <w:rFonts w:ascii="Arial" w:hAnsi="Arial" w:cs="Arial"/>
          <w:sz w:val="24"/>
          <w:szCs w:val="24"/>
        </w:rPr>
        <w:t>However, despite</w:t>
      </w:r>
      <w:r w:rsidR="00352145">
        <w:rPr>
          <w:rFonts w:ascii="Arial" w:hAnsi="Arial" w:cs="Arial"/>
          <w:sz w:val="24"/>
          <w:szCs w:val="24"/>
        </w:rPr>
        <w:t xml:space="preserve"> the term ‘stop and search’ ha</w:t>
      </w:r>
      <w:r w:rsidR="00823B6C">
        <w:rPr>
          <w:rFonts w:ascii="Arial" w:hAnsi="Arial" w:cs="Arial"/>
          <w:sz w:val="24"/>
          <w:szCs w:val="24"/>
        </w:rPr>
        <w:t>ving</w:t>
      </w:r>
      <w:r w:rsidR="00352145">
        <w:rPr>
          <w:rFonts w:ascii="Arial" w:hAnsi="Arial" w:cs="Arial"/>
          <w:sz w:val="24"/>
          <w:szCs w:val="24"/>
        </w:rPr>
        <w:t xml:space="preserve"> a common definition and purpose</w:t>
      </w:r>
      <w:r w:rsidR="00D4263D">
        <w:rPr>
          <w:rFonts w:ascii="Arial" w:hAnsi="Arial" w:cs="Arial"/>
          <w:sz w:val="24"/>
          <w:szCs w:val="24"/>
        </w:rPr>
        <w:t xml:space="preserve"> (College of Policing, 2017)</w:t>
      </w:r>
      <w:r w:rsidR="00823B6C">
        <w:rPr>
          <w:rFonts w:ascii="Arial" w:hAnsi="Arial" w:cs="Arial"/>
          <w:sz w:val="24"/>
          <w:szCs w:val="24"/>
        </w:rPr>
        <w:t>, there are a variety of legislations used by the police to govern their stop and search powers</w:t>
      </w:r>
      <w:r w:rsidR="00D419CA">
        <w:rPr>
          <w:rFonts w:ascii="Arial" w:hAnsi="Arial" w:cs="Arial"/>
          <w:sz w:val="24"/>
          <w:szCs w:val="24"/>
        </w:rPr>
        <w:t xml:space="preserve"> and provide conditions that must be met when conducting or making an allegation of </w:t>
      </w:r>
      <w:r w:rsidR="00926AF9">
        <w:rPr>
          <w:rFonts w:ascii="Arial" w:hAnsi="Arial" w:cs="Arial"/>
          <w:sz w:val="24"/>
          <w:szCs w:val="24"/>
        </w:rPr>
        <w:t xml:space="preserve">a </w:t>
      </w:r>
      <w:r w:rsidR="00D419CA">
        <w:rPr>
          <w:rFonts w:ascii="Arial" w:hAnsi="Arial" w:cs="Arial"/>
          <w:sz w:val="24"/>
          <w:szCs w:val="24"/>
        </w:rPr>
        <w:t xml:space="preserve">search. </w:t>
      </w:r>
      <w:r w:rsidR="008E3281">
        <w:rPr>
          <w:rFonts w:ascii="Arial" w:hAnsi="Arial" w:cs="Arial"/>
          <w:sz w:val="24"/>
          <w:szCs w:val="24"/>
        </w:rPr>
        <w:t>The legislations provide fair practice of police authority as well as considering and meeting the human rights of individuals who are sus</w:t>
      </w:r>
      <w:r w:rsidR="00926AF9">
        <w:rPr>
          <w:rFonts w:ascii="Arial" w:hAnsi="Arial" w:cs="Arial"/>
          <w:sz w:val="24"/>
          <w:szCs w:val="24"/>
        </w:rPr>
        <w:t xml:space="preserve">pects </w:t>
      </w:r>
      <w:r w:rsidR="008E3281">
        <w:rPr>
          <w:rFonts w:ascii="Arial" w:hAnsi="Arial" w:cs="Arial"/>
          <w:sz w:val="24"/>
          <w:szCs w:val="24"/>
        </w:rPr>
        <w:t xml:space="preserve">of </w:t>
      </w:r>
      <w:r w:rsidR="00926AF9">
        <w:rPr>
          <w:rFonts w:ascii="Arial" w:hAnsi="Arial" w:cs="Arial"/>
          <w:sz w:val="24"/>
          <w:szCs w:val="24"/>
        </w:rPr>
        <w:t xml:space="preserve">the </w:t>
      </w:r>
      <w:r w:rsidR="008E3281">
        <w:rPr>
          <w:rFonts w:ascii="Arial" w:hAnsi="Arial" w:cs="Arial"/>
          <w:sz w:val="24"/>
          <w:szCs w:val="24"/>
        </w:rPr>
        <w:t xml:space="preserve">allegation. </w:t>
      </w:r>
      <w:r w:rsidR="008D2599">
        <w:rPr>
          <w:rFonts w:ascii="Arial" w:hAnsi="Arial" w:cs="Arial"/>
          <w:sz w:val="24"/>
          <w:szCs w:val="24"/>
        </w:rPr>
        <w:t xml:space="preserve">An example </w:t>
      </w:r>
      <w:r w:rsidR="008E3281">
        <w:rPr>
          <w:rFonts w:ascii="Arial" w:hAnsi="Arial" w:cs="Arial"/>
          <w:sz w:val="24"/>
          <w:szCs w:val="24"/>
        </w:rPr>
        <w:t xml:space="preserve">of </w:t>
      </w:r>
      <w:r w:rsidR="008D2599">
        <w:rPr>
          <w:rFonts w:ascii="Arial" w:hAnsi="Arial" w:cs="Arial"/>
          <w:sz w:val="24"/>
          <w:szCs w:val="24"/>
        </w:rPr>
        <w:t xml:space="preserve">some </w:t>
      </w:r>
      <w:r w:rsidR="008E3281">
        <w:rPr>
          <w:rFonts w:ascii="Arial" w:hAnsi="Arial" w:cs="Arial"/>
          <w:sz w:val="24"/>
          <w:szCs w:val="24"/>
        </w:rPr>
        <w:t xml:space="preserve">of the </w:t>
      </w:r>
      <w:r w:rsidR="00D419CA">
        <w:rPr>
          <w:rFonts w:ascii="Arial" w:hAnsi="Arial" w:cs="Arial"/>
          <w:sz w:val="24"/>
          <w:szCs w:val="24"/>
        </w:rPr>
        <w:t xml:space="preserve">legislations that stop and search powers can be </w:t>
      </w:r>
      <w:r w:rsidR="00926AF9">
        <w:rPr>
          <w:rFonts w:ascii="Arial" w:hAnsi="Arial" w:cs="Arial"/>
          <w:sz w:val="24"/>
          <w:szCs w:val="24"/>
        </w:rPr>
        <w:t>found under</w:t>
      </w:r>
      <w:r w:rsidR="00D419CA">
        <w:rPr>
          <w:rFonts w:ascii="Arial" w:hAnsi="Arial" w:cs="Arial"/>
          <w:sz w:val="24"/>
          <w:szCs w:val="24"/>
        </w:rPr>
        <w:t xml:space="preserve"> are the Police and Criminal Evidence Act (PACE) 1984 and </w:t>
      </w:r>
      <w:r w:rsidR="008D2599">
        <w:rPr>
          <w:rFonts w:ascii="Arial" w:hAnsi="Arial" w:cs="Arial"/>
          <w:sz w:val="24"/>
          <w:szCs w:val="24"/>
        </w:rPr>
        <w:t xml:space="preserve">the Misuse of Drugs Act 1971. </w:t>
      </w:r>
    </w:p>
    <w:p w14:paraId="7827E3BD" w14:textId="62C40C2A" w:rsidR="002F03DD" w:rsidRDefault="006766F4" w:rsidP="006766F4">
      <w:pPr>
        <w:spacing w:line="480" w:lineRule="auto"/>
        <w:rPr>
          <w:rFonts w:ascii="Arial" w:hAnsi="Arial" w:cs="Arial"/>
          <w:sz w:val="24"/>
          <w:szCs w:val="24"/>
        </w:rPr>
      </w:pPr>
      <w:r>
        <w:rPr>
          <w:rFonts w:ascii="Arial" w:hAnsi="Arial" w:cs="Arial"/>
          <w:sz w:val="24"/>
          <w:szCs w:val="24"/>
        </w:rPr>
        <w:t xml:space="preserve">           </w:t>
      </w:r>
      <w:r w:rsidR="002F03DD">
        <w:rPr>
          <w:rFonts w:ascii="Arial" w:hAnsi="Arial" w:cs="Arial"/>
          <w:sz w:val="24"/>
          <w:szCs w:val="24"/>
        </w:rPr>
        <w:t xml:space="preserve">Although their </w:t>
      </w:r>
      <w:r w:rsidR="00007FA3">
        <w:rPr>
          <w:rFonts w:ascii="Arial" w:hAnsi="Arial" w:cs="Arial"/>
          <w:sz w:val="24"/>
          <w:szCs w:val="24"/>
        </w:rPr>
        <w:t>practicality is considered to be an advantage to policing, stop and search powers can generate negative public perception which commonly circulate</w:t>
      </w:r>
      <w:r>
        <w:rPr>
          <w:rFonts w:ascii="Arial" w:hAnsi="Arial" w:cs="Arial"/>
          <w:sz w:val="24"/>
          <w:szCs w:val="24"/>
        </w:rPr>
        <w:t>s</w:t>
      </w:r>
      <w:r w:rsidR="00007FA3">
        <w:rPr>
          <w:rFonts w:ascii="Arial" w:hAnsi="Arial" w:cs="Arial"/>
          <w:sz w:val="24"/>
          <w:szCs w:val="24"/>
        </w:rPr>
        <w:t xml:space="preserve"> from the police misusing their stop and search powers and </w:t>
      </w:r>
      <w:r>
        <w:rPr>
          <w:rFonts w:ascii="Arial" w:hAnsi="Arial" w:cs="Arial"/>
          <w:sz w:val="24"/>
          <w:szCs w:val="24"/>
        </w:rPr>
        <w:t xml:space="preserve">displaying </w:t>
      </w:r>
      <w:r w:rsidR="00007FA3">
        <w:rPr>
          <w:rFonts w:ascii="Arial" w:hAnsi="Arial" w:cs="Arial"/>
          <w:sz w:val="24"/>
          <w:szCs w:val="24"/>
        </w:rPr>
        <w:t>discrimination towards those belonging to ethnic minorities (Blackstone’s, 2021</w:t>
      </w:r>
      <w:r w:rsidR="001542B6">
        <w:rPr>
          <w:rFonts w:ascii="Arial" w:hAnsi="Arial" w:cs="Arial"/>
          <w:sz w:val="24"/>
          <w:szCs w:val="24"/>
        </w:rPr>
        <w:t>, p 173).</w:t>
      </w:r>
      <w:r w:rsidR="008E3281">
        <w:rPr>
          <w:rFonts w:ascii="Arial" w:hAnsi="Arial" w:cs="Arial"/>
          <w:sz w:val="24"/>
          <w:szCs w:val="24"/>
        </w:rPr>
        <w:t xml:space="preserve"> This can </w:t>
      </w:r>
      <w:r w:rsidR="00926AF9">
        <w:rPr>
          <w:rFonts w:ascii="Arial" w:hAnsi="Arial" w:cs="Arial"/>
          <w:sz w:val="24"/>
          <w:szCs w:val="24"/>
        </w:rPr>
        <w:t>be a result of targeting ethnic minority backgrounds</w:t>
      </w:r>
      <w:r w:rsidR="008E3281">
        <w:rPr>
          <w:rFonts w:ascii="Arial" w:hAnsi="Arial" w:cs="Arial"/>
          <w:sz w:val="24"/>
          <w:szCs w:val="24"/>
        </w:rPr>
        <w:t xml:space="preserve"> and unlawful</w:t>
      </w:r>
      <w:r w:rsidR="00926AF9">
        <w:rPr>
          <w:rFonts w:ascii="Arial" w:hAnsi="Arial" w:cs="Arial"/>
          <w:sz w:val="24"/>
          <w:szCs w:val="24"/>
        </w:rPr>
        <w:t>ly using their police powers.</w:t>
      </w:r>
    </w:p>
    <w:p w14:paraId="3141FF71" w14:textId="77777777" w:rsidR="00F63224" w:rsidRDefault="00F63224" w:rsidP="006766F4">
      <w:pPr>
        <w:spacing w:line="480" w:lineRule="auto"/>
        <w:rPr>
          <w:rFonts w:ascii="Arial" w:hAnsi="Arial" w:cs="Arial"/>
          <w:sz w:val="24"/>
          <w:szCs w:val="24"/>
        </w:rPr>
      </w:pPr>
    </w:p>
    <w:p w14:paraId="1D8A3F7A" w14:textId="7EB8BCE1" w:rsidR="003072F9" w:rsidRDefault="006766F4" w:rsidP="006766F4">
      <w:pPr>
        <w:spacing w:line="480" w:lineRule="auto"/>
        <w:rPr>
          <w:rFonts w:ascii="Arial" w:hAnsi="Arial" w:cs="Arial"/>
          <w:sz w:val="24"/>
          <w:szCs w:val="24"/>
        </w:rPr>
      </w:pPr>
      <w:r>
        <w:rPr>
          <w:rFonts w:ascii="Arial" w:hAnsi="Arial" w:cs="Arial"/>
          <w:sz w:val="24"/>
          <w:szCs w:val="24"/>
        </w:rPr>
        <w:t xml:space="preserve">           </w:t>
      </w:r>
      <w:r w:rsidR="00D22B61">
        <w:rPr>
          <w:rFonts w:ascii="Arial" w:hAnsi="Arial" w:cs="Arial"/>
          <w:sz w:val="24"/>
          <w:szCs w:val="24"/>
        </w:rPr>
        <w:t>S</w:t>
      </w:r>
      <w:r w:rsidR="008D741B">
        <w:rPr>
          <w:rFonts w:ascii="Arial" w:hAnsi="Arial" w:cs="Arial"/>
          <w:sz w:val="24"/>
          <w:szCs w:val="24"/>
        </w:rPr>
        <w:t>imilar to m</w:t>
      </w:r>
      <w:r w:rsidR="00D22B61">
        <w:rPr>
          <w:rFonts w:ascii="Arial" w:hAnsi="Arial" w:cs="Arial"/>
          <w:sz w:val="24"/>
          <w:szCs w:val="24"/>
        </w:rPr>
        <w:t xml:space="preserve">ajority of the </w:t>
      </w:r>
      <w:r w:rsidR="008D741B">
        <w:rPr>
          <w:rFonts w:ascii="Arial" w:hAnsi="Arial" w:cs="Arial"/>
          <w:sz w:val="24"/>
          <w:szCs w:val="24"/>
        </w:rPr>
        <w:t xml:space="preserve">powers used by police, </w:t>
      </w:r>
      <w:r w:rsidR="00D22B61">
        <w:rPr>
          <w:rFonts w:ascii="Arial" w:hAnsi="Arial" w:cs="Arial"/>
          <w:sz w:val="24"/>
          <w:szCs w:val="24"/>
        </w:rPr>
        <w:t xml:space="preserve">stop and search powers </w:t>
      </w:r>
      <w:r w:rsidR="008D741B">
        <w:rPr>
          <w:rFonts w:ascii="Arial" w:hAnsi="Arial" w:cs="Arial"/>
          <w:sz w:val="24"/>
          <w:szCs w:val="24"/>
        </w:rPr>
        <w:t xml:space="preserve">are outlined </w:t>
      </w:r>
      <w:r w:rsidR="009656EA">
        <w:rPr>
          <w:rFonts w:ascii="Arial" w:hAnsi="Arial" w:cs="Arial"/>
          <w:sz w:val="24"/>
          <w:szCs w:val="24"/>
        </w:rPr>
        <w:t xml:space="preserve">by </w:t>
      </w:r>
      <w:r w:rsidR="00D22B61" w:rsidRPr="00D22B61">
        <w:rPr>
          <w:rFonts w:ascii="Arial" w:hAnsi="Arial" w:cs="Arial"/>
          <w:sz w:val="24"/>
          <w:szCs w:val="24"/>
        </w:rPr>
        <w:t>statutory and common law powers</w:t>
      </w:r>
      <w:r w:rsidR="00D22B61">
        <w:rPr>
          <w:rFonts w:ascii="Arial" w:hAnsi="Arial" w:cs="Arial"/>
          <w:sz w:val="24"/>
          <w:szCs w:val="24"/>
        </w:rPr>
        <w:t xml:space="preserve">, as well as other duties with relevance to policing of public order (College of Policing, 2018). The reasons for providing legislations governing the use of powers by the police can vary but commonly include protecting police legitimacy, </w:t>
      </w:r>
      <w:r w:rsidR="0018209F">
        <w:rPr>
          <w:rFonts w:ascii="Arial" w:hAnsi="Arial" w:cs="Arial"/>
          <w:sz w:val="24"/>
          <w:szCs w:val="24"/>
        </w:rPr>
        <w:t xml:space="preserve">increasing the trust between the public and police and ensuring </w:t>
      </w:r>
      <w:r w:rsidR="00AD58AE">
        <w:rPr>
          <w:rFonts w:ascii="Arial" w:hAnsi="Arial" w:cs="Arial"/>
          <w:sz w:val="24"/>
          <w:szCs w:val="24"/>
        </w:rPr>
        <w:t xml:space="preserve">the rights of suspects are met and respected. </w:t>
      </w:r>
    </w:p>
    <w:p w14:paraId="5FAE3317" w14:textId="64D2D098" w:rsidR="00AD58AE" w:rsidRDefault="006766F4" w:rsidP="006766F4">
      <w:pPr>
        <w:spacing w:line="480" w:lineRule="auto"/>
        <w:rPr>
          <w:rFonts w:ascii="Arial" w:hAnsi="Arial" w:cs="Arial"/>
          <w:sz w:val="24"/>
          <w:szCs w:val="24"/>
        </w:rPr>
      </w:pPr>
      <w:r>
        <w:rPr>
          <w:rFonts w:ascii="Arial" w:hAnsi="Arial" w:cs="Arial"/>
          <w:sz w:val="24"/>
          <w:szCs w:val="24"/>
        </w:rPr>
        <w:t xml:space="preserve">            </w:t>
      </w:r>
      <w:r w:rsidR="00AD58AE">
        <w:rPr>
          <w:rFonts w:ascii="Arial" w:hAnsi="Arial" w:cs="Arial"/>
          <w:sz w:val="24"/>
          <w:szCs w:val="24"/>
        </w:rPr>
        <w:t xml:space="preserve">The Police and Criminal Evidence Act (PACE) 1984 is a type of legislation used by the police </w:t>
      </w:r>
      <w:r w:rsidR="008178FF">
        <w:rPr>
          <w:rFonts w:ascii="Arial" w:hAnsi="Arial" w:cs="Arial"/>
          <w:sz w:val="24"/>
          <w:szCs w:val="24"/>
        </w:rPr>
        <w:t>that is described by Jones, (1985, p 679) as “one of the most controversial pieces of legislation in recent years”.</w:t>
      </w:r>
      <w:r w:rsidR="007C105D">
        <w:rPr>
          <w:rFonts w:ascii="Arial" w:hAnsi="Arial" w:cs="Arial"/>
          <w:sz w:val="24"/>
          <w:szCs w:val="24"/>
        </w:rPr>
        <w:t xml:space="preserve"> The purpose </w:t>
      </w:r>
      <w:r w:rsidR="008E1A63">
        <w:rPr>
          <w:rFonts w:ascii="Arial" w:hAnsi="Arial" w:cs="Arial"/>
          <w:sz w:val="24"/>
          <w:szCs w:val="24"/>
        </w:rPr>
        <w:t xml:space="preserve">for the introduction </w:t>
      </w:r>
      <w:r w:rsidR="007C105D">
        <w:rPr>
          <w:rFonts w:ascii="Arial" w:hAnsi="Arial" w:cs="Arial"/>
          <w:sz w:val="24"/>
          <w:szCs w:val="24"/>
        </w:rPr>
        <w:t xml:space="preserve">of PACE 1984 is to provide a balance between the use </w:t>
      </w:r>
      <w:r w:rsidR="00217298">
        <w:rPr>
          <w:rFonts w:ascii="Arial" w:hAnsi="Arial" w:cs="Arial"/>
          <w:sz w:val="24"/>
          <w:szCs w:val="24"/>
        </w:rPr>
        <w:t xml:space="preserve">and application of police powers and the protection of the rights of the public </w:t>
      </w:r>
      <w:r w:rsidR="00217298">
        <w:rPr>
          <w:rFonts w:ascii="Arial" w:hAnsi="Arial" w:cs="Arial"/>
          <w:sz w:val="24"/>
          <w:szCs w:val="24"/>
        </w:rPr>
        <w:lastRenderedPageBreak/>
        <w:t xml:space="preserve">(Blackstone’s, 2021, p 68). </w:t>
      </w:r>
      <w:r w:rsidR="002415AE">
        <w:rPr>
          <w:rFonts w:ascii="Arial" w:hAnsi="Arial" w:cs="Arial"/>
          <w:sz w:val="24"/>
          <w:szCs w:val="24"/>
        </w:rPr>
        <w:t xml:space="preserve">The legislation is divided into eight codes of practice that establish power in aspects of policing such as stop and search, suspect identification, power of arrest and the treatment and detention of suspects. </w:t>
      </w:r>
      <w:r>
        <w:rPr>
          <w:rFonts w:ascii="Arial" w:hAnsi="Arial" w:cs="Arial"/>
          <w:sz w:val="24"/>
          <w:szCs w:val="24"/>
        </w:rPr>
        <w:t xml:space="preserve">Searches under </w:t>
      </w:r>
      <w:r w:rsidR="00D60765" w:rsidRPr="00D60765">
        <w:rPr>
          <w:rFonts w:ascii="Arial" w:hAnsi="Arial" w:cs="Arial"/>
          <w:sz w:val="24"/>
          <w:szCs w:val="24"/>
        </w:rPr>
        <w:t xml:space="preserve">Code A of PACE include the stop and search of “persons and vehicles”, as explained by Cane and </w:t>
      </w:r>
      <w:proofErr w:type="spellStart"/>
      <w:r w:rsidR="00D60765" w:rsidRPr="00D60765">
        <w:rPr>
          <w:rFonts w:ascii="Arial" w:hAnsi="Arial" w:cs="Arial"/>
          <w:sz w:val="24"/>
          <w:szCs w:val="24"/>
        </w:rPr>
        <w:t>Conaghan</w:t>
      </w:r>
      <w:proofErr w:type="spellEnd"/>
      <w:r w:rsidR="00D60765" w:rsidRPr="00D60765">
        <w:rPr>
          <w:rFonts w:ascii="Arial" w:hAnsi="Arial" w:cs="Arial"/>
          <w:sz w:val="24"/>
          <w:szCs w:val="24"/>
        </w:rPr>
        <w:t>, (2009).</w:t>
      </w:r>
      <w:r w:rsidR="00D60765">
        <w:rPr>
          <w:rFonts w:ascii="Arial" w:hAnsi="Arial" w:cs="Arial"/>
          <w:sz w:val="24"/>
          <w:szCs w:val="24"/>
        </w:rPr>
        <w:t xml:space="preserve"> </w:t>
      </w:r>
    </w:p>
    <w:p w14:paraId="0DA58614" w14:textId="0C98444E" w:rsidR="00F63224" w:rsidRDefault="006766F4" w:rsidP="006766F4">
      <w:pPr>
        <w:spacing w:line="480" w:lineRule="auto"/>
        <w:rPr>
          <w:rFonts w:ascii="Arial" w:hAnsi="Arial" w:cs="Arial"/>
          <w:sz w:val="24"/>
          <w:szCs w:val="24"/>
        </w:rPr>
      </w:pPr>
      <w:r>
        <w:rPr>
          <w:rFonts w:ascii="Arial" w:hAnsi="Arial" w:cs="Arial"/>
          <w:sz w:val="24"/>
          <w:szCs w:val="24"/>
        </w:rPr>
        <w:t xml:space="preserve">          </w:t>
      </w:r>
      <w:r w:rsidR="002415AE">
        <w:rPr>
          <w:rFonts w:ascii="Arial" w:hAnsi="Arial" w:cs="Arial"/>
          <w:sz w:val="24"/>
          <w:szCs w:val="24"/>
        </w:rPr>
        <w:t>When a stop and search is conducted contrary to Code A of the Police and Criminal Evidence Act 1984, the legislation outlines that an arrest does not have to be implemented for the search to be carried out</w:t>
      </w:r>
      <w:r w:rsidR="00926AF9">
        <w:rPr>
          <w:rFonts w:ascii="Arial" w:hAnsi="Arial" w:cs="Arial"/>
          <w:sz w:val="24"/>
          <w:szCs w:val="24"/>
        </w:rPr>
        <w:t>. T</w:t>
      </w:r>
      <w:r w:rsidR="00FE5AE7">
        <w:rPr>
          <w:rFonts w:ascii="Arial" w:hAnsi="Arial" w:cs="Arial"/>
          <w:sz w:val="24"/>
          <w:szCs w:val="24"/>
        </w:rPr>
        <w:t>his is defined in S 4.1 of Code A. In these cases, the suspect would be detained not arrested which according to the Home Office, (2015) means the search “</w:t>
      </w:r>
      <w:r w:rsidR="00FE5AE7" w:rsidRPr="00FE5AE7">
        <w:rPr>
          <w:rFonts w:ascii="Arial" w:hAnsi="Arial" w:cs="Arial"/>
          <w:sz w:val="24"/>
          <w:szCs w:val="24"/>
        </w:rPr>
        <w:t>does not result in the person searched or person in charge</w:t>
      </w:r>
      <w:r w:rsidR="00FE5AE7">
        <w:rPr>
          <w:rFonts w:ascii="Arial" w:hAnsi="Arial" w:cs="Arial"/>
          <w:sz w:val="24"/>
          <w:szCs w:val="24"/>
        </w:rPr>
        <w:t xml:space="preserve"> </w:t>
      </w:r>
      <w:r w:rsidR="00FE5AE7" w:rsidRPr="00FE5AE7">
        <w:rPr>
          <w:rFonts w:ascii="Arial" w:hAnsi="Arial" w:cs="Arial"/>
          <w:sz w:val="24"/>
          <w:szCs w:val="24"/>
        </w:rPr>
        <w:t>of the vehicle searched being arrested and taken to a police station</w:t>
      </w:r>
      <w:r w:rsidR="00FE5AE7">
        <w:rPr>
          <w:rFonts w:ascii="Arial" w:hAnsi="Arial" w:cs="Arial"/>
          <w:sz w:val="24"/>
          <w:szCs w:val="24"/>
        </w:rPr>
        <w:t>”.</w:t>
      </w:r>
      <w:r w:rsidR="00B6337A">
        <w:rPr>
          <w:rFonts w:ascii="Arial" w:hAnsi="Arial" w:cs="Arial"/>
          <w:sz w:val="24"/>
          <w:szCs w:val="24"/>
        </w:rPr>
        <w:t xml:space="preserve"> </w:t>
      </w:r>
      <w:r w:rsidR="00D60765">
        <w:rPr>
          <w:rFonts w:ascii="Arial" w:hAnsi="Arial" w:cs="Arial"/>
          <w:sz w:val="24"/>
          <w:szCs w:val="24"/>
        </w:rPr>
        <w:t xml:space="preserve">However, in some cases where an officer believes there is a necessity to handcuff the suspect prior to or </w:t>
      </w:r>
      <w:r w:rsidR="00926AF9">
        <w:rPr>
          <w:rFonts w:ascii="Arial" w:hAnsi="Arial" w:cs="Arial"/>
          <w:sz w:val="24"/>
          <w:szCs w:val="24"/>
        </w:rPr>
        <w:t>during</w:t>
      </w:r>
      <w:r w:rsidR="00D60765">
        <w:rPr>
          <w:rFonts w:ascii="Arial" w:hAnsi="Arial" w:cs="Arial"/>
          <w:sz w:val="24"/>
          <w:szCs w:val="24"/>
        </w:rPr>
        <w:t xml:space="preserve"> the search this must be justified. An example of when an officer may believe </w:t>
      </w:r>
      <w:r>
        <w:rPr>
          <w:rFonts w:ascii="Arial" w:hAnsi="Arial" w:cs="Arial"/>
          <w:sz w:val="24"/>
          <w:szCs w:val="24"/>
        </w:rPr>
        <w:t>is a requirement</w:t>
      </w:r>
      <w:r w:rsidR="00D60765">
        <w:rPr>
          <w:rFonts w:ascii="Arial" w:hAnsi="Arial" w:cs="Arial"/>
          <w:sz w:val="24"/>
          <w:szCs w:val="24"/>
        </w:rPr>
        <w:t xml:space="preserve"> </w:t>
      </w:r>
      <w:r>
        <w:rPr>
          <w:rFonts w:ascii="Arial" w:hAnsi="Arial" w:cs="Arial"/>
          <w:sz w:val="24"/>
          <w:szCs w:val="24"/>
        </w:rPr>
        <w:t xml:space="preserve">is </w:t>
      </w:r>
      <w:r w:rsidR="00926AF9">
        <w:rPr>
          <w:rFonts w:ascii="Arial" w:hAnsi="Arial" w:cs="Arial"/>
          <w:sz w:val="24"/>
          <w:szCs w:val="24"/>
        </w:rPr>
        <w:t xml:space="preserve">depending on </w:t>
      </w:r>
      <w:r w:rsidR="00D60765">
        <w:rPr>
          <w:rFonts w:ascii="Arial" w:hAnsi="Arial" w:cs="Arial"/>
          <w:sz w:val="24"/>
          <w:szCs w:val="24"/>
        </w:rPr>
        <w:t xml:space="preserve">the individual’s behaviour, such as them being resistant to the search or being verbally or physically aggressive. It can also include the item of search being a weapon, for example a bladed article (Blackstone’s, 2021, p 175). </w:t>
      </w:r>
      <w:r w:rsidR="003D3B55">
        <w:rPr>
          <w:rFonts w:ascii="Arial" w:hAnsi="Arial" w:cs="Arial"/>
          <w:sz w:val="24"/>
          <w:szCs w:val="24"/>
        </w:rPr>
        <w:t xml:space="preserve">In addition, searches conducted under Code A of PACE must occur in a public place, which according to Blackstone’s (2021, p 176) is “anywhere the public or any section of the public has access, on payment or otherwise, as a right or by virtue of express or implied permission”. The locations in which searches are legally </w:t>
      </w:r>
      <w:r w:rsidR="00EE6639">
        <w:rPr>
          <w:rFonts w:ascii="Arial" w:hAnsi="Arial" w:cs="Arial"/>
          <w:sz w:val="24"/>
          <w:szCs w:val="24"/>
        </w:rPr>
        <w:t>required to be carried out have</w:t>
      </w:r>
      <w:r w:rsidR="003D3B55">
        <w:rPr>
          <w:rFonts w:ascii="Arial" w:hAnsi="Arial" w:cs="Arial"/>
          <w:sz w:val="24"/>
          <w:szCs w:val="24"/>
        </w:rPr>
        <w:t xml:space="preserve"> accordance to the legislation the search is compliant with.</w:t>
      </w:r>
      <w:r w:rsidR="00F63224" w:rsidRPr="00F63224">
        <w:rPr>
          <w:rFonts w:ascii="Arial" w:hAnsi="Arial" w:cs="Arial"/>
          <w:sz w:val="24"/>
          <w:szCs w:val="24"/>
        </w:rPr>
        <w:t xml:space="preserve"> </w:t>
      </w:r>
      <w:r w:rsidR="00F63224">
        <w:rPr>
          <w:rFonts w:ascii="Arial" w:hAnsi="Arial" w:cs="Arial"/>
          <w:sz w:val="24"/>
          <w:szCs w:val="24"/>
        </w:rPr>
        <w:t>Stop and search powers that are aligned by Code A of PACE only include the search of the following items, stated by the College of Policing (2019) which are “</w:t>
      </w:r>
      <w:r w:rsidR="00F63224" w:rsidRPr="008D709E">
        <w:rPr>
          <w:rFonts w:ascii="Arial" w:hAnsi="Arial" w:cs="Arial"/>
          <w:sz w:val="24"/>
          <w:szCs w:val="24"/>
        </w:rPr>
        <w:t>stolen or prohibited articles, points and blades, or fireworks</w:t>
      </w:r>
      <w:r w:rsidR="00F63224">
        <w:rPr>
          <w:rFonts w:ascii="Arial" w:hAnsi="Arial" w:cs="Arial"/>
          <w:sz w:val="24"/>
          <w:szCs w:val="24"/>
        </w:rPr>
        <w:t xml:space="preserve">”. When a search is proposed for the identification of controlled drugs, it is covered by the Misuse of Drugs Act 1971. </w:t>
      </w:r>
    </w:p>
    <w:p w14:paraId="52BD0695" w14:textId="6B5700FB" w:rsidR="00F63224" w:rsidRDefault="006766F4" w:rsidP="006766F4">
      <w:pPr>
        <w:spacing w:line="480" w:lineRule="auto"/>
        <w:rPr>
          <w:rFonts w:ascii="Arial" w:hAnsi="Arial" w:cs="Arial"/>
          <w:sz w:val="24"/>
          <w:szCs w:val="24"/>
        </w:rPr>
      </w:pPr>
      <w:r>
        <w:rPr>
          <w:rFonts w:ascii="Arial" w:hAnsi="Arial" w:cs="Arial"/>
          <w:sz w:val="24"/>
          <w:szCs w:val="24"/>
        </w:rPr>
        <w:t xml:space="preserve">          </w:t>
      </w:r>
      <w:r w:rsidR="008E1A63">
        <w:rPr>
          <w:rFonts w:ascii="Arial" w:hAnsi="Arial" w:cs="Arial"/>
          <w:sz w:val="24"/>
          <w:szCs w:val="24"/>
        </w:rPr>
        <w:t>The most significant factor of Code A of the Police and Criminal Evidence Act 1984 is the requirement for an officer to have reasonable grounds for the arisen suspicion of the search.</w:t>
      </w:r>
      <w:r w:rsidR="00D60765">
        <w:rPr>
          <w:rFonts w:ascii="Arial" w:hAnsi="Arial" w:cs="Arial"/>
          <w:sz w:val="24"/>
          <w:szCs w:val="24"/>
        </w:rPr>
        <w:t xml:space="preserve"> </w:t>
      </w:r>
      <w:r w:rsidR="00DA358E">
        <w:rPr>
          <w:rFonts w:ascii="Arial" w:hAnsi="Arial" w:cs="Arial"/>
          <w:sz w:val="24"/>
          <w:szCs w:val="24"/>
        </w:rPr>
        <w:t>Reasonable grounds must be met for the officer to believ</w:t>
      </w:r>
      <w:r w:rsidR="00EE6639">
        <w:rPr>
          <w:rFonts w:ascii="Arial" w:hAnsi="Arial" w:cs="Arial"/>
          <w:sz w:val="24"/>
          <w:szCs w:val="24"/>
        </w:rPr>
        <w:t xml:space="preserve">e </w:t>
      </w:r>
      <w:r w:rsidR="00DA358E">
        <w:rPr>
          <w:rFonts w:ascii="Arial" w:hAnsi="Arial" w:cs="Arial"/>
          <w:sz w:val="24"/>
          <w:szCs w:val="24"/>
        </w:rPr>
        <w:t xml:space="preserve">the search is </w:t>
      </w:r>
      <w:r>
        <w:rPr>
          <w:rFonts w:ascii="Arial" w:hAnsi="Arial" w:cs="Arial"/>
          <w:sz w:val="24"/>
          <w:szCs w:val="24"/>
        </w:rPr>
        <w:t>necessary</w:t>
      </w:r>
      <w:r w:rsidR="00DA358E">
        <w:rPr>
          <w:rFonts w:ascii="Arial" w:hAnsi="Arial" w:cs="Arial"/>
          <w:sz w:val="24"/>
          <w:szCs w:val="24"/>
        </w:rPr>
        <w:t xml:space="preserve"> (Jones, 1985, p 679). If there is no justification of reasonable grounds the search could be deemed</w:t>
      </w:r>
      <w:r w:rsidR="00EE6639">
        <w:rPr>
          <w:rFonts w:ascii="Arial" w:hAnsi="Arial" w:cs="Arial"/>
          <w:sz w:val="24"/>
          <w:szCs w:val="24"/>
        </w:rPr>
        <w:t xml:space="preserve"> to be</w:t>
      </w:r>
      <w:r w:rsidR="00DA358E">
        <w:rPr>
          <w:rFonts w:ascii="Arial" w:hAnsi="Arial" w:cs="Arial"/>
          <w:sz w:val="24"/>
          <w:szCs w:val="24"/>
        </w:rPr>
        <w:t xml:space="preserve"> unlawful. Reasonable grounds</w:t>
      </w:r>
      <w:r w:rsidR="007E1BD5">
        <w:rPr>
          <w:rFonts w:ascii="Arial" w:hAnsi="Arial" w:cs="Arial"/>
          <w:sz w:val="24"/>
          <w:szCs w:val="24"/>
        </w:rPr>
        <w:t xml:space="preserve"> for stop and search</w:t>
      </w:r>
      <w:r w:rsidR="00DA358E">
        <w:rPr>
          <w:rFonts w:ascii="Arial" w:hAnsi="Arial" w:cs="Arial"/>
          <w:sz w:val="24"/>
          <w:szCs w:val="24"/>
        </w:rPr>
        <w:t xml:space="preserve"> is divided into two parts; either the officer’s own </w:t>
      </w:r>
      <w:r w:rsidR="00482864">
        <w:rPr>
          <w:rFonts w:ascii="Arial" w:hAnsi="Arial" w:cs="Arial"/>
          <w:sz w:val="24"/>
          <w:szCs w:val="24"/>
        </w:rPr>
        <w:lastRenderedPageBreak/>
        <w:t xml:space="preserve">authentic suspicion or the objective reasoning with the use of information and the likelihood of the questioned object being found on the suspect (Home Office, 2015). </w:t>
      </w:r>
      <w:r w:rsidR="004D2AE8">
        <w:rPr>
          <w:rFonts w:ascii="Arial" w:hAnsi="Arial" w:cs="Arial"/>
          <w:sz w:val="24"/>
          <w:szCs w:val="24"/>
        </w:rPr>
        <w:t>Reasonable grounds for a stop and search ca</w:t>
      </w:r>
      <w:r w:rsidR="00E168FD">
        <w:rPr>
          <w:rFonts w:ascii="Arial" w:hAnsi="Arial" w:cs="Arial"/>
          <w:sz w:val="24"/>
          <w:szCs w:val="24"/>
        </w:rPr>
        <w:t xml:space="preserve">n also occur from an officer being made aware of unique factors of a suspect which would normally be implemented by a witness. This can assist the officers in forming a description of the suspect, making it more straightforward to identify </w:t>
      </w:r>
      <w:r w:rsidR="00EE6639">
        <w:rPr>
          <w:rFonts w:ascii="Arial" w:hAnsi="Arial" w:cs="Arial"/>
          <w:sz w:val="24"/>
          <w:szCs w:val="24"/>
        </w:rPr>
        <w:t>them</w:t>
      </w:r>
      <w:r w:rsidR="00E168FD">
        <w:rPr>
          <w:rFonts w:ascii="Arial" w:hAnsi="Arial" w:cs="Arial"/>
          <w:sz w:val="24"/>
          <w:szCs w:val="24"/>
        </w:rPr>
        <w:t xml:space="preserve"> (Blackstone’s, 2021, p 177). These factors generally include but not limited to age, clothing items and estimated height. </w:t>
      </w:r>
    </w:p>
    <w:p w14:paraId="78F6C0F0" w14:textId="7AF5ECEB" w:rsidR="008E1A63" w:rsidRDefault="006766F4" w:rsidP="006766F4">
      <w:pPr>
        <w:spacing w:line="480" w:lineRule="auto"/>
        <w:rPr>
          <w:rFonts w:ascii="Arial" w:hAnsi="Arial" w:cs="Arial"/>
          <w:sz w:val="24"/>
          <w:szCs w:val="24"/>
        </w:rPr>
      </w:pPr>
      <w:r>
        <w:rPr>
          <w:rFonts w:ascii="Arial" w:hAnsi="Arial" w:cs="Arial"/>
          <w:sz w:val="24"/>
          <w:szCs w:val="24"/>
        </w:rPr>
        <w:t xml:space="preserve">           </w:t>
      </w:r>
      <w:r w:rsidR="008E1A63">
        <w:rPr>
          <w:rFonts w:ascii="Arial" w:hAnsi="Arial" w:cs="Arial"/>
          <w:sz w:val="24"/>
          <w:szCs w:val="24"/>
        </w:rPr>
        <w:t>The Police and Criminal Evidence Act 1984 also portrays the importance of fair and lawful use of stop and search powers which can assist in preventing the creation of negative public perception. When dealing with stop and searches,</w:t>
      </w:r>
      <w:r w:rsidR="00EE6639">
        <w:rPr>
          <w:rFonts w:ascii="Arial" w:hAnsi="Arial" w:cs="Arial"/>
          <w:sz w:val="24"/>
          <w:szCs w:val="24"/>
        </w:rPr>
        <w:t xml:space="preserve"> by law,</w:t>
      </w:r>
      <w:r w:rsidR="008E1A63">
        <w:rPr>
          <w:rFonts w:ascii="Arial" w:hAnsi="Arial" w:cs="Arial"/>
          <w:sz w:val="24"/>
          <w:szCs w:val="24"/>
        </w:rPr>
        <w:t xml:space="preserve"> the police should not be </w:t>
      </w:r>
      <w:r w:rsidR="00563005">
        <w:rPr>
          <w:rFonts w:ascii="Arial" w:hAnsi="Arial" w:cs="Arial"/>
          <w:sz w:val="24"/>
          <w:szCs w:val="24"/>
        </w:rPr>
        <w:t>racist or discriminative</w:t>
      </w:r>
      <w:r w:rsidR="008D709E">
        <w:rPr>
          <w:rFonts w:ascii="Arial" w:hAnsi="Arial" w:cs="Arial"/>
          <w:sz w:val="24"/>
          <w:szCs w:val="24"/>
        </w:rPr>
        <w:t xml:space="preserve"> (Cane and </w:t>
      </w:r>
      <w:proofErr w:type="spellStart"/>
      <w:r w:rsidR="008D709E">
        <w:rPr>
          <w:rFonts w:ascii="Arial" w:hAnsi="Arial" w:cs="Arial"/>
          <w:sz w:val="24"/>
          <w:szCs w:val="24"/>
        </w:rPr>
        <w:t>Conaghan</w:t>
      </w:r>
      <w:proofErr w:type="spellEnd"/>
      <w:r w:rsidR="008D709E">
        <w:rPr>
          <w:rFonts w:ascii="Arial" w:hAnsi="Arial" w:cs="Arial"/>
          <w:sz w:val="24"/>
          <w:szCs w:val="24"/>
        </w:rPr>
        <w:t>, 2009)</w:t>
      </w:r>
      <w:r w:rsidR="00563005">
        <w:rPr>
          <w:rFonts w:ascii="Arial" w:hAnsi="Arial" w:cs="Arial"/>
          <w:sz w:val="24"/>
          <w:szCs w:val="24"/>
        </w:rPr>
        <w:t>.</w:t>
      </w:r>
      <w:r w:rsidR="008D709E">
        <w:rPr>
          <w:rFonts w:ascii="Arial" w:hAnsi="Arial" w:cs="Arial"/>
          <w:sz w:val="24"/>
          <w:szCs w:val="24"/>
        </w:rPr>
        <w:t xml:space="preserve"> </w:t>
      </w:r>
      <w:r w:rsidR="00F11E73">
        <w:rPr>
          <w:rFonts w:ascii="Arial" w:hAnsi="Arial" w:cs="Arial"/>
          <w:sz w:val="24"/>
          <w:szCs w:val="24"/>
        </w:rPr>
        <w:t>It is argued that freedom of judgement is crucial for high standards of policing, supported by Ellis, (2010, p 199) with the statement “i</w:t>
      </w:r>
      <w:r w:rsidR="00F11E73" w:rsidRPr="00F11E73">
        <w:rPr>
          <w:rFonts w:ascii="Arial" w:hAnsi="Arial" w:cs="Arial"/>
          <w:sz w:val="24"/>
          <w:szCs w:val="24"/>
        </w:rPr>
        <w:t>t has long been recognised that discretion is vital to good police</w:t>
      </w:r>
      <w:r w:rsidR="00F11E73">
        <w:rPr>
          <w:rFonts w:ascii="Arial" w:hAnsi="Arial" w:cs="Arial"/>
          <w:sz w:val="24"/>
          <w:szCs w:val="24"/>
        </w:rPr>
        <w:t xml:space="preserve"> </w:t>
      </w:r>
      <w:r w:rsidR="00F11E73" w:rsidRPr="00F11E73">
        <w:rPr>
          <w:rFonts w:ascii="Arial" w:hAnsi="Arial" w:cs="Arial"/>
          <w:sz w:val="24"/>
          <w:szCs w:val="24"/>
        </w:rPr>
        <w:t>work</w:t>
      </w:r>
      <w:r w:rsidR="00F11E73">
        <w:rPr>
          <w:rFonts w:ascii="Arial" w:hAnsi="Arial" w:cs="Arial"/>
          <w:sz w:val="24"/>
          <w:szCs w:val="24"/>
        </w:rPr>
        <w:t>”.</w:t>
      </w:r>
    </w:p>
    <w:p w14:paraId="6C5DF4C3" w14:textId="5203817F" w:rsidR="00E122BE" w:rsidRDefault="006766F4" w:rsidP="006766F4">
      <w:pPr>
        <w:spacing w:line="480" w:lineRule="auto"/>
        <w:rPr>
          <w:rFonts w:ascii="Arial" w:hAnsi="Arial" w:cs="Arial"/>
          <w:sz w:val="24"/>
          <w:szCs w:val="24"/>
        </w:rPr>
      </w:pPr>
      <w:r>
        <w:rPr>
          <w:rFonts w:ascii="Arial" w:hAnsi="Arial" w:cs="Arial"/>
          <w:sz w:val="24"/>
          <w:szCs w:val="24"/>
        </w:rPr>
        <w:t xml:space="preserve">          </w:t>
      </w:r>
      <w:r w:rsidR="00F63224">
        <w:rPr>
          <w:rFonts w:ascii="Arial" w:hAnsi="Arial" w:cs="Arial"/>
          <w:sz w:val="24"/>
          <w:szCs w:val="24"/>
        </w:rPr>
        <w:t>Although the appropriate use of stop and search powers are outline</w:t>
      </w:r>
      <w:r w:rsidR="00EE6639">
        <w:rPr>
          <w:rFonts w:ascii="Arial" w:hAnsi="Arial" w:cs="Arial"/>
          <w:sz w:val="24"/>
          <w:szCs w:val="24"/>
        </w:rPr>
        <w:t>d</w:t>
      </w:r>
      <w:r w:rsidR="00F63224">
        <w:rPr>
          <w:rFonts w:ascii="Arial" w:hAnsi="Arial" w:cs="Arial"/>
          <w:sz w:val="24"/>
          <w:szCs w:val="24"/>
        </w:rPr>
        <w:t xml:space="preserve"> by the Police and Criminal Evidence Act 1984, it is apparent in parts of the British public </w:t>
      </w:r>
      <w:r w:rsidR="00A6706E">
        <w:rPr>
          <w:rFonts w:ascii="Arial" w:hAnsi="Arial" w:cs="Arial"/>
          <w:sz w:val="24"/>
          <w:szCs w:val="24"/>
        </w:rPr>
        <w:t xml:space="preserve">perception </w:t>
      </w:r>
      <w:r w:rsidR="00F63224">
        <w:rPr>
          <w:rFonts w:ascii="Arial" w:hAnsi="Arial" w:cs="Arial"/>
          <w:sz w:val="24"/>
          <w:szCs w:val="24"/>
        </w:rPr>
        <w:t>that the misuse of stop and search powers is still present. In potential agreement to this concept, Ellis (2010, p 200) specifies “n</w:t>
      </w:r>
      <w:r w:rsidR="00F63224" w:rsidRPr="00F63224">
        <w:rPr>
          <w:rFonts w:ascii="Arial" w:hAnsi="Arial" w:cs="Arial"/>
          <w:sz w:val="24"/>
          <w:szCs w:val="24"/>
        </w:rPr>
        <w:t>umerous individual experiences, reports, statistics and research suggest that</w:t>
      </w:r>
      <w:r w:rsidR="00F63224">
        <w:rPr>
          <w:rFonts w:ascii="Arial" w:hAnsi="Arial" w:cs="Arial"/>
          <w:sz w:val="24"/>
          <w:szCs w:val="24"/>
        </w:rPr>
        <w:t xml:space="preserve"> t</w:t>
      </w:r>
      <w:r w:rsidR="00F63224" w:rsidRPr="00F63224">
        <w:rPr>
          <w:rFonts w:ascii="Arial" w:hAnsi="Arial" w:cs="Arial"/>
          <w:sz w:val="24"/>
          <w:szCs w:val="24"/>
        </w:rPr>
        <w:t>here is an unsettling level of ethnic disproportionality</w:t>
      </w:r>
      <w:r w:rsidR="00F63224">
        <w:rPr>
          <w:rFonts w:ascii="Arial" w:hAnsi="Arial" w:cs="Arial"/>
          <w:sz w:val="24"/>
          <w:szCs w:val="24"/>
        </w:rPr>
        <w:t>”</w:t>
      </w:r>
      <w:r w:rsidR="00DD25A9">
        <w:rPr>
          <w:rFonts w:ascii="Arial" w:hAnsi="Arial" w:cs="Arial"/>
          <w:sz w:val="24"/>
          <w:szCs w:val="24"/>
        </w:rPr>
        <w:t xml:space="preserve">. </w:t>
      </w:r>
      <w:r w:rsidR="00A6706E">
        <w:rPr>
          <w:rFonts w:ascii="Arial" w:hAnsi="Arial" w:cs="Arial"/>
          <w:sz w:val="24"/>
          <w:szCs w:val="24"/>
        </w:rPr>
        <w:t>The most recent statistics for stop and search reveal “</w:t>
      </w:r>
      <w:r w:rsidR="00A6706E" w:rsidRPr="00A6706E">
        <w:rPr>
          <w:rFonts w:ascii="Arial" w:hAnsi="Arial" w:cs="Arial"/>
          <w:sz w:val="24"/>
          <w:szCs w:val="24"/>
        </w:rPr>
        <w:t>there were 6 stop and searches for every 1,000 White people, compared with 54 for every 1,000 Black people</w:t>
      </w:r>
      <w:r w:rsidR="00A6706E">
        <w:rPr>
          <w:rFonts w:ascii="Arial" w:hAnsi="Arial" w:cs="Arial"/>
          <w:sz w:val="24"/>
          <w:szCs w:val="24"/>
        </w:rPr>
        <w:t xml:space="preserve">”, as reported by GOV.UK (2021). With the obvious </w:t>
      </w:r>
      <w:r w:rsidR="002C5C9E">
        <w:rPr>
          <w:rFonts w:ascii="Arial" w:hAnsi="Arial" w:cs="Arial"/>
          <w:sz w:val="24"/>
          <w:szCs w:val="24"/>
        </w:rPr>
        <w:t xml:space="preserve">identification that more stop and searches were conducted on the Black ethnic minority group, it could be a factor contributing to the beliefs of discriminative use of stop and search powers by the police. </w:t>
      </w:r>
    </w:p>
    <w:p w14:paraId="07C7BB60" w14:textId="5406EC0D" w:rsidR="00F63224" w:rsidRDefault="006766F4" w:rsidP="006766F4">
      <w:pPr>
        <w:spacing w:line="480" w:lineRule="auto"/>
        <w:rPr>
          <w:rFonts w:ascii="Arial" w:hAnsi="Arial" w:cs="Arial"/>
          <w:sz w:val="24"/>
          <w:szCs w:val="24"/>
        </w:rPr>
      </w:pPr>
      <w:r>
        <w:rPr>
          <w:rFonts w:ascii="Arial" w:hAnsi="Arial" w:cs="Arial"/>
          <w:sz w:val="24"/>
          <w:szCs w:val="24"/>
        </w:rPr>
        <w:t xml:space="preserve">           </w:t>
      </w:r>
      <w:r w:rsidR="0051720E">
        <w:rPr>
          <w:rFonts w:ascii="Arial" w:hAnsi="Arial" w:cs="Arial"/>
          <w:sz w:val="24"/>
          <w:szCs w:val="24"/>
        </w:rPr>
        <w:t xml:space="preserve">Further justification of the beliefs that stop and search powers are used </w:t>
      </w:r>
      <w:r w:rsidR="00F276F7">
        <w:rPr>
          <w:rFonts w:ascii="Arial" w:hAnsi="Arial" w:cs="Arial"/>
          <w:sz w:val="24"/>
          <w:szCs w:val="24"/>
        </w:rPr>
        <w:t>disproportionally and unlawfully was made by the 1990 Trust (2004, p 15) as their research led to the discovery that “b</w:t>
      </w:r>
      <w:r w:rsidR="00F276F7" w:rsidRPr="00F276F7">
        <w:rPr>
          <w:rFonts w:ascii="Arial" w:hAnsi="Arial" w:cs="Arial"/>
          <w:sz w:val="24"/>
          <w:szCs w:val="24"/>
        </w:rPr>
        <w:t xml:space="preserve">lack people were eight times more likely to be stopped and searched than a </w:t>
      </w:r>
      <w:r w:rsidR="00F276F7">
        <w:rPr>
          <w:rFonts w:ascii="Arial" w:hAnsi="Arial" w:cs="Arial"/>
          <w:sz w:val="24"/>
          <w:szCs w:val="24"/>
        </w:rPr>
        <w:t>w</w:t>
      </w:r>
      <w:r w:rsidR="00F276F7" w:rsidRPr="00F276F7">
        <w:rPr>
          <w:rFonts w:ascii="Arial" w:hAnsi="Arial" w:cs="Arial"/>
          <w:sz w:val="24"/>
          <w:szCs w:val="24"/>
        </w:rPr>
        <w:t>hite person</w:t>
      </w:r>
      <w:r w:rsidR="00F276F7">
        <w:rPr>
          <w:rFonts w:ascii="Arial" w:hAnsi="Arial" w:cs="Arial"/>
          <w:sz w:val="24"/>
          <w:szCs w:val="24"/>
        </w:rPr>
        <w:t>”. This is damaging to the community as it forms a basis for citizens in ethnic minority communities to believe the police are racist and use their powers without consideration to ethnicity. The 1990 Trust (2004, p16) des</w:t>
      </w:r>
      <w:r w:rsidR="00197632">
        <w:rPr>
          <w:rFonts w:ascii="Arial" w:hAnsi="Arial" w:cs="Arial"/>
          <w:sz w:val="24"/>
          <w:szCs w:val="24"/>
        </w:rPr>
        <w:t>cribe the impact on the Black communities as “</w:t>
      </w:r>
      <w:r w:rsidR="00F276F7" w:rsidRPr="00F276F7">
        <w:rPr>
          <w:rFonts w:ascii="Arial" w:hAnsi="Arial" w:cs="Arial"/>
          <w:sz w:val="24"/>
          <w:szCs w:val="24"/>
        </w:rPr>
        <w:t xml:space="preserve">the reinforcement of the view </w:t>
      </w:r>
      <w:r w:rsidR="00F276F7" w:rsidRPr="00F276F7">
        <w:rPr>
          <w:rFonts w:ascii="Arial" w:hAnsi="Arial" w:cs="Arial"/>
          <w:sz w:val="24"/>
          <w:szCs w:val="24"/>
        </w:rPr>
        <w:lastRenderedPageBreak/>
        <w:t>that they are stereotyped and regarded as criminals, while at the same time their needs for protection from crime are not given the same amount of attention</w:t>
      </w:r>
      <w:r w:rsidR="00197632">
        <w:rPr>
          <w:rFonts w:ascii="Arial" w:hAnsi="Arial" w:cs="Arial"/>
          <w:sz w:val="24"/>
          <w:szCs w:val="24"/>
        </w:rPr>
        <w:t xml:space="preserve">”, which could be justified by the murder case of Stephen Lawrence in 1993. </w:t>
      </w:r>
    </w:p>
    <w:p w14:paraId="226F95CC" w14:textId="2DDFF462" w:rsidR="00197632" w:rsidRDefault="00DD6FE0" w:rsidP="006766F4">
      <w:pPr>
        <w:spacing w:line="480" w:lineRule="auto"/>
        <w:rPr>
          <w:rFonts w:ascii="Arial" w:hAnsi="Arial" w:cs="Arial"/>
          <w:sz w:val="24"/>
          <w:szCs w:val="24"/>
        </w:rPr>
      </w:pPr>
      <w:r>
        <w:rPr>
          <w:rFonts w:ascii="Arial" w:hAnsi="Arial" w:cs="Arial"/>
          <w:sz w:val="24"/>
          <w:szCs w:val="24"/>
        </w:rPr>
        <w:t xml:space="preserve">          </w:t>
      </w:r>
      <w:r w:rsidR="00197632">
        <w:rPr>
          <w:rFonts w:ascii="Arial" w:hAnsi="Arial" w:cs="Arial"/>
          <w:sz w:val="24"/>
          <w:szCs w:val="24"/>
        </w:rPr>
        <w:t>A large area in the United Kingdom that have issues with the misuse of stop and search powers is London, England which is c</w:t>
      </w:r>
      <w:r w:rsidR="00FF5C1A">
        <w:rPr>
          <w:rFonts w:ascii="Arial" w:hAnsi="Arial" w:cs="Arial"/>
          <w:sz w:val="24"/>
          <w:szCs w:val="24"/>
        </w:rPr>
        <w:t xml:space="preserve">overed </w:t>
      </w:r>
      <w:r w:rsidR="00197632">
        <w:rPr>
          <w:rFonts w:ascii="Arial" w:hAnsi="Arial" w:cs="Arial"/>
          <w:sz w:val="24"/>
          <w:szCs w:val="24"/>
        </w:rPr>
        <w:t>by the Metropolitan Police Force. The 1990 Trust directed its research at the Metropolitan Police Force</w:t>
      </w:r>
      <w:r w:rsidR="0025745B">
        <w:rPr>
          <w:rFonts w:ascii="Arial" w:hAnsi="Arial" w:cs="Arial"/>
          <w:sz w:val="24"/>
          <w:szCs w:val="24"/>
        </w:rPr>
        <w:t xml:space="preserve"> as London equivalated </w:t>
      </w:r>
      <w:r w:rsidR="00FF5C1A">
        <w:rPr>
          <w:rFonts w:ascii="Arial" w:hAnsi="Arial" w:cs="Arial"/>
          <w:sz w:val="24"/>
          <w:szCs w:val="24"/>
        </w:rPr>
        <w:t xml:space="preserve">to </w:t>
      </w:r>
      <w:r w:rsidR="0025745B">
        <w:rPr>
          <w:rFonts w:ascii="Arial" w:hAnsi="Arial" w:cs="Arial"/>
          <w:sz w:val="24"/>
          <w:szCs w:val="24"/>
        </w:rPr>
        <w:t xml:space="preserve">more than a quarter of all stop and searches in the country (1990 Trust, 2004, p 18). The accusations against the Metropolitan Police Force were recently encountered to by the Guardian as the </w:t>
      </w:r>
      <w:r w:rsidR="002A161A">
        <w:rPr>
          <w:rFonts w:ascii="Arial" w:hAnsi="Arial" w:cs="Arial"/>
          <w:sz w:val="24"/>
          <w:szCs w:val="24"/>
        </w:rPr>
        <w:t>London</w:t>
      </w:r>
      <w:r w:rsidR="00FF5C1A">
        <w:rPr>
          <w:rFonts w:ascii="Arial" w:hAnsi="Arial" w:cs="Arial"/>
          <w:sz w:val="24"/>
          <w:szCs w:val="24"/>
        </w:rPr>
        <w:t>’s</w:t>
      </w:r>
      <w:r w:rsidR="002A161A">
        <w:rPr>
          <w:rFonts w:ascii="Arial" w:hAnsi="Arial" w:cs="Arial"/>
          <w:sz w:val="24"/>
          <w:szCs w:val="24"/>
        </w:rPr>
        <w:t xml:space="preserve"> communit</w:t>
      </w:r>
      <w:r w:rsidR="00FF5C1A">
        <w:rPr>
          <w:rFonts w:ascii="Arial" w:hAnsi="Arial" w:cs="Arial"/>
          <w:sz w:val="24"/>
          <w:szCs w:val="24"/>
        </w:rPr>
        <w:t>ies</w:t>
      </w:r>
      <w:r w:rsidR="002A161A">
        <w:rPr>
          <w:rFonts w:ascii="Arial" w:hAnsi="Arial" w:cs="Arial"/>
          <w:sz w:val="24"/>
          <w:szCs w:val="24"/>
        </w:rPr>
        <w:t xml:space="preserve"> </w:t>
      </w:r>
      <w:r w:rsidR="00FF5C1A">
        <w:rPr>
          <w:rFonts w:ascii="Arial" w:hAnsi="Arial" w:cs="Arial"/>
          <w:sz w:val="24"/>
          <w:szCs w:val="24"/>
        </w:rPr>
        <w:t>are</w:t>
      </w:r>
      <w:r w:rsidR="002A161A">
        <w:rPr>
          <w:rFonts w:ascii="Arial" w:hAnsi="Arial" w:cs="Arial"/>
          <w:sz w:val="24"/>
          <w:szCs w:val="24"/>
        </w:rPr>
        <w:t xml:space="preserve"> believed to lack in community trust and confidence with the force which they are being greatly criticised for. The Guardian (2020) demonstrate an example of police discrimination as they state, “</w:t>
      </w:r>
      <w:r w:rsidR="00197632" w:rsidRPr="00197632">
        <w:rPr>
          <w:rFonts w:ascii="Arial" w:hAnsi="Arial" w:cs="Arial"/>
          <w:sz w:val="24"/>
          <w:szCs w:val="24"/>
        </w:rPr>
        <w:t>The Independent Office for Police Conduct said police in one case stopped and searched two black men who were innocently fist bumping, because officers wrongly thought they were drug dealing</w:t>
      </w:r>
      <w:r w:rsidR="002A161A">
        <w:rPr>
          <w:rFonts w:ascii="Arial" w:hAnsi="Arial" w:cs="Arial"/>
          <w:sz w:val="24"/>
          <w:szCs w:val="24"/>
        </w:rPr>
        <w:t>”</w:t>
      </w:r>
      <w:r w:rsidR="0025745B">
        <w:rPr>
          <w:rFonts w:ascii="Arial" w:hAnsi="Arial" w:cs="Arial"/>
          <w:sz w:val="24"/>
          <w:szCs w:val="24"/>
        </w:rPr>
        <w:t>.</w:t>
      </w:r>
      <w:r w:rsidR="002A161A">
        <w:rPr>
          <w:rFonts w:ascii="Arial" w:hAnsi="Arial" w:cs="Arial"/>
          <w:sz w:val="24"/>
          <w:szCs w:val="24"/>
        </w:rPr>
        <w:t xml:space="preserve"> Incorrect accusations as such contribute to the </w:t>
      </w:r>
      <w:r w:rsidR="00FF5C1A">
        <w:rPr>
          <w:rFonts w:ascii="Arial" w:hAnsi="Arial" w:cs="Arial"/>
          <w:sz w:val="24"/>
          <w:szCs w:val="24"/>
        </w:rPr>
        <w:t>accounts</w:t>
      </w:r>
      <w:r w:rsidR="002A161A">
        <w:rPr>
          <w:rFonts w:ascii="Arial" w:hAnsi="Arial" w:cs="Arial"/>
          <w:sz w:val="24"/>
          <w:szCs w:val="24"/>
        </w:rPr>
        <w:t xml:space="preserve"> of police powers</w:t>
      </w:r>
      <w:r w:rsidR="00FF5C1A">
        <w:rPr>
          <w:rFonts w:ascii="Arial" w:hAnsi="Arial" w:cs="Arial"/>
          <w:sz w:val="24"/>
          <w:szCs w:val="24"/>
        </w:rPr>
        <w:t xml:space="preserve"> being used with discrimination</w:t>
      </w:r>
      <w:r w:rsidR="002A161A">
        <w:rPr>
          <w:rFonts w:ascii="Arial" w:hAnsi="Arial" w:cs="Arial"/>
          <w:sz w:val="24"/>
          <w:szCs w:val="24"/>
        </w:rPr>
        <w:t xml:space="preserve"> which </w:t>
      </w:r>
      <w:r w:rsidR="00FF5C1A">
        <w:rPr>
          <w:rFonts w:ascii="Arial" w:hAnsi="Arial" w:cs="Arial"/>
          <w:sz w:val="24"/>
          <w:szCs w:val="24"/>
        </w:rPr>
        <w:t xml:space="preserve">can </w:t>
      </w:r>
      <w:r w:rsidR="002A161A">
        <w:rPr>
          <w:rFonts w:ascii="Arial" w:hAnsi="Arial" w:cs="Arial"/>
          <w:sz w:val="24"/>
          <w:szCs w:val="24"/>
        </w:rPr>
        <w:t>influence and shape the public perception of the police. The tactics and approaches of the Metropolitan Police Force is evidently damaging the community trust which can effect police legitimacy (Guardian, 2020). The Guardian (2020) also disclose that the Independent Office for Police Conduct believe “t</w:t>
      </w:r>
      <w:r w:rsidR="002A161A" w:rsidRPr="002A161A">
        <w:rPr>
          <w:rFonts w:ascii="Arial" w:hAnsi="Arial" w:cs="Arial"/>
          <w:sz w:val="24"/>
          <w:szCs w:val="24"/>
        </w:rPr>
        <w:t>here is clearly much room for improvement”</w:t>
      </w:r>
      <w:r w:rsidR="002A161A">
        <w:rPr>
          <w:rFonts w:ascii="Arial" w:hAnsi="Arial" w:cs="Arial"/>
          <w:sz w:val="24"/>
          <w:szCs w:val="24"/>
        </w:rPr>
        <w:t xml:space="preserve">. </w:t>
      </w:r>
    </w:p>
    <w:p w14:paraId="14F13214" w14:textId="601D145D" w:rsidR="003072F9" w:rsidRDefault="00DD6FE0" w:rsidP="006766F4">
      <w:pPr>
        <w:spacing w:line="480" w:lineRule="auto"/>
        <w:rPr>
          <w:rFonts w:ascii="Arial" w:hAnsi="Arial" w:cs="Arial"/>
          <w:sz w:val="24"/>
          <w:szCs w:val="24"/>
        </w:rPr>
      </w:pPr>
      <w:r>
        <w:rPr>
          <w:rFonts w:ascii="Arial" w:hAnsi="Arial" w:cs="Arial"/>
          <w:sz w:val="24"/>
          <w:szCs w:val="24"/>
        </w:rPr>
        <w:t xml:space="preserve">           </w:t>
      </w:r>
      <w:r w:rsidR="00762214">
        <w:rPr>
          <w:rFonts w:ascii="Arial" w:hAnsi="Arial" w:cs="Arial"/>
          <w:sz w:val="24"/>
          <w:szCs w:val="24"/>
        </w:rPr>
        <w:t xml:space="preserve">The </w:t>
      </w:r>
      <w:r w:rsidR="00762214" w:rsidRPr="00762214">
        <w:rPr>
          <w:rFonts w:ascii="Arial" w:hAnsi="Arial" w:cs="Arial"/>
          <w:sz w:val="24"/>
          <w:szCs w:val="24"/>
        </w:rPr>
        <w:t>Misuse of Drugs Act 1971</w:t>
      </w:r>
      <w:r w:rsidR="00762214">
        <w:rPr>
          <w:rFonts w:ascii="Arial" w:hAnsi="Arial" w:cs="Arial"/>
          <w:sz w:val="24"/>
          <w:szCs w:val="24"/>
        </w:rPr>
        <w:t xml:space="preserve"> </w:t>
      </w:r>
      <w:r w:rsidR="007872E2">
        <w:rPr>
          <w:rFonts w:ascii="Arial" w:hAnsi="Arial" w:cs="Arial"/>
          <w:sz w:val="24"/>
          <w:szCs w:val="24"/>
        </w:rPr>
        <w:t xml:space="preserve">is another legislation </w:t>
      </w:r>
      <w:r w:rsidR="005C002C">
        <w:rPr>
          <w:rFonts w:ascii="Arial" w:hAnsi="Arial" w:cs="Arial"/>
          <w:sz w:val="24"/>
          <w:szCs w:val="24"/>
        </w:rPr>
        <w:t xml:space="preserve">that outlines stop and search powers when the desired item of search </w:t>
      </w:r>
      <w:r w:rsidR="00FF5C1A">
        <w:rPr>
          <w:rFonts w:ascii="Arial" w:hAnsi="Arial" w:cs="Arial"/>
          <w:sz w:val="24"/>
          <w:szCs w:val="24"/>
        </w:rPr>
        <w:t xml:space="preserve">is controlled </w:t>
      </w:r>
      <w:r w:rsidR="005C002C">
        <w:rPr>
          <w:rFonts w:ascii="Arial" w:hAnsi="Arial" w:cs="Arial"/>
          <w:sz w:val="24"/>
          <w:szCs w:val="24"/>
        </w:rPr>
        <w:t xml:space="preserve">drugs. </w:t>
      </w:r>
      <w:r w:rsidR="002154A6">
        <w:rPr>
          <w:rFonts w:ascii="Arial" w:hAnsi="Arial" w:cs="Arial"/>
          <w:sz w:val="24"/>
          <w:szCs w:val="24"/>
        </w:rPr>
        <w:t xml:space="preserve">It is argued that in the United Kingdom the Misuse of Drugs Act 1971 has been </w:t>
      </w:r>
      <w:r w:rsidR="00832CB6">
        <w:rPr>
          <w:rFonts w:ascii="Arial" w:hAnsi="Arial" w:cs="Arial"/>
          <w:sz w:val="24"/>
          <w:szCs w:val="24"/>
        </w:rPr>
        <w:t>very conferred and is one of the most widely discussed drug related legislations (</w:t>
      </w:r>
      <w:proofErr w:type="spellStart"/>
      <w:r w:rsidR="00832CB6">
        <w:rPr>
          <w:rFonts w:ascii="Arial" w:hAnsi="Arial" w:cs="Arial"/>
          <w:sz w:val="24"/>
          <w:szCs w:val="24"/>
        </w:rPr>
        <w:t>Monoghan</w:t>
      </w:r>
      <w:proofErr w:type="spellEnd"/>
      <w:r w:rsidR="00832CB6">
        <w:rPr>
          <w:rFonts w:ascii="Arial" w:hAnsi="Arial" w:cs="Arial"/>
          <w:sz w:val="24"/>
          <w:szCs w:val="24"/>
        </w:rPr>
        <w:t xml:space="preserve">, 2014, p 1025). </w:t>
      </w:r>
      <w:r w:rsidR="005C002C">
        <w:rPr>
          <w:rFonts w:ascii="Arial" w:hAnsi="Arial" w:cs="Arial"/>
          <w:sz w:val="24"/>
          <w:szCs w:val="24"/>
        </w:rPr>
        <w:t>As described by Legislation.Gov (2020) it is “a</w:t>
      </w:r>
      <w:r w:rsidR="005C002C" w:rsidRPr="005C002C">
        <w:rPr>
          <w:rFonts w:ascii="Arial" w:hAnsi="Arial" w:cs="Arial"/>
          <w:sz w:val="24"/>
          <w:szCs w:val="24"/>
        </w:rPr>
        <w:t>n Act to make new provision with respect to dangerous or otherwise harmful drugs and related matters, and for purposes connected therewith</w:t>
      </w:r>
      <w:r w:rsidR="005C002C">
        <w:rPr>
          <w:rFonts w:ascii="Arial" w:hAnsi="Arial" w:cs="Arial"/>
          <w:sz w:val="24"/>
          <w:szCs w:val="24"/>
        </w:rPr>
        <w:t xml:space="preserve">”. </w:t>
      </w:r>
      <w:r w:rsidR="00E37AAF">
        <w:rPr>
          <w:rFonts w:ascii="Arial" w:hAnsi="Arial" w:cs="Arial"/>
          <w:sz w:val="24"/>
          <w:szCs w:val="24"/>
        </w:rPr>
        <w:t>The Misuse of Drugs Act 1971 classifies drugs into categories which is dependent on their harm to society and the user (Rodgers, 2012, p 24). This legislation covers the legal basis for the possession of drugs</w:t>
      </w:r>
      <w:r w:rsidR="00E44262">
        <w:rPr>
          <w:rFonts w:ascii="Arial" w:hAnsi="Arial" w:cs="Arial"/>
          <w:sz w:val="24"/>
          <w:szCs w:val="24"/>
        </w:rPr>
        <w:t xml:space="preserve"> which can be a discovery from a stop and search.</w:t>
      </w:r>
      <w:r w:rsidR="002154A6">
        <w:rPr>
          <w:rFonts w:ascii="Arial" w:hAnsi="Arial" w:cs="Arial"/>
          <w:sz w:val="24"/>
          <w:szCs w:val="24"/>
        </w:rPr>
        <w:t xml:space="preserve"> </w:t>
      </w:r>
      <w:r w:rsidR="00E44262">
        <w:rPr>
          <w:rFonts w:ascii="Arial" w:hAnsi="Arial" w:cs="Arial"/>
          <w:sz w:val="24"/>
          <w:szCs w:val="24"/>
        </w:rPr>
        <w:t xml:space="preserve">The offences covered by this legislation, according to Rodgers (2012, p 26) include but not limited to the “possession of controlled drugs”, “possession with intent to supply to another </w:t>
      </w:r>
      <w:r w:rsidR="00E44262">
        <w:rPr>
          <w:rFonts w:ascii="Arial" w:hAnsi="Arial" w:cs="Arial"/>
          <w:sz w:val="24"/>
          <w:szCs w:val="24"/>
        </w:rPr>
        <w:lastRenderedPageBreak/>
        <w:t>person” and “</w:t>
      </w:r>
      <w:r w:rsidR="00E44262" w:rsidRPr="00E44262">
        <w:rPr>
          <w:rFonts w:ascii="Arial" w:hAnsi="Arial" w:cs="Arial"/>
          <w:sz w:val="24"/>
          <w:szCs w:val="24"/>
        </w:rPr>
        <w:t>production, cultivation or manufacture of a controlled drug</w:t>
      </w:r>
      <w:r w:rsidR="00E44262">
        <w:rPr>
          <w:rFonts w:ascii="Arial" w:hAnsi="Arial" w:cs="Arial"/>
          <w:sz w:val="24"/>
          <w:szCs w:val="24"/>
        </w:rPr>
        <w:t>”.</w:t>
      </w:r>
      <w:r w:rsidR="00351698">
        <w:rPr>
          <w:rFonts w:ascii="Arial" w:hAnsi="Arial" w:cs="Arial"/>
          <w:sz w:val="24"/>
          <w:szCs w:val="24"/>
        </w:rPr>
        <w:t xml:space="preserve"> The stop and search powers outlined in the Misuse of Drugs Act 1971 are contrary to Section 23 and as stated by the College of Policing (2019) “</w:t>
      </w:r>
      <w:r w:rsidR="00351698" w:rsidRPr="00351698">
        <w:rPr>
          <w:rFonts w:ascii="Arial" w:hAnsi="Arial" w:cs="Arial"/>
          <w:sz w:val="24"/>
          <w:szCs w:val="24"/>
        </w:rPr>
        <w:t>the person must be suspected of being in possession of the drug, not merely to have used it or been present during its use by others</w:t>
      </w:r>
      <w:r w:rsidR="00351698">
        <w:rPr>
          <w:rFonts w:ascii="Arial" w:hAnsi="Arial" w:cs="Arial"/>
          <w:sz w:val="24"/>
          <w:szCs w:val="24"/>
        </w:rPr>
        <w:t xml:space="preserve">”. Similar to the Police and Criminal Evidence Act 1984, the officer must have reasonable grounds in order to stop the suspect in question (Blackstone’s, </w:t>
      </w:r>
      <w:r w:rsidR="00932B22">
        <w:rPr>
          <w:rFonts w:ascii="Arial" w:hAnsi="Arial" w:cs="Arial"/>
          <w:sz w:val="24"/>
          <w:szCs w:val="24"/>
        </w:rPr>
        <w:t xml:space="preserve">2021, p 181). </w:t>
      </w:r>
    </w:p>
    <w:p w14:paraId="4589F135" w14:textId="5ED06E1B" w:rsidR="00932B22" w:rsidRDefault="00DD6FE0" w:rsidP="006766F4">
      <w:pPr>
        <w:spacing w:line="480" w:lineRule="auto"/>
        <w:rPr>
          <w:rFonts w:ascii="Arial" w:hAnsi="Arial" w:cs="Arial"/>
          <w:sz w:val="24"/>
          <w:szCs w:val="24"/>
        </w:rPr>
      </w:pPr>
      <w:r>
        <w:rPr>
          <w:rFonts w:ascii="Arial" w:hAnsi="Arial" w:cs="Arial"/>
          <w:sz w:val="24"/>
          <w:szCs w:val="24"/>
        </w:rPr>
        <w:t xml:space="preserve">            </w:t>
      </w:r>
      <w:r w:rsidR="009230D2">
        <w:rPr>
          <w:rFonts w:ascii="Arial" w:hAnsi="Arial" w:cs="Arial"/>
          <w:sz w:val="24"/>
          <w:szCs w:val="24"/>
        </w:rPr>
        <w:t>As previously demonstrated, h</w:t>
      </w:r>
      <w:r w:rsidR="00932B22">
        <w:rPr>
          <w:rFonts w:ascii="Arial" w:hAnsi="Arial" w:cs="Arial"/>
          <w:sz w:val="24"/>
          <w:szCs w:val="24"/>
        </w:rPr>
        <w:t xml:space="preserve">aving reasonable grounds for a stop and search is </w:t>
      </w:r>
      <w:r w:rsidR="007712BA">
        <w:rPr>
          <w:rFonts w:ascii="Arial" w:hAnsi="Arial" w:cs="Arial"/>
          <w:sz w:val="24"/>
          <w:szCs w:val="24"/>
        </w:rPr>
        <w:t xml:space="preserve">a vital requirement </w:t>
      </w:r>
      <w:r w:rsidR="009230D2">
        <w:rPr>
          <w:rFonts w:ascii="Arial" w:hAnsi="Arial" w:cs="Arial"/>
          <w:sz w:val="24"/>
          <w:szCs w:val="24"/>
        </w:rPr>
        <w:t>to</w:t>
      </w:r>
      <w:r w:rsidR="007712BA">
        <w:rPr>
          <w:rFonts w:ascii="Arial" w:hAnsi="Arial" w:cs="Arial"/>
          <w:sz w:val="24"/>
          <w:szCs w:val="24"/>
        </w:rPr>
        <w:t xml:space="preserve"> make the search lawful and fair. </w:t>
      </w:r>
      <w:r w:rsidR="00B40A85">
        <w:rPr>
          <w:rFonts w:ascii="Arial" w:hAnsi="Arial" w:cs="Arial"/>
          <w:sz w:val="24"/>
          <w:szCs w:val="24"/>
        </w:rPr>
        <w:t xml:space="preserve">When a stop and search is conducted as a proposed target of finding drugs, the reasonable grounds cannot be an officer’s personal indication and must be reliant on facts, </w:t>
      </w:r>
      <w:r w:rsidR="00553B24">
        <w:rPr>
          <w:rFonts w:ascii="Arial" w:hAnsi="Arial" w:cs="Arial"/>
          <w:sz w:val="24"/>
          <w:szCs w:val="24"/>
        </w:rPr>
        <w:t>information,</w:t>
      </w:r>
      <w:r w:rsidR="00B40A85">
        <w:rPr>
          <w:rFonts w:ascii="Arial" w:hAnsi="Arial" w:cs="Arial"/>
          <w:sz w:val="24"/>
          <w:szCs w:val="24"/>
        </w:rPr>
        <w:t xml:space="preserve"> and intelligence (Blackstone’s, 2021, p 182). </w:t>
      </w:r>
      <w:r w:rsidR="00C22CCB">
        <w:rPr>
          <w:rFonts w:ascii="Arial" w:hAnsi="Arial" w:cs="Arial"/>
          <w:sz w:val="24"/>
          <w:szCs w:val="24"/>
        </w:rPr>
        <w:t xml:space="preserve">Reasonable grounds for a stop and search under the Misuse of Drugs Act 1971 have more observant factors that </w:t>
      </w:r>
      <w:r w:rsidR="009230D2">
        <w:rPr>
          <w:rFonts w:ascii="Arial" w:hAnsi="Arial" w:cs="Arial"/>
          <w:sz w:val="24"/>
          <w:szCs w:val="24"/>
        </w:rPr>
        <w:t>form a</w:t>
      </w:r>
      <w:r w:rsidR="00C22CCB">
        <w:rPr>
          <w:rFonts w:ascii="Arial" w:hAnsi="Arial" w:cs="Arial"/>
          <w:sz w:val="24"/>
          <w:szCs w:val="24"/>
        </w:rPr>
        <w:t xml:space="preserve"> basis for reasonable grounds for the search. The reasonable grounds can include the visual effects of the drugs such as the dilation of one’s pupils, acting nervous and avoiding questions asked by officers (Blackstone’s, 2021, p 182). </w:t>
      </w:r>
      <w:r w:rsidR="00703848">
        <w:rPr>
          <w:rFonts w:ascii="Arial" w:hAnsi="Arial" w:cs="Arial"/>
          <w:sz w:val="24"/>
          <w:szCs w:val="24"/>
        </w:rPr>
        <w:t>Another reasonable ground for suspicion of a stop and search is the smell of cannabis. The College of Policing (2019) states “s</w:t>
      </w:r>
      <w:r w:rsidR="00703848" w:rsidRPr="00703848">
        <w:rPr>
          <w:rFonts w:ascii="Arial" w:hAnsi="Arial" w:cs="Arial"/>
          <w:sz w:val="24"/>
          <w:szCs w:val="24"/>
        </w:rPr>
        <w:t>even per cent of 8,574 searches assessed by HMICFRS in its 2017 legitimacy inspection were based solely on the smell of cannabis</w:t>
      </w:r>
      <w:r w:rsidR="00703848">
        <w:rPr>
          <w:rFonts w:ascii="Arial" w:hAnsi="Arial" w:cs="Arial"/>
          <w:sz w:val="24"/>
          <w:szCs w:val="24"/>
        </w:rPr>
        <w:t xml:space="preserve">”. However, although there is no exact reference under the Misuse of Drugs Act 1971 of the smell of cannabis being an exact observation for reasonable grounds, the officer conducting the search would just need to ensure the search is justifiable under the legislation as well as Code A of the Police and Criminal Evidence Act 1971 (College of Policing, 2019). </w:t>
      </w:r>
    </w:p>
    <w:p w14:paraId="14DB3EFA" w14:textId="7E0E4CBC" w:rsidR="003072F9" w:rsidRDefault="00DD6FE0" w:rsidP="006766F4">
      <w:pPr>
        <w:spacing w:line="480" w:lineRule="auto"/>
        <w:rPr>
          <w:rFonts w:ascii="Arial" w:hAnsi="Arial" w:cs="Arial"/>
          <w:sz w:val="24"/>
          <w:szCs w:val="24"/>
        </w:rPr>
      </w:pPr>
      <w:r>
        <w:rPr>
          <w:rFonts w:ascii="Arial" w:hAnsi="Arial" w:cs="Arial"/>
          <w:sz w:val="24"/>
          <w:szCs w:val="24"/>
        </w:rPr>
        <w:t xml:space="preserve">            </w:t>
      </w:r>
      <w:r w:rsidR="002E552E">
        <w:rPr>
          <w:rFonts w:ascii="Arial" w:hAnsi="Arial" w:cs="Arial"/>
          <w:sz w:val="24"/>
          <w:szCs w:val="24"/>
        </w:rPr>
        <w:t xml:space="preserve">Another matter causing negative public perception is the stop and search of youths and minors and it could be suggested that stop and search powers are used unfairly towards these age groups. This is another form of discrimination. There is evidence of this belief from Flacks (2018) as </w:t>
      </w:r>
      <w:r w:rsidR="00B40A85">
        <w:rPr>
          <w:rFonts w:ascii="Arial" w:hAnsi="Arial" w:cs="Arial"/>
          <w:sz w:val="24"/>
          <w:szCs w:val="24"/>
        </w:rPr>
        <w:t>he</w:t>
      </w:r>
      <w:r w:rsidR="002E552E">
        <w:rPr>
          <w:rFonts w:ascii="Arial" w:hAnsi="Arial" w:cs="Arial"/>
          <w:sz w:val="24"/>
          <w:szCs w:val="24"/>
        </w:rPr>
        <w:t xml:space="preserve"> </w:t>
      </w:r>
      <w:r w:rsidR="001C19DE">
        <w:rPr>
          <w:rFonts w:ascii="Arial" w:hAnsi="Arial" w:cs="Arial"/>
          <w:sz w:val="24"/>
          <w:szCs w:val="24"/>
        </w:rPr>
        <w:t>state</w:t>
      </w:r>
      <w:r w:rsidR="00B40A85">
        <w:rPr>
          <w:rFonts w:ascii="Arial" w:hAnsi="Arial" w:cs="Arial"/>
          <w:sz w:val="24"/>
          <w:szCs w:val="24"/>
        </w:rPr>
        <w:t>s</w:t>
      </w:r>
      <w:r w:rsidR="001C19DE">
        <w:rPr>
          <w:rFonts w:ascii="Arial" w:hAnsi="Arial" w:cs="Arial"/>
          <w:sz w:val="24"/>
          <w:szCs w:val="24"/>
        </w:rPr>
        <w:t>,</w:t>
      </w:r>
      <w:r w:rsidR="002E552E">
        <w:rPr>
          <w:rFonts w:ascii="Arial" w:hAnsi="Arial" w:cs="Arial"/>
          <w:sz w:val="24"/>
          <w:szCs w:val="24"/>
        </w:rPr>
        <w:t xml:space="preserve"> “</w:t>
      </w:r>
      <w:r w:rsidR="002E552E" w:rsidRPr="002E552E">
        <w:rPr>
          <w:rFonts w:ascii="Arial" w:hAnsi="Arial" w:cs="Arial"/>
          <w:sz w:val="24"/>
          <w:szCs w:val="24"/>
        </w:rPr>
        <w:t>policy and practice around the use of such powers should be amended to take account of the specific needs of individuals under the age of 18, and that children’s welfare should be a central consideration</w:t>
      </w:r>
      <w:r w:rsidR="002E552E">
        <w:rPr>
          <w:rFonts w:ascii="Arial" w:hAnsi="Arial" w:cs="Arial"/>
          <w:sz w:val="24"/>
          <w:szCs w:val="24"/>
        </w:rPr>
        <w:t xml:space="preserve">”. </w:t>
      </w:r>
      <w:r w:rsidR="00932B22">
        <w:rPr>
          <w:rFonts w:ascii="Arial" w:hAnsi="Arial" w:cs="Arial"/>
          <w:sz w:val="24"/>
          <w:szCs w:val="24"/>
        </w:rPr>
        <w:t xml:space="preserve">This could come into relation with the Misuse of Drugs Act </w:t>
      </w:r>
      <w:r w:rsidR="00932B22">
        <w:rPr>
          <w:rFonts w:ascii="Arial" w:hAnsi="Arial" w:cs="Arial"/>
          <w:sz w:val="24"/>
          <w:szCs w:val="24"/>
        </w:rPr>
        <w:lastRenderedPageBreak/>
        <w:t>1971 as d</w:t>
      </w:r>
      <w:r w:rsidR="00E37AAF">
        <w:rPr>
          <w:rFonts w:ascii="Arial" w:hAnsi="Arial" w:cs="Arial"/>
          <w:sz w:val="24"/>
          <w:szCs w:val="24"/>
        </w:rPr>
        <w:t>rugs are something that will have involvement in the lives of many young people</w:t>
      </w:r>
      <w:r w:rsidR="005A2012">
        <w:rPr>
          <w:rFonts w:ascii="Arial" w:hAnsi="Arial" w:cs="Arial"/>
          <w:sz w:val="24"/>
          <w:szCs w:val="24"/>
        </w:rPr>
        <w:t xml:space="preserve"> due to curiosity, enjoyment and their surrounding environment which can influence their urge to take drugs (</w:t>
      </w:r>
      <w:proofErr w:type="spellStart"/>
      <w:r w:rsidR="005A2012">
        <w:rPr>
          <w:rFonts w:ascii="Arial" w:hAnsi="Arial" w:cs="Arial"/>
          <w:sz w:val="24"/>
          <w:szCs w:val="24"/>
        </w:rPr>
        <w:t>DrugWise</w:t>
      </w:r>
      <w:proofErr w:type="spellEnd"/>
      <w:r w:rsidR="005A2012">
        <w:rPr>
          <w:rFonts w:ascii="Arial" w:hAnsi="Arial" w:cs="Arial"/>
          <w:sz w:val="24"/>
          <w:szCs w:val="24"/>
        </w:rPr>
        <w:t>, 2017).</w:t>
      </w:r>
      <w:r w:rsidR="00B40A85">
        <w:rPr>
          <w:rFonts w:ascii="Arial" w:hAnsi="Arial" w:cs="Arial"/>
          <w:sz w:val="24"/>
          <w:szCs w:val="24"/>
        </w:rPr>
        <w:t xml:space="preserve"> There is some evidence suggesting that young people are more likely to be targeted by the College of Policing (2019) as they state</w:t>
      </w:r>
      <w:r w:rsidR="00553B24">
        <w:rPr>
          <w:rFonts w:ascii="Arial" w:hAnsi="Arial" w:cs="Arial"/>
          <w:sz w:val="24"/>
          <w:szCs w:val="24"/>
        </w:rPr>
        <w:t>,</w:t>
      </w:r>
      <w:r w:rsidR="00B40A85">
        <w:rPr>
          <w:rFonts w:ascii="Arial" w:hAnsi="Arial" w:cs="Arial"/>
          <w:sz w:val="24"/>
          <w:szCs w:val="24"/>
        </w:rPr>
        <w:t xml:space="preserve"> “c</w:t>
      </w:r>
      <w:r w:rsidR="00B40A85" w:rsidRPr="00B40A85">
        <w:rPr>
          <w:rFonts w:ascii="Arial" w:hAnsi="Arial" w:cs="Arial"/>
          <w:sz w:val="24"/>
          <w:szCs w:val="24"/>
        </w:rPr>
        <w:t>oncerns have also been expressed that drugs searches, particularly those for cannabis, could criminalise young people and have a negative impact on the communities affected</w:t>
      </w:r>
      <w:r w:rsidR="00B40A85">
        <w:rPr>
          <w:rFonts w:ascii="Arial" w:hAnsi="Arial" w:cs="Arial"/>
          <w:sz w:val="24"/>
          <w:szCs w:val="24"/>
        </w:rPr>
        <w:t>”.</w:t>
      </w:r>
    </w:p>
    <w:p w14:paraId="6CADEE55" w14:textId="16685C3D" w:rsidR="003072F9" w:rsidRDefault="00DD6FE0" w:rsidP="006766F4">
      <w:pPr>
        <w:spacing w:line="480" w:lineRule="auto"/>
        <w:rPr>
          <w:rFonts w:ascii="Arial" w:hAnsi="Arial" w:cs="Arial"/>
          <w:sz w:val="24"/>
          <w:szCs w:val="24"/>
        </w:rPr>
      </w:pPr>
      <w:r>
        <w:rPr>
          <w:rFonts w:ascii="Arial" w:hAnsi="Arial" w:cs="Arial"/>
          <w:sz w:val="24"/>
          <w:szCs w:val="24"/>
        </w:rPr>
        <w:t xml:space="preserve">             </w:t>
      </w:r>
      <w:r w:rsidR="00703848">
        <w:rPr>
          <w:rFonts w:ascii="Arial" w:hAnsi="Arial" w:cs="Arial"/>
          <w:sz w:val="24"/>
          <w:szCs w:val="24"/>
        </w:rPr>
        <w:t>Stop and searches must be fair and lawful in order to enhance police legitimacy so in order to promote this to the best extent that they can, the police use the ‘GO</w:t>
      </w:r>
      <w:r w:rsidR="0026666C">
        <w:rPr>
          <w:rFonts w:ascii="Arial" w:hAnsi="Arial" w:cs="Arial"/>
          <w:sz w:val="24"/>
          <w:szCs w:val="24"/>
        </w:rPr>
        <w:t xml:space="preserve"> WISELY’ model. The terms in this model translate to; G for grounds, O for object desired for the search, W for warrant card, I for identity of the officer, S for station of officer</w:t>
      </w:r>
      <w:r w:rsidR="00487E87">
        <w:rPr>
          <w:rFonts w:ascii="Arial" w:hAnsi="Arial" w:cs="Arial"/>
          <w:sz w:val="24"/>
          <w:szCs w:val="24"/>
        </w:rPr>
        <w:t xml:space="preserve">’s attachment, E for entitlement of a copy of search record, L for the legal power that is being used, Y for you as the suspect detained for the search purpose (Blackstone’s, 2021, p 177). </w:t>
      </w:r>
      <w:r w:rsidR="00A827D5">
        <w:rPr>
          <w:rFonts w:ascii="Arial" w:hAnsi="Arial" w:cs="Arial"/>
          <w:sz w:val="24"/>
          <w:szCs w:val="24"/>
        </w:rPr>
        <w:t xml:space="preserve">When a search is being conducted, each step in the ‘GO WISELY’ model does not have to be carried out in the particular order but </w:t>
      </w:r>
      <w:r w:rsidR="006C1348">
        <w:rPr>
          <w:rFonts w:ascii="Arial" w:hAnsi="Arial" w:cs="Arial"/>
          <w:sz w:val="24"/>
          <w:szCs w:val="24"/>
        </w:rPr>
        <w:t xml:space="preserve">each step legally has to be met. </w:t>
      </w:r>
    </w:p>
    <w:p w14:paraId="11E91EF8" w14:textId="2760E06B" w:rsidR="003072F9" w:rsidRDefault="00DD6FE0" w:rsidP="006766F4">
      <w:pPr>
        <w:spacing w:line="480" w:lineRule="auto"/>
        <w:rPr>
          <w:rFonts w:ascii="Arial" w:hAnsi="Arial" w:cs="Arial"/>
          <w:sz w:val="24"/>
          <w:szCs w:val="24"/>
        </w:rPr>
      </w:pPr>
      <w:r>
        <w:rPr>
          <w:rFonts w:ascii="Arial" w:hAnsi="Arial" w:cs="Arial"/>
          <w:sz w:val="24"/>
          <w:szCs w:val="24"/>
        </w:rPr>
        <w:t xml:space="preserve">             </w:t>
      </w:r>
      <w:r w:rsidR="006C1348">
        <w:rPr>
          <w:rFonts w:ascii="Arial" w:hAnsi="Arial" w:cs="Arial"/>
          <w:sz w:val="24"/>
          <w:szCs w:val="24"/>
        </w:rPr>
        <w:t xml:space="preserve">Another way in </w:t>
      </w:r>
      <w:r w:rsidR="00906D41">
        <w:rPr>
          <w:rFonts w:ascii="Arial" w:hAnsi="Arial" w:cs="Arial"/>
          <w:sz w:val="24"/>
          <w:szCs w:val="24"/>
        </w:rPr>
        <w:t xml:space="preserve">which the police ensure stop and searches comply with legislations and conform to lawfulness is by recording them using body worn video cameras and providing the suspect with a </w:t>
      </w:r>
      <w:r w:rsidR="00C4651F">
        <w:rPr>
          <w:rFonts w:ascii="Arial" w:hAnsi="Arial" w:cs="Arial"/>
          <w:sz w:val="24"/>
          <w:szCs w:val="24"/>
        </w:rPr>
        <w:t xml:space="preserve">copy of the stop and search record, which is something they are legally entitled to. </w:t>
      </w:r>
      <w:r w:rsidR="00551C4B">
        <w:rPr>
          <w:rFonts w:ascii="Arial" w:hAnsi="Arial" w:cs="Arial"/>
          <w:sz w:val="24"/>
          <w:szCs w:val="24"/>
        </w:rPr>
        <w:t xml:space="preserve">Emphasis of the importance of legal and lawful searches can be </w:t>
      </w:r>
      <w:r w:rsidR="006D036B">
        <w:rPr>
          <w:rFonts w:ascii="Arial" w:hAnsi="Arial" w:cs="Arial"/>
          <w:sz w:val="24"/>
          <w:szCs w:val="24"/>
        </w:rPr>
        <w:t xml:space="preserve">implied from Nawaz and </w:t>
      </w:r>
      <w:proofErr w:type="spellStart"/>
      <w:r w:rsidR="006D036B">
        <w:rPr>
          <w:rFonts w:ascii="Arial" w:hAnsi="Arial" w:cs="Arial"/>
          <w:sz w:val="24"/>
          <w:szCs w:val="24"/>
        </w:rPr>
        <w:t>Tankbe</w:t>
      </w:r>
      <w:proofErr w:type="spellEnd"/>
      <w:r w:rsidR="006D036B">
        <w:rPr>
          <w:rFonts w:ascii="Arial" w:hAnsi="Arial" w:cs="Arial"/>
          <w:sz w:val="24"/>
          <w:szCs w:val="24"/>
        </w:rPr>
        <w:t xml:space="preserve"> (2018</w:t>
      </w:r>
      <w:r w:rsidR="002A5627">
        <w:rPr>
          <w:rFonts w:ascii="Arial" w:hAnsi="Arial" w:cs="Arial"/>
          <w:sz w:val="24"/>
          <w:szCs w:val="24"/>
        </w:rPr>
        <w:t>, p 140</w:t>
      </w:r>
      <w:r w:rsidR="006D036B">
        <w:rPr>
          <w:rFonts w:ascii="Arial" w:hAnsi="Arial" w:cs="Arial"/>
          <w:sz w:val="24"/>
          <w:szCs w:val="24"/>
        </w:rPr>
        <w:t>) as their justification, “w</w:t>
      </w:r>
      <w:r w:rsidR="006D036B" w:rsidRPr="006D036B">
        <w:rPr>
          <w:rFonts w:ascii="Arial" w:hAnsi="Arial" w:cs="Arial"/>
          <w:sz w:val="24"/>
          <w:szCs w:val="24"/>
        </w:rPr>
        <w:t>hen the police are not believed by the public to be exercising their power or upholding the law in a legitimate way, it can lead to a serious disintegration of law and order</w:t>
      </w:r>
      <w:r w:rsidR="006D036B">
        <w:rPr>
          <w:rFonts w:ascii="Arial" w:hAnsi="Arial" w:cs="Arial"/>
          <w:sz w:val="24"/>
          <w:szCs w:val="24"/>
        </w:rPr>
        <w:t>”</w:t>
      </w:r>
      <w:r w:rsidR="006D036B" w:rsidRPr="006D036B">
        <w:rPr>
          <w:rFonts w:ascii="Arial" w:hAnsi="Arial" w:cs="Arial"/>
          <w:sz w:val="24"/>
          <w:szCs w:val="24"/>
        </w:rPr>
        <w:t>.</w:t>
      </w:r>
      <w:r w:rsidR="006D036B">
        <w:rPr>
          <w:rFonts w:ascii="Arial" w:hAnsi="Arial" w:cs="Arial"/>
          <w:sz w:val="24"/>
          <w:szCs w:val="24"/>
        </w:rPr>
        <w:t xml:space="preserve"> Body worn camera footage is a form of best evidence and can </w:t>
      </w:r>
      <w:r w:rsidR="009230D2">
        <w:rPr>
          <w:rFonts w:ascii="Arial" w:hAnsi="Arial" w:cs="Arial"/>
          <w:sz w:val="24"/>
          <w:szCs w:val="24"/>
        </w:rPr>
        <w:t xml:space="preserve">also </w:t>
      </w:r>
      <w:r w:rsidR="006D036B">
        <w:rPr>
          <w:rFonts w:ascii="Arial" w:hAnsi="Arial" w:cs="Arial"/>
          <w:sz w:val="24"/>
          <w:szCs w:val="24"/>
        </w:rPr>
        <w:t>pose a reduction in the time needed to make statem</w:t>
      </w:r>
      <w:r w:rsidR="002A5627">
        <w:rPr>
          <w:rFonts w:ascii="Arial" w:hAnsi="Arial" w:cs="Arial"/>
          <w:sz w:val="24"/>
          <w:szCs w:val="24"/>
        </w:rPr>
        <w:t xml:space="preserve">ents (Blackstone’s, 2021, p 97). </w:t>
      </w:r>
    </w:p>
    <w:p w14:paraId="719E19CD" w14:textId="0C6C7D15" w:rsidR="003072F9" w:rsidRDefault="00DD6FE0" w:rsidP="006766F4">
      <w:pPr>
        <w:spacing w:line="480" w:lineRule="auto"/>
        <w:rPr>
          <w:rFonts w:ascii="Arial" w:hAnsi="Arial" w:cs="Arial"/>
          <w:sz w:val="24"/>
          <w:szCs w:val="24"/>
        </w:rPr>
      </w:pPr>
      <w:r>
        <w:rPr>
          <w:rFonts w:ascii="Arial" w:hAnsi="Arial" w:cs="Arial"/>
          <w:sz w:val="24"/>
          <w:szCs w:val="24"/>
        </w:rPr>
        <w:t xml:space="preserve">             </w:t>
      </w:r>
      <w:r w:rsidR="00CB14B4">
        <w:rPr>
          <w:rFonts w:ascii="Arial" w:hAnsi="Arial" w:cs="Arial"/>
          <w:sz w:val="24"/>
          <w:szCs w:val="24"/>
        </w:rPr>
        <w:t xml:space="preserve">An observation was made by Nawaz and </w:t>
      </w:r>
      <w:proofErr w:type="spellStart"/>
      <w:r w:rsidR="00CB14B4">
        <w:rPr>
          <w:rFonts w:ascii="Arial" w:hAnsi="Arial" w:cs="Arial"/>
          <w:sz w:val="24"/>
          <w:szCs w:val="24"/>
        </w:rPr>
        <w:t>Tankbe</w:t>
      </w:r>
      <w:proofErr w:type="spellEnd"/>
      <w:r w:rsidR="00CB14B4">
        <w:rPr>
          <w:rFonts w:ascii="Arial" w:hAnsi="Arial" w:cs="Arial"/>
          <w:sz w:val="24"/>
          <w:szCs w:val="24"/>
        </w:rPr>
        <w:t xml:space="preserve"> (2018, p 141) that “</w:t>
      </w:r>
      <w:r w:rsidR="00954E1A">
        <w:rPr>
          <w:rFonts w:ascii="Arial" w:hAnsi="Arial" w:cs="Arial"/>
          <w:sz w:val="24"/>
          <w:szCs w:val="24"/>
        </w:rPr>
        <w:t>i</w:t>
      </w:r>
      <w:r w:rsidR="00CB14B4" w:rsidRPr="00CB14B4">
        <w:rPr>
          <w:rFonts w:ascii="Arial" w:hAnsi="Arial" w:cs="Arial"/>
          <w:sz w:val="24"/>
          <w:szCs w:val="24"/>
        </w:rPr>
        <w:t>n the mandated areas of domestic abuse and stop and search, the number of video-recorded incidents logged in force is less than the actual number of such incidents dealt with</w:t>
      </w:r>
      <w:r w:rsidR="00CB14B4">
        <w:rPr>
          <w:rFonts w:ascii="Arial" w:hAnsi="Arial" w:cs="Arial"/>
          <w:sz w:val="24"/>
          <w:szCs w:val="24"/>
        </w:rPr>
        <w:t xml:space="preserve">”, this suggests a threat to police legitimacy as </w:t>
      </w:r>
      <w:r w:rsidR="00954E1A">
        <w:rPr>
          <w:rFonts w:ascii="Arial" w:hAnsi="Arial" w:cs="Arial"/>
          <w:sz w:val="24"/>
          <w:szCs w:val="24"/>
        </w:rPr>
        <w:t xml:space="preserve">the purpose of recording stop and searches is not being met. The reason for </w:t>
      </w:r>
      <w:r w:rsidR="00954E1A">
        <w:rPr>
          <w:rFonts w:ascii="Arial" w:hAnsi="Arial" w:cs="Arial"/>
          <w:sz w:val="24"/>
          <w:szCs w:val="24"/>
        </w:rPr>
        <w:lastRenderedPageBreak/>
        <w:t xml:space="preserve">recording a search is to </w:t>
      </w:r>
      <w:r w:rsidR="00CB14B4">
        <w:rPr>
          <w:rFonts w:ascii="Arial" w:hAnsi="Arial" w:cs="Arial"/>
          <w:sz w:val="24"/>
          <w:szCs w:val="24"/>
        </w:rPr>
        <w:t xml:space="preserve">provide a basis of judging whether policing standards have been met and give justification if any complaints </w:t>
      </w:r>
      <w:r w:rsidR="00954E1A">
        <w:rPr>
          <w:rFonts w:ascii="Arial" w:hAnsi="Arial" w:cs="Arial"/>
          <w:sz w:val="24"/>
          <w:szCs w:val="24"/>
        </w:rPr>
        <w:t>should they</w:t>
      </w:r>
      <w:r w:rsidR="00CB14B4">
        <w:rPr>
          <w:rFonts w:ascii="Arial" w:hAnsi="Arial" w:cs="Arial"/>
          <w:sz w:val="24"/>
          <w:szCs w:val="24"/>
        </w:rPr>
        <w:t xml:space="preserve"> arise against the police (Blackstone’s, 2021, p 179). </w:t>
      </w:r>
    </w:p>
    <w:p w14:paraId="5BBF60A9" w14:textId="0D69405C" w:rsidR="003072F9" w:rsidRDefault="003072F9" w:rsidP="006766F4">
      <w:pPr>
        <w:spacing w:line="480" w:lineRule="auto"/>
        <w:rPr>
          <w:rFonts w:ascii="Arial" w:hAnsi="Arial" w:cs="Arial"/>
          <w:sz w:val="24"/>
          <w:szCs w:val="24"/>
        </w:rPr>
      </w:pPr>
    </w:p>
    <w:p w14:paraId="7B5BDDD1" w14:textId="223BAB36" w:rsidR="003072F9" w:rsidRDefault="00DD6FE0" w:rsidP="006766F4">
      <w:pPr>
        <w:spacing w:line="480" w:lineRule="auto"/>
        <w:rPr>
          <w:rFonts w:ascii="Arial" w:hAnsi="Arial" w:cs="Arial"/>
          <w:sz w:val="24"/>
          <w:szCs w:val="24"/>
        </w:rPr>
      </w:pPr>
      <w:r>
        <w:rPr>
          <w:rFonts w:ascii="Arial" w:hAnsi="Arial" w:cs="Arial"/>
          <w:sz w:val="24"/>
          <w:szCs w:val="24"/>
        </w:rPr>
        <w:t xml:space="preserve">           </w:t>
      </w:r>
      <w:r w:rsidR="00591121">
        <w:rPr>
          <w:rFonts w:ascii="Arial" w:hAnsi="Arial" w:cs="Arial"/>
          <w:sz w:val="24"/>
          <w:szCs w:val="24"/>
        </w:rPr>
        <w:t xml:space="preserve">In conclusion to everything that has been </w:t>
      </w:r>
      <w:r w:rsidR="00954E1A">
        <w:rPr>
          <w:rFonts w:ascii="Arial" w:hAnsi="Arial" w:cs="Arial"/>
          <w:sz w:val="24"/>
          <w:szCs w:val="24"/>
        </w:rPr>
        <w:t>stated</w:t>
      </w:r>
      <w:r w:rsidR="00591121">
        <w:rPr>
          <w:rFonts w:ascii="Arial" w:hAnsi="Arial" w:cs="Arial"/>
          <w:sz w:val="24"/>
          <w:szCs w:val="24"/>
        </w:rPr>
        <w:t>, it could be suggested tha</w:t>
      </w:r>
      <w:r w:rsidR="00954E1A">
        <w:rPr>
          <w:rFonts w:ascii="Arial" w:hAnsi="Arial" w:cs="Arial"/>
          <w:sz w:val="24"/>
          <w:szCs w:val="24"/>
        </w:rPr>
        <w:t>t although there are clear alinements made under legislations regarding police stop and search powers and how they should be used, there are still possibilities for the police to be</w:t>
      </w:r>
      <w:r w:rsidR="009230D2">
        <w:rPr>
          <w:rFonts w:ascii="Arial" w:hAnsi="Arial" w:cs="Arial"/>
          <w:sz w:val="24"/>
          <w:szCs w:val="24"/>
        </w:rPr>
        <w:t xml:space="preserve"> deem</w:t>
      </w:r>
      <w:r w:rsidR="00954E1A">
        <w:rPr>
          <w:rFonts w:ascii="Arial" w:hAnsi="Arial" w:cs="Arial"/>
          <w:sz w:val="24"/>
          <w:szCs w:val="24"/>
        </w:rPr>
        <w:t xml:space="preserve">ed as discriminative and unlawful in terms of their usage of stop and search powers. This is evident particularly in the Metropolitan Police Force as they were recently criticised for their believed racial bias and unlawful approaches to the black communities within London. This could suggest that there is much </w:t>
      </w:r>
      <w:r w:rsidR="009230D2">
        <w:rPr>
          <w:rFonts w:ascii="Arial" w:hAnsi="Arial" w:cs="Arial"/>
          <w:sz w:val="24"/>
          <w:szCs w:val="24"/>
        </w:rPr>
        <w:t>available</w:t>
      </w:r>
      <w:r w:rsidR="00954E1A">
        <w:rPr>
          <w:rFonts w:ascii="Arial" w:hAnsi="Arial" w:cs="Arial"/>
          <w:sz w:val="24"/>
          <w:szCs w:val="24"/>
        </w:rPr>
        <w:t xml:space="preserve"> room for improvement and a change of approach is required to strengthen the trust between the Black communities and the police. These accusations and beliefs are also proven by evidence such as the findings provided by the 1990 Trust so therefore the police should revise the way they deliver their service and </w:t>
      </w:r>
      <w:r w:rsidR="009230D2">
        <w:rPr>
          <w:rFonts w:ascii="Arial" w:hAnsi="Arial" w:cs="Arial"/>
          <w:sz w:val="24"/>
          <w:szCs w:val="24"/>
        </w:rPr>
        <w:t xml:space="preserve">use </w:t>
      </w:r>
      <w:r w:rsidR="00954E1A">
        <w:rPr>
          <w:rFonts w:ascii="Arial" w:hAnsi="Arial" w:cs="Arial"/>
          <w:sz w:val="24"/>
          <w:szCs w:val="24"/>
        </w:rPr>
        <w:t xml:space="preserve">stop and search powers </w:t>
      </w:r>
      <w:r w:rsidR="009230D2">
        <w:rPr>
          <w:rFonts w:ascii="Arial" w:hAnsi="Arial" w:cs="Arial"/>
          <w:sz w:val="24"/>
          <w:szCs w:val="24"/>
        </w:rPr>
        <w:t xml:space="preserve">fairly </w:t>
      </w:r>
      <w:r w:rsidR="00954E1A">
        <w:rPr>
          <w:rFonts w:ascii="Arial" w:hAnsi="Arial" w:cs="Arial"/>
          <w:sz w:val="24"/>
          <w:szCs w:val="24"/>
        </w:rPr>
        <w:t>as a basis for regaining the lack of trust within the communities they serve. These legislations such as the Police and Criminal Evidence Act 1984 outline that the police should not be racially biased, but with accordance to the information gathered in this essay, it may be suggested that these legislations are not as effective as they are proposed to be</w:t>
      </w:r>
      <w:r w:rsidR="00651FB1">
        <w:rPr>
          <w:rFonts w:ascii="Arial" w:hAnsi="Arial" w:cs="Arial"/>
          <w:sz w:val="24"/>
          <w:szCs w:val="24"/>
        </w:rPr>
        <w:t xml:space="preserve">. </w:t>
      </w:r>
    </w:p>
    <w:p w14:paraId="201F6FD9" w14:textId="7112A169" w:rsidR="003072F9" w:rsidRDefault="003072F9" w:rsidP="003072F9">
      <w:pPr>
        <w:spacing w:line="276" w:lineRule="auto"/>
        <w:rPr>
          <w:rFonts w:ascii="Arial" w:hAnsi="Arial" w:cs="Arial"/>
          <w:sz w:val="24"/>
          <w:szCs w:val="24"/>
        </w:rPr>
      </w:pPr>
    </w:p>
    <w:p w14:paraId="72C72138" w14:textId="5C5246B8" w:rsidR="003072F9" w:rsidRDefault="003072F9" w:rsidP="003072F9">
      <w:pPr>
        <w:spacing w:line="276" w:lineRule="auto"/>
        <w:rPr>
          <w:rFonts w:ascii="Arial" w:hAnsi="Arial" w:cs="Arial"/>
          <w:sz w:val="24"/>
          <w:szCs w:val="24"/>
        </w:rPr>
      </w:pPr>
    </w:p>
    <w:p w14:paraId="5B6FF7E7" w14:textId="1AD350DD" w:rsidR="003072F9" w:rsidRDefault="003072F9" w:rsidP="003072F9">
      <w:pPr>
        <w:spacing w:line="276" w:lineRule="auto"/>
        <w:rPr>
          <w:rFonts w:ascii="Arial" w:hAnsi="Arial" w:cs="Arial"/>
          <w:sz w:val="24"/>
          <w:szCs w:val="24"/>
        </w:rPr>
      </w:pPr>
    </w:p>
    <w:p w14:paraId="37D1F445" w14:textId="0C94C792" w:rsidR="00DD6FE0" w:rsidRDefault="00DD6FE0" w:rsidP="003072F9">
      <w:pPr>
        <w:spacing w:line="276" w:lineRule="auto"/>
        <w:rPr>
          <w:rFonts w:ascii="Arial" w:hAnsi="Arial" w:cs="Arial"/>
          <w:sz w:val="24"/>
          <w:szCs w:val="24"/>
        </w:rPr>
      </w:pPr>
    </w:p>
    <w:p w14:paraId="42B8F0F9" w14:textId="4C015E7E" w:rsidR="00DD6FE0" w:rsidRDefault="00DD6FE0" w:rsidP="003072F9">
      <w:pPr>
        <w:spacing w:line="276" w:lineRule="auto"/>
        <w:rPr>
          <w:rFonts w:ascii="Arial" w:hAnsi="Arial" w:cs="Arial"/>
          <w:sz w:val="24"/>
          <w:szCs w:val="24"/>
        </w:rPr>
      </w:pPr>
    </w:p>
    <w:p w14:paraId="6B92E009" w14:textId="7CA9B86B" w:rsidR="00DD6FE0" w:rsidRDefault="00DD6FE0" w:rsidP="003072F9">
      <w:pPr>
        <w:spacing w:line="276" w:lineRule="auto"/>
        <w:rPr>
          <w:rFonts w:ascii="Arial" w:hAnsi="Arial" w:cs="Arial"/>
          <w:sz w:val="24"/>
          <w:szCs w:val="24"/>
        </w:rPr>
      </w:pPr>
    </w:p>
    <w:p w14:paraId="1614EA84" w14:textId="3B75975B" w:rsidR="00DD6FE0" w:rsidRDefault="00DD6FE0" w:rsidP="003072F9">
      <w:pPr>
        <w:spacing w:line="276" w:lineRule="auto"/>
        <w:rPr>
          <w:rFonts w:ascii="Arial" w:hAnsi="Arial" w:cs="Arial"/>
          <w:sz w:val="24"/>
          <w:szCs w:val="24"/>
        </w:rPr>
      </w:pPr>
    </w:p>
    <w:p w14:paraId="293C49E3" w14:textId="08EB5C6A" w:rsidR="00DD6FE0" w:rsidRDefault="00DD6FE0" w:rsidP="003072F9">
      <w:pPr>
        <w:spacing w:line="276" w:lineRule="auto"/>
        <w:rPr>
          <w:rFonts w:ascii="Arial" w:hAnsi="Arial" w:cs="Arial"/>
          <w:sz w:val="24"/>
          <w:szCs w:val="24"/>
        </w:rPr>
      </w:pPr>
    </w:p>
    <w:p w14:paraId="484504E8" w14:textId="77777777" w:rsidR="00DD6FE0" w:rsidRDefault="00DD6FE0" w:rsidP="003072F9">
      <w:pPr>
        <w:spacing w:line="276" w:lineRule="auto"/>
        <w:rPr>
          <w:rFonts w:ascii="Arial" w:hAnsi="Arial" w:cs="Arial"/>
          <w:sz w:val="24"/>
          <w:szCs w:val="24"/>
        </w:rPr>
      </w:pPr>
    </w:p>
    <w:p w14:paraId="47F0C4A2" w14:textId="7AB4682B" w:rsidR="003072F9" w:rsidRDefault="003072F9" w:rsidP="003072F9">
      <w:pPr>
        <w:spacing w:line="276" w:lineRule="auto"/>
        <w:rPr>
          <w:rFonts w:ascii="Arial" w:hAnsi="Arial" w:cs="Arial"/>
          <w:sz w:val="24"/>
          <w:szCs w:val="24"/>
        </w:rPr>
      </w:pPr>
    </w:p>
    <w:p w14:paraId="760D3A58" w14:textId="74844491" w:rsidR="003072F9" w:rsidRDefault="003072F9" w:rsidP="003072F9">
      <w:pPr>
        <w:spacing w:line="276" w:lineRule="auto"/>
        <w:rPr>
          <w:rFonts w:ascii="Arial" w:hAnsi="Arial" w:cs="Arial"/>
          <w:sz w:val="24"/>
          <w:szCs w:val="24"/>
        </w:rPr>
      </w:pPr>
    </w:p>
    <w:p w14:paraId="1908CC10" w14:textId="0189318C" w:rsidR="003072F9" w:rsidRDefault="003072F9" w:rsidP="003072F9">
      <w:pPr>
        <w:spacing w:line="276" w:lineRule="auto"/>
        <w:rPr>
          <w:rFonts w:ascii="Arial" w:hAnsi="Arial" w:cs="Arial"/>
          <w:sz w:val="24"/>
          <w:szCs w:val="24"/>
        </w:rPr>
      </w:pPr>
    </w:p>
    <w:p w14:paraId="073E7006" w14:textId="08413C8C" w:rsidR="003072F9" w:rsidRDefault="003072F9" w:rsidP="003072F9">
      <w:pPr>
        <w:spacing w:line="276" w:lineRule="auto"/>
        <w:rPr>
          <w:rFonts w:ascii="Arial" w:hAnsi="Arial" w:cs="Arial"/>
          <w:sz w:val="24"/>
          <w:szCs w:val="24"/>
        </w:rPr>
      </w:pPr>
      <w:r>
        <w:rPr>
          <w:rFonts w:ascii="Arial" w:hAnsi="Arial" w:cs="Arial"/>
          <w:sz w:val="24"/>
          <w:szCs w:val="24"/>
        </w:rPr>
        <w:lastRenderedPageBreak/>
        <w:t xml:space="preserve">References </w:t>
      </w:r>
    </w:p>
    <w:p w14:paraId="36004628" w14:textId="695AF558" w:rsidR="003072F9" w:rsidRDefault="00352145" w:rsidP="003072F9">
      <w:pPr>
        <w:spacing w:line="276" w:lineRule="auto"/>
        <w:rPr>
          <w:rFonts w:ascii="Arial" w:hAnsi="Arial" w:cs="Arial"/>
          <w:sz w:val="24"/>
          <w:szCs w:val="24"/>
        </w:rPr>
      </w:pPr>
      <w:r w:rsidRPr="00352145">
        <w:rPr>
          <w:rFonts w:ascii="Arial" w:hAnsi="Arial" w:cs="Arial"/>
          <w:sz w:val="24"/>
          <w:szCs w:val="24"/>
        </w:rPr>
        <w:t>Blackstone’s</w:t>
      </w:r>
      <w:r w:rsidR="00B53793">
        <w:rPr>
          <w:rFonts w:ascii="Arial" w:hAnsi="Arial" w:cs="Arial"/>
          <w:sz w:val="24"/>
          <w:szCs w:val="24"/>
        </w:rPr>
        <w:t>.</w:t>
      </w:r>
      <w:r w:rsidRPr="00352145">
        <w:rPr>
          <w:rFonts w:ascii="Arial" w:hAnsi="Arial" w:cs="Arial"/>
          <w:sz w:val="24"/>
          <w:szCs w:val="24"/>
        </w:rPr>
        <w:t xml:space="preserve"> (2021) ‘</w:t>
      </w:r>
      <w:r w:rsidRPr="00317EFB">
        <w:rPr>
          <w:rFonts w:ascii="Arial" w:hAnsi="Arial" w:cs="Arial"/>
          <w:i/>
          <w:iCs/>
          <w:sz w:val="24"/>
          <w:szCs w:val="24"/>
        </w:rPr>
        <w:t xml:space="preserve">Handbook </w:t>
      </w:r>
      <w:proofErr w:type="gramStart"/>
      <w:r w:rsidRPr="00317EFB">
        <w:rPr>
          <w:rFonts w:ascii="Arial" w:hAnsi="Arial" w:cs="Arial"/>
          <w:i/>
          <w:iCs/>
          <w:sz w:val="24"/>
          <w:szCs w:val="24"/>
        </w:rPr>
        <w:t>For</w:t>
      </w:r>
      <w:proofErr w:type="gramEnd"/>
      <w:r w:rsidRPr="00317EFB">
        <w:rPr>
          <w:rFonts w:ascii="Arial" w:hAnsi="Arial" w:cs="Arial"/>
          <w:i/>
          <w:iCs/>
          <w:sz w:val="24"/>
          <w:szCs w:val="24"/>
        </w:rPr>
        <w:t xml:space="preserve"> Policing Students 2021’</w:t>
      </w:r>
      <w:r w:rsidRPr="00352145">
        <w:rPr>
          <w:rFonts w:ascii="Arial" w:hAnsi="Arial" w:cs="Arial"/>
          <w:sz w:val="24"/>
          <w:szCs w:val="24"/>
        </w:rPr>
        <w:t>, Fifteenth Edition. United Kingdom: Oxford University Press.</w:t>
      </w:r>
    </w:p>
    <w:p w14:paraId="40C0B893" w14:textId="2E6491C4" w:rsidR="009E6897" w:rsidRDefault="009E6897" w:rsidP="003072F9">
      <w:pPr>
        <w:spacing w:line="276" w:lineRule="auto"/>
        <w:rPr>
          <w:rFonts w:ascii="Arial" w:hAnsi="Arial" w:cs="Arial"/>
          <w:sz w:val="24"/>
          <w:szCs w:val="24"/>
        </w:rPr>
      </w:pPr>
      <w:r>
        <w:rPr>
          <w:rFonts w:ascii="Arial" w:hAnsi="Arial" w:cs="Arial"/>
          <w:sz w:val="24"/>
          <w:szCs w:val="24"/>
        </w:rPr>
        <w:t>College of Policing, (2017) ‘</w:t>
      </w:r>
      <w:r w:rsidRPr="009E6897">
        <w:rPr>
          <w:rFonts w:ascii="Arial" w:hAnsi="Arial" w:cs="Arial"/>
          <w:i/>
          <w:iCs/>
          <w:sz w:val="24"/>
          <w:szCs w:val="24"/>
        </w:rPr>
        <w:t>Stop and Search’</w:t>
      </w:r>
      <w:r>
        <w:rPr>
          <w:rFonts w:ascii="Arial" w:hAnsi="Arial" w:cs="Arial"/>
          <w:sz w:val="24"/>
          <w:szCs w:val="24"/>
        </w:rPr>
        <w:t xml:space="preserve">, [Online] Available: </w:t>
      </w:r>
      <w:hyperlink r:id="rId5" w:history="1">
        <w:r w:rsidRPr="00A03FB1">
          <w:rPr>
            <w:rStyle w:val="Hyperlink"/>
            <w:rFonts w:ascii="Arial" w:hAnsi="Arial" w:cs="Arial"/>
            <w:sz w:val="24"/>
            <w:szCs w:val="24"/>
          </w:rPr>
          <w:t>https://www.app.college.police.uk/app-content/stop-and-search/</w:t>
        </w:r>
      </w:hyperlink>
      <w:r>
        <w:rPr>
          <w:rFonts w:ascii="Arial" w:hAnsi="Arial" w:cs="Arial"/>
          <w:sz w:val="24"/>
          <w:szCs w:val="24"/>
        </w:rPr>
        <w:t xml:space="preserve"> (Accessed: 25 April 2021). </w:t>
      </w:r>
    </w:p>
    <w:p w14:paraId="6338D52E" w14:textId="0D91F768" w:rsidR="001A6C4A" w:rsidRDefault="001A6C4A" w:rsidP="003072F9">
      <w:pPr>
        <w:spacing w:line="276" w:lineRule="auto"/>
        <w:rPr>
          <w:rFonts w:ascii="Arial" w:hAnsi="Arial" w:cs="Arial"/>
          <w:sz w:val="24"/>
          <w:szCs w:val="24"/>
        </w:rPr>
      </w:pPr>
      <w:r>
        <w:rPr>
          <w:rFonts w:ascii="Arial" w:hAnsi="Arial" w:cs="Arial"/>
          <w:sz w:val="24"/>
          <w:szCs w:val="24"/>
        </w:rPr>
        <w:t>College of Policing, (2019) ‘</w:t>
      </w:r>
      <w:r w:rsidRPr="001A6C4A">
        <w:rPr>
          <w:rFonts w:ascii="Arial" w:hAnsi="Arial" w:cs="Arial"/>
          <w:i/>
          <w:iCs/>
          <w:sz w:val="24"/>
          <w:szCs w:val="24"/>
        </w:rPr>
        <w:t>Stop and Search Legal Basis’</w:t>
      </w:r>
      <w:r>
        <w:rPr>
          <w:rFonts w:ascii="Arial" w:hAnsi="Arial" w:cs="Arial"/>
          <w:sz w:val="24"/>
          <w:szCs w:val="24"/>
        </w:rPr>
        <w:t xml:space="preserve">, [Online] Available: </w:t>
      </w:r>
      <w:hyperlink r:id="rId6" w:anchor="section-1-of-the-police-and-criminal-evidence-act-1984" w:history="1">
        <w:r w:rsidRPr="00D32882">
          <w:rPr>
            <w:rStyle w:val="Hyperlink"/>
            <w:rFonts w:ascii="Arial" w:hAnsi="Arial" w:cs="Arial"/>
            <w:sz w:val="24"/>
            <w:szCs w:val="24"/>
          </w:rPr>
          <w:t>https://www.app.college.police.uk/app-content/stop-and-search/legal/legal-basis/?highlight=reasonable%20grounds?s=reasonable+grounds#section-1-of-the-police-and-criminal-evidence-act-1984</w:t>
        </w:r>
      </w:hyperlink>
      <w:r>
        <w:rPr>
          <w:rFonts w:ascii="Arial" w:hAnsi="Arial" w:cs="Arial"/>
          <w:sz w:val="24"/>
          <w:szCs w:val="24"/>
        </w:rPr>
        <w:t xml:space="preserve"> </w:t>
      </w:r>
    </w:p>
    <w:p w14:paraId="0129D10C" w14:textId="789876C3" w:rsidR="00AD58AE" w:rsidRDefault="00AD58AE" w:rsidP="003072F9">
      <w:pPr>
        <w:spacing w:line="276" w:lineRule="auto"/>
        <w:rPr>
          <w:rFonts w:ascii="Arial" w:hAnsi="Arial" w:cs="Arial"/>
          <w:sz w:val="24"/>
          <w:szCs w:val="24"/>
        </w:rPr>
      </w:pPr>
      <w:r>
        <w:rPr>
          <w:rFonts w:ascii="Arial" w:hAnsi="Arial" w:cs="Arial"/>
          <w:sz w:val="24"/>
          <w:szCs w:val="24"/>
        </w:rPr>
        <w:t>College of Policing</w:t>
      </w:r>
      <w:r w:rsidR="00FE5AE7">
        <w:rPr>
          <w:rFonts w:ascii="Arial" w:hAnsi="Arial" w:cs="Arial"/>
          <w:sz w:val="24"/>
          <w:szCs w:val="24"/>
        </w:rPr>
        <w:t>,</w:t>
      </w:r>
      <w:r>
        <w:rPr>
          <w:rFonts w:ascii="Arial" w:hAnsi="Arial" w:cs="Arial"/>
          <w:sz w:val="24"/>
          <w:szCs w:val="24"/>
        </w:rPr>
        <w:t xml:space="preserve"> (2018) ‘</w:t>
      </w:r>
      <w:r w:rsidRPr="001A6C4A">
        <w:rPr>
          <w:rFonts w:ascii="Arial" w:hAnsi="Arial" w:cs="Arial"/>
          <w:i/>
          <w:iCs/>
          <w:sz w:val="24"/>
          <w:szCs w:val="24"/>
        </w:rPr>
        <w:t>Core Principles and Legislation’</w:t>
      </w:r>
      <w:r>
        <w:rPr>
          <w:rFonts w:ascii="Arial" w:hAnsi="Arial" w:cs="Arial"/>
          <w:sz w:val="24"/>
          <w:szCs w:val="24"/>
        </w:rPr>
        <w:t xml:space="preserve">, [Online] Available: </w:t>
      </w:r>
      <w:hyperlink r:id="rId7" w:history="1">
        <w:r w:rsidRPr="00D32882">
          <w:rPr>
            <w:rStyle w:val="Hyperlink"/>
            <w:rFonts w:ascii="Arial" w:hAnsi="Arial" w:cs="Arial"/>
            <w:sz w:val="24"/>
            <w:szCs w:val="24"/>
          </w:rPr>
          <w:t>https://www.app.college.police.uk/app-content/public-order/core-principles-and-legislation/</w:t>
        </w:r>
      </w:hyperlink>
      <w:r>
        <w:rPr>
          <w:rFonts w:ascii="Arial" w:hAnsi="Arial" w:cs="Arial"/>
          <w:sz w:val="24"/>
          <w:szCs w:val="24"/>
        </w:rPr>
        <w:t xml:space="preserve"> (Accessed: 29 April 2021). </w:t>
      </w:r>
    </w:p>
    <w:p w14:paraId="1A5D3F8B" w14:textId="22737F36" w:rsidR="00B53793" w:rsidRDefault="00B53793" w:rsidP="007C105D">
      <w:pPr>
        <w:spacing w:line="276" w:lineRule="auto"/>
        <w:rPr>
          <w:rFonts w:ascii="Arial" w:hAnsi="Arial" w:cs="Arial"/>
          <w:sz w:val="24"/>
          <w:szCs w:val="24"/>
        </w:rPr>
      </w:pPr>
      <w:r>
        <w:rPr>
          <w:rFonts w:ascii="Arial" w:hAnsi="Arial" w:cs="Arial"/>
          <w:sz w:val="24"/>
          <w:szCs w:val="24"/>
        </w:rPr>
        <w:t xml:space="preserve">Jones, S. (1985) ‘The Police and Criminal Evidence </w:t>
      </w:r>
      <w:r w:rsidR="007C105D">
        <w:rPr>
          <w:rFonts w:ascii="Arial" w:hAnsi="Arial" w:cs="Arial"/>
          <w:sz w:val="24"/>
          <w:szCs w:val="24"/>
        </w:rPr>
        <w:t xml:space="preserve">Act 1948’, </w:t>
      </w:r>
      <w:r w:rsidR="007C105D" w:rsidRPr="007C105D">
        <w:rPr>
          <w:rFonts w:ascii="Arial" w:hAnsi="Arial" w:cs="Arial"/>
          <w:i/>
          <w:iCs/>
          <w:sz w:val="24"/>
          <w:szCs w:val="24"/>
        </w:rPr>
        <w:t>The Modern Law Review</w:t>
      </w:r>
      <w:r w:rsidR="007C105D">
        <w:rPr>
          <w:rFonts w:ascii="Arial" w:hAnsi="Arial" w:cs="Arial"/>
          <w:sz w:val="24"/>
          <w:szCs w:val="24"/>
        </w:rPr>
        <w:t xml:space="preserve">, </w:t>
      </w:r>
      <w:r w:rsidR="007C105D" w:rsidRPr="007C105D">
        <w:rPr>
          <w:rFonts w:ascii="Arial" w:hAnsi="Arial" w:cs="Arial"/>
          <w:sz w:val="24"/>
          <w:szCs w:val="24"/>
        </w:rPr>
        <w:t>Vol</w:t>
      </w:r>
      <w:r w:rsidR="007C105D">
        <w:rPr>
          <w:rFonts w:ascii="Arial" w:hAnsi="Arial" w:cs="Arial"/>
          <w:sz w:val="24"/>
          <w:szCs w:val="24"/>
        </w:rPr>
        <w:t xml:space="preserve"> </w:t>
      </w:r>
      <w:r w:rsidR="007C105D" w:rsidRPr="007C105D">
        <w:rPr>
          <w:rFonts w:ascii="Arial" w:hAnsi="Arial" w:cs="Arial"/>
          <w:sz w:val="24"/>
          <w:szCs w:val="24"/>
        </w:rPr>
        <w:t xml:space="preserve">48, </w:t>
      </w:r>
      <w:r w:rsidR="007C105D">
        <w:rPr>
          <w:rFonts w:ascii="Arial" w:hAnsi="Arial" w:cs="Arial"/>
          <w:sz w:val="24"/>
          <w:szCs w:val="24"/>
        </w:rPr>
        <w:t xml:space="preserve">Issue </w:t>
      </w:r>
      <w:r w:rsidR="007C105D" w:rsidRPr="007C105D">
        <w:rPr>
          <w:rFonts w:ascii="Arial" w:hAnsi="Arial" w:cs="Arial"/>
          <w:sz w:val="24"/>
          <w:szCs w:val="24"/>
        </w:rPr>
        <w:t>6</w:t>
      </w:r>
      <w:r w:rsidR="007C105D">
        <w:rPr>
          <w:rFonts w:ascii="Arial" w:hAnsi="Arial" w:cs="Arial"/>
          <w:sz w:val="24"/>
          <w:szCs w:val="24"/>
        </w:rPr>
        <w:t xml:space="preserve">, p </w:t>
      </w:r>
      <w:r w:rsidR="007C105D" w:rsidRPr="007C105D">
        <w:rPr>
          <w:rFonts w:ascii="Arial" w:hAnsi="Arial" w:cs="Arial"/>
          <w:sz w:val="24"/>
          <w:szCs w:val="24"/>
        </w:rPr>
        <w:t>679-693</w:t>
      </w:r>
      <w:r w:rsidR="007C105D">
        <w:rPr>
          <w:rFonts w:ascii="Arial" w:hAnsi="Arial" w:cs="Arial"/>
          <w:sz w:val="24"/>
          <w:szCs w:val="24"/>
        </w:rPr>
        <w:t xml:space="preserve"> [Online] Available: </w:t>
      </w:r>
      <w:hyperlink r:id="rId8" w:history="1">
        <w:r w:rsidR="007C105D" w:rsidRPr="00D32882">
          <w:rPr>
            <w:rStyle w:val="Hyperlink"/>
            <w:rFonts w:ascii="Arial" w:hAnsi="Arial" w:cs="Arial"/>
            <w:sz w:val="24"/>
            <w:szCs w:val="24"/>
          </w:rPr>
          <w:t>https://ezproxy.uwtsd.ac.uk/login?url=https://www.jstor.org/stable/1095832</w:t>
        </w:r>
      </w:hyperlink>
      <w:r w:rsidR="007C105D">
        <w:rPr>
          <w:rFonts w:ascii="Arial" w:hAnsi="Arial" w:cs="Arial"/>
          <w:sz w:val="24"/>
          <w:szCs w:val="24"/>
        </w:rPr>
        <w:t xml:space="preserve"> (Accessed: 29 April 2021). </w:t>
      </w:r>
    </w:p>
    <w:p w14:paraId="43E3F7D5" w14:textId="221ED48F" w:rsidR="007C105D" w:rsidRDefault="00FE5AE7" w:rsidP="00FE5AE7">
      <w:pPr>
        <w:spacing w:line="276" w:lineRule="auto"/>
        <w:rPr>
          <w:rFonts w:ascii="Arial" w:hAnsi="Arial" w:cs="Arial"/>
          <w:sz w:val="24"/>
          <w:szCs w:val="24"/>
        </w:rPr>
      </w:pPr>
      <w:r>
        <w:rPr>
          <w:rFonts w:ascii="Arial" w:hAnsi="Arial" w:cs="Arial"/>
          <w:sz w:val="24"/>
          <w:szCs w:val="24"/>
        </w:rPr>
        <w:t>Home Office, (2015) ‘</w:t>
      </w:r>
      <w:r w:rsidRPr="00317EFB">
        <w:rPr>
          <w:rFonts w:ascii="Arial" w:hAnsi="Arial" w:cs="Arial"/>
          <w:i/>
          <w:iCs/>
          <w:sz w:val="24"/>
          <w:szCs w:val="24"/>
        </w:rPr>
        <w:t>Code A Revised: Code of Practice for the Exercise by: Police Off</w:t>
      </w:r>
      <w:r w:rsidR="00317EFB">
        <w:rPr>
          <w:rFonts w:ascii="Arial" w:hAnsi="Arial" w:cs="Arial"/>
          <w:i/>
          <w:iCs/>
          <w:sz w:val="24"/>
          <w:szCs w:val="24"/>
        </w:rPr>
        <w:t>i</w:t>
      </w:r>
      <w:r w:rsidRPr="00317EFB">
        <w:rPr>
          <w:rFonts w:ascii="Arial" w:hAnsi="Arial" w:cs="Arial"/>
          <w:i/>
          <w:iCs/>
          <w:sz w:val="24"/>
          <w:szCs w:val="24"/>
        </w:rPr>
        <w:t>cers of Statutory Powers of Stop and Search Police Officers and Police Staff of Requirements to Record Public Encounters’</w:t>
      </w:r>
      <w:r>
        <w:rPr>
          <w:rFonts w:ascii="Arial" w:hAnsi="Arial" w:cs="Arial"/>
          <w:sz w:val="24"/>
          <w:szCs w:val="24"/>
        </w:rPr>
        <w:t xml:space="preserve">, [Online] Available: </w:t>
      </w:r>
      <w:hyperlink r:id="rId9" w:history="1">
        <w:r w:rsidRPr="00D32882">
          <w:rPr>
            <w:rStyle w:val="Hyperlink"/>
            <w:rFonts w:ascii="Arial" w:hAnsi="Arial" w:cs="Arial"/>
            <w:sz w:val="24"/>
            <w:szCs w:val="24"/>
          </w:rPr>
          <w:t>https://assets.publishing.service.gov.uk/government/uploads/system/uploads/attachment_data/file/903810/pace-code-a-2015.pdf</w:t>
        </w:r>
      </w:hyperlink>
      <w:r>
        <w:rPr>
          <w:rFonts w:ascii="Arial" w:hAnsi="Arial" w:cs="Arial"/>
          <w:sz w:val="24"/>
          <w:szCs w:val="24"/>
        </w:rPr>
        <w:t xml:space="preserve"> (Accessed 29 April 2021). </w:t>
      </w:r>
    </w:p>
    <w:p w14:paraId="13CD3CF5" w14:textId="1971DFB4" w:rsidR="008D709E" w:rsidRDefault="008D709E" w:rsidP="00FE5AE7">
      <w:pPr>
        <w:spacing w:line="276" w:lineRule="auto"/>
        <w:rPr>
          <w:rFonts w:ascii="Arial" w:hAnsi="Arial" w:cs="Arial"/>
          <w:sz w:val="24"/>
          <w:szCs w:val="24"/>
        </w:rPr>
      </w:pPr>
      <w:r>
        <w:rPr>
          <w:rFonts w:ascii="Arial" w:hAnsi="Arial" w:cs="Arial"/>
          <w:sz w:val="24"/>
          <w:szCs w:val="24"/>
        </w:rPr>
        <w:t xml:space="preserve">Cane, P and </w:t>
      </w:r>
      <w:proofErr w:type="spellStart"/>
      <w:r w:rsidRPr="008D709E">
        <w:rPr>
          <w:rFonts w:ascii="Arial" w:hAnsi="Arial" w:cs="Arial"/>
          <w:sz w:val="24"/>
          <w:szCs w:val="24"/>
        </w:rPr>
        <w:t>Conagha</w:t>
      </w:r>
      <w:r>
        <w:rPr>
          <w:rFonts w:ascii="Arial" w:hAnsi="Arial" w:cs="Arial"/>
          <w:sz w:val="24"/>
          <w:szCs w:val="24"/>
        </w:rPr>
        <w:t>n</w:t>
      </w:r>
      <w:proofErr w:type="spellEnd"/>
      <w:r>
        <w:rPr>
          <w:rFonts w:ascii="Arial" w:hAnsi="Arial" w:cs="Arial"/>
          <w:sz w:val="24"/>
          <w:szCs w:val="24"/>
        </w:rPr>
        <w:t xml:space="preserve">, J. (2009) ‘PACE’, </w:t>
      </w:r>
      <w:r w:rsidRPr="008D709E">
        <w:rPr>
          <w:rFonts w:ascii="Arial" w:hAnsi="Arial" w:cs="Arial"/>
          <w:i/>
          <w:iCs/>
          <w:sz w:val="24"/>
          <w:szCs w:val="24"/>
        </w:rPr>
        <w:t>The New Oxford Companion to Law</w:t>
      </w:r>
      <w:r>
        <w:rPr>
          <w:rFonts w:ascii="Arial" w:hAnsi="Arial" w:cs="Arial"/>
          <w:i/>
          <w:iCs/>
          <w:sz w:val="24"/>
          <w:szCs w:val="24"/>
        </w:rPr>
        <w:t xml:space="preserve">, </w:t>
      </w:r>
      <w:r>
        <w:rPr>
          <w:rFonts w:ascii="Arial" w:hAnsi="Arial" w:cs="Arial"/>
          <w:sz w:val="24"/>
          <w:szCs w:val="24"/>
        </w:rPr>
        <w:t xml:space="preserve">[Online] Available: </w:t>
      </w:r>
      <w:hyperlink r:id="rId10" w:history="1">
        <w:r w:rsidRPr="00D32882">
          <w:rPr>
            <w:rStyle w:val="Hyperlink"/>
            <w:rFonts w:ascii="Arial" w:hAnsi="Arial" w:cs="Arial"/>
            <w:sz w:val="24"/>
            <w:szCs w:val="24"/>
          </w:rPr>
          <w:t>https://www.oxfordreference.com/view/10.1093/acref/9780199290543.001.0001/acref-9780199290543-e-1586#</w:t>
        </w:r>
      </w:hyperlink>
      <w:r>
        <w:rPr>
          <w:rFonts w:ascii="Arial" w:hAnsi="Arial" w:cs="Arial"/>
          <w:sz w:val="24"/>
          <w:szCs w:val="24"/>
        </w:rPr>
        <w:t xml:space="preserve"> (Accessed: 29 April 2021). </w:t>
      </w:r>
    </w:p>
    <w:p w14:paraId="409FAAEC" w14:textId="7F23CC1B" w:rsidR="008D709E" w:rsidRDefault="00F11E73" w:rsidP="00FE5AE7">
      <w:pPr>
        <w:spacing w:line="276" w:lineRule="auto"/>
        <w:rPr>
          <w:rFonts w:ascii="Arial" w:hAnsi="Arial" w:cs="Arial"/>
          <w:sz w:val="24"/>
          <w:szCs w:val="24"/>
        </w:rPr>
      </w:pPr>
      <w:r>
        <w:rPr>
          <w:rFonts w:ascii="Arial" w:hAnsi="Arial" w:cs="Arial"/>
          <w:sz w:val="24"/>
          <w:szCs w:val="24"/>
        </w:rPr>
        <w:t xml:space="preserve">Ellis, D. (2010) ‘Stop and Search Disproportionality, Discretion and Generalisations’, </w:t>
      </w:r>
      <w:r w:rsidR="008D2C36" w:rsidRPr="008D2C36">
        <w:rPr>
          <w:rFonts w:ascii="Arial" w:hAnsi="Arial" w:cs="Arial"/>
          <w:i/>
          <w:iCs/>
          <w:sz w:val="24"/>
          <w:szCs w:val="24"/>
        </w:rPr>
        <w:t>The Police Journal</w:t>
      </w:r>
      <w:r w:rsidR="008D2C36">
        <w:rPr>
          <w:rFonts w:ascii="Arial" w:hAnsi="Arial" w:cs="Arial"/>
          <w:i/>
          <w:iCs/>
          <w:sz w:val="24"/>
          <w:szCs w:val="24"/>
        </w:rPr>
        <w:t>,</w:t>
      </w:r>
      <w:r w:rsidR="008D2C36" w:rsidRPr="008D2C36">
        <w:rPr>
          <w:rFonts w:ascii="Arial" w:hAnsi="Arial" w:cs="Arial"/>
          <w:i/>
          <w:iCs/>
          <w:sz w:val="24"/>
          <w:szCs w:val="24"/>
        </w:rPr>
        <w:t xml:space="preserve"> </w:t>
      </w:r>
      <w:r w:rsidR="008D2C36">
        <w:rPr>
          <w:rFonts w:ascii="Arial" w:hAnsi="Arial" w:cs="Arial"/>
          <w:sz w:val="24"/>
          <w:szCs w:val="24"/>
        </w:rPr>
        <w:t xml:space="preserve">Volume 83, p 199-216, [Online] Available: </w:t>
      </w:r>
      <w:hyperlink r:id="rId11" w:history="1">
        <w:r w:rsidR="008D2C36" w:rsidRPr="00DC5317">
          <w:rPr>
            <w:rStyle w:val="Hyperlink"/>
            <w:rFonts w:ascii="Arial" w:hAnsi="Arial" w:cs="Arial"/>
            <w:sz w:val="24"/>
            <w:szCs w:val="24"/>
          </w:rPr>
          <w:t>https://journals-sagepub-com.ezproxy.uwtsd.ac.uk/doi/abs/10.1350/pojo.2010.83.3.476</w:t>
        </w:r>
      </w:hyperlink>
      <w:r w:rsidR="008D2C36">
        <w:rPr>
          <w:rFonts w:ascii="Arial" w:hAnsi="Arial" w:cs="Arial"/>
          <w:sz w:val="24"/>
          <w:szCs w:val="24"/>
        </w:rPr>
        <w:t xml:space="preserve"> (Accessed: 30 April 2021). </w:t>
      </w:r>
    </w:p>
    <w:p w14:paraId="46C615F7" w14:textId="38603506" w:rsidR="008D2C36" w:rsidRDefault="002C5C9E" w:rsidP="00FE5AE7">
      <w:pPr>
        <w:spacing w:line="276" w:lineRule="auto"/>
        <w:rPr>
          <w:rFonts w:ascii="Arial" w:hAnsi="Arial" w:cs="Arial"/>
          <w:sz w:val="24"/>
          <w:szCs w:val="24"/>
        </w:rPr>
      </w:pPr>
      <w:r>
        <w:rPr>
          <w:rFonts w:ascii="Arial" w:hAnsi="Arial" w:cs="Arial"/>
          <w:sz w:val="24"/>
          <w:szCs w:val="24"/>
        </w:rPr>
        <w:t xml:space="preserve">GOV.UK (2021) ‘Stop and Search’, [Online] Available: </w:t>
      </w:r>
      <w:hyperlink r:id="rId12" w:anchor="title" w:history="1">
        <w:r w:rsidRPr="00DC5317">
          <w:rPr>
            <w:rStyle w:val="Hyperlink"/>
            <w:rFonts w:ascii="Arial" w:hAnsi="Arial" w:cs="Arial"/>
            <w:sz w:val="24"/>
            <w:szCs w:val="24"/>
          </w:rPr>
          <w:t>https://www.ethnicity-facts-figures.service.gov.uk/crime-justice-and-the-law/policing/stop-and-search/latest#title</w:t>
        </w:r>
      </w:hyperlink>
      <w:r>
        <w:rPr>
          <w:rFonts w:ascii="Arial" w:hAnsi="Arial" w:cs="Arial"/>
          <w:sz w:val="24"/>
          <w:szCs w:val="24"/>
        </w:rPr>
        <w:t xml:space="preserve"> (Accessed: 30 April 2021). </w:t>
      </w:r>
    </w:p>
    <w:p w14:paraId="5DDEF494" w14:textId="4A9DCC2A" w:rsidR="005C002C" w:rsidRDefault="005C002C" w:rsidP="00FE5AE7">
      <w:pPr>
        <w:spacing w:line="276" w:lineRule="auto"/>
        <w:rPr>
          <w:rFonts w:ascii="Arial" w:hAnsi="Arial" w:cs="Arial"/>
          <w:sz w:val="24"/>
          <w:szCs w:val="24"/>
        </w:rPr>
      </w:pPr>
      <w:r>
        <w:rPr>
          <w:rFonts w:ascii="Arial" w:hAnsi="Arial" w:cs="Arial"/>
          <w:sz w:val="24"/>
          <w:szCs w:val="24"/>
        </w:rPr>
        <w:t xml:space="preserve">Legislation.Gov (2020) ‘Misuse of Drugs Act 1971’, [Online] Available: </w:t>
      </w:r>
      <w:hyperlink r:id="rId13" w:history="1">
        <w:r w:rsidRPr="00997E85">
          <w:rPr>
            <w:rStyle w:val="Hyperlink"/>
            <w:rFonts w:ascii="Arial" w:hAnsi="Arial" w:cs="Arial"/>
            <w:sz w:val="24"/>
            <w:szCs w:val="24"/>
          </w:rPr>
          <w:t>https://www.legislation.gov.uk/ukpga/1971/38/introduction/2020-12-01?view=extent</w:t>
        </w:r>
      </w:hyperlink>
      <w:r>
        <w:rPr>
          <w:rFonts w:ascii="Arial" w:hAnsi="Arial" w:cs="Arial"/>
          <w:sz w:val="24"/>
          <w:szCs w:val="24"/>
        </w:rPr>
        <w:t xml:space="preserve"> (Accessed: 3 May 2021).</w:t>
      </w:r>
    </w:p>
    <w:p w14:paraId="22AE5614" w14:textId="793D7A52" w:rsidR="005C002C" w:rsidRDefault="002E552E" w:rsidP="00FE5AE7">
      <w:pPr>
        <w:spacing w:line="276" w:lineRule="auto"/>
        <w:rPr>
          <w:rFonts w:ascii="Arial" w:hAnsi="Arial" w:cs="Arial"/>
          <w:sz w:val="24"/>
          <w:szCs w:val="24"/>
        </w:rPr>
      </w:pPr>
      <w:r>
        <w:rPr>
          <w:rFonts w:ascii="Arial" w:hAnsi="Arial" w:cs="Arial"/>
          <w:sz w:val="24"/>
          <w:szCs w:val="24"/>
        </w:rPr>
        <w:t xml:space="preserve">Flacks, S (2018) ‘The Stop and Search of Minors: A Vital Policing Tool?’, </w:t>
      </w:r>
      <w:r>
        <w:rPr>
          <w:rFonts w:ascii="Arial" w:hAnsi="Arial" w:cs="Arial"/>
          <w:i/>
          <w:iCs/>
          <w:sz w:val="24"/>
          <w:szCs w:val="24"/>
        </w:rPr>
        <w:t xml:space="preserve">Criminology and Criminal Justice, </w:t>
      </w:r>
      <w:r>
        <w:rPr>
          <w:rFonts w:ascii="Arial" w:hAnsi="Arial" w:cs="Arial"/>
          <w:sz w:val="24"/>
          <w:szCs w:val="24"/>
        </w:rPr>
        <w:t xml:space="preserve">Vol </w:t>
      </w:r>
      <w:r w:rsidRPr="002E552E">
        <w:rPr>
          <w:rFonts w:ascii="Arial" w:hAnsi="Arial" w:cs="Arial"/>
          <w:sz w:val="24"/>
          <w:szCs w:val="24"/>
        </w:rPr>
        <w:t>18</w:t>
      </w:r>
      <w:r>
        <w:rPr>
          <w:rFonts w:ascii="Arial" w:hAnsi="Arial" w:cs="Arial"/>
          <w:sz w:val="24"/>
          <w:szCs w:val="24"/>
        </w:rPr>
        <w:t xml:space="preserve">, Issue </w:t>
      </w:r>
      <w:r w:rsidRPr="002E552E">
        <w:rPr>
          <w:rFonts w:ascii="Arial" w:hAnsi="Arial" w:cs="Arial"/>
          <w:sz w:val="24"/>
          <w:szCs w:val="24"/>
        </w:rPr>
        <w:t>3</w:t>
      </w:r>
      <w:r>
        <w:rPr>
          <w:rFonts w:ascii="Arial" w:hAnsi="Arial" w:cs="Arial"/>
          <w:sz w:val="24"/>
          <w:szCs w:val="24"/>
        </w:rPr>
        <w:t>, p</w:t>
      </w:r>
      <w:r w:rsidRPr="002E552E">
        <w:rPr>
          <w:rFonts w:ascii="Arial" w:hAnsi="Arial" w:cs="Arial"/>
          <w:sz w:val="24"/>
          <w:szCs w:val="24"/>
        </w:rPr>
        <w:t xml:space="preserve"> 364–384</w:t>
      </w:r>
      <w:r>
        <w:rPr>
          <w:rFonts w:ascii="Arial" w:hAnsi="Arial" w:cs="Arial"/>
          <w:sz w:val="24"/>
          <w:szCs w:val="24"/>
        </w:rPr>
        <w:t xml:space="preserve">, [Online] Available: </w:t>
      </w:r>
      <w:hyperlink r:id="rId14" w:history="1">
        <w:r w:rsidRPr="00BB6FE4">
          <w:rPr>
            <w:rStyle w:val="Hyperlink"/>
            <w:rFonts w:ascii="Arial" w:hAnsi="Arial" w:cs="Arial"/>
            <w:sz w:val="24"/>
            <w:szCs w:val="24"/>
          </w:rPr>
          <w:t>https://journals-sagepub-com.ezproxy.uwtsd.ac.uk/doi/full/10.1177/1748895817720485</w:t>
        </w:r>
      </w:hyperlink>
      <w:r>
        <w:rPr>
          <w:rFonts w:ascii="Arial" w:hAnsi="Arial" w:cs="Arial"/>
          <w:sz w:val="24"/>
          <w:szCs w:val="24"/>
        </w:rPr>
        <w:t xml:space="preserve"> (Accessed: 3 May 2021). </w:t>
      </w:r>
    </w:p>
    <w:p w14:paraId="133E68C9" w14:textId="70D6BB57" w:rsidR="00175007" w:rsidRDefault="004671A9" w:rsidP="00FE5AE7">
      <w:pPr>
        <w:spacing w:line="276" w:lineRule="auto"/>
        <w:rPr>
          <w:rFonts w:ascii="Arial" w:hAnsi="Arial" w:cs="Arial"/>
          <w:sz w:val="24"/>
          <w:szCs w:val="24"/>
        </w:rPr>
      </w:pPr>
      <w:r>
        <w:rPr>
          <w:rFonts w:ascii="Arial" w:hAnsi="Arial" w:cs="Arial"/>
          <w:sz w:val="24"/>
          <w:szCs w:val="24"/>
        </w:rPr>
        <w:t>Rogers, V (2012) ‘A Little Book on Drugs’</w:t>
      </w:r>
      <w:r w:rsidR="00B82BA4">
        <w:rPr>
          <w:rFonts w:ascii="Arial" w:hAnsi="Arial" w:cs="Arial"/>
          <w:sz w:val="24"/>
          <w:szCs w:val="24"/>
        </w:rPr>
        <w:t xml:space="preserve">, Second Edition, </w:t>
      </w:r>
      <w:r w:rsidR="00BE3AEE" w:rsidRPr="00BE3AEE">
        <w:rPr>
          <w:rFonts w:ascii="Arial" w:hAnsi="Arial" w:cs="Arial"/>
          <w:sz w:val="24"/>
          <w:szCs w:val="24"/>
        </w:rPr>
        <w:t>London: Jessica Kingsley Publishers</w:t>
      </w:r>
      <w:r w:rsidR="00BE3AEE">
        <w:rPr>
          <w:rFonts w:ascii="Arial" w:hAnsi="Arial" w:cs="Arial"/>
          <w:sz w:val="24"/>
          <w:szCs w:val="24"/>
        </w:rPr>
        <w:t xml:space="preserve">. </w:t>
      </w:r>
      <w:r w:rsidR="00175007">
        <w:rPr>
          <w:rFonts w:ascii="Arial" w:hAnsi="Arial" w:cs="Arial"/>
          <w:sz w:val="24"/>
          <w:szCs w:val="24"/>
        </w:rPr>
        <w:t xml:space="preserve">Available: </w:t>
      </w:r>
      <w:hyperlink r:id="rId15" w:history="1">
        <w:r w:rsidR="00175007" w:rsidRPr="00BB6FE4">
          <w:rPr>
            <w:rStyle w:val="Hyperlink"/>
            <w:rFonts w:ascii="Arial" w:hAnsi="Arial" w:cs="Arial"/>
            <w:sz w:val="24"/>
            <w:szCs w:val="24"/>
          </w:rPr>
          <w:t>https://whel-primo.hosted.exlibrisgroup.com/primo-explore/fulldisplay?docid=44UWTSD_ALMA51169180930002421&amp;context=L&amp;vid=44WHELF_UWTSD_VU1&amp;lang=en_US&amp;search_scope=CSCOP_EVERYTHING&amp;adaptor=Local%20Search%20Engine&amp;tab=tab1&amp;query=any,contains,misuse%20of%20drugs%20act%201971&amp;offset=0</w:t>
        </w:r>
      </w:hyperlink>
      <w:r w:rsidR="00175007">
        <w:rPr>
          <w:rFonts w:ascii="Arial" w:hAnsi="Arial" w:cs="Arial"/>
          <w:sz w:val="24"/>
          <w:szCs w:val="24"/>
        </w:rPr>
        <w:t xml:space="preserve"> (Accessed: 4 May 2021). </w:t>
      </w:r>
    </w:p>
    <w:p w14:paraId="78DDF8A8" w14:textId="78A10A13" w:rsidR="005A2012" w:rsidRDefault="005A2012" w:rsidP="005A2012">
      <w:pPr>
        <w:spacing w:line="276" w:lineRule="auto"/>
        <w:rPr>
          <w:rFonts w:ascii="Arial" w:hAnsi="Arial" w:cs="Arial"/>
          <w:sz w:val="24"/>
          <w:szCs w:val="24"/>
        </w:rPr>
      </w:pPr>
      <w:proofErr w:type="spellStart"/>
      <w:r>
        <w:rPr>
          <w:rFonts w:ascii="Arial" w:hAnsi="Arial" w:cs="Arial"/>
          <w:sz w:val="24"/>
          <w:szCs w:val="24"/>
        </w:rPr>
        <w:lastRenderedPageBreak/>
        <w:t>DrugWise</w:t>
      </w:r>
      <w:proofErr w:type="spellEnd"/>
      <w:r>
        <w:rPr>
          <w:rFonts w:ascii="Arial" w:hAnsi="Arial" w:cs="Arial"/>
          <w:sz w:val="24"/>
          <w:szCs w:val="24"/>
        </w:rPr>
        <w:t xml:space="preserve"> (2017) ‘Why Do Young People Take Drugs?’</w:t>
      </w:r>
      <w:r w:rsidR="00F87B19">
        <w:rPr>
          <w:rFonts w:ascii="Arial" w:hAnsi="Arial" w:cs="Arial"/>
          <w:sz w:val="24"/>
          <w:szCs w:val="24"/>
        </w:rPr>
        <w:t xml:space="preserve">, [Online] Available: </w:t>
      </w:r>
      <w:hyperlink r:id="rId16" w:history="1">
        <w:r w:rsidR="00F87B19" w:rsidRPr="00BB6FE4">
          <w:rPr>
            <w:rStyle w:val="Hyperlink"/>
            <w:rFonts w:ascii="Arial" w:hAnsi="Arial" w:cs="Arial"/>
            <w:sz w:val="24"/>
            <w:szCs w:val="24"/>
          </w:rPr>
          <w:t>https://www.drugwise.org.uk/why-do-young-people-take-drugs/</w:t>
        </w:r>
      </w:hyperlink>
      <w:r w:rsidR="00F87B19">
        <w:rPr>
          <w:rFonts w:ascii="Arial" w:hAnsi="Arial" w:cs="Arial"/>
          <w:sz w:val="24"/>
          <w:szCs w:val="24"/>
        </w:rPr>
        <w:t xml:space="preserve"> (Accessed: 5 May 2021).</w:t>
      </w:r>
    </w:p>
    <w:p w14:paraId="550C6EE4" w14:textId="4617E5AD" w:rsidR="00F87B19" w:rsidRDefault="00246DAE" w:rsidP="005A2012">
      <w:pPr>
        <w:spacing w:line="276" w:lineRule="auto"/>
        <w:rPr>
          <w:rFonts w:ascii="Arial" w:hAnsi="Arial" w:cs="Arial"/>
          <w:sz w:val="24"/>
          <w:szCs w:val="24"/>
        </w:rPr>
      </w:pPr>
      <w:r>
        <w:rPr>
          <w:rFonts w:ascii="Arial" w:hAnsi="Arial" w:cs="Arial"/>
          <w:sz w:val="24"/>
          <w:szCs w:val="24"/>
        </w:rPr>
        <w:t>Monaghan, M (2014) ‘</w:t>
      </w:r>
      <w:r w:rsidRPr="00246DAE">
        <w:rPr>
          <w:rFonts w:ascii="Arial" w:hAnsi="Arial" w:cs="Arial"/>
          <w:sz w:val="24"/>
          <w:szCs w:val="24"/>
        </w:rPr>
        <w:t xml:space="preserve">Drug Policy Governance in the UK: Lessons from </w:t>
      </w:r>
      <w:r>
        <w:rPr>
          <w:rFonts w:ascii="Arial" w:hAnsi="Arial" w:cs="Arial"/>
          <w:sz w:val="24"/>
          <w:szCs w:val="24"/>
        </w:rPr>
        <w:t>C</w:t>
      </w:r>
      <w:r w:rsidRPr="00246DAE">
        <w:rPr>
          <w:rFonts w:ascii="Arial" w:hAnsi="Arial" w:cs="Arial"/>
          <w:sz w:val="24"/>
          <w:szCs w:val="24"/>
        </w:rPr>
        <w:t xml:space="preserve">hanges to and </w:t>
      </w:r>
      <w:r>
        <w:rPr>
          <w:rFonts w:ascii="Arial" w:hAnsi="Arial" w:cs="Arial"/>
          <w:sz w:val="24"/>
          <w:szCs w:val="24"/>
        </w:rPr>
        <w:t>D</w:t>
      </w:r>
      <w:r w:rsidRPr="00246DAE">
        <w:rPr>
          <w:rFonts w:ascii="Arial" w:hAnsi="Arial" w:cs="Arial"/>
          <w:sz w:val="24"/>
          <w:szCs w:val="24"/>
        </w:rPr>
        <w:t xml:space="preserve">ebates </w:t>
      </w:r>
      <w:r>
        <w:rPr>
          <w:rFonts w:ascii="Arial" w:hAnsi="Arial" w:cs="Arial"/>
          <w:sz w:val="24"/>
          <w:szCs w:val="24"/>
        </w:rPr>
        <w:t>C</w:t>
      </w:r>
      <w:r w:rsidRPr="00246DAE">
        <w:rPr>
          <w:rFonts w:ascii="Arial" w:hAnsi="Arial" w:cs="Arial"/>
          <w:sz w:val="24"/>
          <w:szCs w:val="24"/>
        </w:rPr>
        <w:t xml:space="preserve">oncerning the </w:t>
      </w:r>
      <w:r>
        <w:rPr>
          <w:rFonts w:ascii="Arial" w:hAnsi="Arial" w:cs="Arial"/>
          <w:sz w:val="24"/>
          <w:szCs w:val="24"/>
        </w:rPr>
        <w:t>C</w:t>
      </w:r>
      <w:r w:rsidRPr="00246DAE">
        <w:rPr>
          <w:rFonts w:ascii="Arial" w:hAnsi="Arial" w:cs="Arial"/>
          <w:sz w:val="24"/>
          <w:szCs w:val="24"/>
        </w:rPr>
        <w:t xml:space="preserve">lassification of </w:t>
      </w:r>
      <w:r>
        <w:rPr>
          <w:rFonts w:ascii="Arial" w:hAnsi="Arial" w:cs="Arial"/>
          <w:sz w:val="24"/>
          <w:szCs w:val="24"/>
        </w:rPr>
        <w:t>C</w:t>
      </w:r>
      <w:r w:rsidRPr="00246DAE">
        <w:rPr>
          <w:rFonts w:ascii="Arial" w:hAnsi="Arial" w:cs="Arial"/>
          <w:sz w:val="24"/>
          <w:szCs w:val="24"/>
        </w:rPr>
        <w:t xml:space="preserve">annabis </w:t>
      </w:r>
      <w:r>
        <w:rPr>
          <w:rFonts w:ascii="Arial" w:hAnsi="Arial" w:cs="Arial"/>
          <w:sz w:val="24"/>
          <w:szCs w:val="24"/>
        </w:rPr>
        <w:t>U</w:t>
      </w:r>
      <w:r w:rsidRPr="00246DAE">
        <w:rPr>
          <w:rFonts w:ascii="Arial" w:hAnsi="Arial" w:cs="Arial"/>
          <w:sz w:val="24"/>
          <w:szCs w:val="24"/>
        </w:rPr>
        <w:t>nder the 1971 Misuse of Drugs Act</w:t>
      </w:r>
      <w:r>
        <w:rPr>
          <w:rFonts w:ascii="Arial" w:hAnsi="Arial" w:cs="Arial"/>
          <w:sz w:val="24"/>
          <w:szCs w:val="24"/>
        </w:rPr>
        <w:t xml:space="preserve">’, </w:t>
      </w:r>
      <w:r w:rsidRPr="00246DAE">
        <w:rPr>
          <w:rFonts w:ascii="Arial" w:hAnsi="Arial" w:cs="Arial"/>
          <w:i/>
          <w:iCs/>
          <w:sz w:val="24"/>
          <w:szCs w:val="24"/>
        </w:rPr>
        <w:t>International Journal of Drug Policy</w:t>
      </w:r>
      <w:r>
        <w:rPr>
          <w:rFonts w:ascii="Arial" w:hAnsi="Arial" w:cs="Arial"/>
          <w:i/>
          <w:iCs/>
          <w:sz w:val="24"/>
          <w:szCs w:val="24"/>
        </w:rPr>
        <w:t xml:space="preserve">, </w:t>
      </w:r>
      <w:r>
        <w:rPr>
          <w:rFonts w:ascii="Arial" w:hAnsi="Arial" w:cs="Arial"/>
          <w:sz w:val="24"/>
          <w:szCs w:val="24"/>
        </w:rPr>
        <w:t xml:space="preserve">Vol </w:t>
      </w:r>
      <w:r w:rsidRPr="00246DAE">
        <w:rPr>
          <w:rFonts w:ascii="Arial" w:hAnsi="Arial" w:cs="Arial"/>
          <w:sz w:val="24"/>
          <w:szCs w:val="24"/>
        </w:rPr>
        <w:t>25, Issue 5, P</w:t>
      </w:r>
      <w:r>
        <w:rPr>
          <w:rFonts w:ascii="Arial" w:hAnsi="Arial" w:cs="Arial"/>
          <w:sz w:val="24"/>
          <w:szCs w:val="24"/>
        </w:rPr>
        <w:t xml:space="preserve"> </w:t>
      </w:r>
      <w:r w:rsidRPr="00246DAE">
        <w:rPr>
          <w:rFonts w:ascii="Arial" w:hAnsi="Arial" w:cs="Arial"/>
          <w:sz w:val="24"/>
          <w:szCs w:val="24"/>
        </w:rPr>
        <w:t>1025-1030</w:t>
      </w:r>
      <w:r>
        <w:rPr>
          <w:rFonts w:ascii="Arial" w:hAnsi="Arial" w:cs="Arial"/>
          <w:sz w:val="24"/>
          <w:szCs w:val="24"/>
        </w:rPr>
        <w:t xml:space="preserve">. [Online] Available: </w:t>
      </w:r>
      <w:hyperlink r:id="rId17" w:history="1">
        <w:r w:rsidRPr="002C684B">
          <w:rPr>
            <w:rStyle w:val="Hyperlink"/>
            <w:rFonts w:ascii="Arial" w:hAnsi="Arial" w:cs="Arial"/>
            <w:sz w:val="24"/>
            <w:szCs w:val="24"/>
          </w:rPr>
          <w:t>https://www-sciencedirect-com.ezproxy.uwtsd.ac.uk/science/article/pii/S0955395914000255</w:t>
        </w:r>
      </w:hyperlink>
      <w:r>
        <w:rPr>
          <w:rFonts w:ascii="Arial" w:hAnsi="Arial" w:cs="Arial"/>
          <w:sz w:val="24"/>
          <w:szCs w:val="24"/>
        </w:rPr>
        <w:t xml:space="preserve"> (Accessed: 4 May 2021). </w:t>
      </w:r>
    </w:p>
    <w:p w14:paraId="1DD30194" w14:textId="19DFE72F" w:rsidR="00246DAE" w:rsidRDefault="006D036B" w:rsidP="005A2012">
      <w:pPr>
        <w:spacing w:line="276" w:lineRule="auto"/>
        <w:rPr>
          <w:rFonts w:ascii="Arial" w:hAnsi="Arial" w:cs="Arial"/>
          <w:sz w:val="24"/>
          <w:szCs w:val="24"/>
        </w:rPr>
      </w:pPr>
      <w:r>
        <w:rPr>
          <w:rFonts w:ascii="Arial" w:hAnsi="Arial" w:cs="Arial"/>
          <w:sz w:val="24"/>
          <w:szCs w:val="24"/>
        </w:rPr>
        <w:t xml:space="preserve">Nawaz, A and </w:t>
      </w:r>
      <w:proofErr w:type="spellStart"/>
      <w:r>
        <w:rPr>
          <w:rFonts w:ascii="Arial" w:hAnsi="Arial" w:cs="Arial"/>
          <w:sz w:val="24"/>
          <w:szCs w:val="24"/>
        </w:rPr>
        <w:t>Tankbe</w:t>
      </w:r>
      <w:proofErr w:type="spellEnd"/>
      <w:r>
        <w:rPr>
          <w:rFonts w:ascii="Arial" w:hAnsi="Arial" w:cs="Arial"/>
          <w:sz w:val="24"/>
          <w:szCs w:val="24"/>
        </w:rPr>
        <w:t>, J (2018) ‘</w:t>
      </w:r>
      <w:r w:rsidRPr="006D036B">
        <w:rPr>
          <w:rFonts w:ascii="Arial" w:hAnsi="Arial" w:cs="Arial"/>
          <w:sz w:val="24"/>
          <w:szCs w:val="24"/>
        </w:rPr>
        <w:t>Tracking Procedural Justice in Stop and Search Encounters: Coding Evidence from Body-Worn Video Cameras</w:t>
      </w:r>
      <w:r>
        <w:rPr>
          <w:rFonts w:ascii="Arial" w:hAnsi="Arial" w:cs="Arial"/>
          <w:sz w:val="24"/>
          <w:szCs w:val="24"/>
        </w:rPr>
        <w:t xml:space="preserve">’, </w:t>
      </w:r>
      <w:r>
        <w:rPr>
          <w:rFonts w:ascii="Arial" w:hAnsi="Arial" w:cs="Arial"/>
          <w:i/>
          <w:iCs/>
          <w:sz w:val="24"/>
          <w:szCs w:val="24"/>
        </w:rPr>
        <w:t xml:space="preserve">Cambridge Journal of Evidence-Based Policing’, </w:t>
      </w:r>
      <w:r>
        <w:rPr>
          <w:rFonts w:ascii="Arial" w:hAnsi="Arial" w:cs="Arial"/>
          <w:sz w:val="24"/>
          <w:szCs w:val="24"/>
        </w:rPr>
        <w:t xml:space="preserve">Vol 1, Issue 2, P 139-163, [Online] Available: </w:t>
      </w:r>
      <w:hyperlink r:id="rId18" w:history="1">
        <w:r w:rsidRPr="002C684B">
          <w:rPr>
            <w:rStyle w:val="Hyperlink"/>
            <w:rFonts w:ascii="Arial" w:hAnsi="Arial" w:cs="Arial"/>
            <w:sz w:val="24"/>
            <w:szCs w:val="24"/>
          </w:rPr>
          <w:t>https://link-springer-com.ezproxy.uwtsd.ac.uk/article/10.1007/s41887-018-0029-z</w:t>
        </w:r>
      </w:hyperlink>
      <w:r>
        <w:rPr>
          <w:rFonts w:ascii="Arial" w:hAnsi="Arial" w:cs="Arial"/>
          <w:sz w:val="24"/>
          <w:szCs w:val="24"/>
        </w:rPr>
        <w:t xml:space="preserve"> (Accessed: 4 May 2021). </w:t>
      </w:r>
    </w:p>
    <w:p w14:paraId="3DB4AF52" w14:textId="71FEC2DE" w:rsidR="00C10D6F" w:rsidRDefault="00C10D6F" w:rsidP="005A2012">
      <w:pPr>
        <w:spacing w:line="276" w:lineRule="auto"/>
        <w:rPr>
          <w:rFonts w:ascii="Arial" w:hAnsi="Arial" w:cs="Arial"/>
          <w:sz w:val="24"/>
          <w:szCs w:val="24"/>
        </w:rPr>
      </w:pPr>
      <w:r>
        <w:rPr>
          <w:rFonts w:ascii="Arial" w:hAnsi="Arial" w:cs="Arial"/>
          <w:sz w:val="24"/>
          <w:szCs w:val="24"/>
        </w:rPr>
        <w:t>1990 Trust (2004) ‘</w:t>
      </w:r>
      <w:r w:rsidRPr="00C10D6F">
        <w:rPr>
          <w:rFonts w:ascii="Arial" w:hAnsi="Arial" w:cs="Arial"/>
          <w:sz w:val="24"/>
          <w:szCs w:val="24"/>
        </w:rPr>
        <w:t xml:space="preserve">Stop and Search: The </w:t>
      </w:r>
      <w:r>
        <w:rPr>
          <w:rFonts w:ascii="Arial" w:hAnsi="Arial" w:cs="Arial"/>
          <w:sz w:val="24"/>
          <w:szCs w:val="24"/>
        </w:rPr>
        <w:t>V</w:t>
      </w:r>
      <w:r w:rsidRPr="00C10D6F">
        <w:rPr>
          <w:rFonts w:ascii="Arial" w:hAnsi="Arial" w:cs="Arial"/>
          <w:sz w:val="24"/>
          <w:szCs w:val="24"/>
        </w:rPr>
        <w:t xml:space="preserve">iews and </w:t>
      </w:r>
      <w:r>
        <w:rPr>
          <w:rFonts w:ascii="Arial" w:hAnsi="Arial" w:cs="Arial"/>
          <w:sz w:val="24"/>
          <w:szCs w:val="24"/>
        </w:rPr>
        <w:t>E</w:t>
      </w:r>
      <w:r w:rsidRPr="00C10D6F">
        <w:rPr>
          <w:rFonts w:ascii="Arial" w:hAnsi="Arial" w:cs="Arial"/>
          <w:sz w:val="24"/>
          <w:szCs w:val="24"/>
        </w:rPr>
        <w:t xml:space="preserve">xperiences of Black </w:t>
      </w:r>
      <w:r>
        <w:rPr>
          <w:rFonts w:ascii="Arial" w:hAnsi="Arial" w:cs="Arial"/>
          <w:sz w:val="24"/>
          <w:szCs w:val="24"/>
        </w:rPr>
        <w:t>C</w:t>
      </w:r>
      <w:r w:rsidRPr="00C10D6F">
        <w:rPr>
          <w:rFonts w:ascii="Arial" w:hAnsi="Arial" w:cs="Arial"/>
          <w:sz w:val="24"/>
          <w:szCs w:val="24"/>
        </w:rPr>
        <w:t xml:space="preserve">ommunities on </w:t>
      </w:r>
      <w:r>
        <w:rPr>
          <w:rFonts w:ascii="Arial" w:hAnsi="Arial" w:cs="Arial"/>
          <w:sz w:val="24"/>
          <w:szCs w:val="24"/>
        </w:rPr>
        <w:t>C</w:t>
      </w:r>
      <w:r w:rsidRPr="00C10D6F">
        <w:rPr>
          <w:rFonts w:ascii="Arial" w:hAnsi="Arial" w:cs="Arial"/>
          <w:sz w:val="24"/>
          <w:szCs w:val="24"/>
        </w:rPr>
        <w:t xml:space="preserve">omplaining to the </w:t>
      </w:r>
      <w:r>
        <w:rPr>
          <w:rFonts w:ascii="Arial" w:hAnsi="Arial" w:cs="Arial"/>
          <w:sz w:val="24"/>
          <w:szCs w:val="24"/>
        </w:rPr>
        <w:t>P</w:t>
      </w:r>
      <w:r w:rsidRPr="00C10D6F">
        <w:rPr>
          <w:rFonts w:ascii="Arial" w:hAnsi="Arial" w:cs="Arial"/>
          <w:sz w:val="24"/>
          <w:szCs w:val="24"/>
        </w:rPr>
        <w:t>olice</w:t>
      </w:r>
      <w:r>
        <w:rPr>
          <w:rFonts w:ascii="Arial" w:hAnsi="Arial" w:cs="Arial"/>
          <w:sz w:val="24"/>
          <w:szCs w:val="24"/>
        </w:rPr>
        <w:t xml:space="preserve">’, [Online] Available: </w:t>
      </w:r>
      <w:hyperlink r:id="rId19" w:history="1">
        <w:r w:rsidRPr="002C684B">
          <w:rPr>
            <w:rStyle w:val="Hyperlink"/>
            <w:rFonts w:ascii="Arial" w:hAnsi="Arial" w:cs="Arial"/>
            <w:sz w:val="24"/>
            <w:szCs w:val="24"/>
          </w:rPr>
          <w:t>https://www.stop-watch.org/uploads/documents/stopandsearchfinal.pdf</w:t>
        </w:r>
      </w:hyperlink>
      <w:r>
        <w:rPr>
          <w:rFonts w:ascii="Arial" w:hAnsi="Arial" w:cs="Arial"/>
          <w:sz w:val="24"/>
          <w:szCs w:val="24"/>
        </w:rPr>
        <w:t xml:space="preserve"> (Accessed: 5 May 2021). </w:t>
      </w:r>
    </w:p>
    <w:p w14:paraId="637F0DCF" w14:textId="7DE23D66" w:rsidR="00C10D6F" w:rsidRPr="006D036B" w:rsidRDefault="00C10D6F" w:rsidP="005A2012">
      <w:pPr>
        <w:spacing w:line="276" w:lineRule="auto"/>
        <w:rPr>
          <w:rFonts w:ascii="Arial" w:hAnsi="Arial" w:cs="Arial"/>
          <w:sz w:val="24"/>
          <w:szCs w:val="24"/>
        </w:rPr>
      </w:pPr>
      <w:r>
        <w:rPr>
          <w:rFonts w:ascii="Arial" w:hAnsi="Arial" w:cs="Arial"/>
          <w:sz w:val="24"/>
          <w:szCs w:val="24"/>
        </w:rPr>
        <w:t>Guardian (2020) ‘</w:t>
      </w:r>
      <w:r w:rsidRPr="00C10D6F">
        <w:rPr>
          <w:rFonts w:ascii="Arial" w:hAnsi="Arial" w:cs="Arial"/>
          <w:sz w:val="24"/>
          <w:szCs w:val="24"/>
        </w:rPr>
        <w:t xml:space="preserve">Met </w:t>
      </w:r>
      <w:r>
        <w:rPr>
          <w:rFonts w:ascii="Arial" w:hAnsi="Arial" w:cs="Arial"/>
          <w:sz w:val="24"/>
          <w:szCs w:val="24"/>
        </w:rPr>
        <w:t>P</w:t>
      </w:r>
      <w:r w:rsidRPr="00C10D6F">
        <w:rPr>
          <w:rFonts w:ascii="Arial" w:hAnsi="Arial" w:cs="Arial"/>
          <w:sz w:val="24"/>
          <w:szCs w:val="24"/>
        </w:rPr>
        <w:t xml:space="preserve">olice </w:t>
      </w:r>
      <w:r>
        <w:rPr>
          <w:rFonts w:ascii="Arial" w:hAnsi="Arial" w:cs="Arial"/>
          <w:sz w:val="24"/>
          <w:szCs w:val="24"/>
        </w:rPr>
        <w:t>C</w:t>
      </w:r>
      <w:r w:rsidRPr="00C10D6F">
        <w:rPr>
          <w:rFonts w:ascii="Arial" w:hAnsi="Arial" w:cs="Arial"/>
          <w:sz w:val="24"/>
          <w:szCs w:val="24"/>
        </w:rPr>
        <w:t xml:space="preserve">riticised for </w:t>
      </w:r>
      <w:r>
        <w:rPr>
          <w:rFonts w:ascii="Arial" w:hAnsi="Arial" w:cs="Arial"/>
          <w:sz w:val="24"/>
          <w:szCs w:val="24"/>
        </w:rPr>
        <w:t>M</w:t>
      </w:r>
      <w:r w:rsidRPr="00C10D6F">
        <w:rPr>
          <w:rFonts w:ascii="Arial" w:hAnsi="Arial" w:cs="Arial"/>
          <w:sz w:val="24"/>
          <w:szCs w:val="24"/>
        </w:rPr>
        <w:t xml:space="preserve">ultiple </w:t>
      </w:r>
      <w:r>
        <w:rPr>
          <w:rFonts w:ascii="Arial" w:hAnsi="Arial" w:cs="Arial"/>
          <w:sz w:val="24"/>
          <w:szCs w:val="24"/>
        </w:rPr>
        <w:t>E</w:t>
      </w:r>
      <w:r w:rsidRPr="00C10D6F">
        <w:rPr>
          <w:rFonts w:ascii="Arial" w:hAnsi="Arial" w:cs="Arial"/>
          <w:sz w:val="24"/>
          <w:szCs w:val="24"/>
        </w:rPr>
        <w:t xml:space="preserve">rrors in </w:t>
      </w:r>
      <w:r>
        <w:rPr>
          <w:rFonts w:ascii="Arial" w:hAnsi="Arial" w:cs="Arial"/>
          <w:sz w:val="24"/>
          <w:szCs w:val="24"/>
        </w:rPr>
        <w:t>S</w:t>
      </w:r>
      <w:r w:rsidRPr="00C10D6F">
        <w:rPr>
          <w:rFonts w:ascii="Arial" w:hAnsi="Arial" w:cs="Arial"/>
          <w:sz w:val="24"/>
          <w:szCs w:val="24"/>
        </w:rPr>
        <w:t xml:space="preserve">top and </w:t>
      </w:r>
      <w:r>
        <w:rPr>
          <w:rFonts w:ascii="Arial" w:hAnsi="Arial" w:cs="Arial"/>
          <w:sz w:val="24"/>
          <w:szCs w:val="24"/>
        </w:rPr>
        <w:t>S</w:t>
      </w:r>
      <w:r w:rsidRPr="00C10D6F">
        <w:rPr>
          <w:rFonts w:ascii="Arial" w:hAnsi="Arial" w:cs="Arial"/>
          <w:sz w:val="24"/>
          <w:szCs w:val="24"/>
        </w:rPr>
        <w:t xml:space="preserve">earch </w:t>
      </w:r>
      <w:r>
        <w:rPr>
          <w:rFonts w:ascii="Arial" w:hAnsi="Arial" w:cs="Arial"/>
          <w:sz w:val="24"/>
          <w:szCs w:val="24"/>
        </w:rPr>
        <w:t>P</w:t>
      </w:r>
      <w:r w:rsidRPr="00C10D6F">
        <w:rPr>
          <w:rFonts w:ascii="Arial" w:hAnsi="Arial" w:cs="Arial"/>
          <w:sz w:val="24"/>
          <w:szCs w:val="24"/>
        </w:rPr>
        <w:t>ractice</w:t>
      </w:r>
      <w:r>
        <w:rPr>
          <w:rFonts w:ascii="Arial" w:hAnsi="Arial" w:cs="Arial"/>
          <w:sz w:val="24"/>
          <w:szCs w:val="24"/>
        </w:rPr>
        <w:t xml:space="preserve">’, [Online] Available: </w:t>
      </w:r>
      <w:hyperlink r:id="rId20" w:history="1">
        <w:r w:rsidRPr="002C684B">
          <w:rPr>
            <w:rStyle w:val="Hyperlink"/>
            <w:rFonts w:ascii="Arial" w:hAnsi="Arial" w:cs="Arial"/>
            <w:sz w:val="24"/>
            <w:szCs w:val="24"/>
          </w:rPr>
          <w:t>https://www.theguardian.com/uk-news/2020/oct/28/met-police-criticised-for-multiple-errors-in-stop-and-search-practice</w:t>
        </w:r>
      </w:hyperlink>
      <w:r>
        <w:rPr>
          <w:rFonts w:ascii="Arial" w:hAnsi="Arial" w:cs="Arial"/>
          <w:sz w:val="24"/>
          <w:szCs w:val="24"/>
        </w:rPr>
        <w:t xml:space="preserve"> (Accessed: 5 May 2021).</w:t>
      </w:r>
    </w:p>
    <w:sectPr w:rsidR="00C10D6F" w:rsidRPr="006D036B" w:rsidSect="004A25C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1AC2D72A"/>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5C8"/>
    <w:rsid w:val="00007FA3"/>
    <w:rsid w:val="0007257A"/>
    <w:rsid w:val="000C3D04"/>
    <w:rsid w:val="001219C2"/>
    <w:rsid w:val="0013180F"/>
    <w:rsid w:val="001542B6"/>
    <w:rsid w:val="00175007"/>
    <w:rsid w:val="0018209F"/>
    <w:rsid w:val="00197632"/>
    <w:rsid w:val="001A6C4A"/>
    <w:rsid w:val="001C19DE"/>
    <w:rsid w:val="001F248C"/>
    <w:rsid w:val="002154A6"/>
    <w:rsid w:val="00217298"/>
    <w:rsid w:val="002415AE"/>
    <w:rsid w:val="00246DAE"/>
    <w:rsid w:val="0025745B"/>
    <w:rsid w:val="0026666C"/>
    <w:rsid w:val="002A161A"/>
    <w:rsid w:val="002A5627"/>
    <w:rsid w:val="002C5C9E"/>
    <w:rsid w:val="002E552E"/>
    <w:rsid w:val="002F03DD"/>
    <w:rsid w:val="003072F9"/>
    <w:rsid w:val="00317EFB"/>
    <w:rsid w:val="00351698"/>
    <w:rsid w:val="00352145"/>
    <w:rsid w:val="00361427"/>
    <w:rsid w:val="003C7809"/>
    <w:rsid w:val="003D3B55"/>
    <w:rsid w:val="004158DD"/>
    <w:rsid w:val="004649C1"/>
    <w:rsid w:val="004671A9"/>
    <w:rsid w:val="00482864"/>
    <w:rsid w:val="00487E87"/>
    <w:rsid w:val="004A25C8"/>
    <w:rsid w:val="004D2AE8"/>
    <w:rsid w:val="004E3115"/>
    <w:rsid w:val="0051720E"/>
    <w:rsid w:val="005457F5"/>
    <w:rsid w:val="00551C4B"/>
    <w:rsid w:val="00553B24"/>
    <w:rsid w:val="00563005"/>
    <w:rsid w:val="00591121"/>
    <w:rsid w:val="0059353A"/>
    <w:rsid w:val="005A2012"/>
    <w:rsid w:val="005C002C"/>
    <w:rsid w:val="005D4EAA"/>
    <w:rsid w:val="00651FB1"/>
    <w:rsid w:val="006766F4"/>
    <w:rsid w:val="006C1348"/>
    <w:rsid w:val="006D036B"/>
    <w:rsid w:val="00703848"/>
    <w:rsid w:val="00762214"/>
    <w:rsid w:val="007712BA"/>
    <w:rsid w:val="007872E2"/>
    <w:rsid w:val="007C105D"/>
    <w:rsid w:val="007E1BD5"/>
    <w:rsid w:val="008178FF"/>
    <w:rsid w:val="00823B6C"/>
    <w:rsid w:val="00832CB6"/>
    <w:rsid w:val="00871D84"/>
    <w:rsid w:val="00896093"/>
    <w:rsid w:val="008D2599"/>
    <w:rsid w:val="008D2C36"/>
    <w:rsid w:val="008D709E"/>
    <w:rsid w:val="008D741B"/>
    <w:rsid w:val="008E1A63"/>
    <w:rsid w:val="008E3281"/>
    <w:rsid w:val="00906D41"/>
    <w:rsid w:val="00912727"/>
    <w:rsid w:val="009230D2"/>
    <w:rsid w:val="00926AF9"/>
    <w:rsid w:val="00932B22"/>
    <w:rsid w:val="00954E1A"/>
    <w:rsid w:val="00960DC1"/>
    <w:rsid w:val="009656EA"/>
    <w:rsid w:val="009B4761"/>
    <w:rsid w:val="009B6047"/>
    <w:rsid w:val="009E6897"/>
    <w:rsid w:val="009F1EB3"/>
    <w:rsid w:val="00A00769"/>
    <w:rsid w:val="00A6706E"/>
    <w:rsid w:val="00A827D5"/>
    <w:rsid w:val="00AD58AE"/>
    <w:rsid w:val="00B03CEF"/>
    <w:rsid w:val="00B244F8"/>
    <w:rsid w:val="00B40A85"/>
    <w:rsid w:val="00B53793"/>
    <w:rsid w:val="00B6337A"/>
    <w:rsid w:val="00B82BA4"/>
    <w:rsid w:val="00BE3AEE"/>
    <w:rsid w:val="00BF076B"/>
    <w:rsid w:val="00C10D6F"/>
    <w:rsid w:val="00C22CCB"/>
    <w:rsid w:val="00C407A0"/>
    <w:rsid w:val="00C4651F"/>
    <w:rsid w:val="00C57C96"/>
    <w:rsid w:val="00CB14B4"/>
    <w:rsid w:val="00D14737"/>
    <w:rsid w:val="00D22B61"/>
    <w:rsid w:val="00D31548"/>
    <w:rsid w:val="00D316CD"/>
    <w:rsid w:val="00D419CA"/>
    <w:rsid w:val="00D4263D"/>
    <w:rsid w:val="00D60765"/>
    <w:rsid w:val="00DA358E"/>
    <w:rsid w:val="00DD25A9"/>
    <w:rsid w:val="00DD6FE0"/>
    <w:rsid w:val="00E122BE"/>
    <w:rsid w:val="00E168FD"/>
    <w:rsid w:val="00E37AAF"/>
    <w:rsid w:val="00E403A9"/>
    <w:rsid w:val="00E44262"/>
    <w:rsid w:val="00ED4E91"/>
    <w:rsid w:val="00EE6639"/>
    <w:rsid w:val="00F11E73"/>
    <w:rsid w:val="00F276F7"/>
    <w:rsid w:val="00F53188"/>
    <w:rsid w:val="00F63224"/>
    <w:rsid w:val="00F87B19"/>
    <w:rsid w:val="00FE5AE7"/>
    <w:rsid w:val="00FF5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1A380"/>
  <w15:chartTrackingRefBased/>
  <w15:docId w15:val="{21CADC0B-C596-47EB-AD7A-BFC67B71B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D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6897"/>
    <w:rPr>
      <w:color w:val="0563C1" w:themeColor="hyperlink"/>
      <w:u w:val="single"/>
    </w:rPr>
  </w:style>
  <w:style w:type="character" w:styleId="UnresolvedMention">
    <w:name w:val="Unresolved Mention"/>
    <w:basedOn w:val="DefaultParagraphFont"/>
    <w:uiPriority w:val="99"/>
    <w:semiHidden/>
    <w:unhideWhenUsed/>
    <w:rsid w:val="009E6897"/>
    <w:rPr>
      <w:color w:val="605E5C"/>
      <w:shd w:val="clear" w:color="auto" w:fill="E1DFDD"/>
    </w:rPr>
  </w:style>
  <w:style w:type="paragraph" w:styleId="ListBullet">
    <w:name w:val="List Bullet"/>
    <w:basedOn w:val="Normal"/>
    <w:uiPriority w:val="99"/>
    <w:unhideWhenUsed/>
    <w:rsid w:val="008D709E"/>
    <w:pPr>
      <w:numPr>
        <w:numId w:val="1"/>
      </w:numPr>
      <w:contextualSpacing/>
    </w:pPr>
  </w:style>
  <w:style w:type="character" w:styleId="FollowedHyperlink">
    <w:name w:val="FollowedHyperlink"/>
    <w:basedOn w:val="DefaultParagraphFont"/>
    <w:uiPriority w:val="99"/>
    <w:semiHidden/>
    <w:unhideWhenUsed/>
    <w:rsid w:val="001A6C4A"/>
    <w:rPr>
      <w:color w:val="954F72" w:themeColor="followedHyperlink"/>
      <w:u w:val="single"/>
    </w:rPr>
  </w:style>
  <w:style w:type="character" w:customStyle="1" w:styleId="Heading1Char">
    <w:name w:val="Heading 1 Char"/>
    <w:basedOn w:val="DefaultParagraphFont"/>
    <w:link w:val="Heading1"/>
    <w:uiPriority w:val="9"/>
    <w:rsid w:val="00C10D6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611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zproxy.uwtsd.ac.uk/login?url=https://www.jstor.org/stable/1095832" TargetMode="External"/><Relationship Id="rId13" Type="http://schemas.openxmlformats.org/officeDocument/2006/relationships/hyperlink" Target="https://www.legislation.gov.uk/ukpga/1971/38/introduction/2020-12-01?view=extent" TargetMode="External"/><Relationship Id="rId18" Type="http://schemas.openxmlformats.org/officeDocument/2006/relationships/hyperlink" Target="https://link-springer-com.ezproxy.uwtsd.ac.uk/article/10.1007/s41887-018-0029-z"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pp.college.police.uk/app-content/public-order/core-principles-and-legislation/" TargetMode="External"/><Relationship Id="rId12" Type="http://schemas.openxmlformats.org/officeDocument/2006/relationships/hyperlink" Target="https://www.ethnicity-facts-figures.service.gov.uk/crime-justice-and-the-law/policing/stop-and-search/latest" TargetMode="External"/><Relationship Id="rId17" Type="http://schemas.openxmlformats.org/officeDocument/2006/relationships/hyperlink" Target="https://www-sciencedirect-com.ezproxy.uwtsd.ac.uk/science/article/pii/S0955395914000255" TargetMode="External"/><Relationship Id="rId2" Type="http://schemas.openxmlformats.org/officeDocument/2006/relationships/styles" Target="styles.xml"/><Relationship Id="rId16" Type="http://schemas.openxmlformats.org/officeDocument/2006/relationships/hyperlink" Target="https://www.drugwise.org.uk/why-do-young-people-take-drugs/" TargetMode="External"/><Relationship Id="rId20" Type="http://schemas.openxmlformats.org/officeDocument/2006/relationships/hyperlink" Target="https://www.theguardian.com/uk-news/2020/oct/28/met-police-criticised-for-multiple-errors-in-stop-and-search-practice" TargetMode="External"/><Relationship Id="rId1" Type="http://schemas.openxmlformats.org/officeDocument/2006/relationships/numbering" Target="numbering.xml"/><Relationship Id="rId6" Type="http://schemas.openxmlformats.org/officeDocument/2006/relationships/hyperlink" Target="https://www.app.college.police.uk/app-content/stop-and-search/legal/legal-basis/?highlight=reasonable%20grounds?s=reasonable+grounds" TargetMode="External"/><Relationship Id="rId11" Type="http://schemas.openxmlformats.org/officeDocument/2006/relationships/hyperlink" Target="https://journals-sagepub-com.ezproxy.uwtsd.ac.uk/doi/abs/10.1350/pojo.2010.83.3.476" TargetMode="External"/><Relationship Id="rId5" Type="http://schemas.openxmlformats.org/officeDocument/2006/relationships/hyperlink" Target="https://www.app.college.police.uk/app-content/stop-and-search/" TargetMode="External"/><Relationship Id="rId15" Type="http://schemas.openxmlformats.org/officeDocument/2006/relationships/hyperlink" Target="https://whel-primo.hosted.exlibrisgroup.com/primo-explore/fulldisplay?docid=44UWTSD_ALMA51169180930002421&amp;context=L&amp;vid=44WHELF_UWTSD_VU1&amp;lang=en_US&amp;search_scope=CSCOP_EVERYTHING&amp;adaptor=Local%20Search%20Engine&amp;tab=tab1&amp;query=any,contains,misuse%20of%20drugs%20act%201971&amp;offset=0" TargetMode="External"/><Relationship Id="rId10" Type="http://schemas.openxmlformats.org/officeDocument/2006/relationships/hyperlink" Target="https://www.oxfordreference.com/view/10.1093/acref/9780199290543.001.0001/acref-9780199290543-e-1586" TargetMode="External"/><Relationship Id="rId19" Type="http://schemas.openxmlformats.org/officeDocument/2006/relationships/hyperlink" Target="https://www.stop-watch.org/uploads/documents/stopandsearchfinal.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03810/pace-code-a-2015.pdf" TargetMode="External"/><Relationship Id="rId14" Type="http://schemas.openxmlformats.org/officeDocument/2006/relationships/hyperlink" Target="https://journals-sagepub-com.ezproxy.uwtsd.ac.uk/doi/full/10.1177/174889581772048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1590</TotalTime>
  <Pages>10</Pages>
  <Words>3399</Words>
  <Characters>19375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49</cp:revision>
  <dcterms:created xsi:type="dcterms:W3CDTF">2021-04-24T14:41:00Z</dcterms:created>
  <dcterms:modified xsi:type="dcterms:W3CDTF">2021-05-07T11:31:00Z</dcterms:modified>
</cp:coreProperties>
</file>