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F48DC8" w14:textId="78068568" w:rsidR="00BF6417" w:rsidRPr="00BE23B1" w:rsidRDefault="00BE23B1" w:rsidP="00BE23B1">
      <w:pPr>
        <w:jc w:val="center"/>
        <w:rPr>
          <w:u w:val="single"/>
        </w:rPr>
      </w:pPr>
      <w:r w:rsidRPr="00BE23B1">
        <w:rPr>
          <w:u w:val="single"/>
        </w:rPr>
        <w:t>Catullus 68.51-86.</w:t>
      </w:r>
    </w:p>
    <w:p w14:paraId="37D7FF74" w14:textId="77777777" w:rsidR="009A590B" w:rsidRDefault="009A590B" w:rsidP="009A590B">
      <w:r>
        <w:t>The elegiac poem Catullus 68 depicts the life of Catullus, first exploring the death of his brother in what many historians split into part 68a,</w:t>
      </w:r>
      <w:r w:rsidRPr="0086019B">
        <w:rPr>
          <w:rStyle w:val="FootnoteReference"/>
        </w:rPr>
        <w:t xml:space="preserve"> </w:t>
      </w:r>
      <w:r>
        <w:rPr>
          <w:rStyle w:val="FootnoteReference"/>
        </w:rPr>
        <w:footnoteReference w:id="1"/>
      </w:r>
      <w:r>
        <w:t xml:space="preserve"> and then moving to explain his relationship with the character of Lesbia, his lover who appears continuously throughout Catullus’ poems. There are three Catullus characters displayed in this poem: the author, the Catullus who is enamoured with Lesbia, and the reflective Catullus, who knows how she has hurt him. These three voices help contribute to the separation of this poem into differing sections as the tone frequently changes throughout and allows for multiple interpretations of some of the mythologies used by Catullus as they can be equated to the voices of Catullus in different ways.</w:t>
      </w:r>
    </w:p>
    <w:p w14:paraId="60794C3F" w14:textId="43FD9F08" w:rsidR="00BE23B1" w:rsidRDefault="00BE23B1">
      <w:r>
        <w:t>This passage from Catullus 68 begins with a metaphor depicting the death of the Greek hero Hercules. Catullus compares himself to burning “as hotly”</w:t>
      </w:r>
      <w:r>
        <w:rPr>
          <w:rStyle w:val="FootnoteReference"/>
        </w:rPr>
        <w:footnoteReference w:id="2"/>
      </w:r>
      <w:r>
        <w:t xml:space="preserve"> as the funeral pyre on Mount Oeta, on which Hercules died. The myth of the Oetean pyre reads that Hercules burnt himself upon it and stripped himself of his mortality, allowing him to ascend to the gods in his immortal form.</w:t>
      </w:r>
      <w:r w:rsidR="00BE487D">
        <w:t xml:space="preserve"> Catullus uses this metaphor to explain his </w:t>
      </w:r>
      <w:r w:rsidR="00EC734F">
        <w:t>desperation for</w:t>
      </w:r>
      <w:r w:rsidR="00BE487D">
        <w:t xml:space="preserve"> Lesbia</w:t>
      </w:r>
      <w:r w:rsidR="00EC734F">
        <w:t>’s love</w:t>
      </w:r>
      <w:r w:rsidR="00BE487D">
        <w:t>. He explains that he has been hurt by “the wily goddess of Amathus”,</w:t>
      </w:r>
      <w:r w:rsidR="00BE487D">
        <w:rPr>
          <w:rStyle w:val="FootnoteReference"/>
        </w:rPr>
        <w:footnoteReference w:id="3"/>
      </w:r>
      <w:r w:rsidR="00BE487D">
        <w:t xml:space="preserve"> a Cyprian city associated to Aphrodite,</w:t>
      </w:r>
      <w:r w:rsidR="00304F0B">
        <w:rPr>
          <w:rStyle w:val="FootnoteReference"/>
        </w:rPr>
        <w:footnoteReference w:id="4"/>
      </w:r>
      <w:r w:rsidR="00BE487D">
        <w:t xml:space="preserve"> the goddess of love, </w:t>
      </w:r>
      <w:r w:rsidR="00EC734F">
        <w:t>to explain that he has been made to fall madly in love with Lesbia.</w:t>
      </w:r>
      <w:r w:rsidR="00BE487D">
        <w:t xml:space="preserve"> Th</w:t>
      </w:r>
      <w:r w:rsidR="00EC734F">
        <w:t>e</w:t>
      </w:r>
      <w:r w:rsidR="00BE487D">
        <w:t xml:space="preserve"> comparison</w:t>
      </w:r>
      <w:r w:rsidR="00EC734F">
        <w:t xml:space="preserve"> between Hercules and Lesbia</w:t>
      </w:r>
      <w:r w:rsidR="00BE487D">
        <w:t>, linked with another mention of Hercules’ immortal wife Hebe, later in the poem</w:t>
      </w:r>
      <w:r w:rsidR="00BE487D">
        <w:rPr>
          <w:rStyle w:val="FootnoteReference"/>
        </w:rPr>
        <w:footnoteReference w:id="5"/>
      </w:r>
      <w:r w:rsidR="00BE487D">
        <w:t xml:space="preserve"> displays the positive transformation that occurs for Hercules’ after the pain of the pyre with his ascent into immortality. Therefore, with this metaphor, and the retrospective </w:t>
      </w:r>
      <w:r w:rsidR="0094662A">
        <w:t>tone taken in this poem,</w:t>
      </w:r>
      <w:r w:rsidR="00BE487D">
        <w:t xml:space="preserve"> Catullus could be insinuating a more positive future for him</w:t>
      </w:r>
      <w:r w:rsidR="00DC5DB6">
        <w:t xml:space="preserve"> </w:t>
      </w:r>
      <w:r w:rsidR="00EC734F">
        <w:t>with</w:t>
      </w:r>
      <w:r w:rsidR="00DC5DB6">
        <w:t xml:space="preserve"> </w:t>
      </w:r>
      <w:r w:rsidR="007746E9">
        <w:t>Lesbia or</w:t>
      </w:r>
      <w:r w:rsidR="00EC734F">
        <w:t xml:space="preserve"> equating the pain of death by fire with the pain of not being with </w:t>
      </w:r>
      <w:r w:rsidR="007746E9">
        <w:t>his lover</w:t>
      </w:r>
      <w:r w:rsidR="00EC734F">
        <w:t xml:space="preserve">. </w:t>
      </w:r>
    </w:p>
    <w:p w14:paraId="62108B6C" w14:textId="5DD21DE6" w:rsidR="00EC734F" w:rsidRDefault="00EC734F">
      <w:r>
        <w:t xml:space="preserve">Catullus 68 depicts the moment Lesbia walks over the threshold into the house Catullus’ friend Allius has found for them. At this moment the narrative freezes and Catullus begins to explain his relationship with Lesbia through mythology. </w:t>
      </w:r>
      <w:r w:rsidR="007746E9">
        <w:t>By E</w:t>
      </w:r>
      <w:r>
        <w:t xml:space="preserve">quating Lesbia to Hebe, an immortal goddess and the embodiment of a good wife, as she </w:t>
      </w:r>
      <w:r w:rsidR="007746E9">
        <w:t xml:space="preserve">is known to </w:t>
      </w:r>
      <w:r>
        <w:t xml:space="preserve">wait for </w:t>
      </w:r>
      <w:r w:rsidR="007746E9">
        <w:t xml:space="preserve">her husband </w:t>
      </w:r>
      <w:r>
        <w:t>Hercules</w:t>
      </w:r>
      <w:r w:rsidR="007746E9">
        <w:t>,</w:t>
      </w:r>
      <w:r>
        <w:t xml:space="preserve"> displays the passion and love Catullus feels for Lesbia and his desire to view her as his wife despite her marriage to another man. It is custom to carry a new bride over the threshold</w:t>
      </w:r>
      <w:r w:rsidR="0086019B">
        <w:t xml:space="preserve">, as it is deemed bad luck for a bride to step in that place, however despite the depiction of Lesbia as the bride of Catullus, through equating her with other wives such as Hebe, and later in the poem Laodamia, Catullus’ inclusion of Lesbia stepping into the household displays his knowledge that she is not, and cannot ever, be his bride, despite his desperate need for her to be so. </w:t>
      </w:r>
    </w:p>
    <w:p w14:paraId="276EAA4B" w14:textId="66CDF667" w:rsidR="0086019B" w:rsidRDefault="00DC5DB6">
      <w:r>
        <w:t>Fire is often used as a metaphor for relationships, both to depict the passion and the downfall of romantic or sexual unions. Similar to the Hercules metaphor, Catullus also includes Pollux and Castor in his laments about the</w:t>
      </w:r>
      <w:r w:rsidR="009A590B">
        <w:t xml:space="preserve"> pain of not being with Lesbia and the gratitude he feels towards Allius for finding a house for the pair to meet at. </w:t>
      </w:r>
      <w:r>
        <w:t xml:space="preserve">Pollux and Castor, </w:t>
      </w:r>
      <w:r w:rsidR="009A590B">
        <w:t xml:space="preserve">the </w:t>
      </w:r>
      <w:r>
        <w:t>twins of Leda by different fathers, Pollux by the god Zeus and Castor to the mortal Tyndareus, are known as the patrons of sailors.</w:t>
      </w:r>
      <w:r w:rsidR="009A590B">
        <w:rPr>
          <w:rStyle w:val="FootnoteReference"/>
        </w:rPr>
        <w:footnoteReference w:id="6"/>
      </w:r>
      <w:r>
        <w:t xml:space="preserve"> </w:t>
      </w:r>
      <w:r w:rsidR="009A590B">
        <w:lastRenderedPageBreak/>
        <w:t>Catullus equates the help of Castor and Pollux to the aid Allius gives him in continuing his adulterous affair with Lesbia, in the same nature that the twins provide aid to struggling sailors, thirsty for water and desperate for land, Allius helps quench Catullus’ thirst for his lover, and brings the pair together again.</w:t>
      </w:r>
    </w:p>
    <w:p w14:paraId="266FFEE4" w14:textId="5E40A65D" w:rsidR="003B0FA2" w:rsidRDefault="0086019B">
      <w:r>
        <w:t>Catullus also compares his relationship with Lesbia to that of Laodamia and Protesilaus.</w:t>
      </w:r>
      <w:r w:rsidR="001D69EA">
        <w:t xml:space="preserve"> </w:t>
      </w:r>
      <w:r w:rsidR="000574D7">
        <w:t>Protesilaus, according to Homer, was the first Achaean death in the Trojan War, after he jumped from a ship.</w:t>
      </w:r>
      <w:r w:rsidR="000574D7">
        <w:rPr>
          <w:rStyle w:val="FootnoteReference"/>
        </w:rPr>
        <w:footnoteReference w:id="7"/>
      </w:r>
      <w:r w:rsidR="003B0FA2">
        <w:t>As a result of the death of Protesilaus, Laodamia, his new bride, is said to have committed suicide. There are many variations of this myth, many depicting Laodamia’s death as a result of stabbing herself, however there are other versions that depict death by fire. After maintaining a passionate relationship with her husband via a wax sculpture of him while he is gone, her father finds and burns the figure, resulting in Laodamia following the sculpture into the flames.</w:t>
      </w:r>
      <w:r w:rsidR="003B0FA2">
        <w:rPr>
          <w:rStyle w:val="FootnoteReference"/>
        </w:rPr>
        <w:footnoteReference w:id="8"/>
      </w:r>
      <w:r w:rsidR="003B0FA2">
        <w:t xml:space="preserve"> Death by fire in this myth displays the passion Laodamia has for her husband</w:t>
      </w:r>
      <w:r w:rsidR="00910CBE">
        <w:t xml:space="preserve"> and the loyalty she has to their union. The use of fire in Catullus’ poems is often to present passion in a relationship, Catullus compares his feelings towards Lesbia as she enters the house with Laodamia “burning with love”</w:t>
      </w:r>
      <w:r w:rsidR="00910CBE">
        <w:rPr>
          <w:rStyle w:val="FootnoteReference"/>
        </w:rPr>
        <w:footnoteReference w:id="9"/>
      </w:r>
      <w:r w:rsidR="00910CBE">
        <w:t xml:space="preserve"> as she enters the house of Protesilaus. Therefore, it is likely that Catullus has heard,</w:t>
      </w:r>
      <w:r w:rsidR="007746E9">
        <w:t xml:space="preserve"> or prefers,</w:t>
      </w:r>
      <w:r w:rsidR="00910CBE">
        <w:t xml:space="preserve"> Homer’s version of the myth of Laodamia, and has equated the fire of her death with the passionate fire of his relationship with Lesbia. </w:t>
      </w:r>
    </w:p>
    <w:p w14:paraId="3E578B79" w14:textId="1631E517" w:rsidR="00910CBE" w:rsidRDefault="00304F0B">
      <w:r>
        <w:t xml:space="preserve">With the inclusion of the Laodamia myth, Catullus introduces a comparison between Laodamia and Protesilaus and himself and Lesbia. Laodamia is presented in Catullus 68 as being passionate and loyal, she is “forced to </w:t>
      </w:r>
      <w:proofErr w:type="gramStart"/>
      <w:r>
        <w:t>loose</w:t>
      </w:r>
      <w:proofErr w:type="gramEnd"/>
      <w:r>
        <w:t xml:space="preserve"> her arms from the neck of her new spouse”</w:t>
      </w:r>
      <w:r>
        <w:rPr>
          <w:rStyle w:val="FootnoteReference"/>
        </w:rPr>
        <w:footnoteReference w:id="10"/>
      </w:r>
      <w:r w:rsidR="00B473E6">
        <w:t xml:space="preserve">, displaying her unwillingness to loose Protesilaus. It is possible that Catullus is aiming to invoke a comparison between Laodamia and Lesbia, displaying the passion that Lesbia shows early in the timeline of their relationship, the period Catullus is reminiscing about in 68. However, it can also be interpreted that Catullus is Laodamia in this comparison. Catullus has used typically feminine metaphors to </w:t>
      </w:r>
      <w:r w:rsidR="002C3F18">
        <w:t>describe his feelings for Lesbia in other poems, notably in 11, where he describes his love as dropping like “a flower on the meadow’s edge, when it has been touched by the plough passing by”</w:t>
      </w:r>
      <w:r w:rsidR="002C3F18">
        <w:rPr>
          <w:rStyle w:val="FootnoteReference"/>
        </w:rPr>
        <w:footnoteReference w:id="11"/>
      </w:r>
      <w:r w:rsidR="002C3F18">
        <w:t>. The metaphor of a dying or picked flower is more often associated with femininity, and the loosing of one’s virginity. Sappho in her poems</w:t>
      </w:r>
      <w:r w:rsidR="00E010D4">
        <w:t xml:space="preserve"> </w:t>
      </w:r>
      <w:r w:rsidR="002C3F18">
        <w:t xml:space="preserve">often uses flowers to this effect, for example in Sappho’s poem 132 </w:t>
      </w:r>
      <w:bookmarkStart w:id="0" w:name="_GoBack"/>
      <w:bookmarkEnd w:id="0"/>
      <w:r w:rsidR="002C3F18">
        <w:t>she describes a female as “golden flowers”.</w:t>
      </w:r>
      <w:r w:rsidR="002C3F18">
        <w:rPr>
          <w:rStyle w:val="FootnoteReference"/>
        </w:rPr>
        <w:footnoteReference w:id="12"/>
      </w:r>
      <w:r w:rsidR="00E010D4">
        <w:t xml:space="preserve"> Therefore, linking himself to typically feminine imagery is not unlike Catullus, and consequently linking himself to Laodamia is likely. By portraying himself as Laodamia, Catullus </w:t>
      </w:r>
      <w:r w:rsidR="00D4337D">
        <w:t>portrays the loyalty he has towards Lesbia, as displayed in earlier poems. For example, in 5 which begins “let us live”,</w:t>
      </w:r>
      <w:r w:rsidR="00D4337D">
        <w:rPr>
          <w:rStyle w:val="FootnoteReference"/>
        </w:rPr>
        <w:footnoteReference w:id="13"/>
      </w:r>
      <w:r w:rsidR="00D4337D">
        <w:t xml:space="preserve"> Catullus explores his dismissal of Roman social norms in favour of Lesbia’s love, this contrasted with the infidelity of Lesbia explored in poems such as 58. </w:t>
      </w:r>
      <w:r w:rsidR="0086019B">
        <w:t>By equating himself with the feminine roles of a relationship, Catullus explores the power Lesbia has over him, displaying her as the masculine role, this lack of power only adds to the continued narrative in Catullus’ poems about Lesbia’s hold on him, and his unwillingness and inability to let her go.</w:t>
      </w:r>
    </w:p>
    <w:p w14:paraId="3F189672" w14:textId="758155C0" w:rsidR="004D332E" w:rsidRDefault="004D332E">
      <w:r>
        <w:t xml:space="preserve">To conclude, Catullus 68 contributes significantly to the exploration of Lesbia as a complex female character, displaying the passionate love she has with Catullus and contrasting this with the betrayal </w:t>
      </w:r>
      <w:r>
        <w:lastRenderedPageBreak/>
        <w:t xml:space="preserve">of her infidelity. Catullus displays this through the use of myth, igniting a recognition from the original Roman audience to stories and metaphors they know and using these to mould a perception of Catullus’ relationship with Lesbia. </w:t>
      </w:r>
    </w:p>
    <w:p w14:paraId="7DC3B03D" w14:textId="574D205A" w:rsidR="004178D8" w:rsidRDefault="004178D8"/>
    <w:p w14:paraId="44DEF0D7" w14:textId="37CA4145" w:rsidR="004178D8" w:rsidRDefault="004178D8"/>
    <w:p w14:paraId="6536D3BF" w14:textId="036644DF" w:rsidR="004178D8" w:rsidRDefault="004178D8"/>
    <w:p w14:paraId="056CC381" w14:textId="3894F0F3" w:rsidR="004178D8" w:rsidRDefault="004178D8"/>
    <w:p w14:paraId="44EC5FE3" w14:textId="3B27577D" w:rsidR="004178D8" w:rsidRDefault="004178D8"/>
    <w:p w14:paraId="6F542FF2" w14:textId="0BC05971" w:rsidR="004178D8" w:rsidRDefault="004178D8"/>
    <w:p w14:paraId="6D3407B5" w14:textId="0018ABC9" w:rsidR="004178D8" w:rsidRDefault="004178D8"/>
    <w:p w14:paraId="4D82E967" w14:textId="3240F4C7" w:rsidR="004178D8" w:rsidRDefault="004178D8"/>
    <w:p w14:paraId="00FB4E0A" w14:textId="43ED7DA5" w:rsidR="004178D8" w:rsidRDefault="004178D8"/>
    <w:p w14:paraId="08F9FCA3" w14:textId="795DA20C" w:rsidR="004178D8" w:rsidRDefault="004178D8"/>
    <w:p w14:paraId="181EA657" w14:textId="6AE0145F" w:rsidR="004178D8" w:rsidRDefault="004178D8"/>
    <w:p w14:paraId="317A6644" w14:textId="3FB20BF4" w:rsidR="004178D8" w:rsidRDefault="004178D8"/>
    <w:p w14:paraId="2C8173E5" w14:textId="7D47F360" w:rsidR="004178D8" w:rsidRDefault="004178D8"/>
    <w:p w14:paraId="4C50AC40" w14:textId="4DECEF30" w:rsidR="004178D8" w:rsidRDefault="004178D8"/>
    <w:p w14:paraId="15A0D969" w14:textId="56C143DF" w:rsidR="004178D8" w:rsidRDefault="004178D8"/>
    <w:p w14:paraId="4F559ABA" w14:textId="221DADCF" w:rsidR="004178D8" w:rsidRDefault="004178D8"/>
    <w:p w14:paraId="67A1A8AD" w14:textId="3FD0E3D1" w:rsidR="004178D8" w:rsidRDefault="004178D8"/>
    <w:p w14:paraId="4BC0A324" w14:textId="383F6A3B" w:rsidR="004178D8" w:rsidRDefault="004178D8"/>
    <w:p w14:paraId="73DB1E37" w14:textId="38231A71" w:rsidR="004178D8" w:rsidRDefault="004178D8"/>
    <w:p w14:paraId="35BA41A2" w14:textId="4574C2DC" w:rsidR="004178D8" w:rsidRDefault="004178D8"/>
    <w:p w14:paraId="2B64580D" w14:textId="4392B44D" w:rsidR="004178D8" w:rsidRDefault="004178D8"/>
    <w:p w14:paraId="6E1BD60C" w14:textId="3CEF6FAA" w:rsidR="004178D8" w:rsidRDefault="004178D8"/>
    <w:p w14:paraId="489B966A" w14:textId="13E62931" w:rsidR="004178D8" w:rsidRDefault="004178D8"/>
    <w:p w14:paraId="7FC6F79E" w14:textId="0F1658CB" w:rsidR="004178D8" w:rsidRDefault="004178D8"/>
    <w:p w14:paraId="675928E7" w14:textId="628318DB" w:rsidR="004178D8" w:rsidRDefault="004178D8"/>
    <w:p w14:paraId="5A5D7BD3" w14:textId="4F642791" w:rsidR="004178D8" w:rsidRDefault="004178D8"/>
    <w:p w14:paraId="504EBE51" w14:textId="77E7FEB1" w:rsidR="004178D8" w:rsidRDefault="004178D8"/>
    <w:p w14:paraId="1A22C144" w14:textId="425D1602" w:rsidR="004178D8" w:rsidRDefault="004178D8"/>
    <w:p w14:paraId="34A47C95" w14:textId="254C3C38" w:rsidR="004178D8" w:rsidRDefault="004178D8"/>
    <w:p w14:paraId="78AEECE2" w14:textId="49D555F2" w:rsidR="004178D8" w:rsidRPr="00AD1EF8" w:rsidRDefault="004178D8">
      <w:pPr>
        <w:rPr>
          <w:b/>
          <w:u w:val="single"/>
        </w:rPr>
      </w:pPr>
      <w:r w:rsidRPr="00AD1EF8">
        <w:rPr>
          <w:b/>
          <w:u w:val="single"/>
        </w:rPr>
        <w:lastRenderedPageBreak/>
        <w:t>Bibliography:</w:t>
      </w:r>
    </w:p>
    <w:p w14:paraId="42E4DB59" w14:textId="77777777" w:rsidR="004178D8" w:rsidRDefault="004178D8">
      <w:r>
        <w:t xml:space="preserve">Burkert, W. (1985) </w:t>
      </w:r>
      <w:r w:rsidRPr="004178D8">
        <w:rPr>
          <w:i/>
        </w:rPr>
        <w:t>Greek Religion.</w:t>
      </w:r>
      <w:r>
        <w:t xml:space="preserve"> Harvard: Harvard University Press. </w:t>
      </w:r>
    </w:p>
    <w:p w14:paraId="60BFCDB5" w14:textId="77777777" w:rsidR="004178D8" w:rsidRDefault="004178D8">
      <w:r>
        <w:t xml:space="preserve">Garrison, D. (1989) </w:t>
      </w:r>
      <w:r w:rsidRPr="004178D8">
        <w:rPr>
          <w:i/>
        </w:rPr>
        <w:t>The Students’ Catullus.</w:t>
      </w:r>
      <w:r>
        <w:t xml:space="preserve"> Oklahoma: The University of Oklahoma Press. </w:t>
      </w:r>
    </w:p>
    <w:p w14:paraId="39437391" w14:textId="6BB56135" w:rsidR="004178D8" w:rsidRDefault="004178D8">
      <w:proofErr w:type="spellStart"/>
      <w:r>
        <w:t>Reeson</w:t>
      </w:r>
      <w:proofErr w:type="spellEnd"/>
      <w:r>
        <w:t xml:space="preserve">, J. (2001) </w:t>
      </w:r>
      <w:r w:rsidRPr="004178D8">
        <w:rPr>
          <w:i/>
        </w:rPr>
        <w:t xml:space="preserve">Ovid </w:t>
      </w:r>
      <w:proofErr w:type="spellStart"/>
      <w:r w:rsidRPr="004178D8">
        <w:rPr>
          <w:i/>
        </w:rPr>
        <w:t>Heroides</w:t>
      </w:r>
      <w:proofErr w:type="spellEnd"/>
      <w:r w:rsidRPr="004178D8">
        <w:rPr>
          <w:i/>
        </w:rPr>
        <w:t>, 11, 13 and 14: A Commentary.</w:t>
      </w:r>
      <w:r>
        <w:t xml:space="preserve"> London: Brill. </w:t>
      </w:r>
    </w:p>
    <w:p w14:paraId="285F1ECC" w14:textId="1837FC5E" w:rsidR="004178D8" w:rsidRDefault="00807517" w:rsidP="00807517">
      <w:pPr>
        <w:rPr>
          <w:rFonts w:cstheme="minorHAnsi"/>
          <w:color w:val="333333"/>
          <w:shd w:val="clear" w:color="auto" w:fill="FFFFFF"/>
        </w:rPr>
      </w:pPr>
      <w:r w:rsidRPr="00807517">
        <w:rPr>
          <w:rStyle w:val="bibliographicauthorname"/>
          <w:rFonts w:cstheme="minorHAnsi"/>
          <w:color w:val="333333"/>
          <w:shd w:val="clear" w:color="auto" w:fill="FFFFFF"/>
        </w:rPr>
        <w:t>Catullus</w:t>
      </w:r>
      <w:r>
        <w:rPr>
          <w:rFonts w:cstheme="minorHAnsi"/>
          <w:color w:val="333333"/>
          <w:shd w:val="clear" w:color="auto" w:fill="FFFFFF"/>
        </w:rPr>
        <w:t xml:space="preserve">. </w:t>
      </w:r>
      <w:r w:rsidRPr="00807517">
        <w:rPr>
          <w:rFonts w:cstheme="minorHAnsi"/>
          <w:i/>
          <w:iCs/>
          <w:color w:val="333333"/>
          <w:shd w:val="clear" w:color="auto" w:fill="FFFFFF"/>
        </w:rPr>
        <w:t>Catullus.</w:t>
      </w:r>
      <w:r w:rsidRPr="00807517">
        <w:rPr>
          <w:rStyle w:val="contributorname"/>
          <w:rFonts w:cstheme="minorHAnsi"/>
          <w:color w:val="333333"/>
          <w:shd w:val="clear" w:color="auto" w:fill="FFFFFF"/>
        </w:rPr>
        <w:t xml:space="preserve"> W. Cornish</w:t>
      </w:r>
      <w:r w:rsidRPr="00807517">
        <w:rPr>
          <w:rStyle w:val="translators"/>
          <w:rFonts w:cstheme="minorHAnsi"/>
          <w:color w:val="333333"/>
          <w:shd w:val="clear" w:color="auto" w:fill="FFFFFF"/>
        </w:rPr>
        <w:t>, </w:t>
      </w:r>
      <w:r w:rsidRPr="00807517">
        <w:rPr>
          <w:rStyle w:val="contributorname"/>
          <w:rFonts w:cstheme="minorHAnsi"/>
          <w:color w:val="333333"/>
          <w:shd w:val="clear" w:color="auto" w:fill="FFFFFF"/>
        </w:rPr>
        <w:t>J. P. Postgate</w:t>
      </w:r>
      <w:r w:rsidRPr="00807517">
        <w:rPr>
          <w:rStyle w:val="translators"/>
          <w:rFonts w:cstheme="minorHAnsi"/>
          <w:color w:val="333333"/>
          <w:shd w:val="clear" w:color="auto" w:fill="FFFFFF"/>
        </w:rPr>
        <w:t>, </w:t>
      </w:r>
      <w:r w:rsidRPr="00807517">
        <w:rPr>
          <w:rStyle w:val="contributorname"/>
          <w:rFonts w:cstheme="minorHAnsi"/>
          <w:color w:val="333333"/>
          <w:shd w:val="clear" w:color="auto" w:fill="FFFFFF"/>
        </w:rPr>
        <w:t xml:space="preserve">J. W. </w:t>
      </w:r>
      <w:proofErr w:type="spellStart"/>
      <w:r w:rsidRPr="00807517">
        <w:rPr>
          <w:rStyle w:val="contributorname"/>
          <w:rFonts w:cstheme="minorHAnsi"/>
          <w:color w:val="333333"/>
          <w:shd w:val="clear" w:color="auto" w:fill="FFFFFF"/>
        </w:rPr>
        <w:t>Mackail</w:t>
      </w:r>
      <w:proofErr w:type="spellEnd"/>
      <w:r>
        <w:rPr>
          <w:rStyle w:val="translators"/>
          <w:rFonts w:cstheme="minorHAnsi"/>
          <w:color w:val="333333"/>
          <w:shd w:val="clear" w:color="auto" w:fill="FFFFFF"/>
        </w:rPr>
        <w:t xml:space="preserve"> </w:t>
      </w:r>
      <w:r>
        <w:rPr>
          <w:rStyle w:val="revisors"/>
          <w:rFonts w:cstheme="minorHAnsi"/>
          <w:color w:val="333333"/>
          <w:shd w:val="clear" w:color="auto" w:fill="FFFFFF"/>
        </w:rPr>
        <w:t>(trans.)</w:t>
      </w:r>
      <w:r w:rsidRPr="00807517">
        <w:rPr>
          <w:rStyle w:val="revisors"/>
          <w:rFonts w:cstheme="minorHAnsi"/>
          <w:color w:val="333333"/>
          <w:shd w:val="clear" w:color="auto" w:fill="FFFFFF"/>
        </w:rPr>
        <w:t> </w:t>
      </w:r>
      <w:r w:rsidRPr="00807517">
        <w:rPr>
          <w:rFonts w:cstheme="minorHAnsi"/>
          <w:color w:val="333333"/>
          <w:shd w:val="clear" w:color="auto" w:fill="FFFFFF"/>
        </w:rPr>
        <w:t>1913.</w:t>
      </w:r>
      <w:r w:rsidRPr="00807517">
        <w:rPr>
          <w:rStyle w:val="contributorname"/>
          <w:rFonts w:cstheme="minorHAnsi"/>
          <w:color w:val="333333"/>
          <w:shd w:val="clear" w:color="auto" w:fill="FFFFFF"/>
        </w:rPr>
        <w:t xml:space="preserve"> </w:t>
      </w:r>
      <w:r w:rsidRPr="00807517">
        <w:rPr>
          <w:rFonts w:cstheme="minorHAnsi"/>
          <w:color w:val="333333"/>
          <w:shd w:val="clear" w:color="auto" w:fill="FFFFFF"/>
        </w:rPr>
        <w:t>Loeb Classical Library 6. Cambridge, MA: Harvard University Press</w:t>
      </w:r>
      <w:r>
        <w:rPr>
          <w:rFonts w:cstheme="minorHAnsi"/>
          <w:color w:val="333333"/>
          <w:shd w:val="clear" w:color="auto" w:fill="FFFFFF"/>
        </w:rPr>
        <w:t>.</w:t>
      </w:r>
    </w:p>
    <w:p w14:paraId="36D954CD" w14:textId="0C54DFAD" w:rsidR="007746E9" w:rsidRDefault="007746E9" w:rsidP="00807517">
      <w:pPr>
        <w:rPr>
          <w:rFonts w:cstheme="minorHAnsi"/>
          <w:color w:val="333333"/>
          <w:shd w:val="clear" w:color="auto" w:fill="FFFFFF"/>
        </w:rPr>
      </w:pPr>
      <w:r>
        <w:rPr>
          <w:rFonts w:cstheme="minorHAnsi"/>
          <w:color w:val="333333"/>
          <w:shd w:val="clear" w:color="auto" w:fill="FFFFFF"/>
        </w:rPr>
        <w:t xml:space="preserve">Sappho. </w:t>
      </w:r>
      <w:r w:rsidRPr="007746E9">
        <w:rPr>
          <w:rFonts w:cstheme="minorHAnsi"/>
          <w:i/>
          <w:color w:val="333333"/>
          <w:shd w:val="clear" w:color="auto" w:fill="FFFFFF"/>
        </w:rPr>
        <w:t xml:space="preserve">Greek Lyric. </w:t>
      </w:r>
      <w:r>
        <w:rPr>
          <w:rFonts w:cstheme="minorHAnsi"/>
          <w:color w:val="333333"/>
          <w:shd w:val="clear" w:color="auto" w:fill="FFFFFF"/>
        </w:rPr>
        <w:t xml:space="preserve">D. A. Campbell (trans.) 1982. </w:t>
      </w:r>
      <w:r w:rsidRPr="00807517">
        <w:rPr>
          <w:rFonts w:cstheme="minorHAnsi"/>
          <w:color w:val="333333"/>
          <w:shd w:val="clear" w:color="auto" w:fill="FFFFFF"/>
        </w:rPr>
        <w:t xml:space="preserve">Loeb Classical Library </w:t>
      </w:r>
      <w:r>
        <w:rPr>
          <w:rFonts w:cstheme="minorHAnsi"/>
          <w:color w:val="333333"/>
          <w:shd w:val="clear" w:color="auto" w:fill="FFFFFF"/>
        </w:rPr>
        <w:t>142</w:t>
      </w:r>
      <w:r w:rsidRPr="00807517">
        <w:rPr>
          <w:rFonts w:cstheme="minorHAnsi"/>
          <w:color w:val="333333"/>
          <w:shd w:val="clear" w:color="auto" w:fill="FFFFFF"/>
        </w:rPr>
        <w:t>. Cambridge, MA: Harvard University Press</w:t>
      </w:r>
      <w:r>
        <w:rPr>
          <w:rFonts w:cstheme="minorHAnsi"/>
          <w:color w:val="333333"/>
          <w:shd w:val="clear" w:color="auto" w:fill="FFFFFF"/>
        </w:rPr>
        <w:t>.</w:t>
      </w:r>
    </w:p>
    <w:p w14:paraId="144D5544" w14:textId="2F159F0E" w:rsidR="007746E9" w:rsidRPr="00807517" w:rsidRDefault="007746E9" w:rsidP="00807517">
      <w:pPr>
        <w:rPr>
          <w:rFonts w:cstheme="minorHAnsi"/>
        </w:rPr>
      </w:pPr>
    </w:p>
    <w:sectPr w:rsidR="007746E9" w:rsidRPr="008075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C27DCF" w14:textId="77777777" w:rsidR="008B3C4C" w:rsidRDefault="008B3C4C" w:rsidP="00BE23B1">
      <w:pPr>
        <w:spacing w:after="0" w:line="240" w:lineRule="auto"/>
      </w:pPr>
      <w:r>
        <w:separator/>
      </w:r>
    </w:p>
  </w:endnote>
  <w:endnote w:type="continuationSeparator" w:id="0">
    <w:p w14:paraId="094119E6" w14:textId="77777777" w:rsidR="008B3C4C" w:rsidRDefault="008B3C4C" w:rsidP="00BE2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AFEDEA" w14:textId="77777777" w:rsidR="008B3C4C" w:rsidRDefault="008B3C4C" w:rsidP="00BE23B1">
      <w:pPr>
        <w:spacing w:after="0" w:line="240" w:lineRule="auto"/>
      </w:pPr>
      <w:r>
        <w:separator/>
      </w:r>
    </w:p>
  </w:footnote>
  <w:footnote w:type="continuationSeparator" w:id="0">
    <w:p w14:paraId="0459803E" w14:textId="77777777" w:rsidR="008B3C4C" w:rsidRDefault="008B3C4C" w:rsidP="00BE23B1">
      <w:pPr>
        <w:spacing w:after="0" w:line="240" w:lineRule="auto"/>
      </w:pPr>
      <w:r>
        <w:continuationSeparator/>
      </w:r>
    </w:p>
  </w:footnote>
  <w:footnote w:id="1">
    <w:p w14:paraId="746FE379" w14:textId="20B2A40C" w:rsidR="009A590B" w:rsidRDefault="009A590B" w:rsidP="009A590B">
      <w:pPr>
        <w:pStyle w:val="FootnoteText"/>
      </w:pPr>
      <w:r>
        <w:rPr>
          <w:rStyle w:val="FootnoteReference"/>
        </w:rPr>
        <w:footnoteRef/>
      </w:r>
      <w:r>
        <w:t xml:space="preserve"> Garrison</w:t>
      </w:r>
      <w:r w:rsidR="00442CC2">
        <w:t xml:space="preserve">, </w:t>
      </w:r>
      <w:r w:rsidR="004178D8">
        <w:t xml:space="preserve">1989, </w:t>
      </w:r>
      <w:r>
        <w:t>p.148</w:t>
      </w:r>
    </w:p>
  </w:footnote>
  <w:footnote w:id="2">
    <w:p w14:paraId="3DE0B9E4" w14:textId="71C42B4B" w:rsidR="00DC5DB6" w:rsidRDefault="00DC5DB6">
      <w:pPr>
        <w:pStyle w:val="FootnoteText"/>
      </w:pPr>
      <w:r>
        <w:rPr>
          <w:rStyle w:val="FootnoteReference"/>
        </w:rPr>
        <w:footnoteRef/>
      </w:r>
      <w:r>
        <w:t xml:space="preserve"> </w:t>
      </w:r>
      <w:proofErr w:type="spellStart"/>
      <w:r>
        <w:t>Cat</w:t>
      </w:r>
      <w:r w:rsidR="00B20866">
        <w:t>ull</w:t>
      </w:r>
      <w:proofErr w:type="spellEnd"/>
      <w:r>
        <w:t>.</w:t>
      </w:r>
      <w:r w:rsidR="00B20866">
        <w:t xml:space="preserve"> </w:t>
      </w:r>
      <w:r>
        <w:t>68.54</w:t>
      </w:r>
    </w:p>
  </w:footnote>
  <w:footnote w:id="3">
    <w:p w14:paraId="4AE9C92E" w14:textId="0DBDCA3F" w:rsidR="00DC5DB6" w:rsidRDefault="00DC5DB6">
      <w:pPr>
        <w:pStyle w:val="FootnoteText"/>
      </w:pPr>
      <w:r>
        <w:rPr>
          <w:rStyle w:val="FootnoteReference"/>
        </w:rPr>
        <w:footnoteRef/>
      </w:r>
      <w:r>
        <w:t xml:space="preserve"> </w:t>
      </w:r>
      <w:proofErr w:type="spellStart"/>
      <w:r>
        <w:t>Cat</w:t>
      </w:r>
      <w:r w:rsidR="00B20866">
        <w:t>ull</w:t>
      </w:r>
      <w:proofErr w:type="spellEnd"/>
      <w:r>
        <w:t>.</w:t>
      </w:r>
      <w:r w:rsidR="00B20866">
        <w:t xml:space="preserve"> </w:t>
      </w:r>
      <w:r>
        <w:t>68.</w:t>
      </w:r>
      <w:r w:rsidR="00B20866">
        <w:t>55</w:t>
      </w:r>
    </w:p>
  </w:footnote>
  <w:footnote w:id="4">
    <w:p w14:paraId="1BCCB17C" w14:textId="6798E2A0" w:rsidR="00304F0B" w:rsidRDefault="00304F0B">
      <w:pPr>
        <w:pStyle w:val="FootnoteText"/>
      </w:pPr>
      <w:r>
        <w:rPr>
          <w:rStyle w:val="FootnoteReference"/>
        </w:rPr>
        <w:footnoteRef/>
      </w:r>
      <w:r w:rsidR="004178D8">
        <w:t xml:space="preserve"> </w:t>
      </w:r>
      <w:r>
        <w:t>Burkert</w:t>
      </w:r>
      <w:r w:rsidR="004178D8">
        <w:t>, 1985, p.153</w:t>
      </w:r>
    </w:p>
  </w:footnote>
  <w:footnote w:id="5">
    <w:p w14:paraId="2AC3CFFD" w14:textId="450478E0" w:rsidR="00DC5DB6" w:rsidRDefault="00DC5DB6">
      <w:pPr>
        <w:pStyle w:val="FootnoteText"/>
      </w:pPr>
      <w:r>
        <w:rPr>
          <w:rStyle w:val="FootnoteReference"/>
        </w:rPr>
        <w:footnoteRef/>
      </w:r>
      <w:r>
        <w:t xml:space="preserve"> </w:t>
      </w:r>
      <w:proofErr w:type="spellStart"/>
      <w:r w:rsidR="00B20866">
        <w:t>Catull</w:t>
      </w:r>
      <w:proofErr w:type="spellEnd"/>
      <w:r w:rsidR="00B20866">
        <w:t>.</w:t>
      </w:r>
      <w:r w:rsidR="00B20866">
        <w:t xml:space="preserve"> </w:t>
      </w:r>
      <w:r w:rsidR="00B20866">
        <w:t>68.</w:t>
      </w:r>
      <w:r w:rsidR="00B20866">
        <w:t>115</w:t>
      </w:r>
    </w:p>
  </w:footnote>
  <w:footnote w:id="6">
    <w:p w14:paraId="0672BD71" w14:textId="2BF85CC8" w:rsidR="009A590B" w:rsidRDefault="009A590B">
      <w:pPr>
        <w:pStyle w:val="FootnoteText"/>
      </w:pPr>
      <w:r>
        <w:rPr>
          <w:rStyle w:val="FootnoteReference"/>
        </w:rPr>
        <w:footnoteRef/>
      </w:r>
      <w:r>
        <w:t xml:space="preserve"> Many equate the twins to St. Elmo’s fire, a phenomenon at sea where a burning light, or fire, appears, associated with the Greek element of fire. This fire is known as a good omen, and presumably Catullus’ contemporary audience would associate Pollux and Castor with a positive metaphor of fire, perhaps displaying Catullus’ relationship with Lesbia as a positive type of passion, as he links their “burning” love to fires that have a good message or association, such as St. Elmo’s fire.</w:t>
      </w:r>
    </w:p>
  </w:footnote>
  <w:footnote w:id="7">
    <w:p w14:paraId="2A56B844" w14:textId="5DA3D8E2" w:rsidR="000574D7" w:rsidRDefault="000574D7">
      <w:pPr>
        <w:pStyle w:val="FootnoteText"/>
      </w:pPr>
      <w:r>
        <w:rPr>
          <w:rStyle w:val="FootnoteReference"/>
        </w:rPr>
        <w:footnoteRef/>
      </w:r>
      <w:r>
        <w:t xml:space="preserve"> </w:t>
      </w:r>
      <w:proofErr w:type="spellStart"/>
      <w:r w:rsidR="00B20866">
        <w:t>Hom</w:t>
      </w:r>
      <w:proofErr w:type="spellEnd"/>
      <w:r w:rsidR="00B20866">
        <w:t xml:space="preserve">. </w:t>
      </w:r>
      <w:r w:rsidRPr="00B20866">
        <w:rPr>
          <w:i/>
        </w:rPr>
        <w:t>Il</w:t>
      </w:r>
      <w:r w:rsidR="00B20866" w:rsidRPr="00B20866">
        <w:rPr>
          <w:i/>
        </w:rPr>
        <w:t>.</w:t>
      </w:r>
      <w:r w:rsidR="00B20866">
        <w:t xml:space="preserve"> </w:t>
      </w:r>
      <w:r w:rsidR="00304F0B">
        <w:t>2.699</w:t>
      </w:r>
    </w:p>
  </w:footnote>
  <w:footnote w:id="8">
    <w:p w14:paraId="686ACC97" w14:textId="6849E273" w:rsidR="003B0FA2" w:rsidRDefault="003B0FA2">
      <w:pPr>
        <w:pStyle w:val="FootnoteText"/>
      </w:pPr>
      <w:r>
        <w:rPr>
          <w:rStyle w:val="FootnoteReference"/>
        </w:rPr>
        <w:footnoteRef/>
      </w:r>
      <w:r>
        <w:t xml:space="preserve"> </w:t>
      </w:r>
      <w:proofErr w:type="spellStart"/>
      <w:r w:rsidR="004178D8">
        <w:t>Reeson</w:t>
      </w:r>
      <w:proofErr w:type="spellEnd"/>
      <w:r w:rsidR="004178D8">
        <w:t>, 2001, p.163</w:t>
      </w:r>
    </w:p>
  </w:footnote>
  <w:footnote w:id="9">
    <w:p w14:paraId="3801994F" w14:textId="77695125" w:rsidR="00910CBE" w:rsidRDefault="00910CBE">
      <w:pPr>
        <w:pStyle w:val="FootnoteText"/>
      </w:pPr>
      <w:r>
        <w:rPr>
          <w:rStyle w:val="FootnoteReference"/>
        </w:rPr>
        <w:footnoteRef/>
      </w:r>
      <w:r>
        <w:t xml:space="preserve"> </w:t>
      </w:r>
      <w:proofErr w:type="spellStart"/>
      <w:r w:rsidR="00B20866">
        <w:t>Catull</w:t>
      </w:r>
      <w:proofErr w:type="spellEnd"/>
      <w:r w:rsidR="00B20866">
        <w:t>.</w:t>
      </w:r>
      <w:r w:rsidR="00B20866">
        <w:t xml:space="preserve"> 68.73</w:t>
      </w:r>
    </w:p>
  </w:footnote>
  <w:footnote w:id="10">
    <w:p w14:paraId="3F0B781F" w14:textId="507FDBC6" w:rsidR="00304F0B" w:rsidRDefault="00304F0B">
      <w:pPr>
        <w:pStyle w:val="FootnoteText"/>
      </w:pPr>
      <w:r>
        <w:rPr>
          <w:rStyle w:val="FootnoteReference"/>
        </w:rPr>
        <w:footnoteRef/>
      </w:r>
      <w:r>
        <w:t xml:space="preserve"> </w:t>
      </w:r>
      <w:proofErr w:type="spellStart"/>
      <w:r w:rsidR="00B20866">
        <w:t>Catull</w:t>
      </w:r>
      <w:proofErr w:type="spellEnd"/>
      <w:r w:rsidR="00B20866">
        <w:t>. 68.</w:t>
      </w:r>
      <w:r w:rsidR="00B20866">
        <w:t>81</w:t>
      </w:r>
    </w:p>
  </w:footnote>
  <w:footnote w:id="11">
    <w:p w14:paraId="38CAB81B" w14:textId="09265867" w:rsidR="002C3F18" w:rsidRDefault="002C3F18">
      <w:pPr>
        <w:pStyle w:val="FootnoteText"/>
      </w:pPr>
      <w:r>
        <w:rPr>
          <w:rStyle w:val="FootnoteReference"/>
        </w:rPr>
        <w:footnoteRef/>
      </w:r>
      <w:r>
        <w:t xml:space="preserve"> </w:t>
      </w:r>
      <w:proofErr w:type="spellStart"/>
      <w:r w:rsidR="00B20866">
        <w:t>Catull</w:t>
      </w:r>
      <w:proofErr w:type="spellEnd"/>
      <w:r w:rsidR="00B20866">
        <w:t xml:space="preserve">. </w:t>
      </w:r>
      <w:r w:rsidR="00B20866">
        <w:t>11.20</w:t>
      </w:r>
    </w:p>
  </w:footnote>
  <w:footnote w:id="12">
    <w:p w14:paraId="1696F830" w14:textId="6B83A032" w:rsidR="002C3F18" w:rsidRDefault="002C3F18">
      <w:pPr>
        <w:pStyle w:val="FootnoteText"/>
      </w:pPr>
      <w:r>
        <w:rPr>
          <w:rStyle w:val="FootnoteReference"/>
        </w:rPr>
        <w:footnoteRef/>
      </w:r>
      <w:r>
        <w:t xml:space="preserve"> </w:t>
      </w:r>
      <w:r w:rsidR="00D4337D">
        <w:t>Sap</w:t>
      </w:r>
      <w:r w:rsidR="00B20866">
        <w:t>pho.</w:t>
      </w:r>
      <w:r w:rsidR="00D4337D">
        <w:t xml:space="preserve"> 132</w:t>
      </w:r>
      <w:r w:rsidR="007746E9">
        <w:t>.</w:t>
      </w:r>
    </w:p>
  </w:footnote>
  <w:footnote w:id="13">
    <w:p w14:paraId="69FDBCA2" w14:textId="0CE83625" w:rsidR="00D4337D" w:rsidRDefault="00D4337D">
      <w:pPr>
        <w:pStyle w:val="FootnoteText"/>
      </w:pPr>
      <w:r>
        <w:rPr>
          <w:rStyle w:val="FootnoteReference"/>
        </w:rPr>
        <w:footnoteRef/>
      </w:r>
      <w:r>
        <w:t xml:space="preserve"> </w:t>
      </w:r>
      <w:proofErr w:type="spellStart"/>
      <w:r w:rsidR="00B20866">
        <w:t>Catull</w:t>
      </w:r>
      <w:proofErr w:type="spellEnd"/>
      <w:r w:rsidR="00B20866">
        <w:t xml:space="preserve">. </w:t>
      </w:r>
      <w:r w:rsidR="00B20866">
        <w:t>5.1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3B1"/>
    <w:rsid w:val="000574D7"/>
    <w:rsid w:val="001D4CA2"/>
    <w:rsid w:val="001D69EA"/>
    <w:rsid w:val="0022591B"/>
    <w:rsid w:val="002C3F18"/>
    <w:rsid w:val="00304F0B"/>
    <w:rsid w:val="0036056A"/>
    <w:rsid w:val="003B0FA2"/>
    <w:rsid w:val="004178D8"/>
    <w:rsid w:val="00442CC2"/>
    <w:rsid w:val="004D332E"/>
    <w:rsid w:val="007746E9"/>
    <w:rsid w:val="00807517"/>
    <w:rsid w:val="0086019B"/>
    <w:rsid w:val="008B3C4C"/>
    <w:rsid w:val="00910CBE"/>
    <w:rsid w:val="0094662A"/>
    <w:rsid w:val="00974912"/>
    <w:rsid w:val="009A590B"/>
    <w:rsid w:val="00AD1EF8"/>
    <w:rsid w:val="00B20866"/>
    <w:rsid w:val="00B473E6"/>
    <w:rsid w:val="00BE23B1"/>
    <w:rsid w:val="00BE487D"/>
    <w:rsid w:val="00BF6417"/>
    <w:rsid w:val="00D4337D"/>
    <w:rsid w:val="00DC5DB6"/>
    <w:rsid w:val="00E010D4"/>
    <w:rsid w:val="00E40EE5"/>
    <w:rsid w:val="00EC7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DA7BC9"/>
  <w15:chartTrackingRefBased/>
  <w15:docId w15:val="{10F2D342-B29A-4E64-AE6D-0959F25D8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E23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23B1"/>
    <w:rPr>
      <w:sz w:val="20"/>
      <w:szCs w:val="20"/>
    </w:rPr>
  </w:style>
  <w:style w:type="character" w:styleId="FootnoteReference">
    <w:name w:val="footnote reference"/>
    <w:basedOn w:val="DefaultParagraphFont"/>
    <w:uiPriority w:val="99"/>
    <w:semiHidden/>
    <w:unhideWhenUsed/>
    <w:rsid w:val="00BE23B1"/>
    <w:rPr>
      <w:vertAlign w:val="superscript"/>
    </w:rPr>
  </w:style>
  <w:style w:type="character" w:customStyle="1" w:styleId="contributorname">
    <w:name w:val="contributorname"/>
    <w:basedOn w:val="DefaultParagraphFont"/>
    <w:rsid w:val="00807517"/>
  </w:style>
  <w:style w:type="character" w:customStyle="1" w:styleId="bibliographicauthorname">
    <w:name w:val="bibliographicauthorname"/>
    <w:basedOn w:val="DefaultParagraphFont"/>
    <w:rsid w:val="00807517"/>
  </w:style>
  <w:style w:type="character" w:customStyle="1" w:styleId="translators">
    <w:name w:val="translators"/>
    <w:basedOn w:val="DefaultParagraphFont"/>
    <w:rsid w:val="00807517"/>
  </w:style>
  <w:style w:type="character" w:customStyle="1" w:styleId="revisors">
    <w:name w:val="revisors"/>
    <w:basedOn w:val="DefaultParagraphFont"/>
    <w:rsid w:val="00807517"/>
  </w:style>
  <w:style w:type="character" w:customStyle="1" w:styleId="editorandtranslators">
    <w:name w:val="editorandtranslators"/>
    <w:basedOn w:val="DefaultParagraphFont"/>
    <w:rsid w:val="007746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05387D-20A9-42F9-B8BA-323C9F340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4</Pages>
  <Words>1155</Words>
  <Characters>6588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8</cp:revision>
  <dcterms:created xsi:type="dcterms:W3CDTF">2019-05-15T15:06:00Z</dcterms:created>
  <dcterms:modified xsi:type="dcterms:W3CDTF">2019-05-17T13:48:00Z</dcterms:modified>
</cp:coreProperties>
</file>