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A017F" w:rsidR="000F6C1F" w:rsidP="006A017F" w:rsidRDefault="000F6C1F" w14:paraId="3ED9C97F" w14:textId="77777777">
      <w:pPr>
        <w:spacing w:after="0"/>
        <w:jc w:val="center"/>
      </w:pPr>
      <w:r w:rsidRPr="71C64C9E" w:rsidR="000F6C1F">
        <w:rPr>
          <w:rFonts w:cs="Arial"/>
          <w:b w:val="1"/>
          <w:bCs w:val="1"/>
          <w:sz w:val="40"/>
          <w:szCs w:val="40"/>
        </w:rPr>
        <w:t>Management Accounting and Financial Decision-Making at Tesla, Inc.</w:t>
      </w:r>
    </w:p>
    <w:p w:rsidR="0FF0F5F2" w:rsidP="71C64C9E" w:rsidRDefault="0FF0F5F2" w14:paraId="04068C88" w14:textId="790D1A2F">
      <w:pPr>
        <w:spacing w:after="0"/>
        <w:jc w:val="center"/>
      </w:pPr>
      <w:r w:rsidRPr="71C64C9E" w:rsidR="0FF0F5F2">
        <w:rPr>
          <w:rFonts w:cs="Arial"/>
          <w:b w:val="1"/>
          <w:bCs w:val="1"/>
          <w:sz w:val="40"/>
          <w:szCs w:val="40"/>
        </w:rPr>
        <w:t xml:space="preserve">Student ID: 2416334 </w:t>
      </w:r>
    </w:p>
    <w:p w:rsidRPr="00305810" w:rsidR="00905A86" w:rsidP="00305810" w:rsidRDefault="00905A86" w14:paraId="63509432" w14:textId="77777777">
      <w:pPr>
        <w:spacing w:after="0"/>
        <w:rPr>
          <w:rFonts w:cs="Arial" w:eastAsiaTheme="majorEastAsia"/>
          <w:b/>
          <w:lang w:bidi="bn-IN"/>
        </w:rPr>
      </w:pPr>
      <w:r w:rsidRPr="00305810">
        <w:rPr>
          <w:rFonts w:cs="Arial"/>
        </w:rPr>
        <w:br w:type="page"/>
      </w:r>
    </w:p>
    <w:sdt>
      <w:sdtPr>
        <w:id w:val="1860470096"/>
        <w:docPartObj>
          <w:docPartGallery w:val="Table of Contents"/>
          <w:docPartUnique/>
        </w:docPartObj>
        <w:rPr>
          <w:rFonts w:ascii="Arial" w:hAnsi="Arial" w:eastAsia="Calibri" w:cs="Arial" w:eastAsiaTheme="minorAscii"/>
          <w:color w:val="auto"/>
          <w:kern w:val="2"/>
          <w:sz w:val="24"/>
          <w:szCs w:val="24"/>
          <w:lang w:val="en-GB"/>
          <w14:ligatures w14:val="standardContextual"/>
        </w:rPr>
      </w:sdtPr>
      <w:sdtEndPr>
        <w:rPr>
          <w:rFonts w:ascii="Arial" w:hAnsi="Arial" w:eastAsia="Calibri" w:cs="Arial" w:eastAsiaTheme="minorAscii"/>
          <w:b w:val="1"/>
          <w:bCs w:val="1"/>
          <w:noProof/>
          <w:color w:val="auto"/>
          <w:sz w:val="24"/>
          <w:szCs w:val="24"/>
          <w:lang w:val="en-GB"/>
        </w:rPr>
      </w:sdtEndPr>
      <w:sdtContent>
        <w:p w:rsidRPr="006A017F" w:rsidR="00072C86" w:rsidP="006A017F" w:rsidRDefault="00072C86" w14:paraId="57FD5D99" w14:textId="19825138">
          <w:pPr>
            <w:pStyle w:val="TOCHeading"/>
            <w:spacing w:before="0" w:line="360" w:lineRule="auto"/>
            <w:jc w:val="center"/>
            <w:rPr>
              <w:rFonts w:ascii="Arial" w:hAnsi="Arial" w:cs="Arial"/>
              <w:b/>
              <w:bCs/>
              <w:color w:val="auto"/>
            </w:rPr>
          </w:pPr>
          <w:r w:rsidRPr="006A017F">
            <w:rPr>
              <w:rFonts w:ascii="Arial" w:hAnsi="Arial" w:cs="Arial"/>
              <w:b/>
              <w:bCs/>
              <w:color w:val="auto"/>
            </w:rPr>
            <w:t>Table of Contents</w:t>
          </w:r>
        </w:p>
        <w:p w:rsidR="006A017F" w:rsidRDefault="00072C86" w14:paraId="31FB018F" w14:textId="02DA781B">
          <w:pPr>
            <w:pStyle w:val="TOC1"/>
            <w:tabs>
              <w:tab w:val="right" w:leader="dot" w:pos="9016"/>
            </w:tabs>
            <w:rPr>
              <w:rFonts w:asciiTheme="minorHAnsi" w:hAnsiTheme="minorHAnsi" w:eastAsiaTheme="minorEastAsia"/>
              <w:noProof/>
              <w:lang w:eastAsia="en-GB"/>
            </w:rPr>
          </w:pPr>
          <w:r w:rsidRPr="00305810">
            <w:rPr>
              <w:rFonts w:cs="Arial"/>
            </w:rPr>
            <w:fldChar w:fldCharType="begin"/>
          </w:r>
          <w:r w:rsidRPr="00305810">
            <w:rPr>
              <w:rFonts w:cs="Arial"/>
            </w:rPr>
            <w:instrText xml:space="preserve"> TOC \o "1-3" \h \z \u </w:instrText>
          </w:r>
          <w:r w:rsidRPr="00305810">
            <w:rPr>
              <w:rFonts w:cs="Arial"/>
            </w:rPr>
            <w:fldChar w:fldCharType="separate"/>
          </w:r>
          <w:hyperlink w:history="1" w:anchor="_Toc240899715">
            <w:r w:rsidRPr="00A06F92" w:rsidR="006A017F">
              <w:rPr>
                <w:rStyle w:val="Hyperlink"/>
                <w:rFonts w:cs="Arial"/>
                <w:noProof/>
                <w:lang w:bidi="bn-IN"/>
              </w:rPr>
              <w:t>1. Introduction</w:t>
            </w:r>
            <w:r w:rsidR="006A017F">
              <w:rPr>
                <w:noProof/>
                <w:webHidden/>
              </w:rPr>
              <w:tab/>
            </w:r>
            <w:r w:rsidR="006A017F">
              <w:rPr>
                <w:noProof/>
                <w:webHidden/>
              </w:rPr>
              <w:fldChar w:fldCharType="begin"/>
            </w:r>
            <w:r w:rsidR="006A017F">
              <w:rPr>
                <w:noProof/>
                <w:webHidden/>
              </w:rPr>
              <w:instrText xml:space="preserve"> PAGEREF _Toc240899715 \h </w:instrText>
            </w:r>
            <w:r w:rsidR="006A017F">
              <w:rPr>
                <w:noProof/>
                <w:webHidden/>
              </w:rPr>
            </w:r>
            <w:r w:rsidR="006A017F">
              <w:rPr>
                <w:noProof/>
                <w:webHidden/>
              </w:rPr>
              <w:fldChar w:fldCharType="separate"/>
            </w:r>
            <w:r w:rsidR="006A017F">
              <w:rPr>
                <w:noProof/>
                <w:webHidden/>
              </w:rPr>
              <w:t>3</w:t>
            </w:r>
            <w:r w:rsidR="006A017F">
              <w:rPr>
                <w:noProof/>
                <w:webHidden/>
              </w:rPr>
              <w:fldChar w:fldCharType="end"/>
            </w:r>
          </w:hyperlink>
        </w:p>
        <w:p w:rsidR="006A017F" w:rsidRDefault="006A017F" w14:paraId="05779009" w14:textId="7DAA1D0C">
          <w:pPr>
            <w:pStyle w:val="TOC1"/>
            <w:tabs>
              <w:tab w:val="right" w:leader="dot" w:pos="9016"/>
            </w:tabs>
            <w:rPr>
              <w:rFonts w:asciiTheme="minorHAnsi" w:hAnsiTheme="minorHAnsi" w:eastAsiaTheme="minorEastAsia"/>
              <w:noProof/>
              <w:lang w:eastAsia="en-GB"/>
            </w:rPr>
          </w:pPr>
          <w:hyperlink w:history="1" w:anchor="_Toc240899716">
            <w:r w:rsidRPr="00A06F92">
              <w:rPr>
                <w:rStyle w:val="Hyperlink"/>
                <w:rFonts w:cs="Arial"/>
                <w:noProof/>
                <w:lang w:bidi="bn-IN"/>
              </w:rPr>
              <w:t>2. Cost Analysis and Business Model</w:t>
            </w:r>
            <w:r>
              <w:rPr>
                <w:noProof/>
                <w:webHidden/>
              </w:rPr>
              <w:tab/>
            </w:r>
            <w:r>
              <w:rPr>
                <w:noProof/>
                <w:webHidden/>
              </w:rPr>
              <w:fldChar w:fldCharType="begin"/>
            </w:r>
            <w:r>
              <w:rPr>
                <w:noProof/>
                <w:webHidden/>
              </w:rPr>
              <w:instrText xml:space="preserve"> PAGEREF _Toc240899716 \h </w:instrText>
            </w:r>
            <w:r>
              <w:rPr>
                <w:noProof/>
                <w:webHidden/>
              </w:rPr>
            </w:r>
            <w:r>
              <w:rPr>
                <w:noProof/>
                <w:webHidden/>
              </w:rPr>
              <w:fldChar w:fldCharType="separate"/>
            </w:r>
            <w:r>
              <w:rPr>
                <w:noProof/>
                <w:webHidden/>
              </w:rPr>
              <w:t>3</w:t>
            </w:r>
            <w:r>
              <w:rPr>
                <w:noProof/>
                <w:webHidden/>
              </w:rPr>
              <w:fldChar w:fldCharType="end"/>
            </w:r>
          </w:hyperlink>
        </w:p>
        <w:p w:rsidR="006A017F" w:rsidRDefault="006A017F" w14:paraId="56DD6EE0" w14:textId="075B303C">
          <w:pPr>
            <w:pStyle w:val="TOC2"/>
            <w:tabs>
              <w:tab w:val="right" w:leader="dot" w:pos="9016"/>
            </w:tabs>
            <w:rPr>
              <w:rFonts w:asciiTheme="minorHAnsi" w:hAnsiTheme="minorHAnsi" w:eastAsiaTheme="minorEastAsia"/>
              <w:noProof/>
              <w:lang w:eastAsia="en-GB"/>
            </w:rPr>
          </w:pPr>
          <w:hyperlink w:history="1" w:anchor="_Toc240899717">
            <w:r w:rsidRPr="00A06F92">
              <w:rPr>
                <w:rStyle w:val="Hyperlink"/>
                <w:rFonts w:cs="Arial"/>
                <w:noProof/>
              </w:rPr>
              <w:t>Revenue model</w:t>
            </w:r>
            <w:r>
              <w:rPr>
                <w:noProof/>
                <w:webHidden/>
              </w:rPr>
              <w:tab/>
            </w:r>
            <w:r>
              <w:rPr>
                <w:noProof/>
                <w:webHidden/>
              </w:rPr>
              <w:fldChar w:fldCharType="begin"/>
            </w:r>
            <w:r>
              <w:rPr>
                <w:noProof/>
                <w:webHidden/>
              </w:rPr>
              <w:instrText xml:space="preserve"> PAGEREF _Toc240899717 \h </w:instrText>
            </w:r>
            <w:r>
              <w:rPr>
                <w:noProof/>
                <w:webHidden/>
              </w:rPr>
            </w:r>
            <w:r>
              <w:rPr>
                <w:noProof/>
                <w:webHidden/>
              </w:rPr>
              <w:fldChar w:fldCharType="separate"/>
            </w:r>
            <w:r>
              <w:rPr>
                <w:noProof/>
                <w:webHidden/>
              </w:rPr>
              <w:t>3</w:t>
            </w:r>
            <w:r>
              <w:rPr>
                <w:noProof/>
                <w:webHidden/>
              </w:rPr>
              <w:fldChar w:fldCharType="end"/>
            </w:r>
          </w:hyperlink>
        </w:p>
        <w:p w:rsidR="006A017F" w:rsidRDefault="006A017F" w14:paraId="07F37DC4" w14:textId="15CE2600">
          <w:pPr>
            <w:pStyle w:val="TOC2"/>
            <w:tabs>
              <w:tab w:val="right" w:leader="dot" w:pos="9016"/>
            </w:tabs>
            <w:rPr>
              <w:rFonts w:asciiTheme="minorHAnsi" w:hAnsiTheme="minorHAnsi" w:eastAsiaTheme="minorEastAsia"/>
              <w:noProof/>
              <w:lang w:eastAsia="en-GB"/>
            </w:rPr>
          </w:pPr>
          <w:hyperlink w:history="1" w:anchor="_Toc240899718">
            <w:r w:rsidRPr="00A06F92">
              <w:rPr>
                <w:rStyle w:val="Hyperlink"/>
                <w:rFonts w:cs="Arial"/>
                <w:noProof/>
              </w:rPr>
              <w:t>Cost structure</w:t>
            </w:r>
            <w:r>
              <w:rPr>
                <w:noProof/>
                <w:webHidden/>
              </w:rPr>
              <w:tab/>
            </w:r>
            <w:r>
              <w:rPr>
                <w:noProof/>
                <w:webHidden/>
              </w:rPr>
              <w:fldChar w:fldCharType="begin"/>
            </w:r>
            <w:r>
              <w:rPr>
                <w:noProof/>
                <w:webHidden/>
              </w:rPr>
              <w:instrText xml:space="preserve"> PAGEREF _Toc240899718 \h </w:instrText>
            </w:r>
            <w:r>
              <w:rPr>
                <w:noProof/>
                <w:webHidden/>
              </w:rPr>
            </w:r>
            <w:r>
              <w:rPr>
                <w:noProof/>
                <w:webHidden/>
              </w:rPr>
              <w:fldChar w:fldCharType="separate"/>
            </w:r>
            <w:r>
              <w:rPr>
                <w:noProof/>
                <w:webHidden/>
              </w:rPr>
              <w:t>4</w:t>
            </w:r>
            <w:r>
              <w:rPr>
                <w:noProof/>
                <w:webHidden/>
              </w:rPr>
              <w:fldChar w:fldCharType="end"/>
            </w:r>
          </w:hyperlink>
        </w:p>
        <w:p w:rsidR="006A017F" w:rsidRDefault="006A017F" w14:paraId="232C7B62" w14:textId="7D462AD5">
          <w:pPr>
            <w:pStyle w:val="TOC1"/>
            <w:tabs>
              <w:tab w:val="right" w:leader="dot" w:pos="9016"/>
            </w:tabs>
            <w:rPr>
              <w:rFonts w:asciiTheme="minorHAnsi" w:hAnsiTheme="minorHAnsi" w:eastAsiaTheme="minorEastAsia"/>
              <w:noProof/>
              <w:lang w:eastAsia="en-GB"/>
            </w:rPr>
          </w:pPr>
          <w:hyperlink w:history="1" w:anchor="_Toc240899719">
            <w:r w:rsidRPr="00A06F92">
              <w:rPr>
                <w:rStyle w:val="Hyperlink"/>
                <w:rFonts w:cs="Arial"/>
                <w:noProof/>
                <w:lang w:bidi="bn-IN"/>
              </w:rPr>
              <w:t>3. Budgeting and Financial Planning</w:t>
            </w:r>
            <w:r>
              <w:rPr>
                <w:noProof/>
                <w:webHidden/>
              </w:rPr>
              <w:tab/>
            </w:r>
            <w:r>
              <w:rPr>
                <w:noProof/>
                <w:webHidden/>
              </w:rPr>
              <w:fldChar w:fldCharType="begin"/>
            </w:r>
            <w:r>
              <w:rPr>
                <w:noProof/>
                <w:webHidden/>
              </w:rPr>
              <w:instrText xml:space="preserve"> PAGEREF _Toc240899719 \h </w:instrText>
            </w:r>
            <w:r>
              <w:rPr>
                <w:noProof/>
                <w:webHidden/>
              </w:rPr>
            </w:r>
            <w:r>
              <w:rPr>
                <w:noProof/>
                <w:webHidden/>
              </w:rPr>
              <w:fldChar w:fldCharType="separate"/>
            </w:r>
            <w:r>
              <w:rPr>
                <w:noProof/>
                <w:webHidden/>
              </w:rPr>
              <w:t>5</w:t>
            </w:r>
            <w:r>
              <w:rPr>
                <w:noProof/>
                <w:webHidden/>
              </w:rPr>
              <w:fldChar w:fldCharType="end"/>
            </w:r>
          </w:hyperlink>
        </w:p>
        <w:p w:rsidR="006A017F" w:rsidRDefault="006A017F" w14:paraId="7C861466" w14:textId="23CE861F">
          <w:pPr>
            <w:pStyle w:val="TOC1"/>
            <w:tabs>
              <w:tab w:val="right" w:leader="dot" w:pos="9016"/>
            </w:tabs>
            <w:rPr>
              <w:rFonts w:asciiTheme="minorHAnsi" w:hAnsiTheme="minorHAnsi" w:eastAsiaTheme="minorEastAsia"/>
              <w:noProof/>
              <w:lang w:eastAsia="en-GB"/>
            </w:rPr>
          </w:pPr>
          <w:hyperlink w:history="1" w:anchor="_Toc240899720">
            <w:r w:rsidRPr="00A06F92">
              <w:rPr>
                <w:rStyle w:val="Hyperlink"/>
                <w:rFonts w:cs="Arial"/>
                <w:noProof/>
                <w:lang w:bidi="bn-IN"/>
              </w:rPr>
              <w:t>4. Performance Measurement and Decision-Making</w:t>
            </w:r>
            <w:r>
              <w:rPr>
                <w:noProof/>
                <w:webHidden/>
              </w:rPr>
              <w:tab/>
            </w:r>
            <w:r>
              <w:rPr>
                <w:noProof/>
                <w:webHidden/>
              </w:rPr>
              <w:fldChar w:fldCharType="begin"/>
            </w:r>
            <w:r>
              <w:rPr>
                <w:noProof/>
                <w:webHidden/>
              </w:rPr>
              <w:instrText xml:space="preserve"> PAGEREF _Toc240899720 \h </w:instrText>
            </w:r>
            <w:r>
              <w:rPr>
                <w:noProof/>
                <w:webHidden/>
              </w:rPr>
            </w:r>
            <w:r>
              <w:rPr>
                <w:noProof/>
                <w:webHidden/>
              </w:rPr>
              <w:fldChar w:fldCharType="separate"/>
            </w:r>
            <w:r>
              <w:rPr>
                <w:noProof/>
                <w:webHidden/>
              </w:rPr>
              <w:t>6</w:t>
            </w:r>
            <w:r>
              <w:rPr>
                <w:noProof/>
                <w:webHidden/>
              </w:rPr>
              <w:fldChar w:fldCharType="end"/>
            </w:r>
          </w:hyperlink>
        </w:p>
        <w:p w:rsidR="006A017F" w:rsidRDefault="006A017F" w14:paraId="3EC976EE" w14:textId="14AC660D">
          <w:pPr>
            <w:pStyle w:val="TOC1"/>
            <w:tabs>
              <w:tab w:val="right" w:leader="dot" w:pos="9016"/>
            </w:tabs>
            <w:rPr>
              <w:rFonts w:asciiTheme="minorHAnsi" w:hAnsiTheme="minorHAnsi" w:eastAsiaTheme="minorEastAsia"/>
              <w:noProof/>
              <w:lang w:eastAsia="en-GB"/>
            </w:rPr>
          </w:pPr>
          <w:hyperlink w:history="1" w:anchor="_Toc240899721">
            <w:r w:rsidRPr="00A06F92">
              <w:rPr>
                <w:rStyle w:val="Hyperlink"/>
                <w:rFonts w:cs="Arial"/>
                <w:noProof/>
                <w:lang w:bidi="bn-IN"/>
              </w:rPr>
              <w:t>5. Sustainability and Ethical Considerations</w:t>
            </w:r>
            <w:r>
              <w:rPr>
                <w:noProof/>
                <w:webHidden/>
              </w:rPr>
              <w:tab/>
            </w:r>
            <w:r>
              <w:rPr>
                <w:noProof/>
                <w:webHidden/>
              </w:rPr>
              <w:fldChar w:fldCharType="begin"/>
            </w:r>
            <w:r>
              <w:rPr>
                <w:noProof/>
                <w:webHidden/>
              </w:rPr>
              <w:instrText xml:space="preserve"> PAGEREF _Toc240899721 \h </w:instrText>
            </w:r>
            <w:r>
              <w:rPr>
                <w:noProof/>
                <w:webHidden/>
              </w:rPr>
            </w:r>
            <w:r>
              <w:rPr>
                <w:noProof/>
                <w:webHidden/>
              </w:rPr>
              <w:fldChar w:fldCharType="separate"/>
            </w:r>
            <w:r>
              <w:rPr>
                <w:noProof/>
                <w:webHidden/>
              </w:rPr>
              <w:t>7</w:t>
            </w:r>
            <w:r>
              <w:rPr>
                <w:noProof/>
                <w:webHidden/>
              </w:rPr>
              <w:fldChar w:fldCharType="end"/>
            </w:r>
          </w:hyperlink>
        </w:p>
        <w:p w:rsidR="006A017F" w:rsidRDefault="006A017F" w14:paraId="51E45543" w14:textId="3775C88E">
          <w:pPr>
            <w:pStyle w:val="TOC1"/>
            <w:tabs>
              <w:tab w:val="right" w:leader="dot" w:pos="9016"/>
            </w:tabs>
            <w:rPr>
              <w:rFonts w:asciiTheme="minorHAnsi" w:hAnsiTheme="minorHAnsi" w:eastAsiaTheme="minorEastAsia"/>
              <w:noProof/>
              <w:lang w:eastAsia="en-GB"/>
            </w:rPr>
          </w:pPr>
          <w:hyperlink w:history="1" w:anchor="_Toc240899722">
            <w:r w:rsidRPr="00A06F92">
              <w:rPr>
                <w:rStyle w:val="Hyperlink"/>
                <w:rFonts w:cs="Arial"/>
                <w:noProof/>
                <w:lang w:bidi="bn-IN"/>
              </w:rPr>
              <w:t>6. Conclusion and Recommendations</w:t>
            </w:r>
            <w:r>
              <w:rPr>
                <w:noProof/>
                <w:webHidden/>
              </w:rPr>
              <w:tab/>
            </w:r>
            <w:r>
              <w:rPr>
                <w:noProof/>
                <w:webHidden/>
              </w:rPr>
              <w:fldChar w:fldCharType="begin"/>
            </w:r>
            <w:r>
              <w:rPr>
                <w:noProof/>
                <w:webHidden/>
              </w:rPr>
              <w:instrText xml:space="preserve"> PAGEREF _Toc240899722 \h </w:instrText>
            </w:r>
            <w:r>
              <w:rPr>
                <w:noProof/>
                <w:webHidden/>
              </w:rPr>
            </w:r>
            <w:r>
              <w:rPr>
                <w:noProof/>
                <w:webHidden/>
              </w:rPr>
              <w:fldChar w:fldCharType="separate"/>
            </w:r>
            <w:r>
              <w:rPr>
                <w:noProof/>
                <w:webHidden/>
              </w:rPr>
              <w:t>8</w:t>
            </w:r>
            <w:r>
              <w:rPr>
                <w:noProof/>
                <w:webHidden/>
              </w:rPr>
              <w:fldChar w:fldCharType="end"/>
            </w:r>
          </w:hyperlink>
        </w:p>
        <w:p w:rsidR="006A017F" w:rsidRDefault="006A017F" w14:paraId="3FA7CC26" w14:textId="3F09D217">
          <w:pPr>
            <w:pStyle w:val="TOC2"/>
            <w:tabs>
              <w:tab w:val="right" w:leader="dot" w:pos="9016"/>
            </w:tabs>
            <w:rPr>
              <w:rFonts w:asciiTheme="minorHAnsi" w:hAnsiTheme="minorHAnsi" w:eastAsiaTheme="minorEastAsia"/>
              <w:noProof/>
              <w:lang w:eastAsia="en-GB"/>
            </w:rPr>
          </w:pPr>
          <w:hyperlink w:history="1" w:anchor="_Toc240899723">
            <w:r w:rsidRPr="00A06F92">
              <w:rPr>
                <w:rStyle w:val="Hyperlink"/>
                <w:rFonts w:cs="Arial"/>
                <w:noProof/>
                <w:lang w:bidi="bn-IN"/>
              </w:rPr>
              <w:t>Recommendations</w:t>
            </w:r>
            <w:r>
              <w:rPr>
                <w:noProof/>
                <w:webHidden/>
              </w:rPr>
              <w:tab/>
            </w:r>
            <w:r>
              <w:rPr>
                <w:noProof/>
                <w:webHidden/>
              </w:rPr>
              <w:fldChar w:fldCharType="begin"/>
            </w:r>
            <w:r>
              <w:rPr>
                <w:noProof/>
                <w:webHidden/>
              </w:rPr>
              <w:instrText xml:space="preserve"> PAGEREF _Toc240899723 \h </w:instrText>
            </w:r>
            <w:r>
              <w:rPr>
                <w:noProof/>
                <w:webHidden/>
              </w:rPr>
            </w:r>
            <w:r>
              <w:rPr>
                <w:noProof/>
                <w:webHidden/>
              </w:rPr>
              <w:fldChar w:fldCharType="separate"/>
            </w:r>
            <w:r>
              <w:rPr>
                <w:noProof/>
                <w:webHidden/>
              </w:rPr>
              <w:t>9</w:t>
            </w:r>
            <w:r>
              <w:rPr>
                <w:noProof/>
                <w:webHidden/>
              </w:rPr>
              <w:fldChar w:fldCharType="end"/>
            </w:r>
          </w:hyperlink>
        </w:p>
        <w:p w:rsidR="006A017F" w:rsidRDefault="006A017F" w14:paraId="234F9B5C" w14:textId="4702399B">
          <w:pPr>
            <w:pStyle w:val="TOC1"/>
            <w:tabs>
              <w:tab w:val="right" w:leader="dot" w:pos="9016"/>
            </w:tabs>
            <w:rPr>
              <w:rFonts w:asciiTheme="minorHAnsi" w:hAnsiTheme="minorHAnsi" w:eastAsiaTheme="minorEastAsia"/>
              <w:noProof/>
              <w:lang w:eastAsia="en-GB"/>
            </w:rPr>
          </w:pPr>
          <w:hyperlink w:history="1" w:anchor="_Toc240899724">
            <w:r w:rsidRPr="00A06F92">
              <w:rPr>
                <w:rStyle w:val="Hyperlink"/>
                <w:rFonts w:cs="Arial"/>
                <w:noProof/>
                <w:lang w:bidi="bn-IN"/>
              </w:rPr>
              <w:t>Reference List</w:t>
            </w:r>
            <w:r>
              <w:rPr>
                <w:noProof/>
                <w:webHidden/>
              </w:rPr>
              <w:tab/>
            </w:r>
            <w:r>
              <w:rPr>
                <w:noProof/>
                <w:webHidden/>
              </w:rPr>
              <w:fldChar w:fldCharType="begin"/>
            </w:r>
            <w:r>
              <w:rPr>
                <w:noProof/>
                <w:webHidden/>
              </w:rPr>
              <w:instrText xml:space="preserve"> PAGEREF _Toc240899724 \h </w:instrText>
            </w:r>
            <w:r>
              <w:rPr>
                <w:noProof/>
                <w:webHidden/>
              </w:rPr>
            </w:r>
            <w:r>
              <w:rPr>
                <w:noProof/>
                <w:webHidden/>
              </w:rPr>
              <w:fldChar w:fldCharType="separate"/>
            </w:r>
            <w:r>
              <w:rPr>
                <w:noProof/>
                <w:webHidden/>
              </w:rPr>
              <w:t>10</w:t>
            </w:r>
            <w:r>
              <w:rPr>
                <w:noProof/>
                <w:webHidden/>
              </w:rPr>
              <w:fldChar w:fldCharType="end"/>
            </w:r>
          </w:hyperlink>
        </w:p>
        <w:p w:rsidRPr="00305810" w:rsidR="00072C86" w:rsidP="00305810" w:rsidRDefault="00072C86" w14:paraId="2DFC9046" w14:textId="4007CBD3">
          <w:pPr>
            <w:spacing w:after="0"/>
            <w:rPr>
              <w:rFonts w:cs="Arial"/>
            </w:rPr>
          </w:pPr>
          <w:r w:rsidRPr="00305810">
            <w:rPr>
              <w:rFonts w:cs="Arial"/>
              <w:b/>
              <w:bCs/>
              <w:noProof/>
            </w:rPr>
            <w:fldChar w:fldCharType="end"/>
          </w:r>
        </w:p>
      </w:sdtContent>
    </w:sdt>
    <w:p w:rsidRPr="00305810" w:rsidR="005D1860" w:rsidP="00305810" w:rsidRDefault="005D1860" w14:paraId="22D035D1" w14:textId="77777777">
      <w:pPr>
        <w:spacing w:after="0"/>
        <w:rPr>
          <w:rFonts w:cs="Arial" w:eastAsiaTheme="majorEastAsia"/>
          <w:b/>
          <w:lang w:bidi="bn-IN"/>
        </w:rPr>
      </w:pPr>
      <w:r w:rsidRPr="00305810">
        <w:rPr>
          <w:rFonts w:cs="Arial"/>
        </w:rPr>
        <w:br w:type="page"/>
      </w:r>
    </w:p>
    <w:p w:rsidRPr="00305810" w:rsidR="000F6C1F" w:rsidP="00305810" w:rsidRDefault="000F6C1F" w14:paraId="4413D824" w14:textId="5961CA99">
      <w:pPr>
        <w:pStyle w:val="Heading1"/>
        <w:spacing w:before="0" w:after="0"/>
        <w:rPr>
          <w:rFonts w:cs="Arial"/>
          <w:szCs w:val="24"/>
        </w:rPr>
      </w:pPr>
      <w:bookmarkStart w:name="_Toc240899715" w:id="0"/>
      <w:r w:rsidRPr="00305810">
        <w:rPr>
          <w:rFonts w:cs="Arial"/>
          <w:szCs w:val="24"/>
        </w:rPr>
        <w:lastRenderedPageBreak/>
        <w:t>1. Introduction</w:t>
      </w:r>
      <w:bookmarkEnd w:id="0"/>
    </w:p>
    <w:p w:rsidRPr="00305810" w:rsidR="006070C6" w:rsidP="00305810" w:rsidRDefault="00A607F1" w14:paraId="2AB7CB0D" w14:textId="7C77D9B8">
      <w:pPr>
        <w:spacing w:after="0"/>
        <w:rPr>
          <w:rFonts w:cs="Arial"/>
          <w:lang w:val="en-IN" w:bidi="bn-IN"/>
        </w:rPr>
      </w:pPr>
      <w:r w:rsidRPr="00305810">
        <w:rPr>
          <w:rFonts w:cs="Arial"/>
          <w:lang w:val="en-IN" w:bidi="bn-IN"/>
        </w:rPr>
        <w:t>Tesla, Inc</w:t>
      </w:r>
      <w:r w:rsidRPr="00305810" w:rsidR="0072437B">
        <w:rPr>
          <w:rFonts w:cs="Arial"/>
          <w:lang w:val="en-IN" w:bidi="bn-IN"/>
        </w:rPr>
        <w:t xml:space="preserve">. is considered to be one of the most demanding US-listed automobile and clean energy companies. Operates mainly in energy generation, Storage electric vehicles EVs and related services. The most significant product line of the company includes Energy storage systems, associated software, charging infrastructure and electric cars. </w:t>
      </w:r>
    </w:p>
    <w:p w:rsidRPr="00305810" w:rsidR="0072437B" w:rsidP="00305810" w:rsidRDefault="0072437B" w14:paraId="72DECF0E" w14:textId="7C570EA7">
      <w:pPr>
        <w:spacing w:after="0"/>
        <w:rPr>
          <w:rFonts w:cs="Arial"/>
          <w:lang w:val="en-IN" w:bidi="bn-IN"/>
        </w:rPr>
      </w:pPr>
      <w:r w:rsidRPr="00305810">
        <w:rPr>
          <w:rFonts w:cs="Arial"/>
          <w:lang w:val="en-IN" w:bidi="bn-IN"/>
        </w:rPr>
        <w:t>Management accounting is regarded as one of the most significant aspects of Tesla because of its large-scale research and development, capital investment, pricing, production capacity and cost control decisions that include Substantial financial commitments</w:t>
      </w:r>
      <w:r w:rsidRPr="00305810" w:rsidR="00776B94">
        <w:rPr>
          <w:rFonts w:cs="Arial"/>
          <w:lang w:val="en-IN" w:bidi="bn-IN"/>
        </w:rPr>
        <w:t xml:space="preserve"> (</w:t>
      </w:r>
      <w:r w:rsidRPr="00305810" w:rsidR="00776B94">
        <w:rPr>
          <w:rFonts w:cs="Arial"/>
        </w:rPr>
        <w:t>Atrill and McLaney, 2021</w:t>
      </w:r>
      <w:r w:rsidRPr="00305810" w:rsidR="00776B94">
        <w:rPr>
          <w:rFonts w:cs="Arial"/>
          <w:lang w:val="en-IN" w:bidi="bn-IN"/>
        </w:rPr>
        <w:t>)</w:t>
      </w:r>
      <w:r w:rsidRPr="00305810">
        <w:rPr>
          <w:rFonts w:cs="Arial"/>
          <w:lang w:val="en-IN" w:bidi="bn-IN"/>
        </w:rPr>
        <w:t xml:space="preserve">. Tesla generated Total revenue of $94.827 billion in 2025, which is down from $97.690 billion in 2024. Even though automotive remained one of the largest revenue </w:t>
      </w:r>
      <w:r w:rsidR="005154E8">
        <w:rPr>
          <w:rFonts w:cs="Arial"/>
          <w:lang w:val="en-IN" w:bidi="bn-IN"/>
        </w:rPr>
        <w:t>sources and</w:t>
      </w:r>
      <w:r w:rsidRPr="00305810">
        <w:rPr>
          <w:rFonts w:cs="Arial"/>
          <w:lang w:val="en-IN" w:bidi="bn-IN"/>
        </w:rPr>
        <w:t xml:space="preserve"> energy generation and storage continue to expand, Tesla still </w:t>
      </w:r>
      <w:r w:rsidRPr="00305810" w:rsidR="00E6009C">
        <w:rPr>
          <w:rFonts w:cs="Arial"/>
          <w:lang w:val="en-IN" w:bidi="bn-IN"/>
        </w:rPr>
        <w:t>faces</w:t>
      </w:r>
      <w:r w:rsidRPr="00305810">
        <w:rPr>
          <w:rFonts w:cs="Arial"/>
          <w:lang w:val="en-IN" w:bidi="bn-IN"/>
        </w:rPr>
        <w:t xml:space="preserve"> this downfall.</w:t>
      </w:r>
      <w:r w:rsidRPr="00305810" w:rsidR="004D3E1A">
        <w:rPr>
          <w:rFonts w:cs="Arial"/>
          <w:lang w:val="en-IN" w:bidi="bn-IN"/>
        </w:rPr>
        <w:t xml:space="preserve"> Management accounting can be considered significant as it provides relevant financial as well as non-financial information for performance evaluation</w:t>
      </w:r>
      <w:r w:rsidRPr="00305810" w:rsidR="002C64F2">
        <w:rPr>
          <w:rFonts w:cs="Arial"/>
          <w:lang w:val="en-IN" w:bidi="bn-IN"/>
        </w:rPr>
        <w:t>,</w:t>
      </w:r>
      <w:r w:rsidRPr="00305810" w:rsidR="004D3E1A">
        <w:rPr>
          <w:rFonts w:cs="Arial"/>
          <w:lang w:val="en-IN" w:bidi="bn-IN"/>
        </w:rPr>
        <w:t xml:space="preserve"> resource allocation</w:t>
      </w:r>
      <w:r w:rsidRPr="00305810" w:rsidR="006C0F97">
        <w:rPr>
          <w:rFonts w:cs="Arial"/>
          <w:lang w:val="en-IN" w:bidi="bn-IN"/>
        </w:rPr>
        <w:t>,</w:t>
      </w:r>
      <w:r w:rsidRPr="00305810" w:rsidR="004D3E1A">
        <w:rPr>
          <w:rFonts w:cs="Arial"/>
          <w:lang w:val="en-IN" w:bidi="bn-IN"/>
        </w:rPr>
        <w:t xml:space="preserve"> cost control and overall planning (Drury and Taylor, 2021). </w:t>
      </w:r>
      <w:r w:rsidRPr="00305810" w:rsidR="006C0F97">
        <w:rPr>
          <w:rFonts w:cs="Arial"/>
          <w:lang w:val="en-IN" w:bidi="bn-IN"/>
        </w:rPr>
        <w:t xml:space="preserve">It is a bit different from </w:t>
      </w:r>
      <w:r w:rsidRPr="00305810" w:rsidR="00F95556">
        <w:rPr>
          <w:rFonts w:cs="Arial"/>
          <w:lang w:val="en-IN" w:bidi="bn-IN"/>
        </w:rPr>
        <w:t>f</w:t>
      </w:r>
      <w:r w:rsidRPr="00305810" w:rsidR="006C0F97">
        <w:rPr>
          <w:rFonts w:cs="Arial"/>
          <w:lang w:val="en-IN" w:bidi="bn-IN"/>
        </w:rPr>
        <w:t xml:space="preserve">inancial accounting as it supports </w:t>
      </w:r>
      <w:r w:rsidRPr="00305810" w:rsidR="00E6009C">
        <w:rPr>
          <w:rFonts w:cs="Arial"/>
          <w:lang w:val="en-IN" w:bidi="bn-IN"/>
        </w:rPr>
        <w:t>forward-looking</w:t>
      </w:r>
      <w:r w:rsidRPr="00305810" w:rsidR="006C0F97">
        <w:rPr>
          <w:rFonts w:cs="Arial"/>
          <w:lang w:val="en-IN" w:bidi="bn-IN"/>
        </w:rPr>
        <w:t xml:space="preserve"> decisions. According to Datar and Rajan (2021), it is significant for relevant cost information when assessing any investment decisions or strategic alternatives.</w:t>
      </w:r>
    </w:p>
    <w:p w:rsidRPr="00305810" w:rsidR="000F6C1F" w:rsidP="00305810" w:rsidRDefault="000F6C1F" w14:paraId="625BE3BD" w14:textId="204C9876">
      <w:pPr>
        <w:pStyle w:val="Heading1"/>
        <w:spacing w:before="0" w:after="0"/>
        <w:rPr>
          <w:rFonts w:cs="Arial"/>
          <w:szCs w:val="24"/>
        </w:rPr>
      </w:pPr>
      <w:bookmarkStart w:name="_Toc240899716" w:id="1"/>
      <w:r w:rsidRPr="00305810">
        <w:rPr>
          <w:rFonts w:cs="Arial"/>
          <w:szCs w:val="24"/>
        </w:rPr>
        <w:t>2. Cost Analysis and Business Model</w:t>
      </w:r>
      <w:bookmarkEnd w:id="1"/>
      <w:r w:rsidRPr="00305810">
        <w:rPr>
          <w:rFonts w:cs="Arial"/>
          <w:szCs w:val="24"/>
        </w:rPr>
        <w:t xml:space="preserve"> </w:t>
      </w:r>
    </w:p>
    <w:p w:rsidRPr="00305810" w:rsidR="000F6C1F" w:rsidP="00305810" w:rsidRDefault="000F6C1F" w14:paraId="7A3CA2F9" w14:textId="77777777">
      <w:pPr>
        <w:pStyle w:val="Heading2"/>
        <w:spacing w:after="0"/>
        <w:rPr>
          <w:rFonts w:cs="Arial"/>
        </w:rPr>
      </w:pPr>
      <w:bookmarkStart w:name="_Toc240899717" w:id="2"/>
      <w:r w:rsidRPr="00305810">
        <w:rPr>
          <w:rFonts w:cs="Arial"/>
        </w:rPr>
        <w:t>Revenue model</w:t>
      </w:r>
      <w:bookmarkEnd w:id="2"/>
    </w:p>
    <w:p w:rsidRPr="00305810" w:rsidR="00127E1F" w:rsidP="00305810" w:rsidRDefault="00127E1F" w14:paraId="38BD24E8" w14:textId="1BC66C6F">
      <w:pPr>
        <w:spacing w:after="0"/>
        <w:rPr>
          <w:rFonts w:cs="Arial"/>
          <w:lang w:eastAsia="ja-JP"/>
        </w:rPr>
      </w:pPr>
      <w:r w:rsidRPr="00305810">
        <w:rPr>
          <w:rFonts w:cs="Arial"/>
          <w:lang w:eastAsia="ja-JP"/>
        </w:rPr>
        <w:t xml:space="preserve">The revenue model of Tesla is diversified; however, it still remains heavily connected to </w:t>
      </w:r>
      <w:r w:rsidRPr="00305810" w:rsidR="00E6009C">
        <w:rPr>
          <w:rFonts w:cs="Arial"/>
          <w:lang w:eastAsia="ja-JP"/>
        </w:rPr>
        <w:t>its</w:t>
      </w:r>
      <w:r w:rsidRPr="00305810">
        <w:rPr>
          <w:rFonts w:cs="Arial"/>
          <w:lang w:eastAsia="ja-JP"/>
        </w:rPr>
        <w:t xml:space="preserve"> automotive operations. In 2025, automotive sales were $65.821 billion</w:t>
      </w:r>
      <w:r w:rsidRPr="00305810" w:rsidR="008E63C1">
        <w:rPr>
          <w:rFonts w:cs="Arial"/>
          <w:lang w:eastAsia="ja-JP"/>
        </w:rPr>
        <w:t>,</w:t>
      </w:r>
      <w:r w:rsidRPr="00305810">
        <w:rPr>
          <w:rFonts w:cs="Arial"/>
          <w:lang w:eastAsia="ja-JP"/>
        </w:rPr>
        <w:t xml:space="preserve"> while </w:t>
      </w:r>
      <w:r w:rsidRPr="00305810" w:rsidR="00E6009C">
        <w:rPr>
          <w:rFonts w:cs="Arial"/>
          <w:lang w:eastAsia="ja-JP"/>
        </w:rPr>
        <w:t>automated driving</w:t>
      </w:r>
      <w:r w:rsidRPr="00305810">
        <w:rPr>
          <w:rFonts w:cs="Arial"/>
          <w:lang w:eastAsia="ja-JP"/>
        </w:rPr>
        <w:t xml:space="preserve"> credits became $1.193 billion and automotive leasing generated $1.712 billion.</w:t>
      </w:r>
      <w:r w:rsidRPr="00305810" w:rsidR="008E63C1">
        <w:rPr>
          <w:rFonts w:cs="Arial"/>
          <w:lang w:eastAsia="ja-JP"/>
        </w:rPr>
        <w:t xml:space="preserve"> Services and other services, on the other hand, generated $12.530 billion, while energy generation and storage generated $12.771 billion</w:t>
      </w:r>
      <w:r w:rsidR="005154E8">
        <w:rPr>
          <w:rFonts w:cs="Arial"/>
          <w:lang w:eastAsia="ja-JP"/>
        </w:rPr>
        <w:t xml:space="preserve"> </w:t>
      </w:r>
      <w:r w:rsidR="006944E4">
        <w:rPr>
          <w:rFonts w:cs="Arial"/>
          <w:lang w:eastAsia="ja-JP"/>
        </w:rPr>
        <w:t>(</w:t>
      </w:r>
      <w:r w:rsidRPr="005154E8" w:rsidR="006944E4">
        <w:rPr>
          <w:rFonts w:cs="Arial"/>
        </w:rPr>
        <w:t>Tesla, Inc.</w:t>
      </w:r>
      <w:r w:rsidR="006944E4">
        <w:rPr>
          <w:rFonts w:cs="Arial"/>
        </w:rPr>
        <w:t>,</w:t>
      </w:r>
      <w:r w:rsidRPr="005154E8" w:rsidR="006944E4">
        <w:rPr>
          <w:rFonts w:cs="Arial"/>
        </w:rPr>
        <w:t xml:space="preserve"> 2026)</w:t>
      </w:r>
      <w:r w:rsidRPr="00305810" w:rsidR="008E63C1">
        <w:rPr>
          <w:rFonts w:cs="Arial"/>
          <w:lang w:eastAsia="ja-JP"/>
        </w:rPr>
        <w:t xml:space="preserve">. </w:t>
      </w:r>
    </w:p>
    <w:p w:rsidRPr="00305810" w:rsidR="008E63C1" w:rsidP="00305810" w:rsidRDefault="008E63C1" w14:paraId="7D1C06E1" w14:textId="59CDD34A">
      <w:pPr>
        <w:spacing w:after="0"/>
        <w:rPr>
          <w:rFonts w:cs="Arial"/>
          <w:lang w:eastAsia="ja-JP"/>
        </w:rPr>
      </w:pPr>
      <w:r w:rsidRPr="00305810">
        <w:rPr>
          <w:rFonts w:cs="Arial"/>
          <w:lang w:eastAsia="ja-JP"/>
        </w:rPr>
        <w:t xml:space="preserve">This diversification is </w:t>
      </w:r>
      <w:r w:rsidR="006944E4">
        <w:rPr>
          <w:rFonts w:cs="Arial"/>
          <w:lang w:eastAsia="ja-JP"/>
        </w:rPr>
        <w:t>strategically important, as management accounting helps Tesla assess the profitability and</w:t>
      </w:r>
      <w:r w:rsidRPr="00305810">
        <w:rPr>
          <w:rFonts w:cs="Arial"/>
          <w:lang w:eastAsia="ja-JP"/>
        </w:rPr>
        <w:t xml:space="preserve"> resource requirements of different activities</w:t>
      </w:r>
      <w:r w:rsidRPr="00305810" w:rsidR="00543636">
        <w:rPr>
          <w:rFonts w:cs="Arial"/>
          <w:lang w:eastAsia="ja-JP"/>
        </w:rPr>
        <w:t xml:space="preserve"> (</w:t>
      </w:r>
      <w:r w:rsidRPr="00305810" w:rsidR="00543636">
        <w:rPr>
          <w:rFonts w:cs="Arial"/>
        </w:rPr>
        <w:t>Nartey and van der Poll, 2021</w:t>
      </w:r>
      <w:r w:rsidRPr="00305810" w:rsidR="00543636">
        <w:rPr>
          <w:rFonts w:cs="Arial"/>
          <w:lang w:eastAsia="ja-JP"/>
        </w:rPr>
        <w:t>)</w:t>
      </w:r>
      <w:r w:rsidRPr="00305810">
        <w:rPr>
          <w:rFonts w:cs="Arial"/>
          <w:lang w:eastAsia="ja-JP"/>
        </w:rPr>
        <w:t xml:space="preserve">. Automotive revenue </w:t>
      </w:r>
      <w:r w:rsidR="006944E4">
        <w:rPr>
          <w:rFonts w:cs="Arial"/>
          <w:lang w:eastAsia="ja-JP"/>
        </w:rPr>
        <w:t xml:space="preserve">remains the largest contributor to the company; however, energy generation and storage growth </w:t>
      </w:r>
      <w:r w:rsidRPr="00305810">
        <w:rPr>
          <w:rFonts w:cs="Arial"/>
          <w:lang w:eastAsia="ja-JP"/>
        </w:rPr>
        <w:t>can also be considered an alternative Revenue Contributor. Energy generation and storage revenue was $12.771 billion in 2025, which is higher than$10.086 billion in 2024.</w:t>
      </w:r>
    </w:p>
    <w:p w:rsidRPr="00305810" w:rsidR="008E63C1" w:rsidP="00305810" w:rsidRDefault="008E63C1" w14:paraId="401CF6B3" w14:textId="158E56AD">
      <w:pPr>
        <w:spacing w:after="0"/>
        <w:rPr>
          <w:rFonts w:cs="Arial"/>
          <w:lang w:eastAsia="ja-JP"/>
        </w:rPr>
      </w:pPr>
      <w:r w:rsidRPr="00305810">
        <w:rPr>
          <w:rFonts w:cs="Arial"/>
          <w:lang w:eastAsia="ja-JP"/>
        </w:rPr>
        <w:lastRenderedPageBreak/>
        <w:t>Management accounting can hence support resource allocation, investment decisions and segment profitability analysis. According to Datar and Rajan (2021), relevant cost information can help managers differentiate the costs that change between alternatives from the costs that might be unavoidable. For Tesla, this can be considered significant for informing decisions regarding product development, manufacturing capacity, and investment in energy storage technologies.</w:t>
      </w:r>
    </w:p>
    <w:p w:rsidRPr="00305810" w:rsidR="000F6C1F" w:rsidP="00305810" w:rsidRDefault="000F6C1F" w14:paraId="417EE780" w14:textId="77777777">
      <w:pPr>
        <w:pStyle w:val="Heading2"/>
        <w:spacing w:after="0"/>
        <w:rPr>
          <w:rFonts w:cs="Arial"/>
        </w:rPr>
      </w:pPr>
      <w:bookmarkStart w:name="_Toc240899718" w:id="3"/>
      <w:r w:rsidRPr="00305810">
        <w:rPr>
          <w:rFonts w:cs="Arial"/>
        </w:rPr>
        <w:t>Cost structure</w:t>
      </w:r>
      <w:bookmarkEnd w:id="3"/>
    </w:p>
    <w:p w:rsidRPr="00305810" w:rsidR="008E63C1" w:rsidP="00305810" w:rsidRDefault="000E0227" w14:paraId="5C3DBDAB" w14:textId="3CD8B907">
      <w:pPr>
        <w:spacing w:after="0"/>
        <w:rPr>
          <w:rFonts w:cs="Arial"/>
          <w:lang w:eastAsia="ja-JP"/>
        </w:rPr>
      </w:pPr>
      <w:r w:rsidRPr="00305810">
        <w:rPr>
          <w:rFonts w:cs="Arial"/>
          <w:lang w:eastAsia="ja-JP"/>
        </w:rPr>
        <w:t>The cost structure of Tesla includes fixed or relatively fixed costs and variable costs. Variable costs can be considered as the cost that mostly changes with production or sales volumes, such as battery components, direct manufacturing inputs, logistics and, most significantly, raw materials. Fixed or committed costs include salaried personnel, technology infrastructure, research and development commitments, depreciation and manufacturing facilities.</w:t>
      </w:r>
    </w:p>
    <w:p w:rsidRPr="00305810" w:rsidR="000E0227" w:rsidP="00305810" w:rsidRDefault="004E22DE" w14:paraId="408097DB" w14:textId="6422195E">
      <w:pPr>
        <w:spacing w:after="0"/>
        <w:rPr>
          <w:rFonts w:cs="Arial"/>
          <w:lang w:eastAsia="ja-JP"/>
        </w:rPr>
      </w:pPr>
      <w:r w:rsidRPr="00305810">
        <w:rPr>
          <w:rFonts w:cs="Arial"/>
          <w:lang w:eastAsia="ja-JP"/>
        </w:rPr>
        <w:t xml:space="preserve">Tesla in the year 2025 reported total cost of revenues </w:t>
      </w:r>
      <w:r w:rsidRPr="00305810" w:rsidR="00963487">
        <w:rPr>
          <w:rFonts w:cs="Arial"/>
          <w:lang w:eastAsia="ja-JP"/>
        </w:rPr>
        <w:t>of</w:t>
      </w:r>
      <w:r w:rsidRPr="00305810">
        <w:rPr>
          <w:rFonts w:cs="Arial"/>
          <w:lang w:eastAsia="ja-JP"/>
        </w:rPr>
        <w:t xml:space="preserve"> $77.733 billion</w:t>
      </w:r>
      <w:r w:rsidRPr="00305810" w:rsidR="00963487">
        <w:rPr>
          <w:rFonts w:cs="Arial"/>
          <w:lang w:eastAsia="ja-JP"/>
        </w:rPr>
        <w:t>,</w:t>
      </w:r>
      <w:r w:rsidRPr="00305810">
        <w:rPr>
          <w:rFonts w:cs="Arial"/>
          <w:lang w:eastAsia="ja-JP"/>
        </w:rPr>
        <w:t xml:space="preserve"> which was lower than the $80.240 billion reported in 2024</w:t>
      </w:r>
      <w:r w:rsidRPr="00305810" w:rsidR="007F5C0B">
        <w:rPr>
          <w:rFonts w:cs="Arial"/>
          <w:lang w:eastAsia="ja-JP"/>
        </w:rPr>
        <w:t xml:space="preserve"> (Tesla, 2026)</w:t>
      </w:r>
      <w:r w:rsidRPr="00305810">
        <w:rPr>
          <w:rFonts w:cs="Arial"/>
          <w:lang w:eastAsia="ja-JP"/>
        </w:rPr>
        <w:t>.</w:t>
      </w:r>
      <w:r w:rsidRPr="00305810" w:rsidR="00C765BB">
        <w:rPr>
          <w:rFonts w:cs="Arial"/>
          <w:lang w:eastAsia="ja-JP"/>
        </w:rPr>
        <w:t xml:space="preserve"> </w:t>
      </w:r>
      <w:r w:rsidRPr="00305810" w:rsidR="00F33288">
        <w:rPr>
          <w:rFonts w:cs="Arial"/>
          <w:lang w:eastAsia="ja-JP"/>
        </w:rPr>
        <w:t xml:space="preserve"> </w:t>
      </w:r>
      <w:r w:rsidR="00C64E06">
        <w:rPr>
          <w:rFonts w:cs="Arial"/>
          <w:lang w:eastAsia="ja-JP"/>
        </w:rPr>
        <w:t>In</w:t>
      </w:r>
      <w:r w:rsidRPr="00305810" w:rsidR="00F33288">
        <w:rPr>
          <w:rFonts w:cs="Arial"/>
          <w:lang w:eastAsia="ja-JP"/>
        </w:rPr>
        <w:t xml:space="preserve"> the same year</w:t>
      </w:r>
      <w:r w:rsidR="00C64E06">
        <w:rPr>
          <w:rFonts w:cs="Arial"/>
          <w:lang w:eastAsia="ja-JP"/>
        </w:rPr>
        <w:t>,</w:t>
      </w:r>
      <w:r w:rsidRPr="00305810" w:rsidR="00F33288">
        <w:rPr>
          <w:rFonts w:cs="Arial"/>
          <w:lang w:eastAsia="ja-JP"/>
        </w:rPr>
        <w:t xml:space="preserve"> automotive costs of revenue also fell from$62.873 billion to almost $57.165 billion. However</w:t>
      </w:r>
      <w:r w:rsidRPr="00305810" w:rsidR="00466DD7">
        <w:rPr>
          <w:rFonts w:cs="Arial"/>
          <w:lang w:eastAsia="ja-JP"/>
        </w:rPr>
        <w:t>,</w:t>
      </w:r>
      <w:r w:rsidRPr="00305810" w:rsidR="00F33288">
        <w:rPr>
          <w:rFonts w:cs="Arial"/>
          <w:lang w:eastAsia="ja-JP"/>
        </w:rPr>
        <w:t xml:space="preserve"> energy generation and storage costs slightly increased from $7.446 billion to $8.969 billion.</w:t>
      </w:r>
    </w:p>
    <w:p w:rsidRPr="00305810" w:rsidR="00F33288" w:rsidP="00305810" w:rsidRDefault="00F33288" w14:paraId="77C1707E" w14:textId="7D6F8455">
      <w:pPr>
        <w:spacing w:after="0"/>
        <w:rPr>
          <w:rFonts w:cs="Arial"/>
          <w:lang w:eastAsia="ja-JP"/>
        </w:rPr>
      </w:pPr>
      <w:r w:rsidRPr="00305810">
        <w:rPr>
          <w:rFonts w:cs="Arial"/>
          <w:lang w:eastAsia="ja-JP"/>
        </w:rPr>
        <w:t xml:space="preserve">This figure can be considered significant for the </w:t>
      </w:r>
      <w:r w:rsidRPr="00305810" w:rsidR="003966BF">
        <w:rPr>
          <w:rFonts w:cs="Arial"/>
          <w:lang w:eastAsia="ja-JP"/>
        </w:rPr>
        <w:t>cost-volume-profit analysis</w:t>
      </w:r>
      <w:r w:rsidRPr="00305810">
        <w:rPr>
          <w:rFonts w:cs="Arial"/>
          <w:lang w:eastAsia="ja-JP"/>
        </w:rPr>
        <w:t xml:space="preserve">. A business that has significant fixed manufacturing as well as technology costs can experience substantial changes in </w:t>
      </w:r>
      <w:r w:rsidRPr="00305810" w:rsidR="003966BF">
        <w:rPr>
          <w:rFonts w:cs="Arial"/>
          <w:lang w:eastAsia="ja-JP"/>
        </w:rPr>
        <w:t>its</w:t>
      </w:r>
      <w:r w:rsidRPr="00305810">
        <w:rPr>
          <w:rFonts w:cs="Arial"/>
          <w:lang w:eastAsia="ja-JP"/>
        </w:rPr>
        <w:t xml:space="preserve"> operating profit depending on </w:t>
      </w:r>
      <w:r w:rsidRPr="00305810" w:rsidR="003966BF">
        <w:rPr>
          <w:rFonts w:cs="Arial"/>
          <w:lang w:eastAsia="ja-JP"/>
        </w:rPr>
        <w:t>changes in selling prices</w:t>
      </w:r>
      <w:r w:rsidRPr="00305810">
        <w:rPr>
          <w:rFonts w:cs="Arial"/>
          <w:lang w:eastAsia="ja-JP"/>
        </w:rPr>
        <w:t xml:space="preserve"> as well as production volume.</w:t>
      </w:r>
    </w:p>
    <w:p w:rsidRPr="00305810" w:rsidR="000F6C1F" w:rsidP="00305810" w:rsidRDefault="000F6C1F" w14:paraId="2BCDB148" w14:textId="27EBF80F">
      <w:pPr>
        <w:spacing w:after="0"/>
        <w:rPr>
          <w:rFonts w:cs="Arial"/>
        </w:rPr>
      </w:pPr>
      <w:r w:rsidRPr="00305810">
        <w:rPr>
          <w:rFonts w:cs="Arial"/>
        </w:rPr>
        <w:t xml:space="preserve">In 2025, Tesla reported total cost of revenues of </w:t>
      </w:r>
      <w:r w:rsidRPr="00305810">
        <w:rPr>
          <w:rFonts w:cs="Arial"/>
          <w:b/>
          <w:bCs/>
        </w:rPr>
        <w:t>$77.733 billion</w:t>
      </w:r>
      <w:r w:rsidRPr="00305810">
        <w:rPr>
          <w:rFonts w:cs="Arial"/>
        </w:rPr>
        <w:t>, compared with $80.240 billion in 2024</w:t>
      </w:r>
      <w:r w:rsidRPr="00305810" w:rsidR="00001A1D">
        <w:rPr>
          <w:rFonts w:cs="Arial"/>
        </w:rPr>
        <w:t xml:space="preserve"> (Tesla, 2026)</w:t>
      </w:r>
      <w:r w:rsidRPr="00305810">
        <w:rPr>
          <w:rFonts w:cs="Arial"/>
        </w:rPr>
        <w:t xml:space="preserve">. Automotive cost of revenues fell from $62.873 billion to $57.165 billion, while energy-generation-and-storage cost increased from $7.446 billion to $8.969 billion. </w:t>
      </w:r>
      <w:r w:rsidRPr="00305810" w:rsidR="00F33288">
        <w:rPr>
          <w:rFonts w:cs="Arial"/>
        </w:rPr>
        <w:t xml:space="preserve">According to Guo (2022), </w:t>
      </w:r>
      <w:r w:rsidRPr="00305810" w:rsidR="003966BF">
        <w:rPr>
          <w:rFonts w:cs="Arial"/>
        </w:rPr>
        <w:t>cost behaviour and cost-volume-profit analysis are crucial tools for management control as well as decision-making.</w:t>
      </w:r>
    </w:p>
    <w:p w:rsidRPr="00305810" w:rsidR="003966BF" w:rsidP="00305810" w:rsidRDefault="003966BF" w14:paraId="2A5D751D" w14:textId="410D2F72">
      <w:pPr>
        <w:spacing w:after="0"/>
        <w:rPr>
          <w:rFonts w:cs="Arial"/>
        </w:rPr>
      </w:pPr>
      <w:r w:rsidRPr="00305810">
        <w:rPr>
          <w:rFonts w:cs="Arial"/>
        </w:rPr>
        <w:t xml:space="preserve">Activity-based costing can also help in the improvement of Tesla's understanding of resource consumption, as traditional volume-based allocation might not always properly or accurately capture the related complexities of different technologies, support activities and products. However, </w:t>
      </w:r>
      <w:r w:rsidRPr="00305810" w:rsidR="00582F15">
        <w:rPr>
          <w:rFonts w:cs="Arial"/>
        </w:rPr>
        <w:t xml:space="preserve">according to Schmidt (2025), </w:t>
      </w:r>
      <w:r w:rsidRPr="00305810">
        <w:rPr>
          <w:rFonts w:cs="Arial"/>
        </w:rPr>
        <w:t xml:space="preserve">ABC can be regarded as complex and costly to implement, which means the value depends mostly </w:t>
      </w:r>
      <w:r w:rsidRPr="00305810">
        <w:rPr>
          <w:rFonts w:cs="Arial"/>
        </w:rPr>
        <w:lastRenderedPageBreak/>
        <w:t>on whether enhanced cost information materially changes all the managerial decisions.</w:t>
      </w:r>
    </w:p>
    <w:p w:rsidRPr="00305810" w:rsidR="000F6C1F" w:rsidP="00305810" w:rsidRDefault="000F6C1F" w14:paraId="7803CF66" w14:textId="199DC67C">
      <w:pPr>
        <w:pStyle w:val="Heading1"/>
        <w:spacing w:before="0" w:after="0"/>
        <w:rPr>
          <w:rFonts w:cs="Arial"/>
          <w:szCs w:val="24"/>
        </w:rPr>
      </w:pPr>
      <w:bookmarkStart w:name="_Toc240899719" w:id="4"/>
      <w:r w:rsidRPr="00305810">
        <w:rPr>
          <w:rFonts w:cs="Arial"/>
          <w:szCs w:val="24"/>
        </w:rPr>
        <w:t>3. Budgeting and Financial Planning</w:t>
      </w:r>
      <w:bookmarkEnd w:id="4"/>
      <w:r w:rsidRPr="00305810">
        <w:rPr>
          <w:rFonts w:cs="Arial"/>
          <w:szCs w:val="24"/>
        </w:rPr>
        <w:t xml:space="preserve"> </w:t>
      </w:r>
    </w:p>
    <w:p w:rsidRPr="00305810" w:rsidR="007E6750" w:rsidP="00305810" w:rsidRDefault="007E6750" w14:paraId="04552278" w14:textId="2C088420">
      <w:pPr>
        <w:spacing w:after="0"/>
        <w:rPr>
          <w:rFonts w:cs="Arial"/>
          <w:lang w:bidi="bn-IN"/>
        </w:rPr>
      </w:pPr>
      <w:r w:rsidRPr="00305810">
        <w:rPr>
          <w:rFonts w:cs="Arial"/>
          <w:lang w:bidi="bn-IN"/>
        </w:rPr>
        <w:t xml:space="preserve">One of the most </w:t>
      </w:r>
      <w:r w:rsidRPr="00305810" w:rsidR="008D3661">
        <w:rPr>
          <w:rFonts w:cs="Arial"/>
          <w:lang w:bidi="bn-IN"/>
        </w:rPr>
        <w:t>significant</w:t>
      </w:r>
      <w:r w:rsidRPr="00305810">
        <w:rPr>
          <w:rFonts w:cs="Arial"/>
          <w:lang w:bidi="bn-IN"/>
        </w:rPr>
        <w:t xml:space="preserve"> accounting processes that helps in converting all the strategic objectives into </w:t>
      </w:r>
      <w:r w:rsidRPr="00305810" w:rsidR="008D3661">
        <w:rPr>
          <w:rFonts w:cs="Arial"/>
          <w:lang w:bidi="bn-IN"/>
        </w:rPr>
        <w:t>planned</w:t>
      </w:r>
      <w:r w:rsidRPr="00305810">
        <w:rPr>
          <w:rFonts w:cs="Arial"/>
          <w:lang w:bidi="bn-IN"/>
        </w:rPr>
        <w:t xml:space="preserve"> revenues</w:t>
      </w:r>
      <w:r w:rsidRPr="00305810" w:rsidR="008D3661">
        <w:rPr>
          <w:rFonts w:cs="Arial"/>
          <w:lang w:bidi="bn-IN"/>
        </w:rPr>
        <w:t>,</w:t>
      </w:r>
      <w:r w:rsidRPr="00305810">
        <w:rPr>
          <w:rFonts w:cs="Arial"/>
          <w:lang w:bidi="bn-IN"/>
        </w:rPr>
        <w:t xml:space="preserve"> investments</w:t>
      </w:r>
      <w:r w:rsidRPr="00305810" w:rsidR="008D3661">
        <w:rPr>
          <w:rFonts w:cs="Arial"/>
          <w:lang w:bidi="bn-IN"/>
        </w:rPr>
        <w:t>,</w:t>
      </w:r>
      <w:r w:rsidRPr="00305810">
        <w:rPr>
          <w:rFonts w:cs="Arial"/>
          <w:lang w:bidi="bn-IN"/>
        </w:rPr>
        <w:t xml:space="preserve"> resource requirements and costs. It mostly supports coordination</w:t>
      </w:r>
      <w:r w:rsidRPr="00305810" w:rsidR="00685286">
        <w:rPr>
          <w:rFonts w:cs="Arial"/>
          <w:lang w:bidi="bn-IN"/>
        </w:rPr>
        <w:t>,</w:t>
      </w:r>
      <w:r w:rsidRPr="00305810">
        <w:rPr>
          <w:rFonts w:cs="Arial"/>
          <w:lang w:bidi="bn-IN"/>
        </w:rPr>
        <w:t xml:space="preserve"> performance evaluation and resource allocation</w:t>
      </w:r>
      <w:r w:rsidRPr="00305810" w:rsidR="00685286">
        <w:rPr>
          <w:rFonts w:cs="Arial"/>
          <w:lang w:bidi="bn-IN"/>
        </w:rPr>
        <w:t>;</w:t>
      </w:r>
      <w:r w:rsidRPr="00305810">
        <w:rPr>
          <w:rFonts w:cs="Arial"/>
          <w:lang w:bidi="bn-IN"/>
        </w:rPr>
        <w:t xml:space="preserve"> however</w:t>
      </w:r>
      <w:r w:rsidRPr="00305810" w:rsidR="00685286">
        <w:rPr>
          <w:rFonts w:cs="Arial"/>
          <w:lang w:bidi="bn-IN"/>
        </w:rPr>
        <w:t>,</w:t>
      </w:r>
      <w:r w:rsidRPr="00305810">
        <w:rPr>
          <w:rFonts w:cs="Arial"/>
          <w:lang w:bidi="bn-IN"/>
        </w:rPr>
        <w:t xml:space="preserve"> traditional annual budgets can be less responsive </w:t>
      </w:r>
      <w:r w:rsidRPr="00305810" w:rsidR="00685286">
        <w:rPr>
          <w:rFonts w:cs="Arial"/>
          <w:lang w:bidi="bn-IN"/>
        </w:rPr>
        <w:t>to</w:t>
      </w:r>
      <w:r w:rsidRPr="00305810">
        <w:rPr>
          <w:rFonts w:cs="Arial"/>
          <w:lang w:bidi="bn-IN"/>
        </w:rPr>
        <w:t xml:space="preserve"> changes </w:t>
      </w:r>
      <w:r w:rsidRPr="00305810" w:rsidR="00685286">
        <w:rPr>
          <w:rFonts w:cs="Arial"/>
          <w:lang w:bidi="bn-IN"/>
        </w:rPr>
        <w:t>in technology</w:t>
      </w:r>
      <w:r w:rsidRPr="00305810">
        <w:rPr>
          <w:rFonts w:cs="Arial"/>
          <w:lang w:bidi="bn-IN"/>
        </w:rPr>
        <w:t xml:space="preserve"> and markets. Forecasting as well as budget derivations can therefore help in responding to uncertainty for the organisation (</w:t>
      </w:r>
      <w:r w:rsidRPr="00305810" w:rsidR="00A4741D">
        <w:rPr>
          <w:rFonts w:cs="Arial"/>
          <w:lang w:bidi="bn-IN"/>
        </w:rPr>
        <w:t>SAGE,</w:t>
      </w:r>
      <w:r w:rsidRPr="00305810" w:rsidR="00712460">
        <w:rPr>
          <w:rFonts w:cs="Arial"/>
          <w:lang w:bidi="bn-IN"/>
        </w:rPr>
        <w:t xml:space="preserve"> 2024)</w:t>
      </w:r>
      <w:r w:rsidRPr="00305810" w:rsidR="00685286">
        <w:rPr>
          <w:rFonts w:cs="Arial"/>
          <w:lang w:bidi="bn-IN"/>
        </w:rPr>
        <w:t>.</w:t>
      </w:r>
    </w:p>
    <w:p w:rsidRPr="00305810" w:rsidR="00685286" w:rsidP="00305810" w:rsidRDefault="005F214E" w14:paraId="3CFF0C8E" w14:textId="5CC00122">
      <w:pPr>
        <w:spacing w:after="0"/>
        <w:rPr>
          <w:rFonts w:cs="Arial"/>
          <w:lang w:bidi="bn-IN"/>
        </w:rPr>
      </w:pPr>
      <w:r w:rsidRPr="00305810">
        <w:rPr>
          <w:rFonts w:cs="Arial"/>
          <w:lang w:bidi="bn-IN"/>
        </w:rPr>
        <w:t>For companies such as Tesla</w:t>
      </w:r>
      <w:r w:rsidRPr="00305810" w:rsidR="0063133D">
        <w:rPr>
          <w:rFonts w:cs="Arial"/>
          <w:lang w:bidi="bn-IN"/>
        </w:rPr>
        <w:t>,</w:t>
      </w:r>
      <w:r w:rsidRPr="00305810">
        <w:rPr>
          <w:rFonts w:cs="Arial"/>
          <w:lang w:bidi="bn-IN"/>
        </w:rPr>
        <w:t xml:space="preserve"> budgeting is extremely significant because it mostly operates in a </w:t>
      </w:r>
      <w:r w:rsidRPr="00305810" w:rsidR="0063133D">
        <w:rPr>
          <w:rFonts w:cs="Arial"/>
          <w:lang w:bidi="bn-IN"/>
        </w:rPr>
        <w:t>capital-intensive</w:t>
      </w:r>
      <w:r w:rsidRPr="00305810">
        <w:rPr>
          <w:rFonts w:cs="Arial"/>
          <w:lang w:bidi="bn-IN"/>
        </w:rPr>
        <w:t xml:space="preserve"> industry that </w:t>
      </w:r>
      <w:r w:rsidRPr="00305810" w:rsidR="0063133D">
        <w:rPr>
          <w:rFonts w:cs="Arial"/>
          <w:lang w:bidi="bn-IN"/>
        </w:rPr>
        <w:t>requires</w:t>
      </w:r>
      <w:r w:rsidRPr="00305810">
        <w:rPr>
          <w:rFonts w:cs="Arial"/>
          <w:lang w:bidi="bn-IN"/>
        </w:rPr>
        <w:t xml:space="preserve"> back expenditure on artificial intelligence</w:t>
      </w:r>
      <w:r w:rsidRPr="00305810" w:rsidR="008D3661">
        <w:rPr>
          <w:rFonts w:cs="Arial"/>
          <w:lang w:bidi="bn-IN"/>
        </w:rPr>
        <w:t>, r</w:t>
      </w:r>
      <w:r w:rsidRPr="00305810">
        <w:rPr>
          <w:rFonts w:cs="Arial"/>
          <w:lang w:bidi="bn-IN"/>
        </w:rPr>
        <w:t>esearch and development</w:t>
      </w:r>
      <w:r w:rsidRPr="00305810" w:rsidR="0063133D">
        <w:rPr>
          <w:rFonts w:cs="Arial"/>
          <w:lang w:bidi="bn-IN"/>
        </w:rPr>
        <w:t>, changes</w:t>
      </w:r>
      <w:r w:rsidRPr="00305810">
        <w:rPr>
          <w:rFonts w:cs="Arial"/>
          <w:lang w:bidi="bn-IN"/>
        </w:rPr>
        <w:t xml:space="preserve"> in infrastructure</w:t>
      </w:r>
      <w:r w:rsidRPr="00305810" w:rsidR="0063133D">
        <w:rPr>
          <w:rFonts w:cs="Arial"/>
          <w:lang w:bidi="bn-IN"/>
        </w:rPr>
        <w:t>,</w:t>
      </w:r>
      <w:r w:rsidRPr="00305810">
        <w:rPr>
          <w:rFonts w:cs="Arial"/>
          <w:lang w:bidi="bn-IN"/>
        </w:rPr>
        <w:t xml:space="preserve"> energy products</w:t>
      </w:r>
      <w:r w:rsidRPr="00305810" w:rsidR="0063133D">
        <w:rPr>
          <w:rFonts w:cs="Arial"/>
          <w:lang w:bidi="bn-IN"/>
        </w:rPr>
        <w:t>,</w:t>
      </w:r>
      <w:r w:rsidRPr="00305810">
        <w:rPr>
          <w:rFonts w:cs="Arial"/>
          <w:lang w:bidi="bn-IN"/>
        </w:rPr>
        <w:t xml:space="preserve"> battery technology and manufacturing capacities</w:t>
      </w:r>
      <w:r w:rsidRPr="00305810" w:rsidR="00301F4D">
        <w:rPr>
          <w:rFonts w:cs="Arial"/>
          <w:lang w:bidi="bn-IN"/>
        </w:rPr>
        <w:t xml:space="preserve"> (</w:t>
      </w:r>
      <w:proofErr w:type="spellStart"/>
      <w:r w:rsidRPr="00305810" w:rsidR="00301F4D">
        <w:rPr>
          <w:rFonts w:cs="Arial"/>
        </w:rPr>
        <w:t>Jumaniyazov</w:t>
      </w:r>
      <w:proofErr w:type="spellEnd"/>
      <w:r w:rsidRPr="00305810" w:rsidR="00301F4D">
        <w:rPr>
          <w:rFonts w:cs="Arial"/>
        </w:rPr>
        <w:t>, 2023</w:t>
      </w:r>
      <w:r w:rsidRPr="00305810" w:rsidR="00301F4D">
        <w:rPr>
          <w:rFonts w:cs="Arial"/>
          <w:lang w:bidi="bn-IN"/>
        </w:rPr>
        <w:t>)</w:t>
      </w:r>
      <w:r w:rsidRPr="00305810">
        <w:rPr>
          <w:rFonts w:cs="Arial"/>
          <w:lang w:bidi="bn-IN"/>
        </w:rPr>
        <w:t xml:space="preserve">. As per the 2025 results of </w:t>
      </w:r>
      <w:r w:rsidRPr="00305810" w:rsidR="0063133D">
        <w:rPr>
          <w:rFonts w:cs="Arial"/>
          <w:lang w:bidi="bn-IN"/>
        </w:rPr>
        <w:t>Tesla,</w:t>
      </w:r>
      <w:r w:rsidRPr="00305810">
        <w:rPr>
          <w:rFonts w:cs="Arial"/>
          <w:lang w:bidi="bn-IN"/>
        </w:rPr>
        <w:t xml:space="preserve"> the expenditure for R</w:t>
      </w:r>
      <w:r w:rsidRPr="00305810" w:rsidR="00683B18">
        <w:rPr>
          <w:rFonts w:cs="Arial"/>
          <w:lang w:bidi="bn-IN"/>
        </w:rPr>
        <w:t>&amp;</w:t>
      </w:r>
      <w:r w:rsidRPr="00305810">
        <w:rPr>
          <w:rFonts w:cs="Arial"/>
          <w:lang w:bidi="bn-IN"/>
        </w:rPr>
        <w:t>D increased to $6.411 billion in 2025 from$4.540 billion in 2024, whereas SG&amp;A</w:t>
      </w:r>
      <w:r w:rsidRPr="00305810" w:rsidR="00252FCD">
        <w:rPr>
          <w:rFonts w:cs="Arial"/>
          <w:lang w:bidi="bn-IN"/>
        </w:rPr>
        <w:t xml:space="preserve"> expenditure increased to $5.834 billion from $5.150 billion. At the same time</w:t>
      </w:r>
      <w:r w:rsidRPr="00305810" w:rsidR="00802B90">
        <w:rPr>
          <w:rFonts w:cs="Arial"/>
          <w:lang w:bidi="bn-IN"/>
        </w:rPr>
        <w:t>,</w:t>
      </w:r>
      <w:r w:rsidRPr="00305810" w:rsidR="00252FCD">
        <w:rPr>
          <w:rFonts w:cs="Arial"/>
          <w:lang w:bidi="bn-IN"/>
        </w:rPr>
        <w:t xml:space="preserve"> Tesla also reported that the total operating </w:t>
      </w:r>
      <w:r w:rsidRPr="00305810" w:rsidR="00802B90">
        <w:rPr>
          <w:rFonts w:cs="Arial"/>
          <w:lang w:bidi="bn-IN"/>
        </w:rPr>
        <w:t>expenses</w:t>
      </w:r>
      <w:r w:rsidRPr="00305810" w:rsidR="00252FCD">
        <w:rPr>
          <w:rFonts w:cs="Arial"/>
          <w:lang w:bidi="bn-IN"/>
        </w:rPr>
        <w:t xml:space="preserve"> increased to $12.739 billion from $10.374 billion (Tesla, 2026). </w:t>
      </w:r>
      <w:r w:rsidRPr="00305810" w:rsidR="00494A94">
        <w:rPr>
          <w:rFonts w:cs="Arial"/>
          <w:lang w:bidi="bn-IN"/>
        </w:rPr>
        <w:t>The company also reported that this higher SG</w:t>
      </w:r>
      <w:r w:rsidRPr="00305810" w:rsidR="004E26D6">
        <w:rPr>
          <w:rFonts w:cs="Arial"/>
          <w:lang w:bidi="bn-IN"/>
        </w:rPr>
        <w:t>&amp;A</w:t>
      </w:r>
      <w:r w:rsidRPr="00305810" w:rsidR="00494A94">
        <w:rPr>
          <w:rFonts w:cs="Arial"/>
          <w:lang w:bidi="bn-IN"/>
        </w:rPr>
        <w:t xml:space="preserve"> reflected increased employee and labour costs</w:t>
      </w:r>
      <w:r w:rsidRPr="00305810" w:rsidR="00D02CF9">
        <w:rPr>
          <w:rFonts w:cs="Arial"/>
          <w:lang w:bidi="bn-IN"/>
        </w:rPr>
        <w:t>,</w:t>
      </w:r>
      <w:r w:rsidRPr="00305810" w:rsidR="00494A94">
        <w:rPr>
          <w:rFonts w:cs="Arial"/>
          <w:lang w:bidi="bn-IN"/>
        </w:rPr>
        <w:t xml:space="preserve"> stock-based compensation</w:t>
      </w:r>
      <w:r w:rsidR="00C64E06">
        <w:rPr>
          <w:rFonts w:cs="Arial"/>
          <w:lang w:bidi="bn-IN"/>
        </w:rPr>
        <w:t>, and legal</w:t>
      </w:r>
      <w:r w:rsidRPr="00305810" w:rsidR="00494A94">
        <w:rPr>
          <w:rFonts w:cs="Arial"/>
          <w:lang w:bidi="bn-IN"/>
        </w:rPr>
        <w:t xml:space="preserve"> costs</w:t>
      </w:r>
      <w:r w:rsidRPr="00305810" w:rsidR="00D02CF9">
        <w:rPr>
          <w:rFonts w:cs="Arial"/>
          <w:lang w:bidi="bn-IN"/>
        </w:rPr>
        <w:t>, partly</w:t>
      </w:r>
      <w:r w:rsidRPr="00305810" w:rsidR="00494A94">
        <w:rPr>
          <w:rFonts w:cs="Arial"/>
          <w:lang w:bidi="bn-IN"/>
        </w:rPr>
        <w:t xml:space="preserve"> offset by the lower facilities and marketing expenditures (</w:t>
      </w:r>
      <w:r w:rsidRPr="00305810" w:rsidR="00466DD7">
        <w:rPr>
          <w:rFonts w:cs="Arial"/>
        </w:rPr>
        <w:t>US SEC</w:t>
      </w:r>
      <w:r w:rsidRPr="00305810" w:rsidR="00FF51AE">
        <w:rPr>
          <w:rFonts w:cs="Arial"/>
        </w:rPr>
        <w:t xml:space="preserve">, </w:t>
      </w:r>
      <w:r w:rsidRPr="00305810" w:rsidR="00466DD7">
        <w:rPr>
          <w:rFonts w:cs="Arial"/>
        </w:rPr>
        <w:t>2026</w:t>
      </w:r>
      <w:r w:rsidRPr="00305810" w:rsidR="00494A94">
        <w:rPr>
          <w:rFonts w:cs="Arial"/>
          <w:lang w:bidi="bn-IN"/>
        </w:rPr>
        <w:t>).</w:t>
      </w:r>
    </w:p>
    <w:p w:rsidRPr="00305810" w:rsidR="00995433" w:rsidP="00305810" w:rsidRDefault="00514D76" w14:paraId="357CF793" w14:textId="308AFF1A">
      <w:pPr>
        <w:spacing w:after="0"/>
        <w:rPr>
          <w:rFonts w:cs="Arial"/>
          <w:lang w:bidi="bn-IN"/>
        </w:rPr>
      </w:pPr>
      <w:r w:rsidRPr="00305810">
        <w:rPr>
          <w:rFonts w:cs="Arial"/>
          <w:lang w:bidi="bn-IN"/>
        </w:rPr>
        <w:t>These figures strongly show the external as well as internal influences on budgeting. Externally</w:t>
      </w:r>
      <w:r w:rsidRPr="00305810" w:rsidR="00CE424E">
        <w:rPr>
          <w:rFonts w:cs="Arial"/>
          <w:lang w:bidi="bn-IN"/>
        </w:rPr>
        <w:t>,</w:t>
      </w:r>
      <w:r w:rsidRPr="00305810">
        <w:rPr>
          <w:rFonts w:cs="Arial"/>
          <w:lang w:bidi="bn-IN"/>
        </w:rPr>
        <w:t xml:space="preserve"> budgeting is mostly affected by </w:t>
      </w:r>
      <w:r w:rsidR="00C64E06">
        <w:rPr>
          <w:rFonts w:cs="Arial"/>
          <w:lang w:bidi="bn-IN"/>
        </w:rPr>
        <w:t>rising</w:t>
      </w:r>
      <w:r w:rsidRPr="00305810">
        <w:rPr>
          <w:rFonts w:cs="Arial"/>
          <w:lang w:bidi="bn-IN"/>
        </w:rPr>
        <w:t xml:space="preserve"> demand and </w:t>
      </w:r>
      <w:r w:rsidRPr="00305810" w:rsidR="00CE424E">
        <w:rPr>
          <w:rFonts w:cs="Arial"/>
          <w:lang w:bidi="bn-IN"/>
        </w:rPr>
        <w:t>regulatory</w:t>
      </w:r>
      <w:r w:rsidRPr="00305810">
        <w:rPr>
          <w:rFonts w:cs="Arial"/>
          <w:lang w:bidi="bn-IN"/>
        </w:rPr>
        <w:t xml:space="preserve"> tariffs</w:t>
      </w:r>
      <w:r w:rsidRPr="00305810" w:rsidR="00CE424E">
        <w:rPr>
          <w:rFonts w:cs="Arial"/>
          <w:lang w:bidi="bn-IN"/>
        </w:rPr>
        <w:t>,</w:t>
      </w:r>
      <w:r w:rsidRPr="00305810">
        <w:rPr>
          <w:rFonts w:cs="Arial"/>
          <w:lang w:bidi="bn-IN"/>
        </w:rPr>
        <w:t xml:space="preserve"> commodity prices</w:t>
      </w:r>
      <w:r w:rsidRPr="00305810" w:rsidR="00CE424E">
        <w:rPr>
          <w:rFonts w:cs="Arial"/>
          <w:lang w:bidi="bn-IN"/>
        </w:rPr>
        <w:t>,</w:t>
      </w:r>
      <w:r w:rsidRPr="00305810">
        <w:rPr>
          <w:rFonts w:cs="Arial"/>
          <w:lang w:bidi="bn-IN"/>
        </w:rPr>
        <w:t xml:space="preserve"> </w:t>
      </w:r>
      <w:r w:rsidRPr="00305810" w:rsidR="00FF3C95">
        <w:rPr>
          <w:rFonts w:cs="Arial"/>
          <w:lang w:bidi="bn-IN"/>
        </w:rPr>
        <w:t>technological</w:t>
      </w:r>
      <w:r w:rsidRPr="00305810">
        <w:rPr>
          <w:rFonts w:cs="Arial"/>
          <w:lang w:bidi="bn-IN"/>
        </w:rPr>
        <w:t xml:space="preserve"> change</w:t>
      </w:r>
      <w:r w:rsidRPr="00305810" w:rsidR="00CE424E">
        <w:rPr>
          <w:rFonts w:cs="Arial"/>
          <w:lang w:bidi="bn-IN"/>
        </w:rPr>
        <w:t xml:space="preserve">, </w:t>
      </w:r>
      <w:r w:rsidRPr="00305810">
        <w:rPr>
          <w:rFonts w:cs="Arial"/>
          <w:lang w:bidi="bn-IN"/>
        </w:rPr>
        <w:t>labour</w:t>
      </w:r>
      <w:r w:rsidRPr="00305810" w:rsidR="00CE424E">
        <w:rPr>
          <w:rFonts w:cs="Arial"/>
          <w:lang w:bidi="bn-IN"/>
        </w:rPr>
        <w:t xml:space="preserve"> costs and</w:t>
      </w:r>
      <w:r w:rsidRPr="00305810">
        <w:rPr>
          <w:rFonts w:cs="Arial"/>
          <w:lang w:bidi="bn-IN"/>
        </w:rPr>
        <w:t xml:space="preserve"> competition. On the other hand</w:t>
      </w:r>
      <w:r w:rsidRPr="00305810" w:rsidR="00FF3C95">
        <w:rPr>
          <w:rFonts w:cs="Arial"/>
          <w:lang w:bidi="bn-IN"/>
        </w:rPr>
        <w:t>,</w:t>
      </w:r>
      <w:r w:rsidRPr="00305810">
        <w:rPr>
          <w:rFonts w:cs="Arial"/>
          <w:lang w:bidi="bn-IN"/>
        </w:rPr>
        <w:t xml:space="preserve"> internally</w:t>
      </w:r>
      <w:r w:rsidRPr="00305810" w:rsidR="00CE424E">
        <w:rPr>
          <w:rFonts w:cs="Arial"/>
          <w:lang w:bidi="bn-IN"/>
        </w:rPr>
        <w:t>,</w:t>
      </w:r>
      <w:r w:rsidRPr="00305810">
        <w:rPr>
          <w:rFonts w:cs="Arial"/>
          <w:lang w:bidi="bn-IN"/>
        </w:rPr>
        <w:t xml:space="preserve"> the increased expenditure for R</w:t>
      </w:r>
      <w:r w:rsidRPr="00305810" w:rsidR="00CE424E">
        <w:rPr>
          <w:rFonts w:cs="Arial"/>
          <w:lang w:bidi="bn-IN"/>
        </w:rPr>
        <w:t>&amp;</w:t>
      </w:r>
      <w:r w:rsidRPr="00305810">
        <w:rPr>
          <w:rFonts w:cs="Arial"/>
          <w:lang w:bidi="bn-IN"/>
        </w:rPr>
        <w:t>D reflects the constant investment in software</w:t>
      </w:r>
      <w:r w:rsidRPr="00305810" w:rsidR="00FF3C95">
        <w:rPr>
          <w:rFonts w:cs="Arial"/>
          <w:lang w:bidi="bn-IN"/>
        </w:rPr>
        <w:t>,</w:t>
      </w:r>
      <w:r w:rsidRPr="00305810">
        <w:rPr>
          <w:rFonts w:cs="Arial"/>
          <w:lang w:bidi="bn-IN"/>
        </w:rPr>
        <w:t xml:space="preserve"> future products and</w:t>
      </w:r>
      <w:r w:rsidRPr="00305810" w:rsidR="00FF3C95">
        <w:rPr>
          <w:rFonts w:cs="Arial"/>
          <w:lang w:bidi="bn-IN"/>
        </w:rPr>
        <w:t>,</w:t>
      </w:r>
      <w:r w:rsidRPr="00305810">
        <w:rPr>
          <w:rFonts w:cs="Arial"/>
          <w:lang w:bidi="bn-IN"/>
        </w:rPr>
        <w:t xml:space="preserve"> most significantly</w:t>
      </w:r>
      <w:r w:rsidRPr="00305810" w:rsidR="00FF3C95">
        <w:rPr>
          <w:rFonts w:cs="Arial"/>
          <w:lang w:bidi="bn-IN"/>
        </w:rPr>
        <w:t>,</w:t>
      </w:r>
      <w:r w:rsidRPr="00305810">
        <w:rPr>
          <w:rFonts w:cs="Arial"/>
          <w:lang w:bidi="bn-IN"/>
        </w:rPr>
        <w:t xml:space="preserve"> Artificial Intelligence (AI).</w:t>
      </w:r>
      <w:r w:rsidRPr="00305810" w:rsidR="00FF3C95">
        <w:rPr>
          <w:rFonts w:cs="Arial"/>
          <w:lang w:bidi="bn-IN"/>
        </w:rPr>
        <w:t xml:space="preserve"> Management accounting hence needs to differentiate uncontrollable and controllable variances rather than treating every difference as managerial failure. </w:t>
      </w:r>
    </w:p>
    <w:p w:rsidRPr="00305810" w:rsidR="00FF3C95" w:rsidP="00305810" w:rsidRDefault="00FF3C95" w14:paraId="5E6816DC" w14:textId="29B9E66A">
      <w:pPr>
        <w:spacing w:after="0"/>
        <w:rPr>
          <w:rFonts w:cs="Arial"/>
          <w:lang w:bidi="bn-IN"/>
        </w:rPr>
      </w:pPr>
      <w:r w:rsidRPr="00305810">
        <w:rPr>
          <w:rFonts w:cs="Arial"/>
          <w:lang w:bidi="bn-IN"/>
        </w:rPr>
        <w:t>Flexible budgeting can also be considered appropriate</w:t>
      </w:r>
      <w:r w:rsidRPr="00305810" w:rsidR="005D4476">
        <w:rPr>
          <w:rFonts w:cs="Arial"/>
          <w:lang w:bidi="bn-IN"/>
        </w:rPr>
        <w:t xml:space="preserve"> because</w:t>
      </w:r>
      <w:r w:rsidRPr="00305810">
        <w:rPr>
          <w:rFonts w:cs="Arial"/>
          <w:lang w:bidi="bn-IN"/>
        </w:rPr>
        <w:t xml:space="preserve"> actual production as well as sales volumes might be different from the internal or initial expectations. Variance analysis can help in separating price</w:t>
      </w:r>
      <w:r w:rsidRPr="00305810" w:rsidR="005D4476">
        <w:rPr>
          <w:rFonts w:cs="Arial"/>
          <w:lang w:bidi="bn-IN"/>
        </w:rPr>
        <w:t>,</w:t>
      </w:r>
      <w:r w:rsidRPr="00305810">
        <w:rPr>
          <w:rFonts w:cs="Arial"/>
          <w:lang w:bidi="bn-IN"/>
        </w:rPr>
        <w:t xml:space="preserve"> volume</w:t>
      </w:r>
      <w:r w:rsidRPr="00305810" w:rsidR="005D4476">
        <w:rPr>
          <w:rFonts w:cs="Arial"/>
          <w:lang w:bidi="bn-IN"/>
        </w:rPr>
        <w:t>,</w:t>
      </w:r>
      <w:r w:rsidRPr="00305810">
        <w:rPr>
          <w:rFonts w:cs="Arial"/>
          <w:lang w:bidi="bn-IN"/>
        </w:rPr>
        <w:t xml:space="preserve"> spending</w:t>
      </w:r>
      <w:r w:rsidRPr="00305810" w:rsidR="005D4476">
        <w:rPr>
          <w:rFonts w:cs="Arial"/>
          <w:lang w:bidi="bn-IN"/>
        </w:rPr>
        <w:t>, and efficiency effects,</w:t>
      </w:r>
      <w:r w:rsidRPr="00305810">
        <w:rPr>
          <w:rFonts w:cs="Arial"/>
          <w:lang w:bidi="bn-IN"/>
        </w:rPr>
        <w:t xml:space="preserve"> with </w:t>
      </w:r>
      <w:r w:rsidRPr="00305810" w:rsidR="005D4476">
        <w:rPr>
          <w:rFonts w:cs="Arial"/>
          <w:lang w:bidi="bn-IN"/>
        </w:rPr>
        <w:t>a</w:t>
      </w:r>
      <w:r w:rsidRPr="00305810">
        <w:rPr>
          <w:rFonts w:cs="Arial"/>
          <w:lang w:bidi="bn-IN"/>
        </w:rPr>
        <w:t xml:space="preserve"> more meaningful performance assessment </w:t>
      </w:r>
      <w:r w:rsidRPr="00305810" w:rsidR="003407C2">
        <w:rPr>
          <w:rFonts w:cs="Arial"/>
          <w:lang w:bidi="bn-IN"/>
        </w:rPr>
        <w:t>(Sario, 2024).</w:t>
      </w:r>
      <w:r w:rsidRPr="00305810" w:rsidR="009F1E67">
        <w:rPr>
          <w:rFonts w:cs="Arial"/>
          <w:lang w:bidi="bn-IN"/>
        </w:rPr>
        <w:t xml:space="preserve"> Public platforms such as Google Finance can be considered significant for supporting external </w:t>
      </w:r>
      <w:r w:rsidRPr="00305810" w:rsidR="00682303">
        <w:rPr>
          <w:rFonts w:cs="Arial"/>
          <w:lang w:bidi="bn-IN"/>
        </w:rPr>
        <w:t>benchmarking</w:t>
      </w:r>
      <w:r w:rsidRPr="00305810" w:rsidR="009F1E67">
        <w:rPr>
          <w:rFonts w:cs="Arial"/>
          <w:lang w:bidi="bn-IN"/>
        </w:rPr>
        <w:t xml:space="preserve"> with the help of current</w:t>
      </w:r>
      <w:r w:rsidRPr="00305810" w:rsidR="00682303">
        <w:rPr>
          <w:rFonts w:cs="Arial"/>
          <w:lang w:bidi="bn-IN"/>
        </w:rPr>
        <w:t xml:space="preserve"> expenses</w:t>
      </w:r>
      <w:r w:rsidRPr="00305810" w:rsidR="00AC5B42">
        <w:rPr>
          <w:rFonts w:cs="Arial"/>
          <w:lang w:bidi="bn-IN"/>
        </w:rPr>
        <w:t xml:space="preserve"> and r</w:t>
      </w:r>
      <w:r w:rsidRPr="00305810" w:rsidR="009F1E67">
        <w:rPr>
          <w:rFonts w:cs="Arial"/>
          <w:lang w:bidi="bn-IN"/>
        </w:rPr>
        <w:t>evenue Indicators. However</w:t>
      </w:r>
      <w:r w:rsidRPr="00305810" w:rsidR="001B3B5B">
        <w:rPr>
          <w:rFonts w:cs="Arial"/>
          <w:lang w:bidi="bn-IN"/>
        </w:rPr>
        <w:t>,</w:t>
      </w:r>
      <w:r w:rsidRPr="00305810" w:rsidR="009F1E67">
        <w:rPr>
          <w:rFonts w:cs="Arial"/>
          <w:lang w:bidi="bn-IN"/>
        </w:rPr>
        <w:t xml:space="preserve"> Google </w:t>
      </w:r>
      <w:r w:rsidRPr="00305810" w:rsidR="00682303">
        <w:rPr>
          <w:rFonts w:cs="Arial"/>
          <w:lang w:bidi="bn-IN"/>
        </w:rPr>
        <w:t>Finance</w:t>
      </w:r>
      <w:r w:rsidRPr="00305810" w:rsidR="009F1E67">
        <w:rPr>
          <w:rFonts w:cs="Arial"/>
          <w:lang w:bidi="bn-IN"/>
        </w:rPr>
        <w:t xml:space="preserve"> can never provide Tesla’s confidential budgets</w:t>
      </w:r>
      <w:r w:rsidRPr="00305810" w:rsidR="001B3B5B">
        <w:rPr>
          <w:rFonts w:cs="Arial"/>
          <w:lang w:bidi="bn-IN"/>
        </w:rPr>
        <w:t>,</w:t>
      </w:r>
      <w:r w:rsidRPr="00305810" w:rsidR="009F1E67">
        <w:rPr>
          <w:rFonts w:cs="Arial"/>
          <w:lang w:bidi="bn-IN"/>
        </w:rPr>
        <w:t xml:space="preserve"> detailed </w:t>
      </w:r>
      <w:r w:rsidRPr="00305810" w:rsidR="009F1E67">
        <w:rPr>
          <w:rFonts w:cs="Arial"/>
          <w:lang w:bidi="bn-IN"/>
        </w:rPr>
        <w:lastRenderedPageBreak/>
        <w:t>variance explanations</w:t>
      </w:r>
      <w:r w:rsidRPr="00305810" w:rsidR="00682303">
        <w:rPr>
          <w:rFonts w:cs="Arial"/>
          <w:lang w:bidi="bn-IN"/>
        </w:rPr>
        <w:t>,</w:t>
      </w:r>
      <w:r w:rsidRPr="00305810" w:rsidR="009F1E67">
        <w:rPr>
          <w:rFonts w:cs="Arial"/>
          <w:lang w:bidi="bn-IN"/>
        </w:rPr>
        <w:t xml:space="preserve"> or cost standards. Thus, public data need to supplement rather than </w:t>
      </w:r>
      <w:r w:rsidRPr="00305810" w:rsidR="000F765C">
        <w:rPr>
          <w:rFonts w:cs="Arial"/>
          <w:lang w:bidi="bn-IN"/>
        </w:rPr>
        <w:t>replace</w:t>
      </w:r>
      <w:r w:rsidRPr="00305810" w:rsidR="009F1E67">
        <w:rPr>
          <w:rFonts w:cs="Arial"/>
          <w:lang w:bidi="bn-IN"/>
        </w:rPr>
        <w:t xml:space="preserve"> all</w:t>
      </w:r>
      <w:r w:rsidRPr="00305810" w:rsidR="000F765C">
        <w:rPr>
          <w:rFonts w:cs="Arial"/>
          <w:lang w:bidi="bn-IN"/>
        </w:rPr>
        <w:t xml:space="preserve"> i</w:t>
      </w:r>
      <w:r w:rsidRPr="00305810" w:rsidR="009F1E67">
        <w:rPr>
          <w:rFonts w:cs="Arial"/>
          <w:lang w:bidi="bn-IN"/>
        </w:rPr>
        <w:t>nternal management accounting information at the time of the evaluation of the effectiveness of budgeting and overall control.</w:t>
      </w:r>
    </w:p>
    <w:p w:rsidRPr="00305810" w:rsidR="000F6C1F" w:rsidP="00305810" w:rsidRDefault="000F6C1F" w14:paraId="61F9799F" w14:textId="0452DB3F">
      <w:pPr>
        <w:pStyle w:val="Heading1"/>
        <w:spacing w:before="0" w:after="0"/>
        <w:rPr>
          <w:rFonts w:cs="Arial"/>
          <w:szCs w:val="24"/>
        </w:rPr>
      </w:pPr>
      <w:bookmarkStart w:name="_Toc240899720" w:id="5"/>
      <w:r w:rsidRPr="00305810">
        <w:rPr>
          <w:rFonts w:cs="Arial"/>
          <w:szCs w:val="24"/>
        </w:rPr>
        <w:t>4. Performance Measurement and Decision-Making</w:t>
      </w:r>
      <w:bookmarkEnd w:id="5"/>
    </w:p>
    <w:p w:rsidRPr="00305810" w:rsidR="00C64E06" w:rsidP="00305810" w:rsidRDefault="00EA722A" w14:paraId="6EC206D0" w14:textId="248C3ECB">
      <w:pPr>
        <w:spacing w:after="0"/>
        <w:rPr>
          <w:rFonts w:cs="Arial"/>
          <w:lang w:bidi="bn-IN"/>
        </w:rPr>
      </w:pPr>
      <w:r w:rsidRPr="00305810">
        <w:rPr>
          <w:rFonts w:cs="Arial"/>
          <w:lang w:bidi="bn-IN"/>
        </w:rPr>
        <w:t xml:space="preserve"> </w:t>
      </w:r>
      <w:r w:rsidRPr="00305810" w:rsidR="00586F21">
        <w:rPr>
          <w:rFonts w:cs="Arial"/>
          <w:lang w:bidi="bn-IN"/>
        </w:rPr>
        <w:t xml:space="preserve">Performance measurement helps in combining financial and </w:t>
      </w:r>
      <w:r w:rsidRPr="00305810" w:rsidR="00553581">
        <w:rPr>
          <w:rFonts w:cs="Arial"/>
          <w:lang w:bidi="bn-IN"/>
        </w:rPr>
        <w:t>non-financial</w:t>
      </w:r>
      <w:r w:rsidRPr="00305810" w:rsidR="00586F21">
        <w:rPr>
          <w:rFonts w:cs="Arial"/>
          <w:lang w:bidi="bn-IN"/>
        </w:rPr>
        <w:t xml:space="preserve"> information for the assessment of organisational objectives and whether they have been achieved or not. A balanced approach is significant as financial indicators might not be able to provide a complete picture of future performance. According to the research of Fang </w:t>
      </w:r>
      <w:r w:rsidRPr="00305810" w:rsidR="00586F21">
        <w:rPr>
          <w:rFonts w:cs="Arial"/>
          <w:i/>
          <w:iCs/>
          <w:lang w:bidi="bn-IN"/>
        </w:rPr>
        <w:t>et al</w:t>
      </w:r>
      <w:r w:rsidRPr="00305810" w:rsidR="00586F21">
        <w:rPr>
          <w:rFonts w:cs="Arial"/>
          <w:lang w:bidi="bn-IN"/>
        </w:rPr>
        <w:t xml:space="preserve">. (2020), </w:t>
      </w:r>
      <w:r w:rsidRPr="00305810" w:rsidR="00553581">
        <w:rPr>
          <w:rFonts w:cs="Arial"/>
          <w:lang w:bidi="bn-IN"/>
        </w:rPr>
        <w:t>non-financial KPIs can help in providing information related to future profitability as well as sales growth.</w:t>
      </w:r>
    </w:p>
    <w:p w:rsidRPr="00305810" w:rsidR="00553581" w:rsidP="00305810" w:rsidRDefault="00553581" w14:paraId="75EDCD31" w14:textId="5C9D749E">
      <w:pPr>
        <w:spacing w:after="0"/>
        <w:rPr>
          <w:rFonts w:cs="Arial"/>
          <w:lang w:bidi="bn-IN"/>
        </w:rPr>
      </w:pPr>
      <w:r w:rsidRPr="00305810">
        <w:rPr>
          <w:rFonts w:cs="Arial"/>
          <w:lang w:bidi="bn-IN"/>
        </w:rPr>
        <w:t>Five significantly related KPIs are:</w:t>
      </w:r>
    </w:p>
    <w:tbl>
      <w:tblPr>
        <w:tblStyle w:val="TableGrid"/>
        <w:tblW w:w="0" w:type="auto"/>
        <w:tblLook w:val="04A0" w:firstRow="1" w:lastRow="0" w:firstColumn="1" w:lastColumn="0" w:noHBand="0" w:noVBand="1"/>
      </w:tblPr>
      <w:tblGrid>
        <w:gridCol w:w="3005"/>
        <w:gridCol w:w="3005"/>
        <w:gridCol w:w="3006"/>
      </w:tblGrid>
      <w:tr w:rsidRPr="00305810" w:rsidR="004E391E" w:rsidTr="004E391E" w14:paraId="3802917F" w14:textId="77777777">
        <w:tc>
          <w:tcPr>
            <w:tcW w:w="3005" w:type="dxa"/>
          </w:tcPr>
          <w:p w:rsidRPr="00305810" w:rsidR="004E391E" w:rsidP="00305810" w:rsidRDefault="00817213" w14:paraId="7C82C64C" w14:textId="24E87B29">
            <w:pPr>
              <w:rPr>
                <w:rFonts w:cs="Arial"/>
                <w:b/>
                <w:bCs/>
                <w:lang w:bidi="bn-IN"/>
              </w:rPr>
            </w:pPr>
            <w:r w:rsidRPr="00305810">
              <w:rPr>
                <w:rFonts w:cs="Arial"/>
                <w:b/>
                <w:bCs/>
                <w:lang w:bidi="bn-IN"/>
              </w:rPr>
              <w:t>KPIs</w:t>
            </w:r>
          </w:p>
        </w:tc>
        <w:tc>
          <w:tcPr>
            <w:tcW w:w="3005" w:type="dxa"/>
          </w:tcPr>
          <w:p w:rsidRPr="00305810" w:rsidR="004E391E" w:rsidP="00305810" w:rsidRDefault="004E391E" w14:paraId="3FFE5183" w14:textId="56073AB8">
            <w:pPr>
              <w:rPr>
                <w:rFonts w:cs="Arial"/>
                <w:b/>
                <w:bCs/>
                <w:lang w:bidi="bn-IN"/>
              </w:rPr>
            </w:pPr>
            <w:r w:rsidRPr="00305810">
              <w:rPr>
                <w:rFonts w:cs="Arial"/>
                <w:b/>
                <w:bCs/>
                <w:lang w:bidi="bn-IN"/>
              </w:rPr>
              <w:t>Type</w:t>
            </w:r>
          </w:p>
        </w:tc>
        <w:tc>
          <w:tcPr>
            <w:tcW w:w="3006" w:type="dxa"/>
          </w:tcPr>
          <w:p w:rsidRPr="00305810" w:rsidR="004E391E" w:rsidP="00305810" w:rsidRDefault="004E391E" w14:paraId="1A89EAD4" w14:textId="318F5A62">
            <w:pPr>
              <w:rPr>
                <w:rFonts w:cs="Arial"/>
                <w:b/>
                <w:bCs/>
                <w:lang w:bidi="bn-IN"/>
              </w:rPr>
            </w:pPr>
            <w:r w:rsidRPr="00305810">
              <w:rPr>
                <w:rFonts w:cs="Arial"/>
                <w:b/>
                <w:bCs/>
                <w:lang w:bidi="bn-IN"/>
              </w:rPr>
              <w:t>Management Relevance</w:t>
            </w:r>
          </w:p>
        </w:tc>
      </w:tr>
      <w:tr w:rsidRPr="00305810" w:rsidR="004E391E" w:rsidTr="004E391E" w14:paraId="2B4547D9" w14:textId="77777777">
        <w:tc>
          <w:tcPr>
            <w:tcW w:w="3005" w:type="dxa"/>
          </w:tcPr>
          <w:p w:rsidRPr="00305810" w:rsidR="004E391E" w:rsidP="00305810" w:rsidRDefault="00312194" w14:paraId="55947DBE" w14:textId="3B03C1A9">
            <w:pPr>
              <w:rPr>
                <w:rFonts w:cs="Arial"/>
                <w:lang w:bidi="bn-IN"/>
              </w:rPr>
            </w:pPr>
            <w:r w:rsidRPr="00305810">
              <w:rPr>
                <w:rFonts w:cs="Arial"/>
                <w:lang w:bidi="bn-IN"/>
              </w:rPr>
              <w:t>Operating Income</w:t>
            </w:r>
          </w:p>
        </w:tc>
        <w:tc>
          <w:tcPr>
            <w:tcW w:w="3005" w:type="dxa"/>
          </w:tcPr>
          <w:p w:rsidRPr="00305810" w:rsidR="004E391E" w:rsidP="00305810" w:rsidRDefault="00312194" w14:paraId="3CA8BC3D" w14:textId="2B52F34A">
            <w:pPr>
              <w:rPr>
                <w:rFonts w:cs="Arial"/>
                <w:lang w:bidi="bn-IN"/>
              </w:rPr>
            </w:pPr>
            <w:r w:rsidRPr="00305810">
              <w:rPr>
                <w:rFonts w:cs="Arial"/>
                <w:lang w:bidi="bn-IN"/>
              </w:rPr>
              <w:t>Financial</w:t>
            </w:r>
          </w:p>
        </w:tc>
        <w:tc>
          <w:tcPr>
            <w:tcW w:w="3006" w:type="dxa"/>
          </w:tcPr>
          <w:p w:rsidRPr="00305810" w:rsidR="00312194" w:rsidP="00305810" w:rsidRDefault="00312194" w14:paraId="304A3E50" w14:textId="0EF37F43">
            <w:pPr>
              <w:rPr>
                <w:rFonts w:cs="Arial"/>
                <w:lang w:bidi="bn-IN"/>
              </w:rPr>
            </w:pPr>
            <w:r w:rsidRPr="00305810">
              <w:rPr>
                <w:rFonts w:cs="Arial"/>
                <w:lang w:bidi="bn-IN"/>
              </w:rPr>
              <w:t>Helps to indicate profitability after the overall operating costs</w:t>
            </w:r>
          </w:p>
        </w:tc>
      </w:tr>
      <w:tr w:rsidRPr="00305810" w:rsidR="004E391E" w:rsidTr="004E391E" w14:paraId="4E29B199" w14:textId="77777777">
        <w:tc>
          <w:tcPr>
            <w:tcW w:w="3005" w:type="dxa"/>
          </w:tcPr>
          <w:p w:rsidRPr="00305810" w:rsidR="004E391E" w:rsidP="00305810" w:rsidRDefault="005B0EF2" w14:paraId="1BE21FEF" w14:textId="21ECF390">
            <w:pPr>
              <w:rPr>
                <w:rFonts w:cs="Arial"/>
                <w:lang w:bidi="bn-IN"/>
              </w:rPr>
            </w:pPr>
            <w:r w:rsidRPr="00305810">
              <w:rPr>
                <w:rFonts w:cs="Arial"/>
                <w:lang w:bidi="bn-IN"/>
              </w:rPr>
              <w:t>Total Revenue</w:t>
            </w:r>
          </w:p>
        </w:tc>
        <w:tc>
          <w:tcPr>
            <w:tcW w:w="3005" w:type="dxa"/>
          </w:tcPr>
          <w:p w:rsidRPr="00305810" w:rsidR="004E391E" w:rsidP="00305810" w:rsidRDefault="005B0EF2" w14:paraId="4CEFCDF8" w14:textId="1909AB61">
            <w:pPr>
              <w:rPr>
                <w:rFonts w:cs="Arial"/>
                <w:lang w:bidi="bn-IN"/>
              </w:rPr>
            </w:pPr>
            <w:r w:rsidRPr="00305810">
              <w:rPr>
                <w:rFonts w:cs="Arial"/>
                <w:lang w:bidi="bn-IN"/>
              </w:rPr>
              <w:t>Financial</w:t>
            </w:r>
          </w:p>
        </w:tc>
        <w:tc>
          <w:tcPr>
            <w:tcW w:w="3006" w:type="dxa"/>
          </w:tcPr>
          <w:p w:rsidRPr="00305810" w:rsidR="004E391E" w:rsidP="00305810" w:rsidRDefault="005B0EF2" w14:paraId="26BD7B23" w14:textId="508C776C">
            <w:pPr>
              <w:rPr>
                <w:rFonts w:cs="Arial"/>
                <w:lang w:bidi="bn-IN"/>
              </w:rPr>
            </w:pPr>
            <w:r w:rsidRPr="00305810">
              <w:rPr>
                <w:rFonts w:cs="Arial"/>
                <w:lang w:bidi="bn-IN"/>
              </w:rPr>
              <w:t>Helps to measure overall growth of the business</w:t>
            </w:r>
          </w:p>
        </w:tc>
      </w:tr>
      <w:tr w:rsidRPr="00305810" w:rsidR="004E391E" w:rsidTr="004E391E" w14:paraId="3263DC96" w14:textId="77777777">
        <w:tc>
          <w:tcPr>
            <w:tcW w:w="3005" w:type="dxa"/>
          </w:tcPr>
          <w:p w:rsidRPr="00305810" w:rsidR="004E391E" w:rsidP="00305810" w:rsidRDefault="00A92AA8" w14:paraId="308F2A27" w14:textId="43EDE8EB">
            <w:pPr>
              <w:rPr>
                <w:rFonts w:cs="Arial"/>
                <w:lang w:bidi="bn-IN"/>
              </w:rPr>
            </w:pPr>
            <w:r w:rsidRPr="00305810">
              <w:rPr>
                <w:rFonts w:cs="Arial"/>
                <w:lang w:bidi="bn-IN"/>
              </w:rPr>
              <w:t>Energy-Storage Deployment</w:t>
            </w:r>
          </w:p>
        </w:tc>
        <w:tc>
          <w:tcPr>
            <w:tcW w:w="3005" w:type="dxa"/>
          </w:tcPr>
          <w:p w:rsidRPr="00305810" w:rsidR="004E391E" w:rsidP="00305810" w:rsidRDefault="005745E4" w14:paraId="7F50DF66" w14:textId="11711AC2">
            <w:pPr>
              <w:rPr>
                <w:rFonts w:cs="Arial"/>
                <w:lang w:bidi="bn-IN"/>
              </w:rPr>
            </w:pPr>
            <w:r w:rsidRPr="00305810">
              <w:rPr>
                <w:rFonts w:cs="Arial"/>
                <w:lang w:bidi="bn-IN"/>
              </w:rPr>
              <w:t>Non-Financial</w:t>
            </w:r>
          </w:p>
        </w:tc>
        <w:tc>
          <w:tcPr>
            <w:tcW w:w="3006" w:type="dxa"/>
          </w:tcPr>
          <w:p w:rsidRPr="00305810" w:rsidR="004E391E" w:rsidP="00305810" w:rsidRDefault="00F76BD0" w14:paraId="5C9745F6" w14:textId="1667A7DC">
            <w:pPr>
              <w:rPr>
                <w:rFonts w:cs="Arial"/>
                <w:lang w:bidi="bn-IN"/>
              </w:rPr>
            </w:pPr>
            <w:r w:rsidRPr="00305810">
              <w:rPr>
                <w:rFonts w:cs="Arial"/>
                <w:lang w:bidi="bn-IN"/>
              </w:rPr>
              <w:t xml:space="preserve">Helps to measure </w:t>
            </w:r>
            <w:r w:rsidRPr="00305810" w:rsidR="008C0F33">
              <w:rPr>
                <w:rFonts w:cs="Arial"/>
                <w:lang w:bidi="bn-IN"/>
              </w:rPr>
              <w:t>Tesla’s energy business growth</w:t>
            </w:r>
          </w:p>
        </w:tc>
      </w:tr>
      <w:tr w:rsidRPr="00305810" w:rsidR="008C0F33" w:rsidTr="004E391E" w14:paraId="4183D75D" w14:textId="77777777">
        <w:tc>
          <w:tcPr>
            <w:tcW w:w="3005" w:type="dxa"/>
          </w:tcPr>
          <w:p w:rsidRPr="00305810" w:rsidR="008C0F33" w:rsidP="00305810" w:rsidRDefault="009D6604" w14:paraId="627AD94E" w14:textId="5812A373">
            <w:pPr>
              <w:rPr>
                <w:rFonts w:cs="Arial"/>
                <w:lang w:bidi="bn-IN"/>
              </w:rPr>
            </w:pPr>
            <w:r w:rsidRPr="00305810">
              <w:rPr>
                <w:rFonts w:cs="Arial"/>
                <w:lang w:bidi="bn-IN"/>
              </w:rPr>
              <w:t xml:space="preserve">Research and </w:t>
            </w:r>
            <w:r w:rsidRPr="00305810" w:rsidR="003E0395">
              <w:rPr>
                <w:rFonts w:cs="Arial"/>
                <w:lang w:bidi="bn-IN"/>
              </w:rPr>
              <w:t>Development</w:t>
            </w:r>
          </w:p>
        </w:tc>
        <w:tc>
          <w:tcPr>
            <w:tcW w:w="3005" w:type="dxa"/>
          </w:tcPr>
          <w:p w:rsidRPr="00305810" w:rsidR="008C0F33" w:rsidP="00305810" w:rsidRDefault="009D6604" w14:paraId="1DEF8205" w14:textId="2AF602A3">
            <w:pPr>
              <w:rPr>
                <w:rFonts w:cs="Arial"/>
                <w:lang w:bidi="bn-IN"/>
              </w:rPr>
            </w:pPr>
            <w:r w:rsidRPr="00305810">
              <w:rPr>
                <w:rFonts w:cs="Arial"/>
                <w:lang w:bidi="bn-IN"/>
              </w:rPr>
              <w:t>Strategic</w:t>
            </w:r>
            <w:r w:rsidRPr="00305810" w:rsidR="0054518F">
              <w:rPr>
                <w:rFonts w:cs="Arial"/>
                <w:lang w:bidi="bn-IN"/>
              </w:rPr>
              <w:t xml:space="preserve">/ </w:t>
            </w:r>
            <w:r w:rsidRPr="00305810">
              <w:rPr>
                <w:rFonts w:cs="Arial"/>
                <w:lang w:bidi="bn-IN"/>
              </w:rPr>
              <w:t>Financial</w:t>
            </w:r>
          </w:p>
        </w:tc>
        <w:tc>
          <w:tcPr>
            <w:tcW w:w="3006" w:type="dxa"/>
          </w:tcPr>
          <w:p w:rsidRPr="00305810" w:rsidR="008C0F33" w:rsidP="00305810" w:rsidRDefault="009D6604" w14:paraId="085BB6E3" w14:textId="4DE0D8D2">
            <w:pPr>
              <w:rPr>
                <w:rFonts w:cs="Arial"/>
                <w:lang w:bidi="bn-IN"/>
              </w:rPr>
            </w:pPr>
            <w:r w:rsidRPr="00305810">
              <w:rPr>
                <w:rFonts w:cs="Arial"/>
                <w:lang w:bidi="bn-IN"/>
              </w:rPr>
              <w:t xml:space="preserve">Helps to indicate </w:t>
            </w:r>
            <w:r w:rsidRPr="00305810" w:rsidR="00B9459C">
              <w:rPr>
                <w:rFonts w:cs="Arial"/>
                <w:lang w:bidi="bn-IN"/>
              </w:rPr>
              <w:t>investment in future technologies</w:t>
            </w:r>
          </w:p>
        </w:tc>
      </w:tr>
      <w:tr w:rsidRPr="00305810" w:rsidR="00830B40" w:rsidTr="004E391E" w14:paraId="10BAE272" w14:textId="77777777">
        <w:tc>
          <w:tcPr>
            <w:tcW w:w="3005" w:type="dxa"/>
          </w:tcPr>
          <w:p w:rsidRPr="00305810" w:rsidR="00830B40" w:rsidP="00305810" w:rsidRDefault="001E5CAA" w14:paraId="66A4D302" w14:textId="355EB3A5">
            <w:pPr>
              <w:rPr>
                <w:rFonts w:cs="Arial"/>
                <w:lang w:bidi="bn-IN"/>
              </w:rPr>
            </w:pPr>
            <w:r w:rsidRPr="00305810">
              <w:rPr>
                <w:rFonts w:cs="Arial"/>
                <w:lang w:bidi="bn-IN"/>
              </w:rPr>
              <w:t>Automotive Deliveries</w:t>
            </w:r>
          </w:p>
        </w:tc>
        <w:tc>
          <w:tcPr>
            <w:tcW w:w="3005" w:type="dxa"/>
          </w:tcPr>
          <w:p w:rsidRPr="00305810" w:rsidR="00830B40" w:rsidP="00305810" w:rsidRDefault="001E5CAA" w14:paraId="5C3FD49C" w14:textId="69029F1E">
            <w:pPr>
              <w:rPr>
                <w:rFonts w:cs="Arial"/>
                <w:lang w:bidi="bn-IN"/>
              </w:rPr>
            </w:pPr>
            <w:r w:rsidRPr="00305810">
              <w:rPr>
                <w:rFonts w:cs="Arial"/>
                <w:lang w:bidi="bn-IN"/>
              </w:rPr>
              <w:t>Non-Financial</w:t>
            </w:r>
          </w:p>
        </w:tc>
        <w:tc>
          <w:tcPr>
            <w:tcW w:w="3006" w:type="dxa"/>
          </w:tcPr>
          <w:p w:rsidRPr="00305810" w:rsidR="00830B40" w:rsidP="00305810" w:rsidRDefault="001E5CAA" w14:paraId="17CC3932" w14:textId="2D04EF55">
            <w:pPr>
              <w:rPr>
                <w:rFonts w:cs="Arial"/>
                <w:lang w:bidi="bn-IN"/>
              </w:rPr>
            </w:pPr>
            <w:r w:rsidRPr="00305810">
              <w:rPr>
                <w:rFonts w:cs="Arial"/>
                <w:lang w:bidi="bn-IN"/>
              </w:rPr>
              <w:t xml:space="preserve">Helps to indicate market demand as well as </w:t>
            </w:r>
            <w:r w:rsidRPr="00305810" w:rsidR="00266936">
              <w:rPr>
                <w:rFonts w:cs="Arial"/>
                <w:lang w:bidi="bn-IN"/>
              </w:rPr>
              <w:t>operational output</w:t>
            </w:r>
          </w:p>
        </w:tc>
      </w:tr>
    </w:tbl>
    <w:p w:rsidRPr="00305810" w:rsidR="00553581" w:rsidP="00305810" w:rsidRDefault="00553581" w14:paraId="66A32994" w14:textId="579A11DB">
      <w:pPr>
        <w:spacing w:after="0"/>
        <w:rPr>
          <w:rFonts w:cs="Arial"/>
          <w:lang w:bidi="bn-IN"/>
        </w:rPr>
      </w:pPr>
    </w:p>
    <w:p w:rsidRPr="00C64E06" w:rsidR="00C64E06" w:rsidP="00C64E06" w:rsidRDefault="00C64E06" w14:paraId="6086B2FF" w14:textId="00A30569">
      <w:pPr>
        <w:pStyle w:val="Heading2"/>
        <w:spacing w:after="0"/>
        <w:rPr>
          <w:lang w:bidi="bn-IN"/>
        </w:rPr>
      </w:pPr>
      <w:r w:rsidRPr="00C64E06">
        <w:rPr>
          <w:lang w:bidi="bn-IN"/>
        </w:rPr>
        <w:t xml:space="preserve">Financial Ratio Analysis and Its Impact on </w:t>
      </w:r>
      <w:r w:rsidRPr="00C64E06">
        <w:rPr>
          <w:lang w:bidi="bn-IN"/>
        </w:rPr>
        <w:t>Decision-Making</w:t>
      </w:r>
    </w:p>
    <w:p w:rsidR="00C64E06" w:rsidP="00305810" w:rsidRDefault="00C64E06" w14:paraId="6366EE07" w14:textId="21B6D5B5">
      <w:pPr>
        <w:spacing w:after="0"/>
        <w:rPr>
          <w:rFonts w:cs="Arial"/>
          <w:lang w:bidi="bn-IN"/>
        </w:rPr>
      </w:pPr>
      <w:r w:rsidRPr="00C64E06">
        <w:rPr>
          <w:rFonts w:cs="Arial"/>
          <w:lang w:bidi="bn-IN"/>
        </w:rPr>
        <w:t xml:space="preserve">The financial results from Tesla's 2025 show mixed signs. Gross profit margin improved slightly from 17.86% in 2024 to 18.03% in 2025. But the operating profit </w:t>
      </w:r>
      <w:r>
        <w:rPr>
          <w:rFonts w:cs="Arial"/>
          <w:lang w:bidi="bn-IN"/>
        </w:rPr>
        <w:t>margin</w:t>
      </w:r>
      <w:r w:rsidRPr="00C64E06">
        <w:rPr>
          <w:rFonts w:cs="Arial"/>
          <w:lang w:bidi="bn-IN"/>
        </w:rPr>
        <w:t xml:space="preserve"> dropped from 7.24% to 4.59%</w:t>
      </w:r>
      <w:r>
        <w:rPr>
          <w:rFonts w:cs="Arial"/>
          <w:lang w:bidi="bn-IN"/>
        </w:rPr>
        <w:t>,</w:t>
      </w:r>
      <w:r w:rsidRPr="00C64E06">
        <w:rPr>
          <w:rFonts w:cs="Arial"/>
          <w:lang w:bidi="bn-IN"/>
        </w:rPr>
        <w:t xml:space="preserve"> while the net profit </w:t>
      </w:r>
      <w:r>
        <w:rPr>
          <w:rFonts w:cs="Arial"/>
          <w:lang w:bidi="bn-IN"/>
        </w:rPr>
        <w:t>margin</w:t>
      </w:r>
      <w:r w:rsidRPr="00C64E06">
        <w:rPr>
          <w:rFonts w:cs="Arial"/>
          <w:lang w:bidi="bn-IN"/>
        </w:rPr>
        <w:t xml:space="preserve"> dropped from 7.26% to 4.00%. </w:t>
      </w:r>
      <w:r>
        <w:rPr>
          <w:rFonts w:cs="Arial"/>
          <w:lang w:bidi="bn-IN"/>
        </w:rPr>
        <w:t>The current</w:t>
      </w:r>
      <w:r w:rsidRPr="00C64E06">
        <w:rPr>
          <w:rFonts w:cs="Arial"/>
          <w:lang w:bidi="bn-IN"/>
        </w:rPr>
        <w:t xml:space="preserve"> ratio rose to 1.53</w:t>
      </w:r>
      <w:r>
        <w:rPr>
          <w:rFonts w:cs="Arial"/>
          <w:lang w:bidi="bn-IN"/>
        </w:rPr>
        <w:t>,</w:t>
      </w:r>
      <w:r w:rsidRPr="00C64E06">
        <w:rPr>
          <w:rFonts w:cs="Arial"/>
          <w:lang w:bidi="bn-IN"/>
        </w:rPr>
        <w:t xml:space="preserve"> and </w:t>
      </w:r>
      <w:r>
        <w:rPr>
          <w:rFonts w:cs="Arial"/>
          <w:lang w:bidi="bn-IN"/>
        </w:rPr>
        <w:t xml:space="preserve">the </w:t>
      </w:r>
      <w:r w:rsidRPr="00C64E06">
        <w:rPr>
          <w:rFonts w:cs="Arial"/>
          <w:lang w:bidi="bn-IN"/>
        </w:rPr>
        <w:t>quick ratio rose to 2.16</w:t>
      </w:r>
      <w:r>
        <w:rPr>
          <w:rFonts w:cs="Arial"/>
          <w:lang w:bidi="bn-IN"/>
        </w:rPr>
        <w:t>,</w:t>
      </w:r>
      <w:r w:rsidRPr="00C64E06">
        <w:rPr>
          <w:rFonts w:cs="Arial"/>
          <w:lang w:bidi="bn-IN"/>
        </w:rPr>
        <w:t xml:space="preserve"> showing a better liquidity situation. Basic EPS decreased from $2.23 to $1.18. The ratios serve </w:t>
      </w:r>
      <w:r w:rsidRPr="00C64E06">
        <w:rPr>
          <w:rFonts w:cs="Arial"/>
          <w:lang w:bidi="bn-IN"/>
        </w:rPr>
        <w:lastRenderedPageBreak/>
        <w:t xml:space="preserve">various purposes at Tesla, including assessing costs, monitoring cash flow, </w:t>
      </w:r>
      <w:r>
        <w:rPr>
          <w:rFonts w:cs="Arial"/>
          <w:lang w:bidi="bn-IN"/>
        </w:rPr>
        <w:t>optimising</w:t>
      </w:r>
      <w:r w:rsidRPr="00C64E06">
        <w:rPr>
          <w:rFonts w:cs="Arial"/>
          <w:lang w:bidi="bn-IN"/>
        </w:rPr>
        <w:t xml:space="preserve"> operations, and guiding investments (Tesla, Inc., 2026).</w:t>
      </w:r>
    </w:p>
    <w:p w:rsidRPr="00C64E06" w:rsidR="00C64E06" w:rsidP="00C64E06" w:rsidRDefault="00C64E06" w14:paraId="071F0C3C" w14:textId="54966C98">
      <w:pPr>
        <w:pStyle w:val="Heading2"/>
        <w:spacing w:after="0"/>
        <w:rPr>
          <w:lang w:bidi="bn-IN"/>
        </w:rPr>
      </w:pPr>
      <w:r w:rsidRPr="00C64E06">
        <w:rPr>
          <w:lang w:bidi="bn-IN"/>
        </w:rPr>
        <w:t>Financial Performance and Liquidity Analysis</w:t>
      </w:r>
    </w:p>
    <w:p w:rsidRPr="00305810" w:rsidR="00D54CA7" w:rsidP="00305810" w:rsidRDefault="00D54CA7" w14:paraId="7BE96110" w14:textId="4E1A5620">
      <w:pPr>
        <w:spacing w:after="0"/>
        <w:rPr>
          <w:rFonts w:cs="Arial"/>
          <w:lang w:bidi="bn-IN"/>
        </w:rPr>
      </w:pPr>
      <w:r w:rsidRPr="00305810">
        <w:rPr>
          <w:rFonts w:cs="Arial"/>
          <w:lang w:bidi="bn-IN"/>
        </w:rPr>
        <w:t xml:space="preserve">In 2025, Tesla’s annual revenue </w:t>
      </w:r>
      <w:r w:rsidRPr="00305810" w:rsidR="00F53D24">
        <w:rPr>
          <w:rFonts w:cs="Arial"/>
          <w:lang w:bidi="bn-IN"/>
        </w:rPr>
        <w:t>was</w:t>
      </w:r>
      <w:r w:rsidRPr="00305810">
        <w:rPr>
          <w:rFonts w:cs="Arial"/>
          <w:lang w:bidi="bn-IN"/>
        </w:rPr>
        <w:t xml:space="preserve"> </w:t>
      </w:r>
      <w:r w:rsidRPr="00305810" w:rsidR="00CB73ED">
        <w:rPr>
          <w:rFonts w:cs="Arial"/>
          <w:lang w:bidi="bn-IN"/>
        </w:rPr>
        <w:t>$4.827 billion</w:t>
      </w:r>
      <w:r w:rsidRPr="00305810" w:rsidR="001129CB">
        <w:rPr>
          <w:rFonts w:cs="Arial"/>
          <w:lang w:bidi="bn-IN"/>
        </w:rPr>
        <w:t xml:space="preserve">, which was </w:t>
      </w:r>
      <w:r w:rsidRPr="00305810" w:rsidR="00BE7B64">
        <w:rPr>
          <w:rFonts w:cs="Arial"/>
          <w:lang w:bidi="bn-IN"/>
        </w:rPr>
        <w:t>2.9% less than 2024</w:t>
      </w:r>
      <w:r w:rsidRPr="00305810" w:rsidR="00705A31">
        <w:rPr>
          <w:rFonts w:cs="Arial"/>
          <w:lang w:bidi="bn-IN"/>
        </w:rPr>
        <w:t xml:space="preserve">. On the other hand, </w:t>
      </w:r>
      <w:r w:rsidRPr="00305810" w:rsidR="00AE63DB">
        <w:rPr>
          <w:rFonts w:cs="Arial"/>
          <w:lang w:bidi="bn-IN"/>
        </w:rPr>
        <w:t xml:space="preserve">operating income also fell </w:t>
      </w:r>
      <w:r w:rsidRPr="00305810" w:rsidR="00917054">
        <w:rPr>
          <w:rFonts w:cs="Arial"/>
          <w:lang w:bidi="bn-IN"/>
        </w:rPr>
        <w:t xml:space="preserve">to </w:t>
      </w:r>
      <w:r w:rsidRPr="00305810" w:rsidR="00FA7CC9">
        <w:rPr>
          <w:rFonts w:cs="Arial"/>
          <w:lang w:bidi="bn-IN"/>
        </w:rPr>
        <w:t>$4.355 billion to $</w:t>
      </w:r>
      <w:r w:rsidRPr="00305810" w:rsidR="00DA6707">
        <w:rPr>
          <w:rFonts w:cs="Arial"/>
          <w:lang w:bidi="bn-IN"/>
        </w:rPr>
        <w:t>7.076</w:t>
      </w:r>
      <w:r w:rsidRPr="00305810" w:rsidR="00451518">
        <w:rPr>
          <w:rFonts w:cs="Arial"/>
          <w:lang w:bidi="bn-IN"/>
        </w:rPr>
        <w:t xml:space="preserve"> billion. This strongly indicates that </w:t>
      </w:r>
      <w:r w:rsidRPr="00305810" w:rsidR="000A5C46">
        <w:rPr>
          <w:rFonts w:cs="Arial"/>
          <w:lang w:bidi="bn-IN"/>
        </w:rPr>
        <w:t>revenue contraction</w:t>
      </w:r>
      <w:r w:rsidRPr="00305810" w:rsidR="00E83FFD">
        <w:rPr>
          <w:rFonts w:cs="Arial"/>
          <w:lang w:bidi="bn-IN"/>
        </w:rPr>
        <w:t>,</w:t>
      </w:r>
      <w:r w:rsidRPr="00305810" w:rsidR="000A5C46">
        <w:rPr>
          <w:rFonts w:cs="Arial"/>
          <w:lang w:bidi="bn-IN"/>
        </w:rPr>
        <w:t xml:space="preserve"> </w:t>
      </w:r>
      <w:r w:rsidRPr="00305810" w:rsidR="00951B19">
        <w:rPr>
          <w:rFonts w:cs="Arial"/>
          <w:lang w:bidi="bn-IN"/>
        </w:rPr>
        <w:t xml:space="preserve">in combination with </w:t>
      </w:r>
      <w:r w:rsidRPr="00305810" w:rsidR="00E83FFD">
        <w:rPr>
          <w:rFonts w:cs="Arial"/>
          <w:lang w:bidi="bn-IN"/>
        </w:rPr>
        <w:t xml:space="preserve">higher operating expenses, has been placing significant pressure on the profitability of the business. </w:t>
      </w:r>
    </w:p>
    <w:p w:rsidRPr="00305810" w:rsidR="00E83FFD" w:rsidP="00305810" w:rsidRDefault="003546E1" w14:paraId="1B0F1C00" w14:textId="57341D0F">
      <w:pPr>
        <w:spacing w:after="0"/>
        <w:rPr>
          <w:rFonts w:cs="Arial"/>
          <w:lang w:bidi="bn-IN"/>
        </w:rPr>
      </w:pPr>
      <w:r w:rsidRPr="00305810">
        <w:rPr>
          <w:rFonts w:cs="Arial"/>
          <w:lang w:bidi="bn-IN"/>
        </w:rPr>
        <w:t xml:space="preserve">At the same time, </w:t>
      </w:r>
      <w:r w:rsidRPr="00305810" w:rsidR="00CC255F">
        <w:rPr>
          <w:rFonts w:cs="Arial"/>
          <w:lang w:bidi="bn-IN"/>
        </w:rPr>
        <w:t>the energy generation and storage</w:t>
      </w:r>
      <w:r w:rsidRPr="00305810">
        <w:rPr>
          <w:rFonts w:cs="Arial"/>
          <w:lang w:bidi="bn-IN"/>
        </w:rPr>
        <w:t xml:space="preserve"> business of Tesla expanded to a great extent. Energy generation and</w:t>
      </w:r>
      <w:r w:rsidRPr="00305810">
        <w:rPr>
          <w:rFonts w:cs="Arial"/>
          <w:b/>
          <w:bCs/>
          <w:lang w:bidi="bn-IN"/>
        </w:rPr>
        <w:t xml:space="preserve"> </w:t>
      </w:r>
      <w:r w:rsidRPr="00305810">
        <w:rPr>
          <w:rFonts w:cs="Arial"/>
          <w:lang w:bidi="bn-IN"/>
        </w:rPr>
        <w:t xml:space="preserve">storage revenue increased </w:t>
      </w:r>
      <w:r w:rsidRPr="00305810" w:rsidR="006E06A2">
        <w:rPr>
          <w:rFonts w:cs="Arial"/>
          <w:lang w:bidi="bn-IN"/>
        </w:rPr>
        <w:t>by</w:t>
      </w:r>
      <w:r w:rsidRPr="00305810" w:rsidR="0050678B">
        <w:rPr>
          <w:rFonts w:cs="Arial"/>
          <w:lang w:bidi="bn-IN"/>
        </w:rPr>
        <w:t xml:space="preserve"> at least 26.6% </w:t>
      </w:r>
      <w:r w:rsidRPr="00305810" w:rsidR="006E06A2">
        <w:rPr>
          <w:rFonts w:cs="Arial"/>
          <w:lang w:bidi="bn-IN"/>
        </w:rPr>
        <w:t>in</w:t>
      </w:r>
      <w:r w:rsidRPr="00305810" w:rsidR="0050678B">
        <w:rPr>
          <w:rFonts w:cs="Arial"/>
          <w:lang w:bidi="bn-IN"/>
        </w:rPr>
        <w:t xml:space="preserve"> 2025 </w:t>
      </w:r>
      <w:r w:rsidRPr="00305810" w:rsidR="006E06A2">
        <w:rPr>
          <w:rFonts w:cs="Arial"/>
          <w:lang w:bidi="bn-IN"/>
        </w:rPr>
        <w:t>compared to</w:t>
      </w:r>
      <w:r w:rsidRPr="00305810" w:rsidR="0050678B">
        <w:rPr>
          <w:rFonts w:cs="Arial"/>
          <w:lang w:bidi="bn-IN"/>
        </w:rPr>
        <w:t xml:space="preserve"> 2024. </w:t>
      </w:r>
      <w:r w:rsidR="00C64E06">
        <w:rPr>
          <w:rFonts w:cs="Arial"/>
          <w:lang w:bidi="bn-IN"/>
        </w:rPr>
        <w:t>This indicates</w:t>
      </w:r>
      <w:r w:rsidRPr="00305810" w:rsidR="0050678B">
        <w:rPr>
          <w:rFonts w:cs="Arial"/>
          <w:lang w:bidi="bn-IN"/>
        </w:rPr>
        <w:t xml:space="preserve"> increased diversification</w:t>
      </w:r>
      <w:r w:rsidRPr="00305810" w:rsidR="006E06A2">
        <w:rPr>
          <w:rFonts w:cs="Arial"/>
          <w:lang w:bidi="bn-IN"/>
        </w:rPr>
        <w:t>,</w:t>
      </w:r>
      <w:r w:rsidRPr="00305810" w:rsidR="0050678B">
        <w:rPr>
          <w:rFonts w:cs="Arial"/>
          <w:lang w:bidi="bn-IN"/>
        </w:rPr>
        <w:t xml:space="preserve"> which is different from the dependence on automotive sales</w:t>
      </w:r>
      <w:r w:rsidRPr="00305810" w:rsidR="006E5102">
        <w:rPr>
          <w:rFonts w:cs="Arial"/>
          <w:lang w:bidi="bn-IN"/>
        </w:rPr>
        <w:t>.</w:t>
      </w:r>
    </w:p>
    <w:p w:rsidRPr="00305810" w:rsidR="008B0F9F" w:rsidP="00305810" w:rsidRDefault="00D82ADD" w14:paraId="5D012808" w14:textId="79FC5187">
      <w:pPr>
        <w:spacing w:after="0"/>
        <w:rPr>
          <w:rFonts w:cs="Arial"/>
          <w:lang w:bidi="bn-IN"/>
        </w:rPr>
      </w:pPr>
      <w:r w:rsidRPr="00305810">
        <w:rPr>
          <w:rFonts w:cs="Arial"/>
          <w:lang w:bidi="bn-IN"/>
        </w:rPr>
        <w:t xml:space="preserve">The Balanced Scorecard PSE helps in providing a significant framework for the evaluation of </w:t>
      </w:r>
      <w:r w:rsidRPr="00305810" w:rsidR="00D6409B">
        <w:rPr>
          <w:rFonts w:cs="Arial"/>
          <w:lang w:bidi="bn-IN"/>
        </w:rPr>
        <w:t>Tesla,</w:t>
      </w:r>
      <w:r w:rsidRPr="00305810">
        <w:rPr>
          <w:rFonts w:cs="Arial"/>
          <w:lang w:bidi="bn-IN"/>
        </w:rPr>
        <w:t xml:space="preserve"> as it mostly combines financial outcomes with internal processes</w:t>
      </w:r>
      <w:r w:rsidRPr="00305810" w:rsidR="00D6409B">
        <w:rPr>
          <w:rFonts w:cs="Arial"/>
          <w:lang w:bidi="bn-IN"/>
        </w:rPr>
        <w:t>,</w:t>
      </w:r>
      <w:r w:rsidRPr="00305810">
        <w:rPr>
          <w:rFonts w:cs="Arial"/>
          <w:lang w:bidi="bn-IN"/>
        </w:rPr>
        <w:t xml:space="preserve"> learning-and-growth </w:t>
      </w:r>
      <w:r w:rsidRPr="00305810" w:rsidR="00D6409B">
        <w:rPr>
          <w:rFonts w:cs="Arial"/>
          <w:lang w:bidi="bn-IN"/>
        </w:rPr>
        <w:t>measures,</w:t>
      </w:r>
      <w:r w:rsidRPr="00305810">
        <w:rPr>
          <w:rFonts w:cs="Arial"/>
          <w:lang w:bidi="bn-IN"/>
        </w:rPr>
        <w:t xml:space="preserve"> and customers</w:t>
      </w:r>
      <w:r w:rsidRPr="00305810" w:rsidR="00D6409B">
        <w:rPr>
          <w:rFonts w:cs="Arial"/>
          <w:lang w:bidi="bn-IN"/>
        </w:rPr>
        <w:t xml:space="preserve"> (Datar and Rajan, 2021). </w:t>
      </w:r>
      <w:r w:rsidRPr="00305810" w:rsidR="00973B81">
        <w:rPr>
          <w:rFonts w:cs="Arial"/>
          <w:lang w:bidi="bn-IN"/>
        </w:rPr>
        <w:t xml:space="preserve">BSC helps the management team to connect short-term performance with the company’s </w:t>
      </w:r>
      <w:r w:rsidR="00C64E06">
        <w:rPr>
          <w:rFonts w:cs="Arial"/>
          <w:lang w:bidi="bn-IN"/>
        </w:rPr>
        <w:t>long-term strategic</w:t>
      </w:r>
      <w:r w:rsidRPr="00305810" w:rsidR="00973B81">
        <w:rPr>
          <w:rFonts w:cs="Arial"/>
          <w:lang w:bidi="bn-IN"/>
        </w:rPr>
        <w:t xml:space="preserve"> capabilities rather t</w:t>
      </w:r>
      <w:r w:rsidRPr="00305810" w:rsidR="004A7D98">
        <w:rPr>
          <w:rFonts w:cs="Arial"/>
          <w:lang w:bidi="bn-IN"/>
        </w:rPr>
        <w:t>han</w:t>
      </w:r>
      <w:r w:rsidRPr="00305810" w:rsidR="00973B81">
        <w:rPr>
          <w:rFonts w:cs="Arial"/>
          <w:lang w:bidi="bn-IN"/>
        </w:rPr>
        <w:t xml:space="preserve"> only focusing </w:t>
      </w:r>
      <w:r w:rsidRPr="00305810" w:rsidR="005F72E5">
        <w:rPr>
          <w:rFonts w:cs="Arial"/>
          <w:lang w:bidi="bn-IN"/>
        </w:rPr>
        <w:t xml:space="preserve">on </w:t>
      </w:r>
      <w:r w:rsidRPr="00305810" w:rsidR="001C6B7A">
        <w:rPr>
          <w:rFonts w:cs="Arial"/>
          <w:lang w:bidi="bn-IN"/>
        </w:rPr>
        <w:t>its</w:t>
      </w:r>
      <w:r w:rsidRPr="00305810" w:rsidR="00973B81">
        <w:rPr>
          <w:rFonts w:cs="Arial"/>
          <w:lang w:bidi="bn-IN"/>
        </w:rPr>
        <w:t xml:space="preserve"> profitability.</w:t>
      </w:r>
    </w:p>
    <w:tbl>
      <w:tblPr>
        <w:tblStyle w:val="TableGrid"/>
        <w:tblW w:w="0" w:type="auto"/>
        <w:tblLook w:val="04A0" w:firstRow="1" w:lastRow="0" w:firstColumn="1" w:lastColumn="0" w:noHBand="0" w:noVBand="1"/>
      </w:tblPr>
      <w:tblGrid>
        <w:gridCol w:w="3005"/>
        <w:gridCol w:w="3005"/>
        <w:gridCol w:w="3006"/>
      </w:tblGrid>
      <w:tr w:rsidRPr="00305810" w:rsidR="000D4DF8" w:rsidTr="000D4DF8" w14:paraId="34E79E8F" w14:textId="77777777">
        <w:tc>
          <w:tcPr>
            <w:tcW w:w="3005" w:type="dxa"/>
          </w:tcPr>
          <w:p w:rsidRPr="00305810" w:rsidR="000D4DF8" w:rsidP="00305810" w:rsidRDefault="000D4DF8" w14:paraId="77EE0AE9" w14:textId="2CC9E5BC">
            <w:pPr>
              <w:rPr>
                <w:rFonts w:cs="Arial"/>
                <w:b/>
                <w:bCs/>
              </w:rPr>
            </w:pPr>
            <w:r w:rsidRPr="00305810">
              <w:rPr>
                <w:rFonts w:cs="Arial"/>
                <w:b/>
                <w:bCs/>
              </w:rPr>
              <w:t>Balanced Scorecard Perspective</w:t>
            </w:r>
          </w:p>
        </w:tc>
        <w:tc>
          <w:tcPr>
            <w:tcW w:w="3005" w:type="dxa"/>
          </w:tcPr>
          <w:p w:rsidRPr="00305810" w:rsidR="000D4DF8" w:rsidP="00305810" w:rsidRDefault="000D4DF8" w14:paraId="022582F6" w14:textId="1C05A47A">
            <w:pPr>
              <w:rPr>
                <w:rFonts w:cs="Arial"/>
                <w:b/>
                <w:bCs/>
              </w:rPr>
            </w:pPr>
            <w:r w:rsidRPr="00305810">
              <w:rPr>
                <w:rFonts w:cs="Arial"/>
                <w:b/>
                <w:bCs/>
              </w:rPr>
              <w:t>Tesla Indicator</w:t>
            </w:r>
          </w:p>
        </w:tc>
        <w:tc>
          <w:tcPr>
            <w:tcW w:w="3006" w:type="dxa"/>
          </w:tcPr>
          <w:p w:rsidRPr="00305810" w:rsidR="000D4DF8" w:rsidP="00305810" w:rsidRDefault="000D4DF8" w14:paraId="741DC3A6" w14:textId="7D034B7B">
            <w:pPr>
              <w:rPr>
                <w:rFonts w:cs="Arial"/>
                <w:b/>
                <w:bCs/>
              </w:rPr>
            </w:pPr>
            <w:r w:rsidRPr="00305810">
              <w:rPr>
                <w:rFonts w:cs="Arial"/>
                <w:b/>
                <w:bCs/>
              </w:rPr>
              <w:t>Strategic Relevance</w:t>
            </w:r>
          </w:p>
        </w:tc>
      </w:tr>
      <w:tr w:rsidRPr="00305810" w:rsidR="000D4DF8" w:rsidTr="000D4DF8" w14:paraId="462EC67B" w14:textId="77777777">
        <w:tc>
          <w:tcPr>
            <w:tcW w:w="3005" w:type="dxa"/>
          </w:tcPr>
          <w:p w:rsidRPr="00305810" w:rsidR="000D4DF8" w:rsidP="00305810" w:rsidRDefault="00E40FA6" w14:paraId="34BAAA0B" w14:textId="6E193428">
            <w:pPr>
              <w:rPr>
                <w:rFonts w:cs="Arial"/>
              </w:rPr>
            </w:pPr>
            <w:r w:rsidRPr="00305810">
              <w:rPr>
                <w:rFonts w:cs="Arial"/>
              </w:rPr>
              <w:t>Financial</w:t>
            </w:r>
          </w:p>
        </w:tc>
        <w:tc>
          <w:tcPr>
            <w:tcW w:w="3005" w:type="dxa"/>
          </w:tcPr>
          <w:p w:rsidRPr="00305810" w:rsidR="000D4DF8" w:rsidP="00305810" w:rsidRDefault="00E40FA6" w14:paraId="781A3685" w14:textId="50A310A9">
            <w:pPr>
              <w:rPr>
                <w:rFonts w:cs="Arial"/>
              </w:rPr>
            </w:pPr>
            <w:r w:rsidRPr="00305810">
              <w:rPr>
                <w:rFonts w:cs="Arial"/>
              </w:rPr>
              <w:t>Operating income and revenue</w:t>
            </w:r>
          </w:p>
        </w:tc>
        <w:tc>
          <w:tcPr>
            <w:tcW w:w="3006" w:type="dxa"/>
          </w:tcPr>
          <w:p w:rsidRPr="00305810" w:rsidR="000D4DF8" w:rsidP="00305810" w:rsidRDefault="00E40FA6" w14:paraId="20AA73F2" w14:textId="093FFB23">
            <w:pPr>
              <w:rPr>
                <w:rFonts w:cs="Arial"/>
              </w:rPr>
            </w:pPr>
            <w:r w:rsidRPr="00305810">
              <w:rPr>
                <w:rFonts w:cs="Arial"/>
              </w:rPr>
              <w:t xml:space="preserve">Helps to measure profitability and overall </w:t>
            </w:r>
            <w:r w:rsidRPr="00305810" w:rsidR="00690592">
              <w:rPr>
                <w:rFonts w:cs="Arial"/>
              </w:rPr>
              <w:t>financial performance</w:t>
            </w:r>
          </w:p>
        </w:tc>
      </w:tr>
      <w:tr w:rsidRPr="00305810" w:rsidR="000D4DF8" w:rsidTr="000D4DF8" w14:paraId="6572D630" w14:textId="77777777">
        <w:tc>
          <w:tcPr>
            <w:tcW w:w="3005" w:type="dxa"/>
          </w:tcPr>
          <w:p w:rsidRPr="00305810" w:rsidR="000D4DF8" w:rsidP="00305810" w:rsidRDefault="00690592" w14:paraId="0B814609" w14:textId="59147EEF">
            <w:pPr>
              <w:rPr>
                <w:rFonts w:cs="Arial"/>
              </w:rPr>
            </w:pPr>
            <w:r w:rsidRPr="00305810">
              <w:rPr>
                <w:rFonts w:cs="Arial"/>
              </w:rPr>
              <w:t>Customer</w:t>
            </w:r>
          </w:p>
        </w:tc>
        <w:tc>
          <w:tcPr>
            <w:tcW w:w="3005" w:type="dxa"/>
          </w:tcPr>
          <w:p w:rsidRPr="00305810" w:rsidR="000D4DF8" w:rsidP="00305810" w:rsidRDefault="00690592" w14:paraId="79688994" w14:textId="4DBDC31B">
            <w:pPr>
              <w:rPr>
                <w:rFonts w:cs="Arial"/>
              </w:rPr>
            </w:pPr>
            <w:r w:rsidRPr="00305810">
              <w:rPr>
                <w:rFonts w:cs="Arial"/>
              </w:rPr>
              <w:t>Vehicle deliveries</w:t>
            </w:r>
          </w:p>
        </w:tc>
        <w:tc>
          <w:tcPr>
            <w:tcW w:w="3006" w:type="dxa"/>
          </w:tcPr>
          <w:p w:rsidRPr="00305810" w:rsidR="000D4DF8" w:rsidP="00305810" w:rsidRDefault="00690592" w14:paraId="3A72E974" w14:textId="2EE13F26">
            <w:pPr>
              <w:rPr>
                <w:rFonts w:cs="Arial"/>
              </w:rPr>
            </w:pPr>
            <w:r w:rsidRPr="00305810">
              <w:rPr>
                <w:rFonts w:cs="Arial"/>
              </w:rPr>
              <w:t xml:space="preserve">Indicates mostly customer preference and </w:t>
            </w:r>
            <w:r w:rsidRPr="00305810" w:rsidR="00872A60">
              <w:rPr>
                <w:rFonts w:cs="Arial"/>
              </w:rPr>
              <w:t>market demand</w:t>
            </w:r>
          </w:p>
        </w:tc>
      </w:tr>
      <w:tr w:rsidRPr="00305810" w:rsidR="00872A60" w:rsidTr="000D4DF8" w14:paraId="2C640B19" w14:textId="77777777">
        <w:tc>
          <w:tcPr>
            <w:tcW w:w="3005" w:type="dxa"/>
          </w:tcPr>
          <w:p w:rsidRPr="00305810" w:rsidR="00872A60" w:rsidP="00305810" w:rsidRDefault="00B3323E" w14:paraId="2E1BD8EF" w14:textId="2D30D291">
            <w:pPr>
              <w:rPr>
                <w:rFonts w:cs="Arial"/>
              </w:rPr>
            </w:pPr>
            <w:r w:rsidRPr="00305810">
              <w:rPr>
                <w:rFonts w:cs="Arial"/>
              </w:rPr>
              <w:t>Internal Process</w:t>
            </w:r>
          </w:p>
        </w:tc>
        <w:tc>
          <w:tcPr>
            <w:tcW w:w="3005" w:type="dxa"/>
          </w:tcPr>
          <w:p w:rsidRPr="00305810" w:rsidR="00872A60" w:rsidP="00305810" w:rsidRDefault="00B3323E" w14:paraId="7D5E1E17" w14:textId="26FBF1DC">
            <w:pPr>
              <w:rPr>
                <w:rFonts w:cs="Arial"/>
              </w:rPr>
            </w:pPr>
            <w:r w:rsidRPr="00305810">
              <w:rPr>
                <w:rFonts w:cs="Arial"/>
              </w:rPr>
              <w:t>Manufacturing efficiency</w:t>
            </w:r>
          </w:p>
        </w:tc>
        <w:tc>
          <w:tcPr>
            <w:tcW w:w="3006" w:type="dxa"/>
          </w:tcPr>
          <w:p w:rsidRPr="00305810" w:rsidR="00872A60" w:rsidP="00305810" w:rsidRDefault="00C80DF1" w14:paraId="1EB54D52" w14:textId="488A3DEA">
            <w:pPr>
              <w:rPr>
                <w:rFonts w:cs="Arial"/>
              </w:rPr>
            </w:pPr>
            <w:r w:rsidRPr="00305810">
              <w:rPr>
                <w:rFonts w:cs="Arial"/>
              </w:rPr>
              <w:t>Mostly supports operational efficiency and cost control</w:t>
            </w:r>
          </w:p>
        </w:tc>
      </w:tr>
      <w:tr w:rsidRPr="00305810" w:rsidR="00402EE3" w:rsidTr="000D4DF8" w14:paraId="16E5B4EE" w14:textId="77777777">
        <w:tc>
          <w:tcPr>
            <w:tcW w:w="3005" w:type="dxa"/>
          </w:tcPr>
          <w:p w:rsidRPr="00305810" w:rsidR="00402EE3" w:rsidP="00305810" w:rsidRDefault="00402EE3" w14:paraId="7A3EC11B" w14:textId="1CDCB5D9">
            <w:pPr>
              <w:rPr>
                <w:rFonts w:cs="Arial"/>
              </w:rPr>
            </w:pPr>
            <w:r w:rsidRPr="00305810">
              <w:rPr>
                <w:rFonts w:cs="Arial"/>
              </w:rPr>
              <w:t>Learning and Growth</w:t>
            </w:r>
          </w:p>
        </w:tc>
        <w:tc>
          <w:tcPr>
            <w:tcW w:w="3005" w:type="dxa"/>
          </w:tcPr>
          <w:p w:rsidRPr="00305810" w:rsidR="00402EE3" w:rsidP="00305810" w:rsidRDefault="00B406E8" w14:paraId="548320FE" w14:textId="7B650C5D">
            <w:pPr>
              <w:rPr>
                <w:rFonts w:cs="Arial"/>
              </w:rPr>
            </w:pPr>
            <w:r w:rsidRPr="00305810">
              <w:rPr>
                <w:rFonts w:cs="Arial"/>
              </w:rPr>
              <w:t>R&amp;D expenditure</w:t>
            </w:r>
          </w:p>
        </w:tc>
        <w:tc>
          <w:tcPr>
            <w:tcW w:w="3006" w:type="dxa"/>
          </w:tcPr>
          <w:p w:rsidRPr="00305810" w:rsidR="00402EE3" w:rsidP="00305810" w:rsidRDefault="00C64E06" w14:paraId="45959799" w14:textId="5798CDC8">
            <w:pPr>
              <w:rPr>
                <w:rFonts w:cs="Arial"/>
              </w:rPr>
            </w:pPr>
            <w:r>
              <w:rPr>
                <w:rFonts w:cs="Arial"/>
              </w:rPr>
              <w:t>Supports</w:t>
            </w:r>
            <w:r w:rsidRPr="00305810" w:rsidR="00B406E8">
              <w:rPr>
                <w:rFonts w:cs="Arial"/>
              </w:rPr>
              <w:t xml:space="preserve"> future capabilities, AI and innovation.</w:t>
            </w:r>
          </w:p>
        </w:tc>
      </w:tr>
    </w:tbl>
    <w:p w:rsidRPr="00305810" w:rsidR="006E06A2" w:rsidP="00305810" w:rsidRDefault="006E06A2" w14:paraId="733D1CDB" w14:textId="54314354">
      <w:pPr>
        <w:spacing w:after="0"/>
        <w:rPr>
          <w:rFonts w:cs="Arial"/>
        </w:rPr>
      </w:pPr>
    </w:p>
    <w:p w:rsidRPr="00305810" w:rsidR="009F4035" w:rsidP="00305810" w:rsidRDefault="009F4035" w14:paraId="32EAB8D4" w14:textId="6E4242CF">
      <w:pPr>
        <w:spacing w:after="0"/>
        <w:rPr>
          <w:rFonts w:cs="Arial"/>
        </w:rPr>
      </w:pPr>
      <w:r w:rsidRPr="00305810">
        <w:rPr>
          <w:rFonts w:cs="Arial"/>
        </w:rPr>
        <w:t xml:space="preserve">Throughout the years, Tesla has continued to invest in autonomous driving technology, energy products, AI, and software, which illustrates the tension between long-term </w:t>
      </w:r>
      <w:r w:rsidRPr="00305810">
        <w:rPr>
          <w:rFonts w:cs="Arial"/>
        </w:rPr>
        <w:lastRenderedPageBreak/>
        <w:t>capability and short-term profitability</w:t>
      </w:r>
      <w:r w:rsidRPr="00305810" w:rsidR="001952FE">
        <w:rPr>
          <w:rFonts w:cs="Arial"/>
        </w:rPr>
        <w:t xml:space="preserve">. The annual report of Tesla in 2025 highlighted the constant </w:t>
      </w:r>
      <w:r w:rsidRPr="00305810" w:rsidR="00AC00C2">
        <w:rPr>
          <w:rFonts w:cs="Arial"/>
        </w:rPr>
        <w:t>investment in R&amp;D</w:t>
      </w:r>
      <w:r w:rsidRPr="00305810" w:rsidR="00E50A0B">
        <w:rPr>
          <w:rFonts w:cs="Arial"/>
        </w:rPr>
        <w:t xml:space="preserve"> along with operational efficiency measures and </w:t>
      </w:r>
      <w:r w:rsidRPr="00305810" w:rsidR="00742F3F">
        <w:rPr>
          <w:rFonts w:cs="Arial"/>
        </w:rPr>
        <w:t xml:space="preserve">cost reduction (Tesla, 2026). </w:t>
      </w:r>
      <w:r w:rsidRPr="00305810" w:rsidR="008814C3">
        <w:rPr>
          <w:rFonts w:cs="Arial"/>
        </w:rPr>
        <w:t xml:space="preserve">Hence, management accounting is significant in helping the overall </w:t>
      </w:r>
      <w:r w:rsidRPr="00305810" w:rsidR="00223576">
        <w:rPr>
          <w:rFonts w:cs="Arial"/>
        </w:rPr>
        <w:t>assessment</w:t>
      </w:r>
      <w:r w:rsidRPr="00305810" w:rsidR="008814C3">
        <w:rPr>
          <w:rFonts w:cs="Arial"/>
        </w:rPr>
        <w:t xml:space="preserve"> of the financial implications of strategic alternatives</w:t>
      </w:r>
      <w:r w:rsidRPr="00305810" w:rsidR="00397206">
        <w:rPr>
          <w:rFonts w:cs="Arial"/>
        </w:rPr>
        <w:t xml:space="preserve">. It is different from putting sole focus on the immediate profit. </w:t>
      </w:r>
    </w:p>
    <w:p w:rsidRPr="00305810" w:rsidR="000F6C1F" w:rsidP="00305810" w:rsidRDefault="000F6C1F" w14:paraId="378B54A1" w14:textId="77DE41DC">
      <w:pPr>
        <w:pStyle w:val="Heading1"/>
        <w:spacing w:before="0" w:after="0"/>
        <w:rPr>
          <w:rFonts w:cs="Arial"/>
          <w:szCs w:val="24"/>
        </w:rPr>
      </w:pPr>
      <w:bookmarkStart w:name="_Toc240899721" w:id="6"/>
      <w:r w:rsidRPr="00305810">
        <w:rPr>
          <w:rFonts w:cs="Arial"/>
          <w:szCs w:val="24"/>
        </w:rPr>
        <w:t>5. Sustainability and Ethical Considerations</w:t>
      </w:r>
      <w:bookmarkEnd w:id="6"/>
      <w:r w:rsidRPr="00305810" w:rsidR="00240D2C">
        <w:rPr>
          <w:rFonts w:cs="Arial"/>
          <w:szCs w:val="24"/>
        </w:rPr>
        <w:t xml:space="preserve"> </w:t>
      </w:r>
    </w:p>
    <w:p w:rsidRPr="00305810" w:rsidR="001723D9" w:rsidP="00305810" w:rsidRDefault="001723D9" w14:paraId="0337F5D5" w14:textId="583FD965">
      <w:pPr>
        <w:spacing w:after="0"/>
        <w:rPr>
          <w:rFonts w:cs="Arial"/>
          <w:lang w:bidi="bn-IN"/>
        </w:rPr>
      </w:pPr>
      <w:r w:rsidRPr="00305810">
        <w:rPr>
          <w:rFonts w:cs="Arial"/>
          <w:lang w:bidi="bn-IN"/>
        </w:rPr>
        <w:t xml:space="preserve">Sustainability in modern businesses </w:t>
      </w:r>
      <w:r w:rsidRPr="00305810" w:rsidR="00726562">
        <w:rPr>
          <w:rFonts w:cs="Arial"/>
          <w:lang w:bidi="bn-IN"/>
        </w:rPr>
        <w:t>is increasingly</w:t>
      </w:r>
      <w:r w:rsidRPr="00305810">
        <w:rPr>
          <w:rFonts w:cs="Arial"/>
          <w:lang w:bidi="bn-IN"/>
        </w:rPr>
        <w:t xml:space="preserve"> relevant to management accounting as organisations always </w:t>
      </w:r>
      <w:r w:rsidRPr="00305810" w:rsidR="00726562">
        <w:rPr>
          <w:rFonts w:cs="Arial"/>
          <w:lang w:bidi="bn-IN"/>
        </w:rPr>
        <w:t>need</w:t>
      </w:r>
      <w:r w:rsidRPr="00305810">
        <w:rPr>
          <w:rFonts w:cs="Arial"/>
          <w:lang w:bidi="bn-IN"/>
        </w:rPr>
        <w:t xml:space="preserve"> information related to social and environmental impacts along with </w:t>
      </w:r>
      <w:r w:rsidRPr="00305810" w:rsidR="0012612D">
        <w:rPr>
          <w:rFonts w:cs="Arial"/>
          <w:lang w:bidi="bn-IN"/>
        </w:rPr>
        <w:t>their</w:t>
      </w:r>
      <w:r w:rsidRPr="00305810">
        <w:rPr>
          <w:rFonts w:cs="Arial"/>
          <w:lang w:bidi="bn-IN"/>
        </w:rPr>
        <w:t xml:space="preserve"> financial performance. </w:t>
      </w:r>
      <w:r w:rsidRPr="00305810" w:rsidR="00726562">
        <w:rPr>
          <w:rFonts w:cs="Arial"/>
          <w:lang w:bidi="bn-IN"/>
        </w:rPr>
        <w:t>According</w:t>
      </w:r>
      <w:r w:rsidRPr="00305810">
        <w:rPr>
          <w:rFonts w:cs="Arial"/>
          <w:lang w:bidi="bn-IN"/>
        </w:rPr>
        <w:t xml:space="preserve"> t</w:t>
      </w:r>
      <w:r w:rsidRPr="00305810" w:rsidR="00726562">
        <w:rPr>
          <w:rFonts w:cs="Arial"/>
          <w:lang w:bidi="bn-IN"/>
        </w:rPr>
        <w:t xml:space="preserve">o </w:t>
      </w:r>
      <w:proofErr w:type="spellStart"/>
      <w:r w:rsidRPr="00305810" w:rsidR="00726562">
        <w:rPr>
          <w:rFonts w:cs="Arial"/>
        </w:rPr>
        <w:t>Schaltegger</w:t>
      </w:r>
      <w:proofErr w:type="spellEnd"/>
      <w:r w:rsidRPr="00305810" w:rsidR="00E34C8B">
        <w:rPr>
          <w:rFonts w:cs="Arial"/>
        </w:rPr>
        <w:t xml:space="preserve"> </w:t>
      </w:r>
      <w:r w:rsidRPr="00305810">
        <w:rPr>
          <w:rFonts w:cs="Arial"/>
          <w:i/>
          <w:iCs/>
          <w:lang w:bidi="bn-IN"/>
        </w:rPr>
        <w:t>et al</w:t>
      </w:r>
      <w:r w:rsidRPr="00305810">
        <w:rPr>
          <w:rFonts w:cs="Arial"/>
          <w:lang w:bidi="bn-IN"/>
        </w:rPr>
        <w:t xml:space="preserve">. (2022), </w:t>
      </w:r>
      <w:r w:rsidRPr="00305810" w:rsidR="0012612D">
        <w:rPr>
          <w:rFonts w:cs="Arial"/>
          <w:lang w:bidi="bn-IN"/>
        </w:rPr>
        <w:t>sustainability management accounting helps in expanding the information available to the managers through the incorporation of economic</w:t>
      </w:r>
      <w:r w:rsidRPr="00305810" w:rsidR="002E648E">
        <w:rPr>
          <w:rFonts w:cs="Arial"/>
          <w:lang w:bidi="bn-IN"/>
        </w:rPr>
        <w:t>,</w:t>
      </w:r>
      <w:r w:rsidRPr="00305810" w:rsidR="0012612D">
        <w:rPr>
          <w:rFonts w:cs="Arial"/>
          <w:lang w:bidi="bn-IN"/>
        </w:rPr>
        <w:t xml:space="preserve"> social and environmental considerations into </w:t>
      </w:r>
      <w:r w:rsidRPr="00305810" w:rsidR="002E648E">
        <w:rPr>
          <w:rFonts w:cs="Arial"/>
          <w:lang w:bidi="bn-IN"/>
        </w:rPr>
        <w:t>decision-making.</w:t>
      </w:r>
      <w:r w:rsidRPr="00305810" w:rsidR="0012612D">
        <w:rPr>
          <w:rFonts w:cs="Arial"/>
          <w:lang w:bidi="bn-IN"/>
        </w:rPr>
        <w:t xml:space="preserve"> According to Frost and Rooney </w:t>
      </w:r>
      <w:r w:rsidRPr="00305810" w:rsidR="00E25DE2">
        <w:rPr>
          <w:rFonts w:cs="Arial"/>
          <w:lang w:bidi="bn-IN"/>
        </w:rPr>
        <w:t>(</w:t>
      </w:r>
      <w:r w:rsidRPr="00305810" w:rsidR="0012612D">
        <w:rPr>
          <w:rFonts w:cs="Arial"/>
          <w:lang w:bidi="bn-IN"/>
        </w:rPr>
        <w:t>2021</w:t>
      </w:r>
      <w:r w:rsidRPr="00305810" w:rsidR="00E25DE2">
        <w:rPr>
          <w:rFonts w:cs="Arial"/>
          <w:lang w:bidi="bn-IN"/>
        </w:rPr>
        <w:t>),</w:t>
      </w:r>
      <w:r w:rsidRPr="00305810" w:rsidR="0012612D">
        <w:rPr>
          <w:rFonts w:cs="Arial"/>
          <w:lang w:bidi="bn-IN"/>
        </w:rPr>
        <w:t xml:space="preserve"> sustainability considerations can also have significant influence on capital budgeting decisions. </w:t>
      </w:r>
    </w:p>
    <w:p w:rsidRPr="00305810" w:rsidR="0012612D" w:rsidP="00305810" w:rsidRDefault="00205E6F" w14:paraId="28C49057" w14:textId="737C723B">
      <w:pPr>
        <w:spacing w:after="0"/>
        <w:rPr>
          <w:rFonts w:cs="Arial"/>
          <w:lang w:bidi="bn-IN"/>
        </w:rPr>
      </w:pPr>
      <w:r w:rsidRPr="00305810">
        <w:rPr>
          <w:rFonts w:cs="Arial"/>
          <w:lang w:bidi="bn-IN"/>
        </w:rPr>
        <w:t>A business model of Tesla is inherently connected</w:t>
      </w:r>
      <w:r w:rsidRPr="00305810" w:rsidR="002B6B0F">
        <w:rPr>
          <w:rFonts w:cs="Arial"/>
          <w:lang w:bidi="bn-IN"/>
        </w:rPr>
        <w:t xml:space="preserve"> with a strong transition towards energy storage and electric mobility. However, sustainability can never be evaluated through the identification of K slash one of the EV manufacturers. Management needs to consider manufacturing energy consumption, recycling and resource use, supply chain impacts and battery materials.</w:t>
      </w:r>
    </w:p>
    <w:p w:rsidRPr="00305810" w:rsidR="002B6B0F" w:rsidP="00305810" w:rsidRDefault="002B6B0F" w14:paraId="3CC7D220" w14:textId="49812539">
      <w:pPr>
        <w:spacing w:after="0"/>
        <w:rPr>
          <w:rFonts w:cs="Arial"/>
          <w:lang w:bidi="bn-IN"/>
        </w:rPr>
      </w:pPr>
      <w:r w:rsidRPr="00305810">
        <w:rPr>
          <w:rFonts w:cs="Arial"/>
          <w:lang w:bidi="bn-IN"/>
        </w:rPr>
        <w:t xml:space="preserve">Environmental management accounting can help with the identification of environmental costs that are related to. Waste, emissions, energy and materials. </w:t>
      </w:r>
      <w:r w:rsidRPr="00305810" w:rsidR="004A2722">
        <w:rPr>
          <w:rFonts w:cs="Arial"/>
          <w:lang w:bidi="bn-IN"/>
        </w:rPr>
        <w:t>Environmental management accounting is one of the most significant mechanisms</w:t>
      </w:r>
      <w:r w:rsidRPr="00305810" w:rsidR="00C517C0">
        <w:rPr>
          <w:rFonts w:cs="Arial"/>
          <w:lang w:bidi="bn-IN"/>
        </w:rPr>
        <w:t xml:space="preserve"> for supporting </w:t>
      </w:r>
      <w:r w:rsidRPr="00305810" w:rsidR="00740956">
        <w:rPr>
          <w:rFonts w:cs="Arial"/>
          <w:lang w:bidi="bn-IN"/>
        </w:rPr>
        <w:t xml:space="preserve">organisational decision-making more sustainably. </w:t>
      </w:r>
    </w:p>
    <w:p w:rsidRPr="00305810" w:rsidR="00F11885" w:rsidP="00305810" w:rsidRDefault="00F11885" w14:paraId="603297A0" w14:textId="721BA6AD">
      <w:pPr>
        <w:spacing w:after="0"/>
        <w:rPr>
          <w:rFonts w:cs="Arial"/>
          <w:lang w:bidi="bn-IN"/>
        </w:rPr>
      </w:pPr>
      <w:r w:rsidRPr="00305810">
        <w:rPr>
          <w:rFonts w:cs="Arial"/>
          <w:lang w:bidi="bn-IN"/>
        </w:rPr>
        <w:t xml:space="preserve">Ethical </w:t>
      </w:r>
      <w:r w:rsidRPr="00305810" w:rsidR="001B3A9A">
        <w:rPr>
          <w:rFonts w:cs="Arial"/>
          <w:lang w:bidi="bn-IN"/>
        </w:rPr>
        <w:t>considerations</w:t>
      </w:r>
      <w:r w:rsidRPr="00305810">
        <w:rPr>
          <w:rFonts w:cs="Arial"/>
          <w:lang w:bidi="bn-IN"/>
        </w:rPr>
        <w:t xml:space="preserve"> </w:t>
      </w:r>
      <w:r w:rsidRPr="00305810" w:rsidR="00326E2F">
        <w:rPr>
          <w:rFonts w:cs="Arial"/>
          <w:lang w:bidi="bn-IN"/>
        </w:rPr>
        <w:t xml:space="preserve">also </w:t>
      </w:r>
      <w:r w:rsidRPr="00305810" w:rsidR="001B3A9A">
        <w:rPr>
          <w:rFonts w:cs="Arial"/>
          <w:lang w:bidi="bn-IN"/>
        </w:rPr>
        <w:t>come forward</w:t>
      </w:r>
      <w:r w:rsidRPr="00305810" w:rsidR="00326E2F">
        <w:rPr>
          <w:rFonts w:cs="Arial"/>
          <w:lang w:bidi="bn-IN"/>
        </w:rPr>
        <w:t xml:space="preserve"> </w:t>
      </w:r>
      <w:r w:rsidRPr="00305810" w:rsidR="007D6D8A">
        <w:rPr>
          <w:rFonts w:cs="Arial"/>
          <w:lang w:bidi="bn-IN"/>
        </w:rPr>
        <w:t xml:space="preserve">in pricing and cost management. </w:t>
      </w:r>
      <w:r w:rsidRPr="00305810" w:rsidR="0019664F">
        <w:rPr>
          <w:rFonts w:cs="Arial"/>
          <w:lang w:bidi="bn-IN"/>
        </w:rPr>
        <w:t>Cost reduction should never include compromisin</w:t>
      </w:r>
      <w:r w:rsidRPr="00305810" w:rsidR="00F52011">
        <w:rPr>
          <w:rFonts w:cs="Arial"/>
          <w:lang w:bidi="bn-IN"/>
        </w:rPr>
        <w:t xml:space="preserve">g supplier standards, environmental responsibility, product safety and </w:t>
      </w:r>
      <w:r w:rsidRPr="00305810" w:rsidR="00884576">
        <w:rPr>
          <w:rFonts w:cs="Arial"/>
          <w:lang w:bidi="bn-IN"/>
        </w:rPr>
        <w:t xml:space="preserve">employee welfare. </w:t>
      </w:r>
      <w:r w:rsidRPr="00305810" w:rsidR="007D13B7">
        <w:rPr>
          <w:rFonts w:cs="Arial"/>
          <w:lang w:bidi="bn-IN"/>
        </w:rPr>
        <w:t xml:space="preserve">At the same time, </w:t>
      </w:r>
      <w:r w:rsidRPr="00305810" w:rsidR="00492A27">
        <w:rPr>
          <w:rFonts w:cs="Arial"/>
          <w:lang w:bidi="bn-IN"/>
        </w:rPr>
        <w:t xml:space="preserve">pricing decisions need to </w:t>
      </w:r>
      <w:r w:rsidRPr="00305810" w:rsidR="008844CB">
        <w:rPr>
          <w:rFonts w:cs="Arial"/>
          <w:lang w:bidi="bn-IN"/>
        </w:rPr>
        <w:t>balance</w:t>
      </w:r>
      <w:r w:rsidRPr="00305810" w:rsidR="00A22CCD">
        <w:rPr>
          <w:rFonts w:cs="Arial"/>
          <w:lang w:bidi="bn-IN"/>
        </w:rPr>
        <w:t xml:space="preserve"> </w:t>
      </w:r>
      <w:r w:rsidRPr="00305810" w:rsidR="00D4150B">
        <w:rPr>
          <w:rFonts w:cs="Arial"/>
          <w:lang w:bidi="bn-IN"/>
        </w:rPr>
        <w:t>market transparency</w:t>
      </w:r>
      <w:r w:rsidRPr="00305810" w:rsidR="00F648E5">
        <w:rPr>
          <w:rFonts w:cs="Arial"/>
          <w:lang w:bidi="bn-IN"/>
        </w:rPr>
        <w:t xml:space="preserve"> and</w:t>
      </w:r>
      <w:r w:rsidRPr="00305810" w:rsidR="00D4150B">
        <w:rPr>
          <w:rFonts w:cs="Arial"/>
          <w:lang w:bidi="bn-IN"/>
        </w:rPr>
        <w:t xml:space="preserve"> </w:t>
      </w:r>
      <w:r w:rsidRPr="00305810" w:rsidR="00BF65A6">
        <w:rPr>
          <w:rFonts w:cs="Arial"/>
          <w:lang w:bidi="bn-IN"/>
        </w:rPr>
        <w:t xml:space="preserve">customer fairness with profitability. </w:t>
      </w:r>
    </w:p>
    <w:p w:rsidRPr="00305810" w:rsidR="00237D5E" w:rsidP="00305810" w:rsidRDefault="00237D5E" w14:paraId="0EB108C3" w14:textId="2EB93BC8">
      <w:pPr>
        <w:spacing w:after="0"/>
        <w:rPr>
          <w:rFonts w:cs="Arial"/>
          <w:lang w:bidi="bn-IN"/>
        </w:rPr>
      </w:pPr>
      <w:r w:rsidRPr="00305810">
        <w:rPr>
          <w:rFonts w:cs="Arial"/>
          <w:lang w:bidi="bn-IN"/>
        </w:rPr>
        <w:t xml:space="preserve">There is a significant tension between sustainability and financial objectives at Tesco. </w:t>
      </w:r>
      <w:r w:rsidRPr="00305810" w:rsidR="00070E34">
        <w:rPr>
          <w:rFonts w:cs="Arial"/>
          <w:lang w:bidi="bn-IN"/>
        </w:rPr>
        <w:t>Conventional</w:t>
      </w:r>
      <w:r w:rsidRPr="00305810" w:rsidR="002E648E">
        <w:rPr>
          <w:rFonts w:cs="Arial"/>
          <w:lang w:bidi="bn-IN"/>
        </w:rPr>
        <w:t xml:space="preserve"> accounting </w:t>
      </w:r>
      <w:r w:rsidRPr="00305810" w:rsidR="006D264F">
        <w:rPr>
          <w:rFonts w:cs="Arial"/>
          <w:lang w:bidi="bn-IN"/>
        </w:rPr>
        <w:t xml:space="preserve">is </w:t>
      </w:r>
      <w:r w:rsidRPr="00305810" w:rsidR="00B731FE">
        <w:rPr>
          <w:rFonts w:cs="Arial"/>
          <w:lang w:bidi="bn-IN"/>
        </w:rPr>
        <w:t>also a pivotal part</w:t>
      </w:r>
      <w:r w:rsidRPr="00305810" w:rsidR="005B6474">
        <w:rPr>
          <w:rFonts w:cs="Arial"/>
          <w:lang w:bidi="bn-IN"/>
        </w:rPr>
        <w:t>,</w:t>
      </w:r>
      <w:r w:rsidRPr="00305810" w:rsidR="00B731FE">
        <w:rPr>
          <w:rFonts w:cs="Arial"/>
          <w:lang w:bidi="bn-IN"/>
        </w:rPr>
        <w:t xml:space="preserve"> as it helps </w:t>
      </w:r>
      <w:r w:rsidRPr="00305810" w:rsidR="005B6474">
        <w:rPr>
          <w:rFonts w:cs="Arial"/>
          <w:lang w:bidi="bn-IN"/>
        </w:rPr>
        <w:t>prioritise</w:t>
      </w:r>
      <w:r w:rsidRPr="00305810" w:rsidR="00984245">
        <w:rPr>
          <w:rFonts w:cs="Arial"/>
          <w:lang w:bidi="bn-IN"/>
        </w:rPr>
        <w:t xml:space="preserve"> </w:t>
      </w:r>
      <w:r w:rsidRPr="00305810" w:rsidR="00E0668C">
        <w:rPr>
          <w:rFonts w:cs="Arial"/>
          <w:lang w:bidi="bn-IN"/>
        </w:rPr>
        <w:t>financial performance</w:t>
      </w:r>
      <w:r w:rsidRPr="00305810" w:rsidR="005B6474">
        <w:rPr>
          <w:rFonts w:cs="Arial"/>
          <w:lang w:bidi="bn-IN"/>
        </w:rPr>
        <w:t>,</w:t>
      </w:r>
      <w:r w:rsidRPr="00305810" w:rsidR="00E0668C">
        <w:rPr>
          <w:rFonts w:cs="Arial"/>
          <w:lang w:bidi="bn-IN"/>
        </w:rPr>
        <w:t xml:space="preserve"> while </w:t>
      </w:r>
      <w:r w:rsidRPr="00305810" w:rsidR="008028C8">
        <w:rPr>
          <w:rFonts w:cs="Arial"/>
          <w:lang w:bidi="bn-IN"/>
        </w:rPr>
        <w:t xml:space="preserve">sustainability considerations might </w:t>
      </w:r>
      <w:r w:rsidRPr="00305810" w:rsidR="005B6474">
        <w:rPr>
          <w:rFonts w:cs="Arial"/>
          <w:lang w:bidi="bn-IN"/>
        </w:rPr>
        <w:t>require</w:t>
      </w:r>
      <w:r w:rsidRPr="00305810" w:rsidR="008028C8">
        <w:rPr>
          <w:rFonts w:cs="Arial"/>
          <w:lang w:bidi="bn-IN"/>
        </w:rPr>
        <w:t xml:space="preserve"> company managers to recognise and understand the </w:t>
      </w:r>
      <w:r w:rsidRPr="00305810" w:rsidR="005B6474">
        <w:rPr>
          <w:rFonts w:cs="Arial"/>
          <w:lang w:bidi="bn-IN"/>
        </w:rPr>
        <w:t>broader</w:t>
      </w:r>
      <w:r w:rsidRPr="00305810" w:rsidR="008028C8">
        <w:rPr>
          <w:rFonts w:cs="Arial"/>
          <w:lang w:bidi="bn-IN"/>
        </w:rPr>
        <w:t xml:space="preserve"> impacts. </w:t>
      </w:r>
      <w:r w:rsidRPr="00305810" w:rsidR="00BF3173">
        <w:rPr>
          <w:rFonts w:cs="Arial"/>
          <w:lang w:bidi="bn-IN"/>
        </w:rPr>
        <w:t xml:space="preserve">According to the description of </w:t>
      </w:r>
      <w:proofErr w:type="spellStart"/>
      <w:r w:rsidRPr="00305810" w:rsidR="00C00374">
        <w:rPr>
          <w:rFonts w:cs="Arial"/>
          <w:lang w:bidi="bn-IN"/>
        </w:rPr>
        <w:t>Pencle</w:t>
      </w:r>
      <w:proofErr w:type="spellEnd"/>
      <w:r w:rsidRPr="00305810" w:rsidR="00C00374">
        <w:rPr>
          <w:rFonts w:cs="Arial"/>
          <w:lang w:bidi="bn-IN"/>
        </w:rPr>
        <w:t xml:space="preserve"> (2022), </w:t>
      </w:r>
      <w:r w:rsidRPr="00305810" w:rsidR="00E3575D">
        <w:rPr>
          <w:rFonts w:cs="Arial"/>
          <w:lang w:bidi="bn-IN"/>
        </w:rPr>
        <w:t>sustainability management</w:t>
      </w:r>
      <w:r w:rsidRPr="00305810" w:rsidR="00977D7E">
        <w:rPr>
          <w:rFonts w:cs="Arial"/>
          <w:lang w:bidi="bn-IN"/>
        </w:rPr>
        <w:t xml:space="preserve"> i</w:t>
      </w:r>
      <w:r w:rsidRPr="00305810" w:rsidR="00297218">
        <w:rPr>
          <w:rFonts w:cs="Arial"/>
          <w:lang w:bidi="bn-IN"/>
        </w:rPr>
        <w:t xml:space="preserve">ncludes </w:t>
      </w:r>
      <w:r w:rsidRPr="00305810" w:rsidR="00612F5E">
        <w:rPr>
          <w:rFonts w:cs="Arial"/>
          <w:lang w:bidi="bn-IN"/>
        </w:rPr>
        <w:t xml:space="preserve">persistent tensions </w:t>
      </w:r>
      <w:r w:rsidRPr="00305810" w:rsidR="00D01293">
        <w:rPr>
          <w:rFonts w:cs="Arial"/>
          <w:lang w:bidi="bn-IN"/>
        </w:rPr>
        <w:t>between the objectives of the organisation</w:t>
      </w:r>
      <w:r w:rsidRPr="00305810" w:rsidR="00C12300">
        <w:rPr>
          <w:rFonts w:cs="Arial"/>
          <w:lang w:bidi="bn-IN"/>
        </w:rPr>
        <w:t>.</w:t>
      </w:r>
    </w:p>
    <w:p w:rsidRPr="00305810" w:rsidR="00C74270" w:rsidP="00305810" w:rsidRDefault="00C74270" w14:paraId="206B1B9E" w14:textId="432E354F">
      <w:pPr>
        <w:spacing w:after="0"/>
        <w:rPr>
          <w:rFonts w:cs="Arial"/>
          <w:lang w:bidi="bn-IN"/>
        </w:rPr>
      </w:pPr>
      <w:r w:rsidRPr="00305810">
        <w:rPr>
          <w:rFonts w:cs="Arial"/>
          <w:lang w:bidi="bn-IN"/>
        </w:rPr>
        <w:lastRenderedPageBreak/>
        <w:t xml:space="preserve">For Tesla, </w:t>
      </w:r>
      <w:r w:rsidRPr="00305810" w:rsidR="00633755">
        <w:rPr>
          <w:rFonts w:cs="Arial"/>
          <w:lang w:bidi="bn-IN"/>
        </w:rPr>
        <w:t xml:space="preserve">management accounting, hence, </w:t>
      </w:r>
      <w:r w:rsidRPr="00305810" w:rsidR="006B2A77">
        <w:rPr>
          <w:rFonts w:cs="Arial"/>
          <w:lang w:bidi="bn-IN"/>
        </w:rPr>
        <w:t>needs</w:t>
      </w:r>
      <w:r w:rsidRPr="00305810" w:rsidR="00633755">
        <w:rPr>
          <w:rFonts w:cs="Arial"/>
          <w:lang w:bidi="bn-IN"/>
        </w:rPr>
        <w:t xml:space="preserve"> to incorporate </w:t>
      </w:r>
      <w:r w:rsidRPr="00305810" w:rsidR="005846A5">
        <w:rPr>
          <w:rFonts w:cs="Arial"/>
          <w:lang w:bidi="bn-IN"/>
        </w:rPr>
        <w:t>benefits</w:t>
      </w:r>
      <w:r w:rsidRPr="00305810" w:rsidR="00ED0FBF">
        <w:rPr>
          <w:rFonts w:cs="Arial"/>
          <w:lang w:bidi="bn-IN"/>
        </w:rPr>
        <w:t xml:space="preserve"> and </w:t>
      </w:r>
      <w:r w:rsidRPr="00305810" w:rsidR="008D3CB3">
        <w:rPr>
          <w:rFonts w:cs="Arial"/>
          <w:lang w:bidi="bn-IN"/>
        </w:rPr>
        <w:t>sustainability-related costs</w:t>
      </w:r>
      <w:r w:rsidRPr="00305810" w:rsidR="005846A5">
        <w:rPr>
          <w:rFonts w:cs="Arial"/>
          <w:lang w:bidi="bn-IN"/>
        </w:rPr>
        <w:t xml:space="preserve"> into </w:t>
      </w:r>
      <w:r w:rsidRPr="00305810" w:rsidR="00ED0FBF">
        <w:rPr>
          <w:rFonts w:cs="Arial"/>
          <w:lang w:bidi="bn-IN"/>
        </w:rPr>
        <w:t>capital</w:t>
      </w:r>
      <w:r w:rsidRPr="00305810" w:rsidR="00E20AD3">
        <w:rPr>
          <w:rFonts w:cs="Arial"/>
          <w:lang w:bidi="bn-IN"/>
        </w:rPr>
        <w:t xml:space="preserve"> investment, production decisions and supplier selection. </w:t>
      </w:r>
      <w:r w:rsidRPr="00305810" w:rsidR="000C6315">
        <w:rPr>
          <w:rFonts w:cs="Arial"/>
          <w:lang w:bidi="bn-IN"/>
        </w:rPr>
        <w:t xml:space="preserve">This approach can help in the reduction </w:t>
      </w:r>
      <w:r w:rsidRPr="00305810" w:rsidR="009C6E1D">
        <w:rPr>
          <w:rFonts w:cs="Arial"/>
          <w:lang w:bidi="bn-IN"/>
        </w:rPr>
        <w:t>of the risks</w:t>
      </w:r>
      <w:r w:rsidRPr="00305810" w:rsidR="00AA3F48">
        <w:rPr>
          <w:rFonts w:cs="Arial"/>
          <w:lang w:bidi="bn-IN"/>
        </w:rPr>
        <w:t xml:space="preserve"> that </w:t>
      </w:r>
      <w:r w:rsidRPr="00305810" w:rsidR="009525C7">
        <w:rPr>
          <w:rFonts w:cs="Arial"/>
          <w:lang w:bidi="bn-IN"/>
        </w:rPr>
        <w:t>short-term cost reduction</w:t>
      </w:r>
      <w:r w:rsidRPr="00305810" w:rsidR="00D115D9">
        <w:rPr>
          <w:rFonts w:cs="Arial"/>
          <w:lang w:bidi="bn-IN"/>
        </w:rPr>
        <w:t xml:space="preserve"> gives rise to</w:t>
      </w:r>
      <w:r w:rsidRPr="00305810" w:rsidR="006B2A77">
        <w:rPr>
          <w:rFonts w:cs="Arial"/>
          <w:lang w:bidi="bn-IN"/>
        </w:rPr>
        <w:t xml:space="preserve"> </w:t>
      </w:r>
      <w:r w:rsidRPr="00305810" w:rsidR="00D115D9">
        <w:rPr>
          <w:rFonts w:cs="Arial"/>
          <w:lang w:bidi="bn-IN"/>
        </w:rPr>
        <w:t>long-term reputational, regulatory or environmental costs</w:t>
      </w:r>
      <w:r w:rsidRPr="00305810" w:rsidR="00785C9F">
        <w:rPr>
          <w:rFonts w:cs="Arial"/>
          <w:lang w:bidi="bn-IN"/>
        </w:rPr>
        <w:t>.</w:t>
      </w:r>
    </w:p>
    <w:p w:rsidRPr="00305810" w:rsidR="000F6C1F" w:rsidP="00305810" w:rsidRDefault="000F6C1F" w14:paraId="1481475A" w14:textId="1B43CB8A">
      <w:pPr>
        <w:pStyle w:val="Heading1"/>
        <w:spacing w:before="0" w:after="0"/>
        <w:rPr>
          <w:rFonts w:cs="Arial"/>
          <w:szCs w:val="24"/>
        </w:rPr>
      </w:pPr>
      <w:bookmarkStart w:name="_Toc240899722" w:id="7"/>
      <w:r w:rsidRPr="00305810">
        <w:rPr>
          <w:rFonts w:cs="Arial"/>
          <w:szCs w:val="24"/>
        </w:rPr>
        <w:t>6. Conclusion and Recommendations</w:t>
      </w:r>
      <w:bookmarkEnd w:id="7"/>
    </w:p>
    <w:p w:rsidRPr="00305810" w:rsidR="00C41702" w:rsidP="00305810" w:rsidRDefault="00C41702" w14:paraId="5672FEF2" w14:textId="10715A01">
      <w:pPr>
        <w:spacing w:after="0"/>
        <w:rPr>
          <w:rFonts w:cs="Arial"/>
          <w:lang w:bidi="bn-IN"/>
        </w:rPr>
      </w:pPr>
      <w:r w:rsidRPr="00305810">
        <w:rPr>
          <w:rFonts w:cs="Arial"/>
          <w:lang w:bidi="bn-IN"/>
        </w:rPr>
        <w:t xml:space="preserve">It can be concluded from the overall study </w:t>
      </w:r>
      <w:r w:rsidRPr="00305810" w:rsidR="00AA0E80">
        <w:rPr>
          <w:rFonts w:cs="Arial"/>
          <w:lang w:bidi="bn-IN"/>
        </w:rPr>
        <w:t>of</w:t>
      </w:r>
      <w:r w:rsidRPr="00305810">
        <w:rPr>
          <w:rFonts w:cs="Arial"/>
          <w:lang w:bidi="bn-IN"/>
        </w:rPr>
        <w:t xml:space="preserve"> </w:t>
      </w:r>
      <w:r w:rsidRPr="00305810" w:rsidR="004211FB">
        <w:rPr>
          <w:rFonts w:cs="Arial"/>
          <w:lang w:bidi="bn-IN"/>
        </w:rPr>
        <w:t xml:space="preserve">Tesla </w:t>
      </w:r>
      <w:r w:rsidRPr="00305810" w:rsidR="00AA0E80">
        <w:rPr>
          <w:rFonts w:cs="Arial"/>
          <w:lang w:bidi="bn-IN"/>
        </w:rPr>
        <w:t xml:space="preserve">that </w:t>
      </w:r>
      <w:r w:rsidRPr="00305810">
        <w:rPr>
          <w:rFonts w:cs="Arial"/>
          <w:lang w:bidi="bn-IN"/>
        </w:rPr>
        <w:t xml:space="preserve">management accounting </w:t>
      </w:r>
      <w:r w:rsidRPr="00305810" w:rsidR="003D757A">
        <w:rPr>
          <w:rFonts w:cs="Arial"/>
          <w:lang w:bidi="bn-IN"/>
        </w:rPr>
        <w:t xml:space="preserve">is significant in supporting strategic and financial decision-making in the modern </w:t>
      </w:r>
      <w:r w:rsidRPr="00305810" w:rsidR="004B58A5">
        <w:rPr>
          <w:rFonts w:cs="Arial"/>
          <w:lang w:bidi="bn-IN"/>
        </w:rPr>
        <w:t xml:space="preserve">automobile business landscape. </w:t>
      </w:r>
      <w:r w:rsidRPr="00305810" w:rsidR="00FE49AC">
        <w:rPr>
          <w:rFonts w:cs="Arial"/>
          <w:lang w:bidi="bn-IN"/>
        </w:rPr>
        <w:t>Cost analysis is significant in helping management understand</w:t>
      </w:r>
      <w:r w:rsidRPr="00305810" w:rsidR="00D56666">
        <w:rPr>
          <w:rFonts w:cs="Arial"/>
          <w:lang w:bidi="bn-IN"/>
        </w:rPr>
        <w:t xml:space="preserve"> details regarding relatively fixed costs and </w:t>
      </w:r>
      <w:r w:rsidRPr="00305810" w:rsidR="000D1070">
        <w:rPr>
          <w:rFonts w:cs="Arial"/>
          <w:lang w:bidi="bn-IN"/>
        </w:rPr>
        <w:t>variable costs</w:t>
      </w:r>
      <w:r w:rsidRPr="00305810" w:rsidR="00CA648F">
        <w:rPr>
          <w:rFonts w:cs="Arial"/>
          <w:lang w:bidi="bn-IN"/>
        </w:rPr>
        <w:t xml:space="preserve">, whereas variance analysis and budgeting </w:t>
      </w:r>
      <w:r w:rsidRPr="00305810" w:rsidR="000341E8">
        <w:rPr>
          <w:rFonts w:cs="Arial"/>
          <w:lang w:bidi="bn-IN"/>
        </w:rPr>
        <w:t>can support expenditure control and resource allocation. According to the financial report of Tesla in 2025</w:t>
      </w:r>
      <w:r w:rsidRPr="00305810" w:rsidR="00897E0F">
        <w:rPr>
          <w:rFonts w:cs="Arial"/>
          <w:lang w:bidi="bn-IN"/>
        </w:rPr>
        <w:t xml:space="preserve">, operating expenses substantially increased, especially </w:t>
      </w:r>
      <w:r w:rsidRPr="00305810" w:rsidR="000D1070">
        <w:rPr>
          <w:rFonts w:cs="Arial"/>
          <w:lang w:bidi="bn-IN"/>
        </w:rPr>
        <w:t>due to</w:t>
      </w:r>
      <w:r w:rsidRPr="00305810" w:rsidR="00897E0F">
        <w:rPr>
          <w:rFonts w:cs="Arial"/>
          <w:lang w:bidi="bn-IN"/>
        </w:rPr>
        <w:t xml:space="preserve"> high R&amp;D</w:t>
      </w:r>
      <w:r w:rsidRPr="00305810" w:rsidR="00FC5E09">
        <w:rPr>
          <w:rFonts w:cs="Arial"/>
          <w:lang w:bidi="bn-IN"/>
        </w:rPr>
        <w:t xml:space="preserve"> as well as SG&amp;A expenditure.</w:t>
      </w:r>
      <w:r w:rsidRPr="00305810" w:rsidR="00CE2BDB">
        <w:rPr>
          <w:rFonts w:cs="Arial"/>
          <w:lang w:bidi="bn-IN"/>
        </w:rPr>
        <w:t xml:space="preserve"> Operating income and </w:t>
      </w:r>
      <w:r w:rsidRPr="00305810" w:rsidR="000D1070">
        <w:rPr>
          <w:rFonts w:cs="Arial"/>
          <w:lang w:bidi="bn-IN"/>
        </w:rPr>
        <w:t>revenue</w:t>
      </w:r>
      <w:r w:rsidRPr="00305810" w:rsidR="00CE2BDB">
        <w:rPr>
          <w:rFonts w:cs="Arial"/>
          <w:lang w:bidi="bn-IN"/>
        </w:rPr>
        <w:t>, on the other hand</w:t>
      </w:r>
      <w:r w:rsidRPr="00305810" w:rsidR="000D1070">
        <w:rPr>
          <w:rFonts w:cs="Arial"/>
          <w:lang w:bidi="bn-IN"/>
        </w:rPr>
        <w:t>, substantially</w:t>
      </w:r>
      <w:r w:rsidRPr="00305810" w:rsidR="00CE2BDB">
        <w:rPr>
          <w:rFonts w:cs="Arial"/>
          <w:lang w:bidi="bn-IN"/>
        </w:rPr>
        <w:t xml:space="preserve"> declined. </w:t>
      </w:r>
      <w:r w:rsidRPr="00305810" w:rsidR="00837578">
        <w:rPr>
          <w:rFonts w:cs="Arial"/>
          <w:lang w:bidi="bn-IN"/>
        </w:rPr>
        <w:t xml:space="preserve">Hence, performance measurement needs to combine </w:t>
      </w:r>
      <w:r w:rsidRPr="00305810" w:rsidR="006279AE">
        <w:rPr>
          <w:rFonts w:cs="Arial"/>
          <w:lang w:bidi="bn-IN"/>
        </w:rPr>
        <w:t xml:space="preserve">operational and strategic KPIs with financial indicators of Tesla. </w:t>
      </w:r>
    </w:p>
    <w:p w:rsidRPr="00305810" w:rsidR="000D1070" w:rsidP="00305810" w:rsidRDefault="000D1070" w14:paraId="6FAEE00C" w14:textId="29CA1BFB">
      <w:pPr>
        <w:pStyle w:val="Heading2"/>
        <w:spacing w:after="0"/>
        <w:rPr>
          <w:rFonts w:cs="Arial"/>
          <w:lang w:bidi="bn-IN"/>
        </w:rPr>
      </w:pPr>
      <w:bookmarkStart w:name="_Toc240899723" w:id="8"/>
      <w:r w:rsidRPr="00305810">
        <w:rPr>
          <w:rFonts w:cs="Arial"/>
          <w:lang w:bidi="bn-IN"/>
        </w:rPr>
        <w:t>Recommendations</w:t>
      </w:r>
      <w:bookmarkEnd w:id="8"/>
    </w:p>
    <w:p w:rsidRPr="00305810" w:rsidR="00001462" w:rsidP="00305810" w:rsidRDefault="008D6E68" w14:paraId="34649818" w14:textId="45A0489D">
      <w:pPr>
        <w:pStyle w:val="ListParagraph"/>
        <w:numPr>
          <w:ilvl w:val="0"/>
          <w:numId w:val="1"/>
        </w:numPr>
        <w:spacing w:after="0"/>
        <w:rPr>
          <w:rFonts w:cs="Arial"/>
          <w:lang w:eastAsia="ja-JP" w:bidi="bn-IN"/>
        </w:rPr>
      </w:pPr>
      <w:r w:rsidRPr="00305810">
        <w:rPr>
          <w:rFonts w:cs="Arial"/>
          <w:lang w:eastAsia="ja-JP" w:bidi="bn-IN"/>
        </w:rPr>
        <w:t xml:space="preserve">Tesla </w:t>
      </w:r>
      <w:r w:rsidRPr="00305810" w:rsidR="00FE46B9">
        <w:rPr>
          <w:rFonts w:cs="Arial"/>
          <w:lang w:eastAsia="ja-JP" w:bidi="bn-IN"/>
        </w:rPr>
        <w:t>needs</w:t>
      </w:r>
      <w:r w:rsidRPr="00305810">
        <w:rPr>
          <w:rFonts w:cs="Arial"/>
          <w:lang w:eastAsia="ja-JP" w:bidi="bn-IN"/>
        </w:rPr>
        <w:t xml:space="preserve"> to strengthen rolling forecasts and flexible budgeting.</w:t>
      </w:r>
      <w:r w:rsidRPr="00305810" w:rsidR="008852F5">
        <w:rPr>
          <w:rFonts w:cs="Arial"/>
          <w:lang w:eastAsia="ja-JP" w:bidi="bn-IN"/>
        </w:rPr>
        <w:t xml:space="preserve"> It needs to constantly and regularly update budgets with the help of </w:t>
      </w:r>
      <w:r w:rsidRPr="00305810" w:rsidR="007116AA">
        <w:rPr>
          <w:rFonts w:cs="Arial"/>
          <w:lang w:eastAsia="ja-JP" w:bidi="bn-IN"/>
        </w:rPr>
        <w:t xml:space="preserve">alternative scenarios for commodity costs, </w:t>
      </w:r>
      <w:r w:rsidRPr="00305810" w:rsidR="007B58EA">
        <w:rPr>
          <w:rFonts w:cs="Arial"/>
          <w:lang w:eastAsia="ja-JP" w:bidi="bn-IN"/>
        </w:rPr>
        <w:t>production volumes</w:t>
      </w:r>
      <w:r w:rsidRPr="00305810" w:rsidR="00D00C15">
        <w:rPr>
          <w:rFonts w:cs="Arial"/>
          <w:lang w:eastAsia="ja-JP" w:bidi="bn-IN"/>
        </w:rPr>
        <w:t xml:space="preserve">, tariffs and </w:t>
      </w:r>
      <w:r w:rsidRPr="00305810" w:rsidR="0082285A">
        <w:rPr>
          <w:rFonts w:cs="Arial"/>
          <w:lang w:eastAsia="ja-JP" w:bidi="bn-IN"/>
        </w:rPr>
        <w:t xml:space="preserve">vehicle demand. </w:t>
      </w:r>
      <w:r w:rsidRPr="00305810" w:rsidR="00EB2460">
        <w:rPr>
          <w:rFonts w:cs="Arial"/>
          <w:lang w:eastAsia="ja-JP" w:bidi="bn-IN"/>
        </w:rPr>
        <w:t xml:space="preserve">This can help </w:t>
      </w:r>
      <w:r w:rsidR="00C64E06">
        <w:rPr>
          <w:rFonts w:cs="Arial"/>
          <w:lang w:eastAsia="ja-JP" w:bidi="bn-IN"/>
        </w:rPr>
        <w:t>improve</w:t>
      </w:r>
      <w:r w:rsidRPr="00305810" w:rsidR="00EB2460">
        <w:rPr>
          <w:rFonts w:cs="Arial"/>
          <w:lang w:eastAsia="ja-JP" w:bidi="bn-IN"/>
        </w:rPr>
        <w:t xml:space="preserve"> responsiveness to uncertainty</w:t>
      </w:r>
      <w:r w:rsidRPr="00305810" w:rsidR="00236A7C">
        <w:rPr>
          <w:rFonts w:cs="Arial"/>
          <w:lang w:eastAsia="ja-JP" w:bidi="bn-IN"/>
        </w:rPr>
        <w:t>.</w:t>
      </w:r>
    </w:p>
    <w:p w:rsidRPr="00305810" w:rsidR="00236A7C" w:rsidP="00305810" w:rsidRDefault="007B1C6F" w14:paraId="5F4CCF3C" w14:textId="788DCFCD">
      <w:pPr>
        <w:pStyle w:val="ListParagraph"/>
        <w:numPr>
          <w:ilvl w:val="0"/>
          <w:numId w:val="1"/>
        </w:numPr>
        <w:spacing w:after="0"/>
        <w:rPr>
          <w:rFonts w:cs="Arial"/>
          <w:lang w:eastAsia="ja-JP" w:bidi="bn-IN"/>
        </w:rPr>
      </w:pPr>
      <w:r w:rsidRPr="00305810">
        <w:rPr>
          <w:rFonts w:cs="Arial"/>
          <w:lang w:eastAsia="ja-JP" w:bidi="bn-IN"/>
        </w:rPr>
        <w:t xml:space="preserve">Tesla </w:t>
      </w:r>
      <w:r w:rsidRPr="00305810" w:rsidR="00BA3E28">
        <w:rPr>
          <w:rFonts w:cs="Arial"/>
          <w:lang w:eastAsia="ja-JP" w:bidi="bn-IN"/>
        </w:rPr>
        <w:t>needs</w:t>
      </w:r>
      <w:r w:rsidRPr="00305810">
        <w:rPr>
          <w:rFonts w:cs="Arial"/>
          <w:lang w:eastAsia="ja-JP" w:bidi="bn-IN"/>
        </w:rPr>
        <w:t xml:space="preserve"> to integrate </w:t>
      </w:r>
      <w:r w:rsidRPr="00305810" w:rsidR="00FE70A9">
        <w:rPr>
          <w:rFonts w:cs="Arial"/>
          <w:lang w:eastAsia="ja-JP" w:bidi="bn-IN"/>
        </w:rPr>
        <w:t xml:space="preserve">sustainability KPIs </w:t>
      </w:r>
      <w:r w:rsidRPr="00305810" w:rsidR="001B67D3">
        <w:rPr>
          <w:rFonts w:cs="Arial"/>
          <w:lang w:eastAsia="ja-JP" w:bidi="bn-IN"/>
        </w:rPr>
        <w:t xml:space="preserve">into management accounting. </w:t>
      </w:r>
      <w:r w:rsidRPr="00305810" w:rsidR="00A91CEB">
        <w:rPr>
          <w:rFonts w:cs="Arial"/>
          <w:lang w:eastAsia="ja-JP" w:bidi="bn-IN"/>
        </w:rPr>
        <w:t xml:space="preserve">The financial measures of the organisation need to be combined with resource use, </w:t>
      </w:r>
      <w:r w:rsidRPr="00305810" w:rsidR="000D584A">
        <w:rPr>
          <w:rFonts w:cs="Arial"/>
          <w:lang w:eastAsia="ja-JP" w:bidi="bn-IN"/>
        </w:rPr>
        <w:t>supply chain, emissions and energy indicators</w:t>
      </w:r>
      <w:r w:rsidRPr="00305810" w:rsidR="00F812B9">
        <w:rPr>
          <w:rFonts w:cs="Arial"/>
          <w:lang w:eastAsia="ja-JP" w:bidi="bn-IN"/>
        </w:rPr>
        <w:t xml:space="preserve"> so that cost decisions and investment can reflect the long-term </w:t>
      </w:r>
      <w:r w:rsidRPr="00305810" w:rsidR="000A4892">
        <w:rPr>
          <w:rFonts w:cs="Arial"/>
          <w:lang w:eastAsia="ja-JP" w:bidi="bn-IN"/>
        </w:rPr>
        <w:t>sustainability consequences for the brand.</w:t>
      </w:r>
    </w:p>
    <w:p w:rsidRPr="00305810" w:rsidR="0011147B" w:rsidP="00305810" w:rsidRDefault="0011147B" w14:paraId="3AD26092" w14:textId="77777777">
      <w:pPr>
        <w:spacing w:after="0"/>
        <w:rPr>
          <w:rFonts w:cs="Arial" w:eastAsiaTheme="majorEastAsia"/>
          <w:b/>
          <w:lang w:bidi="bn-IN"/>
        </w:rPr>
      </w:pPr>
      <w:r w:rsidRPr="00305810">
        <w:rPr>
          <w:rFonts w:cs="Arial"/>
        </w:rPr>
        <w:br w:type="page"/>
      </w:r>
    </w:p>
    <w:p w:rsidRPr="00305810" w:rsidR="000F6C1F" w:rsidP="00305810" w:rsidRDefault="000F6C1F" w14:paraId="5F4F25CF" w14:textId="6A82E685">
      <w:pPr>
        <w:pStyle w:val="Heading1"/>
        <w:spacing w:before="0" w:after="0"/>
        <w:rPr>
          <w:rFonts w:cs="Arial"/>
          <w:szCs w:val="24"/>
        </w:rPr>
      </w:pPr>
      <w:bookmarkStart w:name="_Toc240899724" w:id="9"/>
      <w:r w:rsidRPr="00305810">
        <w:rPr>
          <w:rFonts w:cs="Arial"/>
          <w:szCs w:val="24"/>
        </w:rPr>
        <w:lastRenderedPageBreak/>
        <w:t>Reference List</w:t>
      </w:r>
      <w:bookmarkEnd w:id="9"/>
    </w:p>
    <w:p w:rsidRPr="00305810" w:rsidR="000B0ECC" w:rsidP="00305810" w:rsidRDefault="000B0ECC" w14:paraId="37AA6945" w14:textId="77777777">
      <w:pPr>
        <w:spacing w:after="0"/>
        <w:rPr>
          <w:rFonts w:cs="Arial"/>
        </w:rPr>
      </w:pPr>
      <w:r w:rsidRPr="00305810">
        <w:rPr>
          <w:rFonts w:cs="Arial"/>
        </w:rPr>
        <w:t xml:space="preserve">Atrill, P. and McLaney, E. (2021) </w:t>
      </w:r>
      <w:r w:rsidRPr="00305810">
        <w:rPr>
          <w:rFonts w:cs="Arial"/>
          <w:i/>
          <w:iCs/>
        </w:rPr>
        <w:t>Accounting and Finance for Non-Specialists</w:t>
      </w:r>
      <w:r w:rsidRPr="00305810">
        <w:rPr>
          <w:rFonts w:cs="Arial"/>
        </w:rPr>
        <w:t xml:space="preserve">. 12th edn. Harlow: Pearson. </w:t>
      </w:r>
    </w:p>
    <w:p w:rsidRPr="00305810" w:rsidR="000B0ECC" w:rsidP="00305810" w:rsidRDefault="000B0ECC" w14:paraId="1F954D2E" w14:textId="77777777">
      <w:pPr>
        <w:spacing w:after="0"/>
        <w:rPr>
          <w:rFonts w:cs="Arial"/>
        </w:rPr>
      </w:pPr>
      <w:r w:rsidRPr="00305810">
        <w:rPr>
          <w:rFonts w:cs="Arial"/>
        </w:rPr>
        <w:t xml:space="preserve">Datar, S.M. and Rajan, M.V. (2021) </w:t>
      </w:r>
      <w:r w:rsidRPr="00305810">
        <w:rPr>
          <w:rFonts w:cs="Arial"/>
          <w:i/>
          <w:iCs/>
        </w:rPr>
        <w:t>Horngren's Cost Accounting: A Managerial Emphasis</w:t>
      </w:r>
      <w:r w:rsidRPr="00305810">
        <w:rPr>
          <w:rFonts w:cs="Arial"/>
        </w:rPr>
        <w:t xml:space="preserve">. 17th edn. Harlow: Pearson. The 17th edition specifically covers cost-volume-profit analysis, budgeting, variance analysis, relevant-cost decision-making, balanced scorecards and capital budgeting. </w:t>
      </w:r>
    </w:p>
    <w:p w:rsidRPr="00305810" w:rsidR="000B0ECC" w:rsidP="00305810" w:rsidRDefault="000B0ECC" w14:paraId="3DBE960F" w14:textId="77777777">
      <w:pPr>
        <w:spacing w:after="0"/>
        <w:rPr>
          <w:rFonts w:cs="Arial"/>
        </w:rPr>
      </w:pPr>
      <w:r w:rsidRPr="00305810">
        <w:rPr>
          <w:rFonts w:cs="Arial"/>
        </w:rPr>
        <w:t xml:space="preserve">Drury, C. and </w:t>
      </w:r>
      <w:proofErr w:type="spellStart"/>
      <w:r w:rsidRPr="00305810">
        <w:rPr>
          <w:rFonts w:cs="Arial"/>
        </w:rPr>
        <w:t>Tayles</w:t>
      </w:r>
      <w:proofErr w:type="spellEnd"/>
      <w:r w:rsidRPr="00305810">
        <w:rPr>
          <w:rFonts w:cs="Arial"/>
        </w:rPr>
        <w:t xml:space="preserve">, M. (2021) </w:t>
      </w:r>
      <w:r w:rsidRPr="00305810">
        <w:rPr>
          <w:rFonts w:cs="Arial"/>
          <w:i/>
          <w:iCs/>
        </w:rPr>
        <w:t>Management and Cost Accounting</w:t>
      </w:r>
      <w:r w:rsidRPr="00305810">
        <w:rPr>
          <w:rFonts w:cs="Arial"/>
        </w:rPr>
        <w:t xml:space="preserve">. 11th edn. Andover: Cengage Learning. </w:t>
      </w:r>
    </w:p>
    <w:p w:rsidRPr="00305810" w:rsidR="000B0ECC" w:rsidP="00305810" w:rsidRDefault="000B0ECC" w14:paraId="538F87B4" w14:textId="77777777">
      <w:pPr>
        <w:spacing w:after="0"/>
        <w:rPr>
          <w:rFonts w:cs="Arial"/>
        </w:rPr>
      </w:pPr>
      <w:r w:rsidRPr="00305810">
        <w:rPr>
          <w:rFonts w:cs="Arial"/>
        </w:rPr>
        <w:t xml:space="preserve">Fang, B., Mohanram, P. and Vyas, D. (2020) ‘The relevance of non-financial key performance indicators’, </w:t>
      </w:r>
      <w:r w:rsidRPr="00305810">
        <w:rPr>
          <w:rFonts w:cs="Arial"/>
          <w:i/>
          <w:iCs/>
        </w:rPr>
        <w:t>Singapore Management University</w:t>
      </w:r>
      <w:r w:rsidRPr="00305810">
        <w:rPr>
          <w:rFonts w:cs="Arial"/>
        </w:rPr>
        <w:t xml:space="preserve">, pp. 1–24. </w:t>
      </w:r>
    </w:p>
    <w:p w:rsidRPr="00305810" w:rsidR="000B0ECC" w:rsidP="00305810" w:rsidRDefault="000B0ECC" w14:paraId="4455DE74" w14:textId="77777777">
      <w:pPr>
        <w:spacing w:after="0"/>
        <w:rPr>
          <w:rFonts w:cs="Arial"/>
        </w:rPr>
      </w:pPr>
      <w:r w:rsidRPr="00305810">
        <w:rPr>
          <w:rFonts w:cs="Arial"/>
        </w:rPr>
        <w:t xml:space="preserve">Frost, G. and Rooney, J. (2021) ‘Considerations of sustainability in capital budgeting decision-making’, </w:t>
      </w:r>
      <w:r w:rsidRPr="00305810">
        <w:rPr>
          <w:rFonts w:cs="Arial"/>
          <w:i/>
          <w:iCs/>
        </w:rPr>
        <w:t>Journal of Cleaner Production</w:t>
      </w:r>
      <w:r w:rsidRPr="00305810">
        <w:rPr>
          <w:rFonts w:cs="Arial"/>
        </w:rPr>
        <w:t xml:space="preserve">, 312, 127650. </w:t>
      </w:r>
    </w:p>
    <w:p w:rsidRPr="00305810" w:rsidR="000B0ECC" w:rsidP="00305810" w:rsidRDefault="000B0ECC" w14:paraId="2D43EEB8" w14:textId="77777777">
      <w:pPr>
        <w:spacing w:after="0"/>
        <w:rPr>
          <w:rFonts w:cs="Arial"/>
        </w:rPr>
      </w:pPr>
      <w:r w:rsidRPr="00305810">
        <w:rPr>
          <w:rFonts w:cs="Arial"/>
        </w:rPr>
        <w:t>Guo, Y., 2022. [Retracted] Enterprise Management Decision and Financial Management Based on Dynamic Cost Volume Profit Model. </w:t>
      </w:r>
      <w:r w:rsidRPr="00305810">
        <w:rPr>
          <w:rFonts w:cs="Arial"/>
          <w:i/>
          <w:iCs/>
        </w:rPr>
        <w:t>Journal of Function Spaces</w:t>
      </w:r>
      <w:r w:rsidRPr="00305810">
        <w:rPr>
          <w:rFonts w:cs="Arial"/>
        </w:rPr>
        <w:t>, </w:t>
      </w:r>
      <w:r w:rsidRPr="00305810">
        <w:rPr>
          <w:rFonts w:cs="Arial"/>
          <w:i/>
          <w:iCs/>
        </w:rPr>
        <w:t>2022</w:t>
      </w:r>
      <w:r w:rsidRPr="00305810">
        <w:rPr>
          <w:rFonts w:cs="Arial"/>
        </w:rPr>
        <w:t>(1), p.9016060.</w:t>
      </w:r>
    </w:p>
    <w:p w:rsidRPr="00305810" w:rsidR="000B0ECC" w:rsidP="00305810" w:rsidRDefault="000B0ECC" w14:paraId="2229D5DF" w14:textId="77777777">
      <w:pPr>
        <w:spacing w:after="0"/>
        <w:rPr>
          <w:rFonts w:cs="Arial"/>
        </w:rPr>
      </w:pPr>
      <w:proofErr w:type="spellStart"/>
      <w:r w:rsidRPr="00305810">
        <w:rPr>
          <w:rFonts w:cs="Arial"/>
        </w:rPr>
        <w:t>Jumaniyazov</w:t>
      </w:r>
      <w:proofErr w:type="spellEnd"/>
      <w:r w:rsidRPr="00305810">
        <w:rPr>
          <w:rFonts w:cs="Arial"/>
        </w:rPr>
        <w:t xml:space="preserve">, I.B. (2023) ‘Importance of budgeting and forecasting in management’, </w:t>
      </w:r>
      <w:r w:rsidRPr="00305810">
        <w:rPr>
          <w:rFonts w:cs="Arial"/>
          <w:i/>
          <w:iCs/>
        </w:rPr>
        <w:t>Neo Scientific Peer Reviewed Journal</w:t>
      </w:r>
      <w:r w:rsidRPr="00305810">
        <w:rPr>
          <w:rFonts w:cs="Arial"/>
        </w:rPr>
        <w:t xml:space="preserve">, 10, pp. 18–24. </w:t>
      </w:r>
    </w:p>
    <w:p w:rsidRPr="00305810" w:rsidR="000B0ECC" w:rsidP="00305810" w:rsidRDefault="000B0ECC" w14:paraId="39FE9B5D" w14:textId="77777777">
      <w:pPr>
        <w:spacing w:after="0"/>
        <w:rPr>
          <w:rFonts w:cs="Arial"/>
        </w:rPr>
      </w:pPr>
      <w:r w:rsidRPr="00305810">
        <w:rPr>
          <w:rFonts w:cs="Arial"/>
        </w:rPr>
        <w:t xml:space="preserve">Nartey, S.N. and van der Poll, H.M. (2021) ‘Innovative management accounting practices for sustainability of manufacturing small and medium enterprises’, </w:t>
      </w:r>
      <w:r w:rsidRPr="00305810">
        <w:rPr>
          <w:rFonts w:cs="Arial"/>
          <w:i/>
          <w:iCs/>
        </w:rPr>
        <w:t>Environment, Development and Sustainability</w:t>
      </w:r>
      <w:r w:rsidRPr="00305810">
        <w:rPr>
          <w:rFonts w:cs="Arial"/>
        </w:rPr>
        <w:t xml:space="preserve">, 23, pp. 18008–18039. </w:t>
      </w:r>
    </w:p>
    <w:p w:rsidRPr="00305810" w:rsidR="000B0ECC" w:rsidP="00305810" w:rsidRDefault="000B0ECC" w14:paraId="779AFFF8" w14:textId="77777777">
      <w:pPr>
        <w:spacing w:after="0"/>
        <w:rPr>
          <w:rFonts w:cs="Arial"/>
        </w:rPr>
      </w:pPr>
      <w:proofErr w:type="spellStart"/>
      <w:r w:rsidRPr="00305810">
        <w:rPr>
          <w:rFonts w:cs="Arial"/>
        </w:rPr>
        <w:t>Pencle</w:t>
      </w:r>
      <w:proofErr w:type="spellEnd"/>
      <w:r w:rsidRPr="00305810">
        <w:rPr>
          <w:rFonts w:cs="Arial"/>
        </w:rPr>
        <w:t xml:space="preserve">, N. (2022) ‘Motivating corporate sustainability research in management accounting through the lens of paradox theory’, </w:t>
      </w:r>
      <w:r w:rsidRPr="00305810">
        <w:rPr>
          <w:rFonts w:cs="Arial"/>
          <w:i/>
          <w:iCs/>
        </w:rPr>
        <w:t>Accounting Perspectives</w:t>
      </w:r>
      <w:r w:rsidRPr="00305810">
        <w:rPr>
          <w:rFonts w:cs="Arial"/>
        </w:rPr>
        <w:t xml:space="preserve">, 21(4), pp. 663–696. </w:t>
      </w:r>
    </w:p>
    <w:p w:rsidRPr="00305810" w:rsidR="000B0ECC" w:rsidP="00305810" w:rsidRDefault="000B0ECC" w14:paraId="105ACE59" w14:textId="780627C3">
      <w:pPr>
        <w:spacing w:after="0"/>
        <w:rPr>
          <w:rFonts w:cs="Arial"/>
        </w:rPr>
      </w:pPr>
      <w:r w:rsidRPr="00305810">
        <w:rPr>
          <w:rFonts w:cs="Arial"/>
        </w:rPr>
        <w:t xml:space="preserve">Sage (2024). </w:t>
      </w:r>
      <w:r w:rsidRPr="00305810">
        <w:rPr>
          <w:rFonts w:cs="Arial"/>
          <w:i/>
          <w:iCs/>
        </w:rPr>
        <w:t xml:space="preserve">Budgeting and forecasting. </w:t>
      </w:r>
      <w:r w:rsidRPr="00305810">
        <w:rPr>
          <w:rFonts w:cs="Arial"/>
        </w:rPr>
        <w:t xml:space="preserve">Available at: </w:t>
      </w:r>
      <w:hyperlink w:history="1" w:anchor="_" r:id="rId8">
        <w:r w:rsidRPr="00305810">
          <w:rPr>
            <w:rStyle w:val="Hyperlink"/>
            <w:rFonts w:cs="Arial"/>
          </w:rPr>
          <w:t>https://sk.sagepub.com/skills/business/fb/budgeting-and-forecasting#_</w:t>
        </w:r>
      </w:hyperlink>
      <w:r w:rsidRPr="00305810">
        <w:rPr>
          <w:rFonts w:cs="Arial"/>
        </w:rPr>
        <w:t xml:space="preserve"> Accessed on: 21</w:t>
      </w:r>
      <w:r w:rsidRPr="00305810">
        <w:rPr>
          <w:rFonts w:cs="Arial"/>
          <w:vertAlign w:val="superscript"/>
        </w:rPr>
        <w:t>st</w:t>
      </w:r>
      <w:r w:rsidRPr="00305810">
        <w:rPr>
          <w:rFonts w:cs="Arial"/>
        </w:rPr>
        <w:t xml:space="preserve"> September</w:t>
      </w:r>
      <w:r w:rsidR="00305810">
        <w:rPr>
          <w:rFonts w:cs="Arial"/>
        </w:rPr>
        <w:t>.</w:t>
      </w:r>
    </w:p>
    <w:p w:rsidRPr="00305810" w:rsidR="000B0ECC" w:rsidP="00305810" w:rsidRDefault="000B0ECC" w14:paraId="06AAEC8D" w14:textId="1CDB818D">
      <w:pPr>
        <w:spacing w:after="0"/>
        <w:rPr>
          <w:rFonts w:cs="Arial"/>
        </w:rPr>
      </w:pPr>
      <w:r w:rsidRPr="00305810">
        <w:rPr>
          <w:rFonts w:cs="Arial"/>
        </w:rPr>
        <w:t xml:space="preserve">Sario, A.U.H. (2024) </w:t>
      </w:r>
      <w:r w:rsidRPr="00305810">
        <w:rPr>
          <w:rFonts w:cs="Arial"/>
          <w:i/>
          <w:iCs/>
        </w:rPr>
        <w:t>ACCA Management Accounting Course: A Complete Guide</w:t>
      </w:r>
      <w:r w:rsidRPr="00305810">
        <w:rPr>
          <w:rFonts w:cs="Arial"/>
        </w:rPr>
        <w:t xml:space="preserve">. Azhar. Available at: </w:t>
      </w:r>
      <w:hyperlink w:history="1" r:id="rId9">
        <w:r w:rsidRPr="00305810">
          <w:rPr>
            <w:rStyle w:val="Hyperlink"/>
            <w:rFonts w:cs="Arial"/>
          </w:rPr>
          <w:t>https://books.google.co.in/books/about/ACCA_Management_Accounting_Course.html?id=n5OW0AEACAAJ&amp;redir_esc=y</w:t>
        </w:r>
      </w:hyperlink>
      <w:r w:rsidRPr="00305810">
        <w:rPr>
          <w:rFonts w:cs="Arial"/>
        </w:rPr>
        <w:t>. Accessed on: 21</w:t>
      </w:r>
      <w:r w:rsidRPr="00305810">
        <w:rPr>
          <w:rFonts w:cs="Arial"/>
          <w:vertAlign w:val="superscript"/>
        </w:rPr>
        <w:t>st</w:t>
      </w:r>
      <w:r w:rsidRPr="00305810">
        <w:rPr>
          <w:rFonts w:cs="Arial"/>
        </w:rPr>
        <w:t xml:space="preserve"> September 2026</w:t>
      </w:r>
      <w:r w:rsidR="00305810">
        <w:rPr>
          <w:rFonts w:cs="Arial"/>
        </w:rPr>
        <w:t>.</w:t>
      </w:r>
    </w:p>
    <w:p w:rsidRPr="00305810" w:rsidR="000B0ECC" w:rsidP="00305810" w:rsidRDefault="000B0ECC" w14:paraId="664183E2" w14:textId="77777777">
      <w:pPr>
        <w:spacing w:after="0"/>
        <w:rPr>
          <w:rFonts w:cs="Arial"/>
        </w:rPr>
      </w:pPr>
      <w:r w:rsidRPr="00305810">
        <w:rPr>
          <w:rFonts w:cs="Arial"/>
        </w:rPr>
        <w:t xml:space="preserve">Schaltegger, S., Christ, K.L., </w:t>
      </w:r>
      <w:proofErr w:type="spellStart"/>
      <w:r w:rsidRPr="00305810">
        <w:rPr>
          <w:rFonts w:cs="Arial"/>
        </w:rPr>
        <w:t>Wenzig</w:t>
      </w:r>
      <w:proofErr w:type="spellEnd"/>
      <w:r w:rsidRPr="00305810">
        <w:rPr>
          <w:rFonts w:cs="Arial"/>
        </w:rPr>
        <w:t xml:space="preserve">, J. and Burritt, R.L. (2022) ‘Corporate sustainability management accounting and multi-level links for sustainability – a </w:t>
      </w:r>
      <w:r w:rsidRPr="00305810">
        <w:rPr>
          <w:rFonts w:cs="Arial"/>
        </w:rPr>
        <w:lastRenderedPageBreak/>
        <w:t xml:space="preserve">systematic review’, </w:t>
      </w:r>
      <w:r w:rsidRPr="00305810">
        <w:rPr>
          <w:rFonts w:cs="Arial"/>
          <w:i/>
          <w:iCs/>
        </w:rPr>
        <w:t>International Journal of Management Reviews</w:t>
      </w:r>
      <w:r w:rsidRPr="00305810">
        <w:rPr>
          <w:rFonts w:cs="Arial"/>
        </w:rPr>
        <w:t xml:space="preserve">, 24(4), pp. 480–500. </w:t>
      </w:r>
    </w:p>
    <w:p w:rsidRPr="00305810" w:rsidR="000B0ECC" w:rsidP="00305810" w:rsidRDefault="000B0ECC" w14:paraId="7A6D6AD0" w14:textId="77777777">
      <w:pPr>
        <w:spacing w:after="0"/>
        <w:rPr>
          <w:rFonts w:cs="Arial"/>
        </w:rPr>
      </w:pPr>
      <w:r w:rsidRPr="00305810">
        <w:rPr>
          <w:rFonts w:cs="Arial"/>
        </w:rPr>
        <w:t>Schmidt, M., 2025. Simulation-based analysis of product costing systems and errors in product cost information.</w:t>
      </w:r>
    </w:p>
    <w:p w:rsidRPr="00305810" w:rsidR="000B0ECC" w:rsidP="00305810" w:rsidRDefault="000B0ECC" w14:paraId="52A7951D" w14:textId="778C5604">
      <w:pPr>
        <w:spacing w:after="0"/>
        <w:rPr>
          <w:rFonts w:cs="Arial"/>
        </w:rPr>
      </w:pPr>
      <w:r w:rsidRPr="00305810">
        <w:rPr>
          <w:rFonts w:cs="Arial"/>
        </w:rPr>
        <w:t xml:space="preserve">Tesla (2026). Revenue stream. Available at: </w:t>
      </w:r>
      <w:hyperlink w:history="1" r:id="rId10">
        <w:r w:rsidRPr="00305810">
          <w:rPr>
            <w:rStyle w:val="Hyperlink"/>
            <w:rFonts w:cs="Arial"/>
          </w:rPr>
          <w:t>https://ir.tesla.com/_flysystem/s3/sec/000162828026026673/tsla-20260331-gen.pdf</w:t>
        </w:r>
      </w:hyperlink>
      <w:r w:rsidR="00C64E06">
        <w:t>.</w:t>
      </w:r>
      <w:r w:rsidRPr="00305810">
        <w:rPr>
          <w:rFonts w:cs="Arial"/>
        </w:rPr>
        <w:t xml:space="preserve"> Accessed on: 21</w:t>
      </w:r>
      <w:r w:rsidRPr="00305810">
        <w:rPr>
          <w:rFonts w:cs="Arial"/>
          <w:vertAlign w:val="superscript"/>
        </w:rPr>
        <w:t>st</w:t>
      </w:r>
      <w:r w:rsidRPr="00305810">
        <w:rPr>
          <w:rFonts w:cs="Arial"/>
        </w:rPr>
        <w:t xml:space="preserve"> September 2026</w:t>
      </w:r>
      <w:r w:rsidR="00305810">
        <w:rPr>
          <w:rFonts w:cs="Arial"/>
        </w:rPr>
        <w:t>.</w:t>
      </w:r>
    </w:p>
    <w:p w:rsidRPr="00305810" w:rsidR="000B0ECC" w:rsidP="00305810" w:rsidRDefault="000B0ECC" w14:paraId="02105494" w14:textId="3F4123DE">
      <w:pPr>
        <w:spacing w:after="0"/>
        <w:rPr>
          <w:rFonts w:cs="Arial"/>
        </w:rPr>
      </w:pPr>
      <w:r w:rsidRPr="00305810">
        <w:rPr>
          <w:rFonts w:cs="Arial"/>
        </w:rPr>
        <w:t xml:space="preserve">US SEC. (2026) </w:t>
      </w:r>
      <w:r w:rsidRPr="00305810">
        <w:rPr>
          <w:rFonts w:cs="Arial"/>
          <w:i/>
          <w:iCs/>
        </w:rPr>
        <w:t>Annual Report on Form 10-K for the year ended 31 December 2025</w:t>
      </w:r>
      <w:r w:rsidRPr="00305810">
        <w:rPr>
          <w:rFonts w:cs="Arial"/>
        </w:rPr>
        <w:t xml:space="preserve">. U.S. Securities and Exchange Commission. Available at: </w:t>
      </w:r>
      <w:hyperlink w:history="1" r:id="rId11">
        <w:r w:rsidRPr="00305810">
          <w:rPr>
            <w:rStyle w:val="Hyperlink"/>
            <w:rFonts w:cs="Arial"/>
          </w:rPr>
          <w:t>https://www.sec.gov/Archives/edgar/data/1318605/000162828026003952/tsla-20251231.htm</w:t>
        </w:r>
      </w:hyperlink>
      <w:r w:rsidR="00C64E06">
        <w:t>.</w:t>
      </w:r>
      <w:r w:rsidRPr="00305810">
        <w:rPr>
          <w:rFonts w:cs="Arial"/>
        </w:rPr>
        <w:t xml:space="preserve"> Accessed on: 21</w:t>
      </w:r>
      <w:r w:rsidRPr="00305810">
        <w:rPr>
          <w:rFonts w:cs="Arial"/>
          <w:vertAlign w:val="superscript"/>
        </w:rPr>
        <w:t>st</w:t>
      </w:r>
      <w:r w:rsidRPr="00305810">
        <w:rPr>
          <w:rFonts w:cs="Arial"/>
        </w:rPr>
        <w:t xml:space="preserve"> September 2026</w:t>
      </w:r>
      <w:r w:rsidR="00305810">
        <w:rPr>
          <w:rFonts w:cs="Arial"/>
        </w:rPr>
        <w:t>.</w:t>
      </w:r>
    </w:p>
    <w:p w:rsidR="005154E8" w:rsidP="00305810" w:rsidRDefault="005154E8" w14:paraId="51280868" w14:textId="77777777">
      <w:pPr>
        <w:spacing w:after="0"/>
        <w:rPr>
          <w:rFonts w:cs="Arial"/>
        </w:rPr>
      </w:pPr>
      <w:r w:rsidRPr="005154E8">
        <w:rPr>
          <w:rFonts w:cs="Arial"/>
        </w:rPr>
        <w:t>van der Poll, H.M., Ndou, E., Bonga, W.G. and others (2022) ‘The barriers and drivers of environmental management accounting practices adoption in developed and developing countries for sustainable development’, Sustainable Development, 30(5), pp. 1222–1234.</w:t>
      </w:r>
    </w:p>
    <w:p w:rsidRPr="00305810" w:rsidR="000148C8" w:rsidP="00305810" w:rsidRDefault="005154E8" w14:paraId="01F9D9A1" w14:textId="637083BA">
      <w:pPr>
        <w:spacing w:after="0"/>
        <w:rPr>
          <w:rFonts w:cs="Arial"/>
        </w:rPr>
      </w:pPr>
      <w:r w:rsidRPr="005154E8">
        <w:rPr>
          <w:rFonts w:cs="Arial"/>
        </w:rPr>
        <w:t xml:space="preserve">Tesla, Inc. (2026) Annual Report on Form 10-K for the fiscal year ended 31 December 2025. Available at: </w:t>
      </w:r>
      <w:hyperlink w:history="1" r:id="rId12">
        <w:r w:rsidRPr="0018370D">
          <w:rPr>
            <w:rStyle w:val="Hyperlink"/>
            <w:rFonts w:cs="Arial"/>
          </w:rPr>
          <w:t>https://www.sec.gov/Archives/edgar/data/1318605/000162828026003952/tsla-20251231.htm</w:t>
        </w:r>
      </w:hyperlink>
      <w:r w:rsidR="00C64E06">
        <w:t>.</w:t>
      </w:r>
      <w:r>
        <w:rPr>
          <w:rFonts w:cs="Arial"/>
        </w:rPr>
        <w:t xml:space="preserve"> </w:t>
      </w:r>
      <w:r w:rsidRPr="005154E8">
        <w:rPr>
          <w:rFonts w:cs="Arial"/>
        </w:rPr>
        <w:t>Accessed: 28 September 2026.</w:t>
      </w:r>
    </w:p>
    <w:sectPr w:rsidRPr="00305810" w:rsidR="000148C8">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57504" w:rsidP="005D1860" w:rsidRDefault="00C57504" w14:paraId="6930BA68" w14:textId="77777777">
      <w:pPr>
        <w:spacing w:after="0" w:line="240" w:lineRule="auto"/>
      </w:pPr>
      <w:r>
        <w:separator/>
      </w:r>
    </w:p>
  </w:endnote>
  <w:endnote w:type="continuationSeparator" w:id="0">
    <w:p w:rsidR="00C57504" w:rsidP="005D1860" w:rsidRDefault="00C57504" w14:paraId="03EE7D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199648"/>
      <w:docPartObj>
        <w:docPartGallery w:val="Page Numbers (Bottom of Page)"/>
        <w:docPartUnique/>
      </w:docPartObj>
    </w:sdtPr>
    <w:sdtEndPr>
      <w:rPr>
        <w:noProof/>
      </w:rPr>
    </w:sdtEndPr>
    <w:sdtContent>
      <w:p w:rsidR="005D1860" w:rsidRDefault="005D1860" w14:paraId="23DDC912" w14:textId="4D72C9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D1860" w:rsidRDefault="005D1860" w14:paraId="42A465B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57504" w:rsidP="005D1860" w:rsidRDefault="00C57504" w14:paraId="68E52EA5" w14:textId="77777777">
      <w:pPr>
        <w:spacing w:after="0" w:line="240" w:lineRule="auto"/>
      </w:pPr>
      <w:r>
        <w:separator/>
      </w:r>
    </w:p>
  </w:footnote>
  <w:footnote w:type="continuationSeparator" w:id="0">
    <w:p w:rsidR="00C57504" w:rsidP="005D1860" w:rsidRDefault="00C57504" w14:paraId="6F13F21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8857AC"/>
    <w:multiLevelType w:val="hybridMultilevel"/>
    <w:tmpl w:val="5254B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378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955"/>
    <w:rsid w:val="00001462"/>
    <w:rsid w:val="00001A1D"/>
    <w:rsid w:val="000148C8"/>
    <w:rsid w:val="000200BB"/>
    <w:rsid w:val="000341E8"/>
    <w:rsid w:val="00034277"/>
    <w:rsid w:val="000448CA"/>
    <w:rsid w:val="000512C3"/>
    <w:rsid w:val="00067135"/>
    <w:rsid w:val="00070E34"/>
    <w:rsid w:val="00072C86"/>
    <w:rsid w:val="000866E7"/>
    <w:rsid w:val="00095837"/>
    <w:rsid w:val="000A4892"/>
    <w:rsid w:val="000A5C46"/>
    <w:rsid w:val="000B0ECC"/>
    <w:rsid w:val="000C6315"/>
    <w:rsid w:val="000D1070"/>
    <w:rsid w:val="000D34EF"/>
    <w:rsid w:val="000D35E4"/>
    <w:rsid w:val="000D4DF8"/>
    <w:rsid w:val="000D584A"/>
    <w:rsid w:val="000E0227"/>
    <w:rsid w:val="000F6C1F"/>
    <w:rsid w:val="000F765C"/>
    <w:rsid w:val="0011147B"/>
    <w:rsid w:val="001129CB"/>
    <w:rsid w:val="0012612D"/>
    <w:rsid w:val="00127C7C"/>
    <w:rsid w:val="00127E1F"/>
    <w:rsid w:val="00153005"/>
    <w:rsid w:val="001723D9"/>
    <w:rsid w:val="00187EB8"/>
    <w:rsid w:val="001952FE"/>
    <w:rsid w:val="0019664F"/>
    <w:rsid w:val="001B3A9A"/>
    <w:rsid w:val="001B3B5B"/>
    <w:rsid w:val="001B67D3"/>
    <w:rsid w:val="001C6B7A"/>
    <w:rsid w:val="001D5955"/>
    <w:rsid w:val="001E5CAA"/>
    <w:rsid w:val="001F26E8"/>
    <w:rsid w:val="002048E6"/>
    <w:rsid w:val="0020498F"/>
    <w:rsid w:val="00205E6F"/>
    <w:rsid w:val="00214052"/>
    <w:rsid w:val="0021428E"/>
    <w:rsid w:val="00223576"/>
    <w:rsid w:val="0023092A"/>
    <w:rsid w:val="0023147C"/>
    <w:rsid w:val="00233244"/>
    <w:rsid w:val="00236A7C"/>
    <w:rsid w:val="00237D5E"/>
    <w:rsid w:val="00240D2C"/>
    <w:rsid w:val="00252FCD"/>
    <w:rsid w:val="00256383"/>
    <w:rsid w:val="002623E8"/>
    <w:rsid w:val="00266936"/>
    <w:rsid w:val="00292197"/>
    <w:rsid w:val="00297218"/>
    <w:rsid w:val="002A22D8"/>
    <w:rsid w:val="002B3B9C"/>
    <w:rsid w:val="002B6B0F"/>
    <w:rsid w:val="002B6B42"/>
    <w:rsid w:val="002C64F2"/>
    <w:rsid w:val="002C75E6"/>
    <w:rsid w:val="002E648E"/>
    <w:rsid w:val="002E7AB2"/>
    <w:rsid w:val="002F4323"/>
    <w:rsid w:val="00301F4D"/>
    <w:rsid w:val="00302264"/>
    <w:rsid w:val="00305810"/>
    <w:rsid w:val="00307909"/>
    <w:rsid w:val="00312194"/>
    <w:rsid w:val="00326D97"/>
    <w:rsid w:val="00326E2F"/>
    <w:rsid w:val="00332211"/>
    <w:rsid w:val="003407C2"/>
    <w:rsid w:val="003546E1"/>
    <w:rsid w:val="00382712"/>
    <w:rsid w:val="0038439B"/>
    <w:rsid w:val="003966BF"/>
    <w:rsid w:val="00397206"/>
    <w:rsid w:val="003A6761"/>
    <w:rsid w:val="003B2158"/>
    <w:rsid w:val="003C7C1B"/>
    <w:rsid w:val="003D757A"/>
    <w:rsid w:val="003E0395"/>
    <w:rsid w:val="003E0DDA"/>
    <w:rsid w:val="003E274F"/>
    <w:rsid w:val="003F6271"/>
    <w:rsid w:val="00400A50"/>
    <w:rsid w:val="00402EE3"/>
    <w:rsid w:val="00405B55"/>
    <w:rsid w:val="00413F88"/>
    <w:rsid w:val="004211FB"/>
    <w:rsid w:val="00421285"/>
    <w:rsid w:val="00434FB4"/>
    <w:rsid w:val="00442D03"/>
    <w:rsid w:val="00451518"/>
    <w:rsid w:val="004624C9"/>
    <w:rsid w:val="00466DD7"/>
    <w:rsid w:val="004817BE"/>
    <w:rsid w:val="00484AA1"/>
    <w:rsid w:val="0049258B"/>
    <w:rsid w:val="00492A27"/>
    <w:rsid w:val="00494A94"/>
    <w:rsid w:val="004A2722"/>
    <w:rsid w:val="004A4551"/>
    <w:rsid w:val="004A7D98"/>
    <w:rsid w:val="004B58A5"/>
    <w:rsid w:val="004D3E1A"/>
    <w:rsid w:val="004E22DE"/>
    <w:rsid w:val="004E26D6"/>
    <w:rsid w:val="004E391E"/>
    <w:rsid w:val="004F15E8"/>
    <w:rsid w:val="004F4393"/>
    <w:rsid w:val="0050102B"/>
    <w:rsid w:val="00501308"/>
    <w:rsid w:val="00506010"/>
    <w:rsid w:val="0050678B"/>
    <w:rsid w:val="00506FD1"/>
    <w:rsid w:val="00510A82"/>
    <w:rsid w:val="00514D76"/>
    <w:rsid w:val="005154E8"/>
    <w:rsid w:val="00527A41"/>
    <w:rsid w:val="0053026B"/>
    <w:rsid w:val="00543636"/>
    <w:rsid w:val="0054518F"/>
    <w:rsid w:val="00547C7A"/>
    <w:rsid w:val="00553581"/>
    <w:rsid w:val="005745E4"/>
    <w:rsid w:val="00576462"/>
    <w:rsid w:val="00576AFB"/>
    <w:rsid w:val="00582F15"/>
    <w:rsid w:val="00583A78"/>
    <w:rsid w:val="005846A5"/>
    <w:rsid w:val="00586F21"/>
    <w:rsid w:val="005B0EF2"/>
    <w:rsid w:val="005B2D26"/>
    <w:rsid w:val="005B6474"/>
    <w:rsid w:val="005D03FC"/>
    <w:rsid w:val="005D1860"/>
    <w:rsid w:val="005D4476"/>
    <w:rsid w:val="005E1A30"/>
    <w:rsid w:val="005F214E"/>
    <w:rsid w:val="005F72E5"/>
    <w:rsid w:val="006002FA"/>
    <w:rsid w:val="00603A4D"/>
    <w:rsid w:val="006070C6"/>
    <w:rsid w:val="00607D6F"/>
    <w:rsid w:val="00612F5E"/>
    <w:rsid w:val="006279AE"/>
    <w:rsid w:val="0063133D"/>
    <w:rsid w:val="00633755"/>
    <w:rsid w:val="006371F5"/>
    <w:rsid w:val="00655D63"/>
    <w:rsid w:val="00682303"/>
    <w:rsid w:val="00683B18"/>
    <w:rsid w:val="00685286"/>
    <w:rsid w:val="00690592"/>
    <w:rsid w:val="006944E4"/>
    <w:rsid w:val="006A017F"/>
    <w:rsid w:val="006A4069"/>
    <w:rsid w:val="006A4520"/>
    <w:rsid w:val="006B2A77"/>
    <w:rsid w:val="006C0F97"/>
    <w:rsid w:val="006D264F"/>
    <w:rsid w:val="006E06A2"/>
    <w:rsid w:val="006E5102"/>
    <w:rsid w:val="006E5AD2"/>
    <w:rsid w:val="006F3E11"/>
    <w:rsid w:val="00705A31"/>
    <w:rsid w:val="007116AA"/>
    <w:rsid w:val="00712460"/>
    <w:rsid w:val="0072437B"/>
    <w:rsid w:val="00726562"/>
    <w:rsid w:val="00737CD7"/>
    <w:rsid w:val="00740956"/>
    <w:rsid w:val="00742F3F"/>
    <w:rsid w:val="0075576B"/>
    <w:rsid w:val="00776B94"/>
    <w:rsid w:val="00785C9F"/>
    <w:rsid w:val="007A17A0"/>
    <w:rsid w:val="007A1B8B"/>
    <w:rsid w:val="007A2806"/>
    <w:rsid w:val="007A505F"/>
    <w:rsid w:val="007B00EA"/>
    <w:rsid w:val="007B1C6F"/>
    <w:rsid w:val="007B58EA"/>
    <w:rsid w:val="007B7341"/>
    <w:rsid w:val="007C1795"/>
    <w:rsid w:val="007D13B7"/>
    <w:rsid w:val="007D6D8A"/>
    <w:rsid w:val="007E6750"/>
    <w:rsid w:val="007F5C0B"/>
    <w:rsid w:val="008028C8"/>
    <w:rsid w:val="00802B90"/>
    <w:rsid w:val="00817213"/>
    <w:rsid w:val="008209C5"/>
    <w:rsid w:val="0082285A"/>
    <w:rsid w:val="00823A4C"/>
    <w:rsid w:val="008243F5"/>
    <w:rsid w:val="00830B40"/>
    <w:rsid w:val="00833F98"/>
    <w:rsid w:val="00837578"/>
    <w:rsid w:val="0084766B"/>
    <w:rsid w:val="0085511C"/>
    <w:rsid w:val="00872A60"/>
    <w:rsid w:val="008814C3"/>
    <w:rsid w:val="00881994"/>
    <w:rsid w:val="00883D73"/>
    <w:rsid w:val="008844CB"/>
    <w:rsid w:val="00884576"/>
    <w:rsid w:val="008852F5"/>
    <w:rsid w:val="00886FDE"/>
    <w:rsid w:val="00897E0F"/>
    <w:rsid w:val="008A5838"/>
    <w:rsid w:val="008B0F9F"/>
    <w:rsid w:val="008C0F33"/>
    <w:rsid w:val="008D3661"/>
    <w:rsid w:val="008D3CB3"/>
    <w:rsid w:val="008D6E68"/>
    <w:rsid w:val="008D7EBD"/>
    <w:rsid w:val="008E0363"/>
    <w:rsid w:val="008E1E6D"/>
    <w:rsid w:val="008E63C1"/>
    <w:rsid w:val="008F737B"/>
    <w:rsid w:val="00900516"/>
    <w:rsid w:val="009046DD"/>
    <w:rsid w:val="00905A86"/>
    <w:rsid w:val="00917054"/>
    <w:rsid w:val="0092333A"/>
    <w:rsid w:val="00935B48"/>
    <w:rsid w:val="009507BC"/>
    <w:rsid w:val="00951B19"/>
    <w:rsid w:val="009525C7"/>
    <w:rsid w:val="00963487"/>
    <w:rsid w:val="00972F15"/>
    <w:rsid w:val="00973B81"/>
    <w:rsid w:val="00977D7E"/>
    <w:rsid w:val="009802E7"/>
    <w:rsid w:val="00984245"/>
    <w:rsid w:val="00984A8C"/>
    <w:rsid w:val="00995433"/>
    <w:rsid w:val="009C6E1D"/>
    <w:rsid w:val="009D6604"/>
    <w:rsid w:val="009E2803"/>
    <w:rsid w:val="009F1E67"/>
    <w:rsid w:val="009F4035"/>
    <w:rsid w:val="00A01F11"/>
    <w:rsid w:val="00A17FFE"/>
    <w:rsid w:val="00A22CCD"/>
    <w:rsid w:val="00A277DC"/>
    <w:rsid w:val="00A35962"/>
    <w:rsid w:val="00A45BDE"/>
    <w:rsid w:val="00A4741D"/>
    <w:rsid w:val="00A607F1"/>
    <w:rsid w:val="00A65D48"/>
    <w:rsid w:val="00A704F0"/>
    <w:rsid w:val="00A91CEB"/>
    <w:rsid w:val="00A92AA8"/>
    <w:rsid w:val="00A95A71"/>
    <w:rsid w:val="00A9751B"/>
    <w:rsid w:val="00AA0E80"/>
    <w:rsid w:val="00AA3F48"/>
    <w:rsid w:val="00AB30E4"/>
    <w:rsid w:val="00AC00C2"/>
    <w:rsid w:val="00AC1977"/>
    <w:rsid w:val="00AC414C"/>
    <w:rsid w:val="00AC5B42"/>
    <w:rsid w:val="00AC7FD4"/>
    <w:rsid w:val="00AE53DE"/>
    <w:rsid w:val="00AE63DB"/>
    <w:rsid w:val="00AF0904"/>
    <w:rsid w:val="00B0325F"/>
    <w:rsid w:val="00B3323E"/>
    <w:rsid w:val="00B406E8"/>
    <w:rsid w:val="00B471EB"/>
    <w:rsid w:val="00B555CF"/>
    <w:rsid w:val="00B731FE"/>
    <w:rsid w:val="00B81982"/>
    <w:rsid w:val="00B910C6"/>
    <w:rsid w:val="00B9459C"/>
    <w:rsid w:val="00BA3E28"/>
    <w:rsid w:val="00BB6612"/>
    <w:rsid w:val="00BE7B64"/>
    <w:rsid w:val="00BF3173"/>
    <w:rsid w:val="00BF65A6"/>
    <w:rsid w:val="00BF6E1B"/>
    <w:rsid w:val="00C00374"/>
    <w:rsid w:val="00C07969"/>
    <w:rsid w:val="00C10559"/>
    <w:rsid w:val="00C12300"/>
    <w:rsid w:val="00C12C6C"/>
    <w:rsid w:val="00C23079"/>
    <w:rsid w:val="00C41702"/>
    <w:rsid w:val="00C517C0"/>
    <w:rsid w:val="00C57504"/>
    <w:rsid w:val="00C64E06"/>
    <w:rsid w:val="00C74270"/>
    <w:rsid w:val="00C765BB"/>
    <w:rsid w:val="00C80DF1"/>
    <w:rsid w:val="00C810EB"/>
    <w:rsid w:val="00C9096D"/>
    <w:rsid w:val="00CA648F"/>
    <w:rsid w:val="00CB1E51"/>
    <w:rsid w:val="00CB73ED"/>
    <w:rsid w:val="00CC255F"/>
    <w:rsid w:val="00CC6797"/>
    <w:rsid w:val="00CD2B13"/>
    <w:rsid w:val="00CE2BDB"/>
    <w:rsid w:val="00CE424E"/>
    <w:rsid w:val="00D00C15"/>
    <w:rsid w:val="00D01293"/>
    <w:rsid w:val="00D02CF9"/>
    <w:rsid w:val="00D115D9"/>
    <w:rsid w:val="00D20BB2"/>
    <w:rsid w:val="00D24E44"/>
    <w:rsid w:val="00D301C1"/>
    <w:rsid w:val="00D32467"/>
    <w:rsid w:val="00D4150B"/>
    <w:rsid w:val="00D54CA7"/>
    <w:rsid w:val="00D56666"/>
    <w:rsid w:val="00D6409B"/>
    <w:rsid w:val="00D82ADD"/>
    <w:rsid w:val="00D84456"/>
    <w:rsid w:val="00D85F9A"/>
    <w:rsid w:val="00D90536"/>
    <w:rsid w:val="00DA0882"/>
    <w:rsid w:val="00DA4D93"/>
    <w:rsid w:val="00DA6707"/>
    <w:rsid w:val="00DC78EF"/>
    <w:rsid w:val="00DD3B26"/>
    <w:rsid w:val="00DE72F5"/>
    <w:rsid w:val="00DF054E"/>
    <w:rsid w:val="00DF34C7"/>
    <w:rsid w:val="00DF686E"/>
    <w:rsid w:val="00E0668C"/>
    <w:rsid w:val="00E07416"/>
    <w:rsid w:val="00E12346"/>
    <w:rsid w:val="00E15778"/>
    <w:rsid w:val="00E20AD3"/>
    <w:rsid w:val="00E214BB"/>
    <w:rsid w:val="00E25BFB"/>
    <w:rsid w:val="00E25DE2"/>
    <w:rsid w:val="00E33E02"/>
    <w:rsid w:val="00E34C8B"/>
    <w:rsid w:val="00E3575D"/>
    <w:rsid w:val="00E40FA6"/>
    <w:rsid w:val="00E50A0B"/>
    <w:rsid w:val="00E6009C"/>
    <w:rsid w:val="00E627A4"/>
    <w:rsid w:val="00E63199"/>
    <w:rsid w:val="00E67318"/>
    <w:rsid w:val="00E83FFD"/>
    <w:rsid w:val="00E93616"/>
    <w:rsid w:val="00E94806"/>
    <w:rsid w:val="00EA722A"/>
    <w:rsid w:val="00EB2460"/>
    <w:rsid w:val="00EB55B1"/>
    <w:rsid w:val="00ED0FBF"/>
    <w:rsid w:val="00ED729B"/>
    <w:rsid w:val="00EE1A99"/>
    <w:rsid w:val="00EF31E9"/>
    <w:rsid w:val="00F05074"/>
    <w:rsid w:val="00F11885"/>
    <w:rsid w:val="00F11F1E"/>
    <w:rsid w:val="00F224E4"/>
    <w:rsid w:val="00F27209"/>
    <w:rsid w:val="00F33288"/>
    <w:rsid w:val="00F349CE"/>
    <w:rsid w:val="00F4183B"/>
    <w:rsid w:val="00F420CE"/>
    <w:rsid w:val="00F52011"/>
    <w:rsid w:val="00F53D24"/>
    <w:rsid w:val="00F648E5"/>
    <w:rsid w:val="00F71826"/>
    <w:rsid w:val="00F76BD0"/>
    <w:rsid w:val="00F812B9"/>
    <w:rsid w:val="00F95556"/>
    <w:rsid w:val="00FA7683"/>
    <w:rsid w:val="00FA7CC9"/>
    <w:rsid w:val="00FC5E09"/>
    <w:rsid w:val="00FD27E4"/>
    <w:rsid w:val="00FE2250"/>
    <w:rsid w:val="00FE46B9"/>
    <w:rsid w:val="00FE49AC"/>
    <w:rsid w:val="00FE70A9"/>
    <w:rsid w:val="00FF3C95"/>
    <w:rsid w:val="00FF51AE"/>
    <w:rsid w:val="0FF0F5F2"/>
    <w:rsid w:val="5FE5BC52"/>
    <w:rsid w:val="71C64C9E"/>
    <w:rsid w:val="7E4C0E4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015B7"/>
  <w15:chartTrackingRefBased/>
  <w15:docId w15:val="{7D8215C7-EE52-49C7-B504-F7A6A159E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8"/>
        <w:lang w:val="en-IN"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414C"/>
    <w:pPr>
      <w:spacing w:line="360" w:lineRule="auto"/>
      <w:jc w:val="both"/>
    </w:pPr>
    <w:rPr>
      <w:rFonts w:ascii="Arial" w:hAnsi="Arial"/>
      <w:sz w:val="24"/>
      <w:szCs w:val="24"/>
      <w:lang w:val="en-GB" w:bidi="ar-SA"/>
    </w:rPr>
  </w:style>
  <w:style w:type="paragraph" w:styleId="Heading1">
    <w:name w:val="heading 1"/>
    <w:basedOn w:val="Normal"/>
    <w:next w:val="Normal"/>
    <w:link w:val="Heading1Char"/>
    <w:uiPriority w:val="9"/>
    <w:qFormat/>
    <w:rsid w:val="00AC414C"/>
    <w:pPr>
      <w:keepNext/>
      <w:keepLines/>
      <w:spacing w:before="360" w:after="80"/>
      <w:outlineLvl w:val="0"/>
    </w:pPr>
    <w:rPr>
      <w:rFonts w:eastAsiaTheme="majorEastAsia" w:cstheme="majorBidi"/>
      <w:b/>
      <w:szCs w:val="40"/>
      <w:lang w:bidi="bn-IN"/>
    </w:rPr>
  </w:style>
  <w:style w:type="paragraph" w:styleId="Heading2">
    <w:name w:val="heading 2"/>
    <w:basedOn w:val="Normal"/>
    <w:next w:val="Normal"/>
    <w:link w:val="Heading2Char"/>
    <w:autoRedefine/>
    <w:uiPriority w:val="9"/>
    <w:unhideWhenUsed/>
    <w:qFormat/>
    <w:rsid w:val="00AC414C"/>
    <w:pPr>
      <w:keepNext/>
      <w:keepLines/>
      <w:outlineLvl w:val="1"/>
    </w:pPr>
    <w:rPr>
      <w:rFonts w:eastAsiaTheme="minorEastAsia"/>
      <w:b/>
      <w:lang w:eastAsia="ja-JP"/>
    </w:rPr>
  </w:style>
  <w:style w:type="paragraph" w:styleId="Heading3">
    <w:name w:val="heading 3"/>
    <w:basedOn w:val="Normal"/>
    <w:next w:val="Normal"/>
    <w:link w:val="Heading3Char"/>
    <w:uiPriority w:val="9"/>
    <w:unhideWhenUsed/>
    <w:qFormat/>
    <w:rsid w:val="00AC414C"/>
    <w:pPr>
      <w:keepNext/>
      <w:keepLines/>
      <w:outlineLvl w:val="2"/>
    </w:pPr>
    <w:rPr>
      <w:rFonts w:eastAsiaTheme="majorEastAsia" w:cstheme="majorBidi"/>
      <w:b/>
      <w:lang w:eastAsia="ja-JP"/>
    </w:rPr>
  </w:style>
  <w:style w:type="paragraph" w:styleId="Heading4">
    <w:name w:val="heading 4"/>
    <w:basedOn w:val="Normal"/>
    <w:next w:val="Normal"/>
    <w:link w:val="Heading4Char"/>
    <w:uiPriority w:val="9"/>
    <w:unhideWhenUsed/>
    <w:qFormat/>
    <w:rsid w:val="008A5838"/>
    <w:pPr>
      <w:keepNext/>
      <w:keepLines/>
      <w:spacing w:before="80" w:after="40"/>
      <w:outlineLvl w:val="3"/>
    </w:pPr>
    <w:rPr>
      <w:rFonts w:eastAsiaTheme="majorEastAsia" w:cstheme="majorBidi"/>
      <w:b/>
      <w:iCs/>
      <w:color w:val="000000" w:themeColor="text1"/>
      <w:szCs w:val="28"/>
      <w:lang w:bidi="bn-IN"/>
    </w:rPr>
  </w:style>
  <w:style w:type="paragraph" w:styleId="Heading5">
    <w:name w:val="heading 5"/>
    <w:basedOn w:val="Normal"/>
    <w:next w:val="Normal"/>
    <w:link w:val="Heading5Char"/>
    <w:uiPriority w:val="9"/>
    <w:semiHidden/>
    <w:unhideWhenUsed/>
    <w:qFormat/>
    <w:rsid w:val="001D5955"/>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5955"/>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955"/>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955"/>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955"/>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414C"/>
    <w:rPr>
      <w:rFonts w:ascii="Arial" w:hAnsi="Arial" w:eastAsiaTheme="majorEastAsia" w:cstheme="majorBidi"/>
      <w:b/>
      <w:sz w:val="24"/>
      <w:szCs w:val="40"/>
      <w:lang w:val="en-GB"/>
    </w:rPr>
  </w:style>
  <w:style w:type="character" w:styleId="Heading2Char" w:customStyle="1">
    <w:name w:val="Heading 2 Char"/>
    <w:basedOn w:val="DefaultParagraphFont"/>
    <w:link w:val="Heading2"/>
    <w:uiPriority w:val="9"/>
    <w:rsid w:val="00AC414C"/>
    <w:rPr>
      <w:rFonts w:ascii="Arial" w:hAnsi="Arial" w:eastAsiaTheme="minorEastAsia"/>
      <w:b/>
      <w:sz w:val="24"/>
      <w:szCs w:val="24"/>
      <w:lang w:val="en-GB" w:eastAsia="ja-JP" w:bidi="ar-SA"/>
    </w:rPr>
  </w:style>
  <w:style w:type="character" w:styleId="Heading3Char" w:customStyle="1">
    <w:name w:val="Heading 3 Char"/>
    <w:basedOn w:val="DefaultParagraphFont"/>
    <w:link w:val="Heading3"/>
    <w:uiPriority w:val="9"/>
    <w:rsid w:val="00AC414C"/>
    <w:rPr>
      <w:rFonts w:ascii="Arial" w:hAnsi="Arial" w:eastAsiaTheme="majorEastAsia" w:cstheme="majorBidi"/>
      <w:b/>
      <w:sz w:val="24"/>
      <w:szCs w:val="24"/>
      <w:lang w:val="en-GB" w:eastAsia="ja-JP" w:bidi="ar-SA"/>
    </w:rPr>
  </w:style>
  <w:style w:type="character" w:styleId="Heading4Char" w:customStyle="1">
    <w:name w:val="Heading 4 Char"/>
    <w:basedOn w:val="DefaultParagraphFont"/>
    <w:link w:val="Heading4"/>
    <w:uiPriority w:val="9"/>
    <w:rsid w:val="008A5838"/>
    <w:rPr>
      <w:rFonts w:ascii="Arial" w:hAnsi="Arial" w:eastAsiaTheme="majorEastAsia" w:cstheme="majorBidi"/>
      <w:b/>
      <w:iCs/>
      <w:color w:val="000000" w:themeColor="text1"/>
      <w14:ligatures w14:val="none"/>
    </w:rPr>
  </w:style>
  <w:style w:type="character" w:styleId="Heading5Char" w:customStyle="1">
    <w:name w:val="Heading 5 Char"/>
    <w:basedOn w:val="DefaultParagraphFont"/>
    <w:link w:val="Heading5"/>
    <w:uiPriority w:val="9"/>
    <w:semiHidden/>
    <w:rsid w:val="001D5955"/>
    <w:rPr>
      <w:rFonts w:eastAsiaTheme="majorEastAsia" w:cstheme="majorBidi"/>
      <w:color w:val="2F5496" w:themeColor="accent1" w:themeShade="BF"/>
      <w:sz w:val="24"/>
      <w:szCs w:val="24"/>
      <w:lang w:val="en-GB" w:bidi="ar-SA"/>
    </w:rPr>
  </w:style>
  <w:style w:type="character" w:styleId="Heading6Char" w:customStyle="1">
    <w:name w:val="Heading 6 Char"/>
    <w:basedOn w:val="DefaultParagraphFont"/>
    <w:link w:val="Heading6"/>
    <w:uiPriority w:val="9"/>
    <w:semiHidden/>
    <w:rsid w:val="001D5955"/>
    <w:rPr>
      <w:rFonts w:eastAsiaTheme="majorEastAsia" w:cstheme="majorBidi"/>
      <w:i/>
      <w:iCs/>
      <w:color w:val="595959" w:themeColor="text1" w:themeTint="A6"/>
      <w:sz w:val="24"/>
      <w:szCs w:val="24"/>
      <w:lang w:val="en-GB" w:bidi="ar-SA"/>
    </w:rPr>
  </w:style>
  <w:style w:type="character" w:styleId="Heading7Char" w:customStyle="1">
    <w:name w:val="Heading 7 Char"/>
    <w:basedOn w:val="DefaultParagraphFont"/>
    <w:link w:val="Heading7"/>
    <w:uiPriority w:val="9"/>
    <w:semiHidden/>
    <w:rsid w:val="001D5955"/>
    <w:rPr>
      <w:rFonts w:eastAsiaTheme="majorEastAsia" w:cstheme="majorBidi"/>
      <w:color w:val="595959" w:themeColor="text1" w:themeTint="A6"/>
      <w:sz w:val="24"/>
      <w:szCs w:val="24"/>
      <w:lang w:val="en-GB" w:bidi="ar-SA"/>
    </w:rPr>
  </w:style>
  <w:style w:type="character" w:styleId="Heading8Char" w:customStyle="1">
    <w:name w:val="Heading 8 Char"/>
    <w:basedOn w:val="DefaultParagraphFont"/>
    <w:link w:val="Heading8"/>
    <w:uiPriority w:val="9"/>
    <w:semiHidden/>
    <w:rsid w:val="001D5955"/>
    <w:rPr>
      <w:rFonts w:eastAsiaTheme="majorEastAsia" w:cstheme="majorBidi"/>
      <w:i/>
      <w:iCs/>
      <w:color w:val="272727" w:themeColor="text1" w:themeTint="D8"/>
      <w:sz w:val="24"/>
      <w:szCs w:val="24"/>
      <w:lang w:val="en-GB" w:bidi="ar-SA"/>
    </w:rPr>
  </w:style>
  <w:style w:type="character" w:styleId="Heading9Char" w:customStyle="1">
    <w:name w:val="Heading 9 Char"/>
    <w:basedOn w:val="DefaultParagraphFont"/>
    <w:link w:val="Heading9"/>
    <w:uiPriority w:val="9"/>
    <w:semiHidden/>
    <w:rsid w:val="001D5955"/>
    <w:rPr>
      <w:rFonts w:eastAsiaTheme="majorEastAsia" w:cstheme="majorBidi"/>
      <w:color w:val="272727" w:themeColor="text1" w:themeTint="D8"/>
      <w:sz w:val="24"/>
      <w:szCs w:val="24"/>
      <w:lang w:val="en-GB" w:bidi="ar-SA"/>
    </w:rPr>
  </w:style>
  <w:style w:type="paragraph" w:styleId="Title">
    <w:name w:val="Title"/>
    <w:basedOn w:val="Normal"/>
    <w:next w:val="Normal"/>
    <w:link w:val="TitleChar"/>
    <w:uiPriority w:val="10"/>
    <w:qFormat/>
    <w:rsid w:val="001D595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D5955"/>
    <w:rPr>
      <w:rFonts w:asciiTheme="majorHAnsi" w:hAnsiTheme="majorHAnsi" w:eastAsiaTheme="majorEastAsia" w:cstheme="majorBidi"/>
      <w:spacing w:val="-10"/>
      <w:kern w:val="28"/>
      <w:sz w:val="56"/>
      <w:szCs w:val="56"/>
      <w:lang w:val="en-GB" w:bidi="ar-SA"/>
    </w:rPr>
  </w:style>
  <w:style w:type="paragraph" w:styleId="Subtitle">
    <w:name w:val="Subtitle"/>
    <w:basedOn w:val="Normal"/>
    <w:next w:val="Normal"/>
    <w:link w:val="SubtitleChar"/>
    <w:uiPriority w:val="11"/>
    <w:qFormat/>
    <w:rsid w:val="001D5955"/>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D5955"/>
    <w:rPr>
      <w:rFonts w:eastAsiaTheme="majorEastAsia" w:cstheme="majorBidi"/>
      <w:color w:val="595959" w:themeColor="text1" w:themeTint="A6"/>
      <w:spacing w:val="15"/>
      <w:sz w:val="28"/>
      <w:lang w:val="en-GB" w:bidi="ar-SA"/>
    </w:rPr>
  </w:style>
  <w:style w:type="paragraph" w:styleId="Quote">
    <w:name w:val="Quote"/>
    <w:basedOn w:val="Normal"/>
    <w:next w:val="Normal"/>
    <w:link w:val="QuoteChar"/>
    <w:uiPriority w:val="29"/>
    <w:qFormat/>
    <w:rsid w:val="001D5955"/>
    <w:pPr>
      <w:spacing w:before="160"/>
      <w:jc w:val="center"/>
    </w:pPr>
    <w:rPr>
      <w:i/>
      <w:iCs/>
      <w:color w:val="404040" w:themeColor="text1" w:themeTint="BF"/>
    </w:rPr>
  </w:style>
  <w:style w:type="character" w:styleId="QuoteChar" w:customStyle="1">
    <w:name w:val="Quote Char"/>
    <w:basedOn w:val="DefaultParagraphFont"/>
    <w:link w:val="Quote"/>
    <w:uiPriority w:val="29"/>
    <w:rsid w:val="001D5955"/>
    <w:rPr>
      <w:rFonts w:ascii="Arial" w:hAnsi="Arial"/>
      <w:i/>
      <w:iCs/>
      <w:color w:val="404040" w:themeColor="text1" w:themeTint="BF"/>
      <w:sz w:val="24"/>
      <w:szCs w:val="24"/>
      <w:lang w:val="en-GB" w:bidi="ar-SA"/>
    </w:rPr>
  </w:style>
  <w:style w:type="paragraph" w:styleId="ListParagraph">
    <w:name w:val="List Paragraph"/>
    <w:basedOn w:val="Normal"/>
    <w:uiPriority w:val="34"/>
    <w:qFormat/>
    <w:rsid w:val="001D5955"/>
    <w:pPr>
      <w:ind w:left="720"/>
      <w:contextualSpacing/>
    </w:pPr>
  </w:style>
  <w:style w:type="character" w:styleId="IntenseEmphasis">
    <w:name w:val="Intense Emphasis"/>
    <w:basedOn w:val="DefaultParagraphFont"/>
    <w:uiPriority w:val="21"/>
    <w:qFormat/>
    <w:rsid w:val="001D5955"/>
    <w:rPr>
      <w:i/>
      <w:iCs/>
      <w:color w:val="2F5496" w:themeColor="accent1" w:themeShade="BF"/>
    </w:rPr>
  </w:style>
  <w:style w:type="paragraph" w:styleId="IntenseQuote">
    <w:name w:val="Intense Quote"/>
    <w:basedOn w:val="Normal"/>
    <w:next w:val="Normal"/>
    <w:link w:val="IntenseQuoteChar"/>
    <w:uiPriority w:val="30"/>
    <w:qFormat/>
    <w:rsid w:val="001D595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D5955"/>
    <w:rPr>
      <w:rFonts w:ascii="Arial" w:hAnsi="Arial"/>
      <w:i/>
      <w:iCs/>
      <w:color w:val="2F5496" w:themeColor="accent1" w:themeShade="BF"/>
      <w:sz w:val="24"/>
      <w:szCs w:val="24"/>
      <w:lang w:val="en-GB" w:bidi="ar-SA"/>
    </w:rPr>
  </w:style>
  <w:style w:type="character" w:styleId="IntenseReference">
    <w:name w:val="Intense Reference"/>
    <w:basedOn w:val="DefaultParagraphFont"/>
    <w:uiPriority w:val="32"/>
    <w:qFormat/>
    <w:rsid w:val="001D5955"/>
    <w:rPr>
      <w:b/>
      <w:bCs/>
      <w:smallCaps/>
      <w:color w:val="2F5496" w:themeColor="accent1" w:themeShade="BF"/>
      <w:spacing w:val="5"/>
    </w:rPr>
  </w:style>
  <w:style w:type="character" w:styleId="Hyperlink">
    <w:name w:val="Hyperlink"/>
    <w:basedOn w:val="DefaultParagraphFont"/>
    <w:uiPriority w:val="99"/>
    <w:unhideWhenUsed/>
    <w:rsid w:val="00067135"/>
    <w:rPr>
      <w:color w:val="0563C1" w:themeColor="hyperlink"/>
      <w:u w:val="single"/>
    </w:rPr>
  </w:style>
  <w:style w:type="character" w:styleId="UnresolvedMention">
    <w:name w:val="Unresolved Mention"/>
    <w:basedOn w:val="DefaultParagraphFont"/>
    <w:uiPriority w:val="99"/>
    <w:semiHidden/>
    <w:unhideWhenUsed/>
    <w:rsid w:val="00067135"/>
    <w:rPr>
      <w:color w:val="605E5C"/>
      <w:shd w:val="clear" w:color="auto" w:fill="E1DFDD"/>
    </w:rPr>
  </w:style>
  <w:style w:type="table" w:styleId="TableGrid">
    <w:name w:val="Table Grid"/>
    <w:basedOn w:val="TableNormal"/>
    <w:uiPriority w:val="39"/>
    <w:rsid w:val="004E391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D186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1860"/>
    <w:rPr>
      <w:rFonts w:ascii="Arial" w:hAnsi="Arial"/>
      <w:sz w:val="24"/>
      <w:szCs w:val="24"/>
      <w:lang w:val="en-GB" w:bidi="ar-SA"/>
    </w:rPr>
  </w:style>
  <w:style w:type="paragraph" w:styleId="Footer">
    <w:name w:val="footer"/>
    <w:basedOn w:val="Normal"/>
    <w:link w:val="FooterChar"/>
    <w:uiPriority w:val="99"/>
    <w:unhideWhenUsed/>
    <w:rsid w:val="005D186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1860"/>
    <w:rPr>
      <w:rFonts w:ascii="Arial" w:hAnsi="Arial"/>
      <w:sz w:val="24"/>
      <w:szCs w:val="24"/>
      <w:lang w:val="en-GB" w:bidi="ar-SA"/>
    </w:rPr>
  </w:style>
  <w:style w:type="paragraph" w:styleId="TOCHeading">
    <w:name w:val="TOC Heading"/>
    <w:basedOn w:val="Heading1"/>
    <w:next w:val="Normal"/>
    <w:uiPriority w:val="39"/>
    <w:unhideWhenUsed/>
    <w:qFormat/>
    <w:rsid w:val="00072C86"/>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072C86"/>
    <w:pPr>
      <w:spacing w:after="100"/>
    </w:pPr>
  </w:style>
  <w:style w:type="paragraph" w:styleId="TOC2">
    <w:name w:val="toc 2"/>
    <w:basedOn w:val="Normal"/>
    <w:next w:val="Normal"/>
    <w:autoRedefine/>
    <w:uiPriority w:val="39"/>
    <w:unhideWhenUsed/>
    <w:rsid w:val="00072C8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k.sagepub.com/skills/business/fb/budgeting-and-forecasting"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sec.gov/Archives/edgar/data/1318605/000162828026003952/tsla-20251231.htm"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ec.gov/Archives/edgar/data/1318605/000162828026003952/tsla-20251231.htm"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ir.tesla.com/_flysystem/s3/sec/000162828026026673/tsla-20260331-gen.pdf" TargetMode="External" Id="rId10" /><Relationship Type="http://schemas.openxmlformats.org/officeDocument/2006/relationships/settings" Target="settings.xml" Id="rId4" /><Relationship Type="http://schemas.openxmlformats.org/officeDocument/2006/relationships/hyperlink" Target="https://books.google.co.in/books/about/ACCA_Management_Accounting_Course.html?id=n5OW0AEACAAJ&amp;redir_esc=y" TargetMode="Externa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25B2B-0621-48DD-BA97-2F155B400D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Arfeen (2416334)</dc:creator>
  <cp:keywords/>
  <dc:description/>
  <cp:lastModifiedBy>Mohammed Arfeen (2416334)</cp:lastModifiedBy>
  <cp:revision>496</cp:revision>
  <dcterms:created xsi:type="dcterms:W3CDTF">2026-09-21T08:21:00Z</dcterms:created>
  <dcterms:modified xsi:type="dcterms:W3CDTF">2026-10-24T16:46:49Z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72f6755c-c50d-492a-be67-31fac09379bf</vt:lpwstr>
  </property>
</Properties>
</file>