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62451" w14:textId="77777777" w:rsidR="00323F12" w:rsidRPr="00C32907" w:rsidRDefault="00000000" w:rsidP="00C32907">
      <w:pPr>
        <w:jc w:val="center"/>
        <w:rPr>
          <w:rFonts w:ascii="Calibri" w:hAnsi="Calibri" w:cs="Calibri"/>
          <w:sz w:val="24"/>
          <w:szCs w:val="24"/>
        </w:rPr>
      </w:pPr>
      <w:r w:rsidRPr="00C32907">
        <w:rPr>
          <w:rFonts w:ascii="Calibri" w:hAnsi="Calibri" w:cs="Calibri"/>
          <w:b/>
          <w:bCs/>
          <w:sz w:val="24"/>
          <w:szCs w:val="24"/>
        </w:rPr>
        <w:t>A Commentary on the Ground Plan of Tintern Abbey</w:t>
      </w:r>
    </w:p>
    <w:p w14:paraId="252C15D6" w14:textId="77777777" w:rsidR="00323F12" w:rsidRPr="00C32907" w:rsidRDefault="00323F12" w:rsidP="00C32907">
      <w:pPr>
        <w:rPr>
          <w:rFonts w:ascii="Calibri" w:hAnsi="Calibri" w:cs="Calibri"/>
          <w:sz w:val="24"/>
          <w:szCs w:val="24"/>
        </w:rPr>
      </w:pPr>
    </w:p>
    <w:p w14:paraId="7DC37427" w14:textId="3E241B9F" w:rsidR="00C32907" w:rsidRDefault="00C32907" w:rsidP="00C32907">
      <w:pPr>
        <w:rPr>
          <w:rFonts w:ascii="Calibri" w:hAnsi="Calibri" w:cs="Calibri"/>
          <w:sz w:val="24"/>
          <w:szCs w:val="24"/>
        </w:rPr>
      </w:pPr>
      <w:r w:rsidRPr="00C32907">
        <w:rPr>
          <w:rFonts w:ascii="Calibri" w:hAnsi="Calibri" w:cs="Calibri"/>
          <w:sz w:val="24"/>
          <w:szCs w:val="24"/>
        </w:rPr>
        <w:t xml:space="preserve">Tintern Abbey stands as one of the most evocative ruins in Britain, </w:t>
      </w:r>
      <w:r>
        <w:rPr>
          <w:rFonts w:ascii="Calibri" w:hAnsi="Calibri" w:cs="Calibri"/>
          <w:sz w:val="24"/>
          <w:szCs w:val="24"/>
        </w:rPr>
        <w:t xml:space="preserve">what remains of </w:t>
      </w:r>
      <w:r w:rsidR="00B317D1">
        <w:rPr>
          <w:rFonts w:ascii="Calibri" w:hAnsi="Calibri" w:cs="Calibri"/>
          <w:sz w:val="24"/>
          <w:szCs w:val="24"/>
        </w:rPr>
        <w:t>its</w:t>
      </w:r>
      <w:r>
        <w:rPr>
          <w:rFonts w:ascii="Calibri" w:hAnsi="Calibri" w:cs="Calibri"/>
          <w:sz w:val="24"/>
          <w:szCs w:val="24"/>
        </w:rPr>
        <w:t xml:space="preserve"> majestic </w:t>
      </w:r>
      <w:r w:rsidRPr="00C32907">
        <w:rPr>
          <w:rFonts w:ascii="Calibri" w:hAnsi="Calibri" w:cs="Calibri"/>
          <w:sz w:val="24"/>
          <w:szCs w:val="24"/>
        </w:rPr>
        <w:t>arches rising from the wooded banks of the River Wye on the border between England and Wales. Founded in 1131 by Walter de Clare as the first Cistercian monastery in Wales, the abbey flourished for four centuries as a centre of religious life, scholarship, and agriculture before Henry VIII's dissolution of the monasteries brought its monastic community to an abrupt end in 1536.</w:t>
      </w:r>
      <w:r w:rsidR="00F76B34" w:rsidRPr="00C32907">
        <w:rPr>
          <w:rFonts w:ascii="Calibri" w:hAnsi="Calibri" w:cs="Calibri"/>
          <w:sz w:val="24"/>
          <w:szCs w:val="24"/>
        </w:rPr>
        <w:t xml:space="preserve"> </w:t>
      </w:r>
    </w:p>
    <w:p w14:paraId="55B5C7E5" w14:textId="77777777" w:rsidR="00C32907" w:rsidRDefault="00C32907" w:rsidP="00C32907">
      <w:pPr>
        <w:rPr>
          <w:rFonts w:ascii="Calibri" w:hAnsi="Calibri" w:cs="Calibri"/>
          <w:sz w:val="24"/>
          <w:szCs w:val="24"/>
        </w:rPr>
      </w:pPr>
    </w:p>
    <w:p w14:paraId="73BB4823" w14:textId="6D8FB66F" w:rsidR="00C32907" w:rsidRDefault="00C32907" w:rsidP="00C32907">
      <w:pPr>
        <w:rPr>
          <w:rFonts w:ascii="Calibri" w:hAnsi="Calibri" w:cs="Calibri"/>
          <w:sz w:val="24"/>
          <w:szCs w:val="24"/>
        </w:rPr>
      </w:pPr>
      <w:r w:rsidRPr="00357FA8">
        <w:rPr>
          <w:rFonts w:ascii="Calibri" w:hAnsi="Calibri" w:cs="Calibri"/>
          <w:noProof/>
        </w:rPr>
        <w:drawing>
          <wp:inline distT="0" distB="0" distL="0" distR="0" wp14:anchorId="3D56BD61" wp14:editId="43AC1239">
            <wp:extent cx="5327015" cy="5103495"/>
            <wp:effectExtent l="0" t="0" r="0" b="0"/>
            <wp:docPr id="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7015" cy="5103495"/>
                    </a:xfrm>
                    <a:prstGeom prst="rect">
                      <a:avLst/>
                    </a:prstGeom>
                    <a:noFill/>
                    <a:ln>
                      <a:noFill/>
                    </a:ln>
                  </pic:spPr>
                </pic:pic>
              </a:graphicData>
            </a:graphic>
          </wp:inline>
        </w:drawing>
      </w:r>
    </w:p>
    <w:p w14:paraId="7DF65109" w14:textId="77777777" w:rsidR="00C32907" w:rsidRDefault="00C32907" w:rsidP="00C32907">
      <w:pPr>
        <w:rPr>
          <w:rFonts w:ascii="Calibri" w:hAnsi="Calibri" w:cs="Calibri"/>
          <w:sz w:val="24"/>
          <w:szCs w:val="24"/>
        </w:rPr>
      </w:pPr>
    </w:p>
    <w:p w14:paraId="274E877D" w14:textId="718A5905" w:rsidR="00323F12" w:rsidRPr="00C32907" w:rsidRDefault="00000000" w:rsidP="00C32907">
      <w:pPr>
        <w:rPr>
          <w:rFonts w:ascii="Calibri" w:hAnsi="Calibri" w:cs="Calibri"/>
          <w:sz w:val="24"/>
          <w:szCs w:val="24"/>
        </w:rPr>
      </w:pPr>
      <w:r w:rsidRPr="00C32907">
        <w:rPr>
          <w:rFonts w:ascii="Calibri" w:hAnsi="Calibri" w:cs="Calibri"/>
          <w:sz w:val="24"/>
          <w:szCs w:val="24"/>
        </w:rPr>
        <w:t xml:space="preserve">The </w:t>
      </w:r>
      <w:r w:rsidR="00C32907">
        <w:rPr>
          <w:rFonts w:ascii="Calibri" w:hAnsi="Calibri" w:cs="Calibri"/>
          <w:sz w:val="24"/>
          <w:szCs w:val="24"/>
        </w:rPr>
        <w:t xml:space="preserve">above </w:t>
      </w:r>
      <w:r w:rsidRPr="00C32907">
        <w:rPr>
          <w:rFonts w:ascii="Calibri" w:hAnsi="Calibri" w:cs="Calibri"/>
          <w:sz w:val="24"/>
          <w:szCs w:val="24"/>
        </w:rPr>
        <w:t xml:space="preserve">ground plan of Tintern Abbey is a schematic rather than a measured archaeological drawing, but it remains a useful way </w:t>
      </w:r>
      <w:r w:rsidR="00C32907">
        <w:rPr>
          <w:rFonts w:ascii="Calibri" w:hAnsi="Calibri" w:cs="Calibri"/>
          <w:sz w:val="24"/>
          <w:szCs w:val="24"/>
        </w:rPr>
        <w:t>to explore</w:t>
      </w:r>
      <w:r w:rsidRPr="00C32907">
        <w:rPr>
          <w:rFonts w:ascii="Calibri" w:hAnsi="Calibri" w:cs="Calibri"/>
          <w:sz w:val="24"/>
          <w:szCs w:val="24"/>
        </w:rPr>
        <w:t xml:space="preserve"> the </w:t>
      </w:r>
      <w:proofErr w:type="gramStart"/>
      <w:r w:rsidRPr="00C32907">
        <w:rPr>
          <w:rFonts w:ascii="Calibri" w:hAnsi="Calibri" w:cs="Calibri"/>
          <w:sz w:val="24"/>
          <w:szCs w:val="24"/>
        </w:rPr>
        <w:t>site</w:t>
      </w:r>
      <w:r w:rsidR="00C32907">
        <w:rPr>
          <w:rFonts w:ascii="Calibri" w:hAnsi="Calibri" w:cs="Calibri"/>
          <w:sz w:val="24"/>
          <w:szCs w:val="24"/>
        </w:rPr>
        <w:t>, and</w:t>
      </w:r>
      <w:proofErr w:type="gramEnd"/>
      <w:r w:rsidR="00C32907">
        <w:rPr>
          <w:rFonts w:ascii="Calibri" w:hAnsi="Calibri" w:cs="Calibri"/>
          <w:sz w:val="24"/>
          <w:szCs w:val="24"/>
        </w:rPr>
        <w:t xml:space="preserve"> uncover its historical journey</w:t>
      </w:r>
      <w:r w:rsidRPr="00C32907">
        <w:rPr>
          <w:rFonts w:ascii="Calibri" w:hAnsi="Calibri" w:cs="Calibri"/>
          <w:sz w:val="24"/>
          <w:szCs w:val="24"/>
        </w:rPr>
        <w:t>. The colour-coded chronological phases</w:t>
      </w:r>
      <w:r w:rsidR="00C32907">
        <w:rPr>
          <w:rFonts w:ascii="Calibri" w:hAnsi="Calibri" w:cs="Calibri"/>
          <w:sz w:val="24"/>
          <w:szCs w:val="24"/>
        </w:rPr>
        <w:t>,</w:t>
      </w:r>
      <w:r w:rsidRPr="00C32907">
        <w:rPr>
          <w:rFonts w:ascii="Calibri" w:hAnsi="Calibri" w:cs="Calibri"/>
          <w:sz w:val="24"/>
          <w:szCs w:val="24"/>
        </w:rPr>
        <w:t xml:space="preserve"> from the late twelfth to the fifteenth century</w:t>
      </w:r>
      <w:r w:rsidR="00C32907">
        <w:rPr>
          <w:rFonts w:ascii="Calibri" w:hAnsi="Calibri" w:cs="Calibri"/>
          <w:sz w:val="24"/>
          <w:szCs w:val="24"/>
        </w:rPr>
        <w:t>,</w:t>
      </w:r>
      <w:r w:rsidRPr="00C32907">
        <w:rPr>
          <w:rFonts w:ascii="Calibri" w:hAnsi="Calibri" w:cs="Calibri"/>
          <w:sz w:val="24"/>
          <w:szCs w:val="24"/>
        </w:rPr>
        <w:t xml:space="preserve"> </w:t>
      </w:r>
      <w:r w:rsidR="00C32907">
        <w:rPr>
          <w:rFonts w:ascii="Calibri" w:hAnsi="Calibri" w:cs="Calibri"/>
          <w:sz w:val="24"/>
          <w:szCs w:val="24"/>
        </w:rPr>
        <w:t>show</w:t>
      </w:r>
      <w:r w:rsidRPr="00C32907">
        <w:rPr>
          <w:rFonts w:ascii="Calibri" w:hAnsi="Calibri" w:cs="Calibri"/>
          <w:sz w:val="24"/>
          <w:szCs w:val="24"/>
        </w:rPr>
        <w:t xml:space="preserve"> </w:t>
      </w:r>
      <w:r w:rsidR="00C32907">
        <w:rPr>
          <w:rFonts w:ascii="Calibri" w:hAnsi="Calibri" w:cs="Calibri"/>
          <w:sz w:val="24"/>
          <w:szCs w:val="24"/>
        </w:rPr>
        <w:t>how the</w:t>
      </w:r>
      <w:r w:rsidRPr="00C32907">
        <w:rPr>
          <w:rFonts w:ascii="Calibri" w:hAnsi="Calibri" w:cs="Calibri"/>
          <w:sz w:val="24"/>
          <w:szCs w:val="24"/>
        </w:rPr>
        <w:t xml:space="preserve"> abbey </w:t>
      </w:r>
      <w:r w:rsidR="00C32907">
        <w:rPr>
          <w:rFonts w:ascii="Calibri" w:hAnsi="Calibri" w:cs="Calibri"/>
          <w:sz w:val="24"/>
          <w:szCs w:val="24"/>
        </w:rPr>
        <w:t>evolved</w:t>
      </w:r>
      <w:r w:rsidRPr="00C32907">
        <w:rPr>
          <w:rFonts w:ascii="Calibri" w:hAnsi="Calibri" w:cs="Calibri"/>
          <w:sz w:val="24"/>
          <w:szCs w:val="24"/>
        </w:rPr>
        <w:t xml:space="preserve"> as a community that kept rebuilding and extending itself over several hundred years.</w:t>
      </w:r>
    </w:p>
    <w:p w14:paraId="0AB08A99" w14:textId="77777777" w:rsidR="00323F12" w:rsidRPr="00C32907" w:rsidRDefault="00323F12" w:rsidP="00C32907">
      <w:pPr>
        <w:rPr>
          <w:rFonts w:ascii="Calibri" w:hAnsi="Calibri" w:cs="Calibri"/>
          <w:sz w:val="24"/>
          <w:szCs w:val="24"/>
        </w:rPr>
      </w:pPr>
    </w:p>
    <w:p w14:paraId="31C1CE4C" w14:textId="16980066" w:rsidR="00323F12" w:rsidRPr="00C32907" w:rsidRDefault="00000000" w:rsidP="00C32907">
      <w:pPr>
        <w:rPr>
          <w:rFonts w:ascii="Calibri" w:hAnsi="Calibri" w:cs="Calibri"/>
          <w:sz w:val="24"/>
          <w:szCs w:val="24"/>
        </w:rPr>
      </w:pPr>
      <w:r w:rsidRPr="00C32907">
        <w:rPr>
          <w:rFonts w:ascii="Calibri" w:hAnsi="Calibri" w:cs="Calibri"/>
          <w:sz w:val="24"/>
          <w:szCs w:val="24"/>
        </w:rPr>
        <w:t>The basic layout follows the standard Cistercian pattern</w:t>
      </w:r>
      <w:r w:rsidR="00C32907">
        <w:rPr>
          <w:rFonts w:ascii="Calibri" w:hAnsi="Calibri" w:cs="Calibri"/>
          <w:sz w:val="24"/>
          <w:szCs w:val="24"/>
        </w:rPr>
        <w:t xml:space="preserve"> of an</w:t>
      </w:r>
      <w:r w:rsidRPr="00C32907">
        <w:rPr>
          <w:rFonts w:ascii="Calibri" w:hAnsi="Calibri" w:cs="Calibri"/>
          <w:sz w:val="24"/>
          <w:szCs w:val="24"/>
        </w:rPr>
        <w:t xml:space="preserve"> east–west </w:t>
      </w:r>
      <w:r w:rsidR="00C32907">
        <w:rPr>
          <w:rFonts w:ascii="Calibri" w:hAnsi="Calibri" w:cs="Calibri"/>
          <w:sz w:val="24"/>
          <w:szCs w:val="24"/>
        </w:rPr>
        <w:t xml:space="preserve">orientation </w:t>
      </w:r>
      <w:r w:rsidRPr="00C32907">
        <w:rPr>
          <w:rFonts w:ascii="Calibri" w:hAnsi="Calibri" w:cs="Calibri"/>
          <w:sz w:val="24"/>
          <w:szCs w:val="24"/>
        </w:rPr>
        <w:t>along the northern edge of the complex, with the cloister immediately to its south. The east range holds the chapter house and parlour; the south range the refectory and kitchen; the west range the lay brothers’ quarters. The plan’s careful labelling of individual spaces</w:t>
      </w:r>
      <w:r w:rsidR="00C32907">
        <w:rPr>
          <w:rFonts w:ascii="Calibri" w:hAnsi="Calibri" w:cs="Calibri"/>
          <w:sz w:val="24"/>
          <w:szCs w:val="24"/>
        </w:rPr>
        <w:t>,</w:t>
      </w:r>
      <w:r w:rsidRPr="00C32907">
        <w:rPr>
          <w:rFonts w:ascii="Calibri" w:hAnsi="Calibri" w:cs="Calibri"/>
          <w:sz w:val="24"/>
          <w:szCs w:val="24"/>
        </w:rPr>
        <w:t xml:space="preserve"> the warming house, the night stair, the outer parlour, the infirmary hall</w:t>
      </w:r>
      <w:r w:rsidR="00C32907">
        <w:rPr>
          <w:rFonts w:ascii="Calibri" w:hAnsi="Calibri" w:cs="Calibri"/>
          <w:sz w:val="24"/>
          <w:szCs w:val="24"/>
        </w:rPr>
        <w:t>,</w:t>
      </w:r>
      <w:r w:rsidRPr="00C32907">
        <w:rPr>
          <w:rFonts w:ascii="Calibri" w:hAnsi="Calibri" w:cs="Calibri"/>
          <w:sz w:val="24"/>
          <w:szCs w:val="24"/>
        </w:rPr>
        <w:t xml:space="preserve"> allows a reader to trace the daily routine of monastic life without knowing the site firsthand.</w:t>
      </w:r>
    </w:p>
    <w:p w14:paraId="731414B8" w14:textId="77777777" w:rsidR="00323F12" w:rsidRPr="00C32907" w:rsidRDefault="00323F12" w:rsidP="00C32907">
      <w:pPr>
        <w:rPr>
          <w:rFonts w:ascii="Calibri" w:hAnsi="Calibri" w:cs="Calibri"/>
          <w:sz w:val="24"/>
          <w:szCs w:val="24"/>
        </w:rPr>
      </w:pPr>
    </w:p>
    <w:p w14:paraId="646BD240" w14:textId="69E7EA92" w:rsidR="00323F12" w:rsidRPr="00C32907" w:rsidRDefault="00000000" w:rsidP="00C32907">
      <w:pPr>
        <w:rPr>
          <w:rFonts w:ascii="Calibri" w:hAnsi="Calibri" w:cs="Calibri"/>
          <w:sz w:val="24"/>
          <w:szCs w:val="24"/>
        </w:rPr>
      </w:pPr>
      <w:r w:rsidRPr="00C32907">
        <w:rPr>
          <w:rFonts w:ascii="Calibri" w:hAnsi="Calibri" w:cs="Calibri"/>
          <w:sz w:val="24"/>
          <w:szCs w:val="24"/>
        </w:rPr>
        <w:t xml:space="preserve">Tintern was founded in 1131 by Walter de Clare, the second Cistercian house in Britain. Early Cistercian building was governed by the order’s stated commitment to austerity and simplicity: plain walls, functional </w:t>
      </w:r>
      <w:r w:rsidRPr="00C32907">
        <w:rPr>
          <w:rFonts w:ascii="Calibri" w:hAnsi="Calibri" w:cs="Calibri"/>
          <w:sz w:val="24"/>
          <w:szCs w:val="24"/>
        </w:rPr>
        <w:lastRenderedPageBreak/>
        <w:t>spaces, no ornament.</w:t>
      </w:r>
      <w:r w:rsidRPr="00C32907">
        <w:rPr>
          <w:rStyle w:val="FootnoteReference"/>
          <w:rFonts w:ascii="Calibri" w:hAnsi="Calibri" w:cs="Calibri"/>
          <w:sz w:val="24"/>
          <w:szCs w:val="24"/>
        </w:rPr>
        <w:footnoteReference w:id="1"/>
      </w:r>
      <w:r w:rsidRPr="00C32907">
        <w:rPr>
          <w:rFonts w:ascii="Calibri" w:hAnsi="Calibri" w:cs="Calibri"/>
          <w:sz w:val="24"/>
          <w:szCs w:val="24"/>
        </w:rPr>
        <w:t xml:space="preserve"> Bernard of Clairvaux had set out this position in his </w:t>
      </w:r>
      <w:r w:rsidRPr="00C32907">
        <w:rPr>
          <w:rFonts w:ascii="Calibri" w:hAnsi="Calibri" w:cs="Calibri"/>
          <w:i/>
          <w:iCs/>
          <w:sz w:val="24"/>
          <w:szCs w:val="24"/>
        </w:rPr>
        <w:t>Apologia</w:t>
      </w:r>
      <w:r w:rsidRPr="00C32907">
        <w:rPr>
          <w:rFonts w:ascii="Calibri" w:hAnsi="Calibri" w:cs="Calibri"/>
          <w:sz w:val="24"/>
          <w:szCs w:val="24"/>
        </w:rPr>
        <w:t>, warning that the ‘novel images’ of decorated churches ‘catch the attention of those who go in to pray, and dry up their devotion’.</w:t>
      </w:r>
      <w:r w:rsidRPr="00C32907">
        <w:rPr>
          <w:rStyle w:val="FootnoteReference"/>
          <w:rFonts w:ascii="Calibri" w:hAnsi="Calibri" w:cs="Calibri"/>
          <w:sz w:val="24"/>
          <w:szCs w:val="24"/>
        </w:rPr>
        <w:footnoteReference w:id="2"/>
      </w:r>
      <w:r w:rsidRPr="00C32907">
        <w:rPr>
          <w:rFonts w:ascii="Calibri" w:hAnsi="Calibri" w:cs="Calibri"/>
          <w:sz w:val="24"/>
          <w:szCs w:val="24"/>
        </w:rPr>
        <w:t xml:space="preserve"> The contrast with Benedictine practice was drawn by contemporaries as well. William of </w:t>
      </w:r>
      <w:proofErr w:type="spellStart"/>
      <w:r w:rsidRPr="00C32907">
        <w:rPr>
          <w:rFonts w:ascii="Calibri" w:hAnsi="Calibri" w:cs="Calibri"/>
          <w:sz w:val="24"/>
          <w:szCs w:val="24"/>
        </w:rPr>
        <w:t>Malmesbury</w:t>
      </w:r>
      <w:proofErr w:type="spellEnd"/>
      <w:r w:rsidRPr="00C32907">
        <w:rPr>
          <w:rFonts w:ascii="Calibri" w:hAnsi="Calibri" w:cs="Calibri"/>
          <w:sz w:val="24"/>
          <w:szCs w:val="24"/>
        </w:rPr>
        <w:t>, writing of early Cistercian buildings, observed that ‘you see nothing there, as in other monasteries, flaming with gold, blazing with jewels, or glittering with silver’.</w:t>
      </w:r>
      <w:r w:rsidRPr="00C32907">
        <w:rPr>
          <w:rStyle w:val="FootnoteReference"/>
          <w:rFonts w:ascii="Calibri" w:hAnsi="Calibri" w:cs="Calibri"/>
          <w:sz w:val="24"/>
          <w:szCs w:val="24"/>
        </w:rPr>
        <w:footnoteReference w:id="3"/>
      </w:r>
      <w:r w:rsidRPr="00C32907">
        <w:rPr>
          <w:rFonts w:ascii="Calibri" w:hAnsi="Calibri" w:cs="Calibri"/>
          <w:sz w:val="24"/>
          <w:szCs w:val="24"/>
        </w:rPr>
        <w:t xml:space="preserve"> The earliest phases of Tintern broadly reflect this programme, and the plan’s first colour suggests a building that any Cistercian arriving from another house would have recognised immediately</w:t>
      </w:r>
      <w:r w:rsidR="00104316">
        <w:rPr>
          <w:rFonts w:ascii="Calibri" w:hAnsi="Calibri" w:cs="Calibri"/>
          <w:sz w:val="24"/>
          <w:szCs w:val="24"/>
        </w:rPr>
        <w:t xml:space="preserve"> – no</w:t>
      </w:r>
      <w:r w:rsidRPr="00C32907">
        <w:rPr>
          <w:rFonts w:ascii="Calibri" w:hAnsi="Calibri" w:cs="Calibri"/>
          <w:sz w:val="24"/>
          <w:szCs w:val="24"/>
        </w:rPr>
        <w:t xml:space="preserve"> site followed the theoretical plan of Clairvaux exactly, but the logic is legible.</w:t>
      </w:r>
      <w:r w:rsidRPr="00C32907">
        <w:rPr>
          <w:rStyle w:val="FootnoteReference"/>
          <w:rFonts w:ascii="Calibri" w:hAnsi="Calibri" w:cs="Calibri"/>
          <w:sz w:val="24"/>
          <w:szCs w:val="24"/>
        </w:rPr>
        <w:footnoteReference w:id="4"/>
      </w:r>
    </w:p>
    <w:p w14:paraId="176DC163" w14:textId="77777777" w:rsidR="00323F12" w:rsidRPr="00C32907" w:rsidRDefault="00323F12" w:rsidP="00C32907">
      <w:pPr>
        <w:rPr>
          <w:rFonts w:ascii="Calibri" w:hAnsi="Calibri" w:cs="Calibri"/>
          <w:sz w:val="24"/>
          <w:szCs w:val="24"/>
        </w:rPr>
      </w:pPr>
    </w:p>
    <w:p w14:paraId="68A0A829" w14:textId="281D9318" w:rsidR="00323F12" w:rsidRPr="00C32907" w:rsidRDefault="00000000" w:rsidP="00C32907">
      <w:pPr>
        <w:rPr>
          <w:rFonts w:ascii="Calibri" w:hAnsi="Calibri" w:cs="Calibri"/>
          <w:sz w:val="24"/>
          <w:szCs w:val="24"/>
        </w:rPr>
      </w:pPr>
      <w:r w:rsidRPr="00C32907">
        <w:rPr>
          <w:rFonts w:ascii="Calibri" w:hAnsi="Calibri" w:cs="Calibri"/>
          <w:sz w:val="24"/>
          <w:szCs w:val="24"/>
        </w:rPr>
        <w:t>What the chronological layering makes clear is how much Tintern moved from those founding principles. The biggest departure was the Gothic church constructed in the late thirteenth century — considerably grander than the original, with a cruciform plan comprising a long nave, choir, presbytery, and multiple transept chapels.</w:t>
      </w:r>
      <w:r w:rsidRPr="00C32907">
        <w:rPr>
          <w:rStyle w:val="FootnoteReference"/>
          <w:rFonts w:ascii="Calibri" w:hAnsi="Calibri" w:cs="Calibri"/>
          <w:sz w:val="24"/>
          <w:szCs w:val="24"/>
        </w:rPr>
        <w:footnoteReference w:id="5"/>
      </w:r>
      <w:r w:rsidRPr="00C32907">
        <w:rPr>
          <w:rFonts w:ascii="Calibri" w:hAnsi="Calibri" w:cs="Calibri"/>
          <w:sz w:val="24"/>
          <w:szCs w:val="24"/>
        </w:rPr>
        <w:t xml:space="preserve"> The General Chapter had legislated directly against this kind of building</w:t>
      </w:r>
      <w:r w:rsidR="00104316">
        <w:rPr>
          <w:rFonts w:ascii="Calibri" w:hAnsi="Calibri" w:cs="Calibri"/>
          <w:sz w:val="24"/>
          <w:szCs w:val="24"/>
        </w:rPr>
        <w:t>;</w:t>
      </w:r>
      <w:r w:rsidRPr="00C32907">
        <w:rPr>
          <w:rFonts w:ascii="Calibri" w:hAnsi="Calibri" w:cs="Calibri"/>
          <w:sz w:val="24"/>
          <w:szCs w:val="24"/>
        </w:rPr>
        <w:t xml:space="preserve"> Stone bell towers were not to be constructed (1158); painted glass was to be removed within three years or the prior and cellarer would be placed on bread and water every Friday until it was corrected (1181).</w:t>
      </w:r>
      <w:r w:rsidRPr="00C32907">
        <w:rPr>
          <w:rStyle w:val="FootnoteReference"/>
          <w:rFonts w:ascii="Calibri" w:hAnsi="Calibri" w:cs="Calibri"/>
          <w:sz w:val="24"/>
          <w:szCs w:val="24"/>
        </w:rPr>
        <w:footnoteReference w:id="6"/>
      </w:r>
      <w:r w:rsidRPr="00C32907">
        <w:rPr>
          <w:rFonts w:ascii="Calibri" w:hAnsi="Calibri" w:cs="Calibri"/>
          <w:sz w:val="24"/>
          <w:szCs w:val="24"/>
        </w:rPr>
        <w:t xml:space="preserve"> Tintern’s later building programme departed from these prescriptions at almost every point, a trajectory shared by Cistercian houses across Britain as the order grew wealthier through the twelfth and thirteenth centuries.</w:t>
      </w:r>
      <w:r w:rsidRPr="00C32907">
        <w:rPr>
          <w:rStyle w:val="FootnoteReference"/>
          <w:rFonts w:ascii="Calibri" w:hAnsi="Calibri" w:cs="Calibri"/>
          <w:sz w:val="24"/>
          <w:szCs w:val="24"/>
        </w:rPr>
        <w:footnoteReference w:id="7"/>
      </w:r>
      <w:r w:rsidRPr="00C32907">
        <w:rPr>
          <w:rFonts w:ascii="Calibri" w:hAnsi="Calibri" w:cs="Calibri"/>
          <w:sz w:val="24"/>
          <w:szCs w:val="24"/>
        </w:rPr>
        <w:t xml:space="preserve"> The transept chapels are a particularly late addition and sit uneasily against the early Cistercian programme. The church the community eventually occupied bore little resemblance to what its founders would have built or sanctioned</w:t>
      </w:r>
      <w:r w:rsidR="00104316">
        <w:rPr>
          <w:rFonts w:ascii="Calibri" w:hAnsi="Calibri" w:cs="Calibri"/>
          <w:sz w:val="24"/>
          <w:szCs w:val="24"/>
        </w:rPr>
        <w:t xml:space="preserve">, which is very visible </w:t>
      </w:r>
      <w:r w:rsidR="00871349">
        <w:rPr>
          <w:rFonts w:ascii="Calibri" w:hAnsi="Calibri" w:cs="Calibri"/>
          <w:sz w:val="24"/>
          <w:szCs w:val="24"/>
        </w:rPr>
        <w:t xml:space="preserve">throughout the plan. </w:t>
      </w:r>
    </w:p>
    <w:p w14:paraId="76602BBF" w14:textId="77777777" w:rsidR="00323F12" w:rsidRPr="00C32907" w:rsidRDefault="00323F12" w:rsidP="00C32907">
      <w:pPr>
        <w:rPr>
          <w:rFonts w:ascii="Calibri" w:hAnsi="Calibri" w:cs="Calibri"/>
          <w:sz w:val="24"/>
          <w:szCs w:val="24"/>
        </w:rPr>
      </w:pPr>
    </w:p>
    <w:p w14:paraId="627B2C14" w14:textId="42AEF5CD" w:rsidR="00323F12" w:rsidRPr="00C32907" w:rsidRDefault="00000000" w:rsidP="00C32907">
      <w:pPr>
        <w:rPr>
          <w:rFonts w:ascii="Calibri" w:hAnsi="Calibri" w:cs="Calibri"/>
          <w:sz w:val="24"/>
          <w:szCs w:val="24"/>
        </w:rPr>
      </w:pPr>
      <w:r w:rsidRPr="00C32907">
        <w:rPr>
          <w:rFonts w:ascii="Calibri" w:hAnsi="Calibri" w:cs="Calibri"/>
          <w:sz w:val="24"/>
          <w:szCs w:val="24"/>
        </w:rPr>
        <w:t xml:space="preserve">The cloister and its surrounding ranges say more about daily life. The cloister was a quadrangular courtyard with covered walks, positioned to connect the church, chapter house, and refectory — the three spaces around which the day was organised. The east range is worth </w:t>
      </w:r>
      <w:r w:rsidR="00871349">
        <w:rPr>
          <w:rFonts w:ascii="Calibri" w:hAnsi="Calibri" w:cs="Calibri"/>
          <w:sz w:val="24"/>
          <w:szCs w:val="24"/>
        </w:rPr>
        <w:t>focusing</w:t>
      </w:r>
      <w:r w:rsidRPr="00C32907">
        <w:rPr>
          <w:rFonts w:ascii="Calibri" w:hAnsi="Calibri" w:cs="Calibri"/>
          <w:sz w:val="24"/>
          <w:szCs w:val="24"/>
        </w:rPr>
        <w:t xml:space="preserve"> on. The chapter house was where the community gathered each morning to hear a chapter of the Rule of St Benedict read aloud and to deal with the abbey’s internal business.</w:t>
      </w:r>
      <w:r w:rsidRPr="00C32907">
        <w:rPr>
          <w:rStyle w:val="FootnoteReference"/>
          <w:rFonts w:ascii="Calibri" w:hAnsi="Calibri" w:cs="Calibri"/>
          <w:sz w:val="24"/>
          <w:szCs w:val="24"/>
        </w:rPr>
        <w:footnoteReference w:id="8"/>
      </w:r>
      <w:r w:rsidRPr="00C32907">
        <w:rPr>
          <w:rFonts w:ascii="Calibri" w:hAnsi="Calibri" w:cs="Calibri"/>
          <w:sz w:val="24"/>
          <w:szCs w:val="24"/>
        </w:rPr>
        <w:t xml:space="preserve"> Off it, the parlour marks the one place where speech was permitted under the Rule; the day stair leads up to the dormitory above. The night stair, which links the dormitory directly to the church, is one of the more telling details on the plan. The monks rose for the night office year-round, and this architectural shortcut made that possible without disturbing the rest of the building. It is easy to read past it, but it speaks directly to the physical demands the liturgical schedule placed on the community.</w:t>
      </w:r>
    </w:p>
    <w:p w14:paraId="2A56F879" w14:textId="77777777" w:rsidR="00323F12" w:rsidRPr="00C32907" w:rsidRDefault="00323F12" w:rsidP="00C32907">
      <w:pPr>
        <w:rPr>
          <w:rFonts w:ascii="Calibri" w:hAnsi="Calibri" w:cs="Calibri"/>
          <w:sz w:val="24"/>
          <w:szCs w:val="24"/>
        </w:rPr>
      </w:pPr>
    </w:p>
    <w:p w14:paraId="65870170" w14:textId="77777777" w:rsidR="00323F12" w:rsidRPr="00C32907" w:rsidRDefault="00000000" w:rsidP="00C32907">
      <w:pPr>
        <w:rPr>
          <w:rFonts w:ascii="Calibri" w:hAnsi="Calibri" w:cs="Calibri"/>
          <w:sz w:val="24"/>
          <w:szCs w:val="24"/>
        </w:rPr>
      </w:pPr>
      <w:r w:rsidRPr="00C32907">
        <w:rPr>
          <w:rFonts w:ascii="Calibri" w:hAnsi="Calibri" w:cs="Calibri"/>
          <w:sz w:val="24"/>
          <w:szCs w:val="24"/>
        </w:rPr>
        <w:t>The south range handles the practicalities of communal eating. The refectory is a large rectangular room positioned perpendicular to the cloister, the standard Cistercian arrangement, which allowed efficient movement and meant that a reader at the lectern could be heard from one end to the other during meals. Next to it, the warming house is the only permanently heated room in the complex. It is a small detail on the plan but a pointed one: the community lived in unheated stone, and this was the single concession to cold.</w:t>
      </w:r>
    </w:p>
    <w:p w14:paraId="074F0A78" w14:textId="77777777" w:rsidR="00323F12" w:rsidRPr="00C32907" w:rsidRDefault="00323F12" w:rsidP="00C32907">
      <w:pPr>
        <w:rPr>
          <w:rFonts w:ascii="Calibri" w:hAnsi="Calibri" w:cs="Calibri"/>
          <w:sz w:val="24"/>
          <w:szCs w:val="24"/>
        </w:rPr>
      </w:pPr>
    </w:p>
    <w:p w14:paraId="7E515CD4" w14:textId="2D6EDA61" w:rsidR="00323F12" w:rsidRPr="00C32907" w:rsidRDefault="00000000" w:rsidP="00C32907">
      <w:pPr>
        <w:rPr>
          <w:rFonts w:ascii="Calibri" w:hAnsi="Calibri" w:cs="Calibri"/>
          <w:sz w:val="24"/>
          <w:szCs w:val="24"/>
        </w:rPr>
      </w:pPr>
      <w:r w:rsidRPr="00C32907">
        <w:rPr>
          <w:rFonts w:ascii="Calibri" w:hAnsi="Calibri" w:cs="Calibri"/>
          <w:sz w:val="24"/>
          <w:szCs w:val="24"/>
        </w:rPr>
        <w:t>The west range was assigned to the lay brothers, and the plan makes their separation from the choir monks explicit. Separate accommodation, separate access routes, distinct workspaces</w:t>
      </w:r>
      <w:r w:rsidR="00871349">
        <w:rPr>
          <w:rFonts w:ascii="Calibri" w:hAnsi="Calibri" w:cs="Calibri"/>
          <w:sz w:val="24"/>
          <w:szCs w:val="24"/>
        </w:rPr>
        <w:t xml:space="preserve"> </w:t>
      </w:r>
      <w:proofErr w:type="gramStart"/>
      <w:r w:rsidR="00871349">
        <w:rPr>
          <w:rFonts w:ascii="Calibri" w:hAnsi="Calibri" w:cs="Calibri"/>
          <w:sz w:val="24"/>
          <w:szCs w:val="24"/>
        </w:rPr>
        <w:t xml:space="preserve">– </w:t>
      </w:r>
      <w:r w:rsidRPr="00C32907">
        <w:rPr>
          <w:rFonts w:ascii="Calibri" w:hAnsi="Calibri" w:cs="Calibri"/>
          <w:sz w:val="24"/>
          <w:szCs w:val="24"/>
        </w:rPr>
        <w:t xml:space="preserve"> the</w:t>
      </w:r>
      <w:proofErr w:type="gramEnd"/>
      <w:r w:rsidRPr="00C32907">
        <w:rPr>
          <w:rFonts w:ascii="Calibri" w:hAnsi="Calibri" w:cs="Calibri"/>
          <w:sz w:val="24"/>
          <w:szCs w:val="24"/>
        </w:rPr>
        <w:t xml:space="preserve"> layout kept the two groups apart without making interaction impossible. They were economically interdependent</w:t>
      </w:r>
      <w:r w:rsidR="00871349">
        <w:rPr>
          <w:rFonts w:ascii="Calibri" w:hAnsi="Calibri" w:cs="Calibri"/>
          <w:sz w:val="24"/>
          <w:szCs w:val="24"/>
        </w:rPr>
        <w:t>, with</w:t>
      </w:r>
      <w:r w:rsidRPr="00C32907">
        <w:rPr>
          <w:rFonts w:ascii="Calibri" w:hAnsi="Calibri" w:cs="Calibri"/>
          <w:sz w:val="24"/>
          <w:szCs w:val="24"/>
        </w:rPr>
        <w:t xml:space="preserve"> the lay brothers r</w:t>
      </w:r>
      <w:r w:rsidR="00871349">
        <w:rPr>
          <w:rFonts w:ascii="Calibri" w:hAnsi="Calibri" w:cs="Calibri"/>
          <w:sz w:val="24"/>
          <w:szCs w:val="24"/>
        </w:rPr>
        <w:t>u</w:t>
      </w:r>
      <w:r w:rsidRPr="00C32907">
        <w:rPr>
          <w:rFonts w:ascii="Calibri" w:hAnsi="Calibri" w:cs="Calibri"/>
          <w:sz w:val="24"/>
          <w:szCs w:val="24"/>
        </w:rPr>
        <w:t>n</w:t>
      </w:r>
      <w:r w:rsidR="00871349">
        <w:rPr>
          <w:rFonts w:ascii="Calibri" w:hAnsi="Calibri" w:cs="Calibri"/>
          <w:sz w:val="24"/>
          <w:szCs w:val="24"/>
        </w:rPr>
        <w:t>ning</w:t>
      </w:r>
      <w:r w:rsidRPr="00C32907">
        <w:rPr>
          <w:rFonts w:ascii="Calibri" w:hAnsi="Calibri" w:cs="Calibri"/>
          <w:sz w:val="24"/>
          <w:szCs w:val="24"/>
        </w:rPr>
        <w:t xml:space="preserve"> the granges</w:t>
      </w:r>
      <w:r w:rsidR="00871349">
        <w:rPr>
          <w:rFonts w:ascii="Calibri" w:hAnsi="Calibri" w:cs="Calibri"/>
          <w:sz w:val="24"/>
          <w:szCs w:val="24"/>
        </w:rPr>
        <w:t xml:space="preserve"> and </w:t>
      </w:r>
      <w:r w:rsidRPr="00C32907">
        <w:rPr>
          <w:rFonts w:ascii="Calibri" w:hAnsi="Calibri" w:cs="Calibri"/>
          <w:sz w:val="24"/>
          <w:szCs w:val="24"/>
        </w:rPr>
        <w:t>the choir monks maintain</w:t>
      </w:r>
      <w:r w:rsidR="00871349">
        <w:rPr>
          <w:rFonts w:ascii="Calibri" w:hAnsi="Calibri" w:cs="Calibri"/>
          <w:sz w:val="24"/>
          <w:szCs w:val="24"/>
        </w:rPr>
        <w:t>ing</w:t>
      </w:r>
      <w:r w:rsidRPr="00C32907">
        <w:rPr>
          <w:rFonts w:ascii="Calibri" w:hAnsi="Calibri" w:cs="Calibri"/>
          <w:sz w:val="24"/>
          <w:szCs w:val="24"/>
        </w:rPr>
        <w:t xml:space="preserve"> the liturgy</w:t>
      </w:r>
      <w:r w:rsidR="00871349">
        <w:rPr>
          <w:rFonts w:ascii="Calibri" w:hAnsi="Calibri" w:cs="Calibri"/>
          <w:sz w:val="24"/>
          <w:szCs w:val="24"/>
        </w:rPr>
        <w:t>,</w:t>
      </w:r>
      <w:r w:rsidRPr="00C32907">
        <w:rPr>
          <w:rFonts w:ascii="Calibri" w:hAnsi="Calibri" w:cs="Calibri"/>
          <w:sz w:val="24"/>
          <w:szCs w:val="24"/>
        </w:rPr>
        <w:t xml:space="preserve"> but the architecture encodes the distinction clearly and deliberately.</w:t>
      </w:r>
    </w:p>
    <w:p w14:paraId="12633CE9" w14:textId="77777777" w:rsidR="00323F12" w:rsidRPr="00C32907" w:rsidRDefault="00323F12" w:rsidP="00C32907">
      <w:pPr>
        <w:rPr>
          <w:rFonts w:ascii="Calibri" w:hAnsi="Calibri" w:cs="Calibri"/>
          <w:sz w:val="24"/>
          <w:szCs w:val="24"/>
        </w:rPr>
      </w:pPr>
    </w:p>
    <w:p w14:paraId="04246EEB" w14:textId="104C01A7" w:rsidR="00323F12" w:rsidRPr="00C32907" w:rsidRDefault="00000000" w:rsidP="00C32907">
      <w:pPr>
        <w:rPr>
          <w:rFonts w:ascii="Calibri" w:hAnsi="Calibri" w:cs="Calibri"/>
          <w:sz w:val="24"/>
          <w:szCs w:val="24"/>
        </w:rPr>
      </w:pPr>
      <w:r w:rsidRPr="00C32907">
        <w:rPr>
          <w:rFonts w:ascii="Calibri" w:hAnsi="Calibri" w:cs="Calibri"/>
          <w:sz w:val="24"/>
          <w:szCs w:val="24"/>
        </w:rPr>
        <w:t xml:space="preserve">Beyond the core, the infirmary complex and abbot’s residence tell a different part of the story. The infirmary was a semi-independent zone for monks too old or sick to keep the full liturgical schedule; the dedicated kitchen there shows that different dietary arrangements were made, a notable concession within a framework built around uniformity and discipline. The abbot’s quarters are architecturally the most developed, particularly in the later medieval phases. As the abbey’s external representative to patrons, the diocese, </w:t>
      </w:r>
      <w:r w:rsidR="00871349">
        <w:rPr>
          <w:rFonts w:ascii="Calibri" w:hAnsi="Calibri" w:cs="Calibri"/>
          <w:sz w:val="24"/>
          <w:szCs w:val="24"/>
        </w:rPr>
        <w:t>and</w:t>
      </w:r>
      <w:r w:rsidRPr="00C32907">
        <w:rPr>
          <w:rFonts w:ascii="Calibri" w:hAnsi="Calibri" w:cs="Calibri"/>
          <w:sz w:val="24"/>
          <w:szCs w:val="24"/>
        </w:rPr>
        <w:t xml:space="preserve"> the crown</w:t>
      </w:r>
      <w:r w:rsidR="00871349">
        <w:rPr>
          <w:rFonts w:ascii="Calibri" w:hAnsi="Calibri" w:cs="Calibri"/>
          <w:sz w:val="24"/>
          <w:szCs w:val="24"/>
        </w:rPr>
        <w:t>,</w:t>
      </w:r>
      <w:r w:rsidRPr="00C32907">
        <w:rPr>
          <w:rFonts w:ascii="Calibri" w:hAnsi="Calibri" w:cs="Calibri"/>
          <w:sz w:val="24"/>
          <w:szCs w:val="24"/>
        </w:rPr>
        <w:t xml:space="preserve"> the abbot needed room to receive guests and conduct wider business.</w:t>
      </w:r>
      <w:r w:rsidR="00871349" w:rsidRPr="00C32907">
        <w:rPr>
          <w:rFonts w:ascii="Calibri" w:hAnsi="Calibri" w:cs="Calibri"/>
          <w:sz w:val="24"/>
          <w:szCs w:val="24"/>
        </w:rPr>
        <w:t xml:space="preserve"> </w:t>
      </w:r>
      <w:r w:rsidRPr="00C32907">
        <w:rPr>
          <w:rFonts w:ascii="Calibri" w:hAnsi="Calibri" w:cs="Calibri"/>
          <w:sz w:val="24"/>
          <w:szCs w:val="24"/>
        </w:rPr>
        <w:t>The dovecote nearby is another sign of Tintern’s later wealth and involvement in regional agriculture.</w:t>
      </w:r>
    </w:p>
    <w:p w14:paraId="04BFF0A9" w14:textId="77777777" w:rsidR="00323F12" w:rsidRPr="00C32907" w:rsidRDefault="00323F12" w:rsidP="00C32907">
      <w:pPr>
        <w:rPr>
          <w:rFonts w:ascii="Calibri" w:hAnsi="Calibri" w:cs="Calibri"/>
          <w:sz w:val="24"/>
          <w:szCs w:val="24"/>
        </w:rPr>
      </w:pPr>
    </w:p>
    <w:p w14:paraId="52803B37" w14:textId="0BC28D42" w:rsidR="00323F12" w:rsidRPr="00C32907" w:rsidRDefault="00000000" w:rsidP="00C32907">
      <w:pPr>
        <w:rPr>
          <w:rFonts w:ascii="Calibri" w:hAnsi="Calibri" w:cs="Calibri"/>
          <w:sz w:val="24"/>
          <w:szCs w:val="24"/>
        </w:rPr>
      </w:pPr>
      <w:r w:rsidRPr="00C32907">
        <w:rPr>
          <w:rFonts w:ascii="Calibri" w:hAnsi="Calibri" w:cs="Calibri"/>
          <w:sz w:val="24"/>
          <w:szCs w:val="24"/>
        </w:rPr>
        <w:t>The plan is</w:t>
      </w:r>
      <w:r w:rsidR="00871349">
        <w:rPr>
          <w:rFonts w:ascii="Calibri" w:hAnsi="Calibri" w:cs="Calibri"/>
          <w:sz w:val="24"/>
          <w:szCs w:val="24"/>
        </w:rPr>
        <w:t>, by the very nature of a layered architectural drawing, dry and simplistic</w:t>
      </w:r>
      <w:r w:rsidRPr="00C32907">
        <w:rPr>
          <w:rFonts w:ascii="Calibri" w:hAnsi="Calibri" w:cs="Calibri"/>
          <w:sz w:val="24"/>
          <w:szCs w:val="24"/>
        </w:rPr>
        <w:t xml:space="preserve">. What it does well is showing spatial relationships: which spaces connect to which, where hierarchy is physically built into the layout, and how the movement of monks, lay brothers, and the abbot were each organised differently. The chronological colour-coding adds a second dimension, tracing how those relationships shifted across three centuries. What the plan cannot show is </w:t>
      </w:r>
      <w:r w:rsidR="00871349">
        <w:rPr>
          <w:rFonts w:ascii="Calibri" w:hAnsi="Calibri" w:cs="Calibri"/>
          <w:sz w:val="24"/>
          <w:szCs w:val="24"/>
        </w:rPr>
        <w:t>how the abbey embodied the Cistercian Rule,</w:t>
      </w:r>
      <w:r w:rsidRPr="00C32907">
        <w:rPr>
          <w:rFonts w:ascii="Calibri" w:hAnsi="Calibri" w:cs="Calibri"/>
          <w:sz w:val="24"/>
          <w:szCs w:val="24"/>
        </w:rPr>
        <w:t xml:space="preserve"> </w:t>
      </w:r>
      <w:r w:rsidR="00871349">
        <w:rPr>
          <w:rFonts w:ascii="Calibri" w:hAnsi="Calibri" w:cs="Calibri"/>
          <w:sz w:val="24"/>
          <w:szCs w:val="24"/>
        </w:rPr>
        <w:t>t</w:t>
      </w:r>
      <w:r w:rsidRPr="00C32907">
        <w:rPr>
          <w:rFonts w:ascii="Calibri" w:hAnsi="Calibri" w:cs="Calibri"/>
          <w:sz w:val="24"/>
          <w:szCs w:val="24"/>
        </w:rPr>
        <w:t xml:space="preserve">he sound of the liturgy, the cold of the stone floors, the </w:t>
      </w:r>
      <w:proofErr w:type="gramStart"/>
      <w:r w:rsidRPr="00C32907">
        <w:rPr>
          <w:rFonts w:ascii="Calibri" w:hAnsi="Calibri" w:cs="Calibri"/>
          <w:sz w:val="24"/>
          <w:szCs w:val="24"/>
        </w:rPr>
        <w:t>particular quality</w:t>
      </w:r>
      <w:proofErr w:type="gramEnd"/>
      <w:r w:rsidRPr="00C32907">
        <w:rPr>
          <w:rFonts w:ascii="Calibri" w:hAnsi="Calibri" w:cs="Calibri"/>
          <w:sz w:val="24"/>
          <w:szCs w:val="24"/>
        </w:rPr>
        <w:t xml:space="preserve"> of silence that the Rule imposed —</w:t>
      </w:r>
      <w:r w:rsidR="00871349">
        <w:rPr>
          <w:rFonts w:ascii="Calibri" w:hAnsi="Calibri" w:cs="Calibri"/>
          <w:sz w:val="24"/>
          <w:szCs w:val="24"/>
        </w:rPr>
        <w:t xml:space="preserve"> </w:t>
      </w:r>
      <w:r w:rsidRPr="00C32907">
        <w:rPr>
          <w:rFonts w:ascii="Calibri" w:hAnsi="Calibri" w:cs="Calibri"/>
          <w:sz w:val="24"/>
          <w:szCs w:val="24"/>
        </w:rPr>
        <w:t>none of this translates onto a schematic drawing. As Megan Cassidy-Welch has argued, Cistercian monastic spaces were designed to produce particular kinds of experience and identity, shaping the community’s sense of itself in ways that cannot be read from walls and room labels alone.</w:t>
      </w:r>
      <w:r w:rsidRPr="00C32907">
        <w:rPr>
          <w:rStyle w:val="FootnoteReference"/>
          <w:rFonts w:ascii="Calibri" w:hAnsi="Calibri" w:cs="Calibri"/>
          <w:sz w:val="24"/>
          <w:szCs w:val="24"/>
        </w:rPr>
        <w:footnoteReference w:id="9"/>
      </w:r>
      <w:r w:rsidRPr="00C32907">
        <w:rPr>
          <w:rFonts w:ascii="Calibri" w:hAnsi="Calibri" w:cs="Calibri"/>
          <w:sz w:val="24"/>
          <w:szCs w:val="24"/>
        </w:rPr>
        <w:t xml:space="preserve"> The plan also says nothing about decoration</w:t>
      </w:r>
      <w:r w:rsidR="001B17C9">
        <w:rPr>
          <w:rFonts w:ascii="Calibri" w:hAnsi="Calibri" w:cs="Calibri"/>
          <w:sz w:val="24"/>
          <w:szCs w:val="24"/>
        </w:rPr>
        <w:t>,</w:t>
      </w:r>
      <w:r w:rsidRPr="00C32907">
        <w:rPr>
          <w:rFonts w:ascii="Calibri" w:hAnsi="Calibri" w:cs="Calibri"/>
          <w:sz w:val="24"/>
          <w:szCs w:val="24"/>
        </w:rPr>
        <w:t xml:space="preserve"> whether a given space was bare or painted, </w:t>
      </w:r>
      <w:r w:rsidR="001B17C9">
        <w:rPr>
          <w:rFonts w:ascii="Calibri" w:hAnsi="Calibri" w:cs="Calibri"/>
          <w:sz w:val="24"/>
          <w:szCs w:val="24"/>
        </w:rPr>
        <w:t xml:space="preserve">if </w:t>
      </w:r>
      <w:r w:rsidRPr="00C32907">
        <w:rPr>
          <w:rFonts w:ascii="Calibri" w:hAnsi="Calibri" w:cs="Calibri"/>
          <w:sz w:val="24"/>
          <w:szCs w:val="24"/>
        </w:rPr>
        <w:t xml:space="preserve"> the glass was clear or coloured,</w:t>
      </w:r>
      <w:r w:rsidR="001B17C9">
        <w:rPr>
          <w:rFonts w:ascii="Calibri" w:hAnsi="Calibri" w:cs="Calibri"/>
          <w:sz w:val="24"/>
          <w:szCs w:val="24"/>
        </w:rPr>
        <w:t xml:space="preserve"> or</w:t>
      </w:r>
      <w:r w:rsidRPr="00C32907">
        <w:rPr>
          <w:rFonts w:ascii="Calibri" w:hAnsi="Calibri" w:cs="Calibri"/>
          <w:sz w:val="24"/>
          <w:szCs w:val="24"/>
        </w:rPr>
        <w:t xml:space="preserve"> what the actual discipline of the house was like in a given decade. The lived texture of monastic life </w:t>
      </w:r>
      <w:r w:rsidR="001B17C9">
        <w:rPr>
          <w:rFonts w:ascii="Calibri" w:hAnsi="Calibri" w:cs="Calibri"/>
          <w:sz w:val="24"/>
          <w:szCs w:val="24"/>
        </w:rPr>
        <w:t>such as the</w:t>
      </w:r>
      <w:r w:rsidRPr="00C32907">
        <w:rPr>
          <w:rFonts w:ascii="Calibri" w:hAnsi="Calibri" w:cs="Calibri"/>
          <w:sz w:val="24"/>
          <w:szCs w:val="24"/>
        </w:rPr>
        <w:t xml:space="preserve"> labour, prayer, communal conflict, </w:t>
      </w:r>
      <w:r w:rsidR="001B17C9">
        <w:rPr>
          <w:rFonts w:ascii="Calibri" w:hAnsi="Calibri" w:cs="Calibri"/>
          <w:sz w:val="24"/>
          <w:szCs w:val="24"/>
        </w:rPr>
        <w:t xml:space="preserve">and </w:t>
      </w:r>
      <w:r w:rsidRPr="00C32907">
        <w:rPr>
          <w:rFonts w:ascii="Calibri" w:hAnsi="Calibri" w:cs="Calibri"/>
          <w:sz w:val="24"/>
          <w:szCs w:val="24"/>
        </w:rPr>
        <w:t>spiritual struggle leaves no direct trace on an architectural diagram.</w:t>
      </w:r>
    </w:p>
    <w:p w14:paraId="0AA3B1B8" w14:textId="77777777" w:rsidR="00323F12" w:rsidRPr="00C32907" w:rsidRDefault="00323F12" w:rsidP="00C32907">
      <w:pPr>
        <w:rPr>
          <w:rFonts w:ascii="Calibri" w:hAnsi="Calibri" w:cs="Calibri"/>
          <w:sz w:val="24"/>
          <w:szCs w:val="24"/>
        </w:rPr>
      </w:pPr>
    </w:p>
    <w:p w14:paraId="44E59F28" w14:textId="77777777" w:rsidR="00323F12" w:rsidRPr="00C32907" w:rsidRDefault="00323F12" w:rsidP="00C32907">
      <w:pPr>
        <w:pageBreakBefore/>
        <w:rPr>
          <w:rFonts w:ascii="Calibri" w:hAnsi="Calibri" w:cs="Calibri"/>
          <w:sz w:val="24"/>
          <w:szCs w:val="24"/>
        </w:rPr>
      </w:pPr>
    </w:p>
    <w:p w14:paraId="716AAC71" w14:textId="77777777" w:rsidR="00323F12" w:rsidRPr="00C32907" w:rsidRDefault="00323F12" w:rsidP="00C32907">
      <w:pPr>
        <w:rPr>
          <w:rFonts w:ascii="Calibri" w:hAnsi="Calibri" w:cs="Calibri"/>
          <w:sz w:val="24"/>
          <w:szCs w:val="24"/>
        </w:rPr>
      </w:pPr>
    </w:p>
    <w:p w14:paraId="246666AF" w14:textId="615894AE" w:rsidR="00323F12" w:rsidRPr="00C32907" w:rsidRDefault="00000000" w:rsidP="00C32907">
      <w:pPr>
        <w:spacing w:after="120"/>
        <w:rPr>
          <w:rFonts w:ascii="Calibri" w:hAnsi="Calibri" w:cs="Calibri"/>
          <w:sz w:val="24"/>
          <w:szCs w:val="24"/>
        </w:rPr>
      </w:pPr>
      <w:r w:rsidRPr="00C32907">
        <w:rPr>
          <w:rFonts w:ascii="Calibri" w:hAnsi="Calibri" w:cs="Calibri"/>
          <w:b/>
          <w:bCs/>
          <w:sz w:val="24"/>
          <w:szCs w:val="24"/>
        </w:rPr>
        <w:t>Bibliography (</w:t>
      </w:r>
    </w:p>
    <w:p w14:paraId="6E7D5954" w14:textId="3729B171" w:rsidR="001B17C9" w:rsidRPr="001B17C9" w:rsidRDefault="00000000" w:rsidP="001B17C9">
      <w:pPr>
        <w:rPr>
          <w:rFonts w:ascii="Calibri" w:hAnsi="Calibri" w:cs="Calibri"/>
          <w:sz w:val="24"/>
          <w:szCs w:val="24"/>
        </w:rPr>
      </w:pPr>
      <w:r w:rsidRPr="001B17C9">
        <w:rPr>
          <w:rFonts w:ascii="Calibri" w:hAnsi="Calibri" w:cs="Calibri"/>
          <w:sz w:val="24"/>
          <w:szCs w:val="24"/>
        </w:rPr>
        <w:t xml:space="preserve">Bernard of Clairvaux, </w:t>
      </w:r>
      <w:r w:rsidRPr="001B17C9">
        <w:rPr>
          <w:rFonts w:ascii="Calibri" w:hAnsi="Calibri" w:cs="Calibri"/>
          <w:i/>
          <w:iCs/>
          <w:sz w:val="24"/>
          <w:szCs w:val="24"/>
        </w:rPr>
        <w:t xml:space="preserve">Apologia ad </w:t>
      </w:r>
      <w:proofErr w:type="spellStart"/>
      <w:r w:rsidRPr="001B17C9">
        <w:rPr>
          <w:rFonts w:ascii="Calibri" w:hAnsi="Calibri" w:cs="Calibri"/>
          <w:i/>
          <w:iCs/>
          <w:sz w:val="24"/>
          <w:szCs w:val="24"/>
        </w:rPr>
        <w:t>Guillelmum</w:t>
      </w:r>
      <w:proofErr w:type="spellEnd"/>
      <w:r w:rsidRPr="001B17C9">
        <w:rPr>
          <w:rFonts w:ascii="Calibri" w:hAnsi="Calibri" w:cs="Calibri"/>
          <w:i/>
          <w:iCs/>
          <w:sz w:val="24"/>
          <w:szCs w:val="24"/>
        </w:rPr>
        <w:t xml:space="preserve"> </w:t>
      </w:r>
      <w:proofErr w:type="spellStart"/>
      <w:r w:rsidRPr="001B17C9">
        <w:rPr>
          <w:rFonts w:ascii="Calibri" w:hAnsi="Calibri" w:cs="Calibri"/>
          <w:i/>
          <w:iCs/>
          <w:sz w:val="24"/>
          <w:szCs w:val="24"/>
        </w:rPr>
        <w:t>Abbatem</w:t>
      </w:r>
      <w:proofErr w:type="spellEnd"/>
      <w:r w:rsidRPr="001B17C9">
        <w:rPr>
          <w:rFonts w:ascii="Calibri" w:hAnsi="Calibri" w:cs="Calibri"/>
          <w:sz w:val="24"/>
          <w:szCs w:val="24"/>
        </w:rPr>
        <w:t xml:space="preserve"> (c. 1125), trans. in </w:t>
      </w:r>
      <w:r w:rsidRPr="001B17C9">
        <w:rPr>
          <w:rFonts w:ascii="Calibri" w:hAnsi="Calibri" w:cs="Calibri"/>
          <w:i/>
          <w:iCs/>
          <w:sz w:val="24"/>
          <w:szCs w:val="24"/>
        </w:rPr>
        <w:t>Cistercian Documents</w:t>
      </w:r>
      <w:r w:rsidRPr="001B17C9">
        <w:rPr>
          <w:rFonts w:ascii="Calibri" w:hAnsi="Calibri" w:cs="Calibri"/>
          <w:sz w:val="24"/>
          <w:szCs w:val="24"/>
        </w:rPr>
        <w:t xml:space="preserve">, vol. 1 </w:t>
      </w:r>
    </w:p>
    <w:p w14:paraId="1965B442" w14:textId="77777777" w:rsidR="00323F12" w:rsidRPr="001B17C9" w:rsidRDefault="00000000" w:rsidP="001B17C9">
      <w:pPr>
        <w:rPr>
          <w:rFonts w:ascii="Calibri" w:hAnsi="Calibri" w:cs="Calibri"/>
          <w:sz w:val="24"/>
          <w:szCs w:val="24"/>
        </w:rPr>
      </w:pPr>
      <w:r w:rsidRPr="001B17C9">
        <w:rPr>
          <w:rFonts w:ascii="Calibri" w:hAnsi="Calibri" w:cs="Calibri"/>
          <w:i/>
          <w:iCs/>
          <w:sz w:val="24"/>
          <w:szCs w:val="24"/>
        </w:rPr>
        <w:t>The Rule of St Benedict</w:t>
      </w:r>
      <w:r w:rsidRPr="001B17C9">
        <w:rPr>
          <w:rFonts w:ascii="Calibri" w:hAnsi="Calibri" w:cs="Calibri"/>
          <w:sz w:val="24"/>
          <w:szCs w:val="24"/>
        </w:rPr>
        <w:t>, trans. by Carolinne White (London: Penguin, 2008)</w:t>
      </w:r>
    </w:p>
    <w:p w14:paraId="1833D46E" w14:textId="0FD7B572" w:rsidR="00323F12" w:rsidRPr="001B17C9" w:rsidRDefault="00000000" w:rsidP="001B17C9">
      <w:pPr>
        <w:rPr>
          <w:rFonts w:ascii="Calibri" w:hAnsi="Calibri" w:cs="Calibri"/>
          <w:sz w:val="24"/>
          <w:szCs w:val="24"/>
        </w:rPr>
      </w:pPr>
      <w:r w:rsidRPr="001B17C9">
        <w:rPr>
          <w:rFonts w:ascii="Calibri" w:hAnsi="Calibri" w:cs="Calibri"/>
          <w:sz w:val="24"/>
          <w:szCs w:val="24"/>
        </w:rPr>
        <w:t xml:space="preserve">Brooke, Christopher, </w:t>
      </w:r>
      <w:r w:rsidRPr="001B17C9">
        <w:rPr>
          <w:rFonts w:ascii="Calibri" w:hAnsi="Calibri" w:cs="Calibri"/>
          <w:i/>
          <w:iCs/>
          <w:sz w:val="24"/>
          <w:szCs w:val="24"/>
        </w:rPr>
        <w:t xml:space="preserve">The </w:t>
      </w:r>
      <w:r w:rsidR="001B17C9">
        <w:rPr>
          <w:rFonts w:ascii="Calibri" w:hAnsi="Calibri" w:cs="Calibri"/>
          <w:i/>
          <w:iCs/>
          <w:sz w:val="24"/>
          <w:szCs w:val="24"/>
        </w:rPr>
        <w:t xml:space="preserve">Monastic World </w:t>
      </w:r>
      <w:r w:rsidRPr="001B17C9">
        <w:rPr>
          <w:rFonts w:ascii="Calibri" w:hAnsi="Calibri" w:cs="Calibri"/>
          <w:sz w:val="24"/>
          <w:szCs w:val="24"/>
        </w:rPr>
        <w:t>(</w:t>
      </w:r>
      <w:r w:rsidR="001B17C9">
        <w:rPr>
          <w:rFonts w:ascii="Calibri" w:hAnsi="Calibri" w:cs="Calibri"/>
          <w:sz w:val="24"/>
          <w:szCs w:val="24"/>
        </w:rPr>
        <w:t>London</w:t>
      </w:r>
      <w:r w:rsidRPr="001B17C9">
        <w:rPr>
          <w:rFonts w:ascii="Calibri" w:hAnsi="Calibri" w:cs="Calibri"/>
          <w:sz w:val="24"/>
          <w:szCs w:val="24"/>
        </w:rPr>
        <w:t xml:space="preserve">: </w:t>
      </w:r>
      <w:r w:rsidR="001B17C9">
        <w:rPr>
          <w:rFonts w:ascii="Calibri" w:hAnsi="Calibri" w:cs="Calibri"/>
          <w:sz w:val="24"/>
          <w:szCs w:val="24"/>
        </w:rPr>
        <w:t>Paul Elek</w:t>
      </w:r>
      <w:r w:rsidRPr="001B17C9">
        <w:rPr>
          <w:rFonts w:ascii="Calibri" w:hAnsi="Calibri" w:cs="Calibri"/>
          <w:sz w:val="24"/>
          <w:szCs w:val="24"/>
        </w:rPr>
        <w:t>, 19</w:t>
      </w:r>
      <w:r w:rsidR="001B17C9">
        <w:rPr>
          <w:rFonts w:ascii="Calibri" w:hAnsi="Calibri" w:cs="Calibri"/>
          <w:sz w:val="24"/>
          <w:szCs w:val="24"/>
        </w:rPr>
        <w:t>7</w:t>
      </w:r>
      <w:r w:rsidRPr="001B17C9">
        <w:rPr>
          <w:rFonts w:ascii="Calibri" w:hAnsi="Calibri" w:cs="Calibri"/>
          <w:sz w:val="24"/>
          <w:szCs w:val="24"/>
        </w:rPr>
        <w:t>4)</w:t>
      </w:r>
    </w:p>
    <w:p w14:paraId="17694EA3" w14:textId="77777777" w:rsidR="00323F12" w:rsidRPr="001B17C9" w:rsidRDefault="00000000" w:rsidP="001B17C9">
      <w:pPr>
        <w:rPr>
          <w:rFonts w:ascii="Calibri" w:hAnsi="Calibri" w:cs="Calibri"/>
          <w:sz w:val="24"/>
          <w:szCs w:val="24"/>
        </w:rPr>
      </w:pPr>
      <w:r w:rsidRPr="001B17C9">
        <w:rPr>
          <w:rFonts w:ascii="Calibri" w:hAnsi="Calibri" w:cs="Calibri"/>
          <w:sz w:val="24"/>
          <w:szCs w:val="24"/>
        </w:rPr>
        <w:t xml:space="preserve">Burton, Janet, and Julie Kerr, </w:t>
      </w:r>
      <w:r w:rsidRPr="001B17C9">
        <w:rPr>
          <w:rFonts w:ascii="Calibri" w:hAnsi="Calibri" w:cs="Calibri"/>
          <w:i/>
          <w:iCs/>
          <w:sz w:val="24"/>
          <w:szCs w:val="24"/>
        </w:rPr>
        <w:t>The Cistercians in the Middle Ages</w:t>
      </w:r>
      <w:r w:rsidRPr="001B17C9">
        <w:rPr>
          <w:rFonts w:ascii="Calibri" w:hAnsi="Calibri" w:cs="Calibri"/>
          <w:sz w:val="24"/>
          <w:szCs w:val="24"/>
        </w:rPr>
        <w:t xml:space="preserve"> (Woodbridge: Boydell Press, 2011)</w:t>
      </w:r>
    </w:p>
    <w:p w14:paraId="3DFA926A" w14:textId="77777777" w:rsidR="00323F12" w:rsidRPr="001B17C9" w:rsidRDefault="00000000" w:rsidP="001B17C9">
      <w:pPr>
        <w:rPr>
          <w:rFonts w:ascii="Calibri" w:hAnsi="Calibri" w:cs="Calibri"/>
          <w:sz w:val="24"/>
          <w:szCs w:val="24"/>
        </w:rPr>
      </w:pPr>
      <w:r w:rsidRPr="001B17C9">
        <w:rPr>
          <w:rFonts w:ascii="Calibri" w:hAnsi="Calibri" w:cs="Calibri"/>
          <w:sz w:val="24"/>
          <w:szCs w:val="24"/>
        </w:rPr>
        <w:t xml:space="preserve">Cassidy-Welch, Megan, </w:t>
      </w:r>
      <w:r w:rsidRPr="001B17C9">
        <w:rPr>
          <w:rFonts w:ascii="Calibri" w:hAnsi="Calibri" w:cs="Calibri"/>
          <w:i/>
          <w:iCs/>
          <w:sz w:val="24"/>
          <w:szCs w:val="24"/>
        </w:rPr>
        <w:t>Monastic Spaces and their Meanings: Thirteenth-Century English Cistercian Monasteries</w:t>
      </w:r>
      <w:r w:rsidRPr="001B17C9">
        <w:rPr>
          <w:rFonts w:ascii="Calibri" w:hAnsi="Calibri" w:cs="Calibri"/>
          <w:sz w:val="24"/>
          <w:szCs w:val="24"/>
        </w:rPr>
        <w:t xml:space="preserve"> (Turnhout: </w:t>
      </w:r>
      <w:proofErr w:type="spellStart"/>
      <w:r w:rsidRPr="001B17C9">
        <w:rPr>
          <w:rFonts w:ascii="Calibri" w:hAnsi="Calibri" w:cs="Calibri"/>
          <w:sz w:val="24"/>
          <w:szCs w:val="24"/>
        </w:rPr>
        <w:t>Brepols</w:t>
      </w:r>
      <w:proofErr w:type="spellEnd"/>
      <w:r w:rsidRPr="001B17C9">
        <w:rPr>
          <w:rFonts w:ascii="Calibri" w:hAnsi="Calibri" w:cs="Calibri"/>
          <w:sz w:val="24"/>
          <w:szCs w:val="24"/>
        </w:rPr>
        <w:t>, 2001)</w:t>
      </w:r>
    </w:p>
    <w:p w14:paraId="50CFC61F" w14:textId="77777777" w:rsidR="00323F12" w:rsidRPr="001B17C9" w:rsidRDefault="00000000" w:rsidP="001B17C9">
      <w:pPr>
        <w:rPr>
          <w:rFonts w:ascii="Calibri" w:hAnsi="Calibri" w:cs="Calibri"/>
          <w:sz w:val="24"/>
          <w:szCs w:val="24"/>
        </w:rPr>
      </w:pPr>
      <w:proofErr w:type="spellStart"/>
      <w:r w:rsidRPr="001B17C9">
        <w:rPr>
          <w:rFonts w:ascii="Calibri" w:hAnsi="Calibri" w:cs="Calibri"/>
          <w:sz w:val="24"/>
          <w:szCs w:val="24"/>
        </w:rPr>
        <w:t>Coppack</w:t>
      </w:r>
      <w:proofErr w:type="spellEnd"/>
      <w:r w:rsidRPr="001B17C9">
        <w:rPr>
          <w:rFonts w:ascii="Calibri" w:hAnsi="Calibri" w:cs="Calibri"/>
          <w:sz w:val="24"/>
          <w:szCs w:val="24"/>
        </w:rPr>
        <w:t xml:space="preserve">, Glyn, </w:t>
      </w:r>
      <w:r w:rsidRPr="001B17C9">
        <w:rPr>
          <w:rFonts w:ascii="Calibri" w:hAnsi="Calibri" w:cs="Calibri"/>
          <w:i/>
          <w:iCs/>
          <w:sz w:val="24"/>
          <w:szCs w:val="24"/>
        </w:rPr>
        <w:t>The White Monks: The Cistercians in Britain, 1128–1540</w:t>
      </w:r>
      <w:r w:rsidRPr="001B17C9">
        <w:rPr>
          <w:rFonts w:ascii="Calibri" w:hAnsi="Calibri" w:cs="Calibri"/>
          <w:sz w:val="24"/>
          <w:szCs w:val="24"/>
        </w:rPr>
        <w:t xml:space="preserve"> (Stroud: Tempus, 1998)</w:t>
      </w:r>
    </w:p>
    <w:p w14:paraId="4DF07664" w14:textId="77777777" w:rsidR="00323F12" w:rsidRDefault="00000000" w:rsidP="001B17C9">
      <w:pPr>
        <w:rPr>
          <w:rFonts w:ascii="Calibri" w:hAnsi="Calibri" w:cs="Calibri"/>
          <w:sz w:val="24"/>
          <w:szCs w:val="24"/>
        </w:rPr>
      </w:pPr>
      <w:r w:rsidRPr="001B17C9">
        <w:rPr>
          <w:rFonts w:ascii="Calibri" w:hAnsi="Calibri" w:cs="Calibri"/>
          <w:sz w:val="24"/>
          <w:szCs w:val="24"/>
        </w:rPr>
        <w:t xml:space="preserve">Fergusson, Peter, </w:t>
      </w:r>
      <w:r w:rsidRPr="001B17C9">
        <w:rPr>
          <w:rFonts w:ascii="Calibri" w:hAnsi="Calibri" w:cs="Calibri"/>
          <w:i/>
          <w:iCs/>
          <w:sz w:val="24"/>
          <w:szCs w:val="24"/>
        </w:rPr>
        <w:t xml:space="preserve">Architecture of Solitude: Cistercian Abbeys in </w:t>
      </w:r>
      <w:proofErr w:type="gramStart"/>
      <w:r w:rsidRPr="001B17C9">
        <w:rPr>
          <w:rFonts w:ascii="Calibri" w:hAnsi="Calibri" w:cs="Calibri"/>
          <w:i/>
          <w:iCs/>
          <w:sz w:val="24"/>
          <w:szCs w:val="24"/>
        </w:rPr>
        <w:t>Twelfth-Century England</w:t>
      </w:r>
      <w:proofErr w:type="gramEnd"/>
      <w:r w:rsidRPr="001B17C9">
        <w:rPr>
          <w:rFonts w:ascii="Calibri" w:hAnsi="Calibri" w:cs="Calibri"/>
          <w:sz w:val="24"/>
          <w:szCs w:val="24"/>
        </w:rPr>
        <w:t xml:space="preserve"> (Princeton: Princeton University Press, 1984)</w:t>
      </w:r>
    </w:p>
    <w:p w14:paraId="4905FFFA" w14:textId="78E664D2" w:rsidR="001B17C9" w:rsidRPr="001B17C9" w:rsidRDefault="001B17C9" w:rsidP="001B17C9">
      <w:pPr>
        <w:rPr>
          <w:rFonts w:ascii="Calibri" w:hAnsi="Calibri" w:cs="Calibri"/>
          <w:sz w:val="24"/>
          <w:szCs w:val="24"/>
        </w:rPr>
      </w:pPr>
      <w:r w:rsidRPr="001B17C9">
        <w:rPr>
          <w:rFonts w:ascii="Calibri" w:hAnsi="Calibri" w:cs="Calibri"/>
          <w:sz w:val="24"/>
          <w:szCs w:val="24"/>
        </w:rPr>
        <w:t xml:space="preserve">General Chapter Statutes, 1158–1192, trans. in </w:t>
      </w:r>
      <w:r w:rsidRPr="001B17C9">
        <w:rPr>
          <w:rFonts w:ascii="Calibri" w:hAnsi="Calibri" w:cs="Calibri"/>
          <w:i/>
          <w:iCs/>
          <w:sz w:val="24"/>
          <w:szCs w:val="24"/>
        </w:rPr>
        <w:t>Cistercian Documents</w:t>
      </w:r>
      <w:r w:rsidRPr="001B17C9">
        <w:rPr>
          <w:rFonts w:ascii="Calibri" w:hAnsi="Calibri" w:cs="Calibri"/>
          <w:sz w:val="24"/>
          <w:szCs w:val="24"/>
        </w:rPr>
        <w:t xml:space="preserve">, vol. 2 </w:t>
      </w:r>
    </w:p>
    <w:p w14:paraId="1CFAC015" w14:textId="77777777" w:rsidR="00323F12" w:rsidRDefault="00000000" w:rsidP="001B17C9">
      <w:pPr>
        <w:rPr>
          <w:rFonts w:ascii="Calibri" w:hAnsi="Calibri" w:cs="Calibri"/>
          <w:sz w:val="24"/>
          <w:szCs w:val="24"/>
        </w:rPr>
      </w:pPr>
      <w:r w:rsidRPr="001B17C9">
        <w:rPr>
          <w:rFonts w:ascii="Calibri" w:hAnsi="Calibri" w:cs="Calibri"/>
          <w:sz w:val="24"/>
          <w:szCs w:val="24"/>
        </w:rPr>
        <w:t xml:space="preserve">Golding, Brian, </w:t>
      </w:r>
      <w:r w:rsidRPr="001B17C9">
        <w:rPr>
          <w:rFonts w:ascii="Calibri" w:hAnsi="Calibri" w:cs="Calibri"/>
          <w:i/>
          <w:iCs/>
          <w:sz w:val="24"/>
          <w:szCs w:val="24"/>
        </w:rPr>
        <w:t>The Gilbertine Order and its Houses</w:t>
      </w:r>
      <w:r w:rsidRPr="001B17C9">
        <w:rPr>
          <w:rFonts w:ascii="Calibri" w:hAnsi="Calibri" w:cs="Calibri"/>
          <w:sz w:val="24"/>
          <w:szCs w:val="24"/>
        </w:rPr>
        <w:t xml:space="preserve"> (Oxford: Oxford University Press, 1995)</w:t>
      </w:r>
    </w:p>
    <w:p w14:paraId="34A79155" w14:textId="55022B6F" w:rsidR="001B17C9" w:rsidRPr="001B17C9" w:rsidRDefault="001B17C9" w:rsidP="001B17C9">
      <w:pPr>
        <w:rPr>
          <w:rFonts w:ascii="Calibri" w:hAnsi="Calibri" w:cs="Calibri"/>
          <w:sz w:val="24"/>
          <w:szCs w:val="24"/>
        </w:rPr>
      </w:pPr>
      <w:r>
        <w:rPr>
          <w:rFonts w:ascii="Calibri" w:hAnsi="Calibri" w:cs="Calibri"/>
          <w:sz w:val="24"/>
          <w:szCs w:val="24"/>
        </w:rPr>
        <w:t xml:space="preserve">Lawrence, C. H, </w:t>
      </w:r>
      <w:r>
        <w:rPr>
          <w:rFonts w:ascii="Calibri" w:hAnsi="Calibri" w:cs="Calibri"/>
          <w:i/>
          <w:iCs/>
          <w:sz w:val="24"/>
          <w:szCs w:val="24"/>
        </w:rPr>
        <w:t xml:space="preserve">Medieval Monasticism </w:t>
      </w:r>
      <w:r>
        <w:rPr>
          <w:rFonts w:ascii="Calibri" w:hAnsi="Calibri" w:cs="Calibri"/>
          <w:sz w:val="24"/>
          <w:szCs w:val="24"/>
        </w:rPr>
        <w:t>(London: Longman Group, 1984)</w:t>
      </w:r>
    </w:p>
    <w:p w14:paraId="5AA7B2BB" w14:textId="77777777" w:rsidR="00323F12" w:rsidRPr="001B17C9" w:rsidRDefault="00000000" w:rsidP="001B17C9">
      <w:pPr>
        <w:rPr>
          <w:rFonts w:ascii="Calibri" w:hAnsi="Calibri" w:cs="Calibri"/>
          <w:sz w:val="24"/>
          <w:szCs w:val="24"/>
        </w:rPr>
      </w:pPr>
      <w:r w:rsidRPr="001B17C9">
        <w:rPr>
          <w:rFonts w:ascii="Calibri" w:hAnsi="Calibri" w:cs="Calibri"/>
          <w:sz w:val="24"/>
          <w:szCs w:val="24"/>
        </w:rPr>
        <w:t xml:space="preserve">Knowles, David, </w:t>
      </w:r>
      <w:r w:rsidRPr="001B17C9">
        <w:rPr>
          <w:rFonts w:ascii="Calibri" w:hAnsi="Calibri" w:cs="Calibri"/>
          <w:i/>
          <w:iCs/>
          <w:sz w:val="24"/>
          <w:szCs w:val="24"/>
        </w:rPr>
        <w:t>The Monastic Order in England</w:t>
      </w:r>
      <w:r w:rsidRPr="001B17C9">
        <w:rPr>
          <w:rFonts w:ascii="Calibri" w:hAnsi="Calibri" w:cs="Calibri"/>
          <w:sz w:val="24"/>
          <w:szCs w:val="24"/>
        </w:rPr>
        <w:t xml:space="preserve"> (Cambridge: Cambridge University Press, 1940)</w:t>
      </w:r>
    </w:p>
    <w:p w14:paraId="6E808640" w14:textId="77777777" w:rsidR="00323F12" w:rsidRPr="001B17C9" w:rsidRDefault="00000000" w:rsidP="001B17C9">
      <w:pPr>
        <w:rPr>
          <w:rFonts w:ascii="Calibri" w:hAnsi="Calibri" w:cs="Calibri"/>
          <w:sz w:val="24"/>
          <w:szCs w:val="24"/>
        </w:rPr>
      </w:pPr>
      <w:r w:rsidRPr="001B17C9">
        <w:rPr>
          <w:rFonts w:ascii="Calibri" w:hAnsi="Calibri" w:cs="Calibri"/>
          <w:sz w:val="24"/>
          <w:szCs w:val="24"/>
        </w:rPr>
        <w:t xml:space="preserve">Robinson, David, </w:t>
      </w:r>
      <w:r w:rsidRPr="001B17C9">
        <w:rPr>
          <w:rFonts w:ascii="Calibri" w:hAnsi="Calibri" w:cs="Calibri"/>
          <w:i/>
          <w:iCs/>
          <w:sz w:val="24"/>
          <w:szCs w:val="24"/>
        </w:rPr>
        <w:t>Tintern Abbey</w:t>
      </w:r>
      <w:r w:rsidRPr="001B17C9">
        <w:rPr>
          <w:rFonts w:ascii="Calibri" w:hAnsi="Calibri" w:cs="Calibri"/>
          <w:sz w:val="24"/>
          <w:szCs w:val="24"/>
        </w:rPr>
        <w:t xml:space="preserve"> (Cardiff: </w:t>
      </w:r>
      <w:proofErr w:type="spellStart"/>
      <w:r w:rsidRPr="001B17C9">
        <w:rPr>
          <w:rFonts w:ascii="Calibri" w:hAnsi="Calibri" w:cs="Calibri"/>
          <w:sz w:val="24"/>
          <w:szCs w:val="24"/>
        </w:rPr>
        <w:t>Cadw</w:t>
      </w:r>
      <w:proofErr w:type="spellEnd"/>
      <w:r w:rsidRPr="001B17C9">
        <w:rPr>
          <w:rFonts w:ascii="Calibri" w:hAnsi="Calibri" w:cs="Calibri"/>
          <w:sz w:val="24"/>
          <w:szCs w:val="24"/>
        </w:rPr>
        <w:t>, 2002)</w:t>
      </w:r>
    </w:p>
    <w:p w14:paraId="53AB28AE" w14:textId="77777777" w:rsidR="00323F12" w:rsidRDefault="00000000" w:rsidP="001B17C9">
      <w:pPr>
        <w:rPr>
          <w:rFonts w:ascii="Calibri" w:hAnsi="Calibri" w:cs="Calibri"/>
          <w:sz w:val="24"/>
          <w:szCs w:val="24"/>
        </w:rPr>
      </w:pPr>
      <w:r w:rsidRPr="001B17C9">
        <w:rPr>
          <w:rFonts w:ascii="Calibri" w:hAnsi="Calibri" w:cs="Calibri"/>
          <w:sz w:val="24"/>
          <w:szCs w:val="24"/>
        </w:rPr>
        <w:t xml:space="preserve">Rudolph, Conrad, </w:t>
      </w:r>
      <w:r w:rsidRPr="001B17C9">
        <w:rPr>
          <w:rFonts w:ascii="Calibri" w:hAnsi="Calibri" w:cs="Calibri"/>
          <w:i/>
          <w:iCs/>
          <w:sz w:val="24"/>
          <w:szCs w:val="24"/>
        </w:rPr>
        <w:t>The ‘Things of Greater Importance’: Bernard of Clairvaux’s Apologia and the Medieval Attitude Toward Art</w:t>
      </w:r>
      <w:r w:rsidRPr="001B17C9">
        <w:rPr>
          <w:rFonts w:ascii="Calibri" w:hAnsi="Calibri" w:cs="Calibri"/>
          <w:sz w:val="24"/>
          <w:szCs w:val="24"/>
        </w:rPr>
        <w:t xml:space="preserve"> (Philadelphia: University of Pennsylvania Press, 1990)</w:t>
      </w:r>
    </w:p>
    <w:p w14:paraId="6946BB70" w14:textId="77777777" w:rsidR="001B17C9" w:rsidRPr="001B17C9" w:rsidRDefault="001B17C9" w:rsidP="001B17C9">
      <w:pPr>
        <w:rPr>
          <w:rFonts w:ascii="Calibri" w:hAnsi="Calibri" w:cs="Calibri"/>
          <w:sz w:val="24"/>
          <w:szCs w:val="24"/>
        </w:rPr>
      </w:pPr>
      <w:r w:rsidRPr="001B17C9">
        <w:rPr>
          <w:rFonts w:ascii="Calibri" w:hAnsi="Calibri" w:cs="Calibri"/>
          <w:sz w:val="24"/>
          <w:szCs w:val="24"/>
        </w:rPr>
        <w:t xml:space="preserve">William of </w:t>
      </w:r>
      <w:proofErr w:type="spellStart"/>
      <w:r w:rsidRPr="001B17C9">
        <w:rPr>
          <w:rFonts w:ascii="Calibri" w:hAnsi="Calibri" w:cs="Calibri"/>
          <w:sz w:val="24"/>
          <w:szCs w:val="24"/>
        </w:rPr>
        <w:t>Malmesbury</w:t>
      </w:r>
      <w:proofErr w:type="spellEnd"/>
      <w:r w:rsidRPr="001B17C9">
        <w:rPr>
          <w:rFonts w:ascii="Calibri" w:hAnsi="Calibri" w:cs="Calibri"/>
          <w:sz w:val="24"/>
          <w:szCs w:val="24"/>
        </w:rPr>
        <w:t xml:space="preserve">, trans. in </w:t>
      </w:r>
      <w:r w:rsidRPr="001B17C9">
        <w:rPr>
          <w:rFonts w:ascii="Calibri" w:hAnsi="Calibri" w:cs="Calibri"/>
          <w:i/>
          <w:iCs/>
          <w:sz w:val="24"/>
          <w:szCs w:val="24"/>
        </w:rPr>
        <w:t>Cistercian Documents</w:t>
      </w:r>
      <w:r w:rsidRPr="001B17C9">
        <w:rPr>
          <w:rFonts w:ascii="Calibri" w:hAnsi="Calibri" w:cs="Calibri"/>
          <w:sz w:val="24"/>
          <w:szCs w:val="24"/>
        </w:rPr>
        <w:t xml:space="preserve">, vol. 2 </w:t>
      </w:r>
    </w:p>
    <w:p w14:paraId="58E1CB72" w14:textId="77777777" w:rsidR="001B17C9" w:rsidRPr="001B17C9" w:rsidRDefault="001B17C9" w:rsidP="001B17C9">
      <w:pPr>
        <w:rPr>
          <w:rFonts w:ascii="Calibri" w:hAnsi="Calibri" w:cs="Calibri"/>
          <w:sz w:val="24"/>
          <w:szCs w:val="24"/>
        </w:rPr>
      </w:pPr>
    </w:p>
    <w:p w14:paraId="6844768C" w14:textId="77777777" w:rsidR="00323F12" w:rsidRPr="00C32907" w:rsidRDefault="00323F12" w:rsidP="00C32907">
      <w:pPr>
        <w:rPr>
          <w:rFonts w:ascii="Calibri" w:hAnsi="Calibri" w:cs="Calibri"/>
          <w:sz w:val="24"/>
          <w:szCs w:val="24"/>
        </w:rPr>
      </w:pPr>
    </w:p>
    <w:p w14:paraId="32A2F0E9" w14:textId="54A86B8E" w:rsidR="00323F12" w:rsidRPr="00C32907" w:rsidRDefault="00323F12" w:rsidP="00C32907">
      <w:pPr>
        <w:rPr>
          <w:rFonts w:ascii="Calibri" w:hAnsi="Calibri" w:cs="Calibri"/>
          <w:sz w:val="24"/>
          <w:szCs w:val="24"/>
        </w:rPr>
      </w:pPr>
    </w:p>
    <w:sectPr w:rsidR="00323F12" w:rsidRPr="00C32907" w:rsidSect="00C32907">
      <w:headerReference w:type="default" r:id="rId9"/>
      <w:footerReference w:type="default" r:id="rId10"/>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218D3" w14:textId="77777777" w:rsidR="00CB4F52" w:rsidRDefault="00CB4F52">
      <w:r>
        <w:separator/>
      </w:r>
    </w:p>
  </w:endnote>
  <w:endnote w:type="continuationSeparator" w:id="0">
    <w:p w14:paraId="028B11DC" w14:textId="77777777" w:rsidR="00CB4F52" w:rsidRDefault="00CB4F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2C250" w14:textId="66301BE4" w:rsidR="00323F12" w:rsidRDefault="00323F12">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A6487" w14:textId="77777777" w:rsidR="00CB4F52" w:rsidRDefault="00CB4F52">
      <w:r>
        <w:separator/>
      </w:r>
    </w:p>
  </w:footnote>
  <w:footnote w:type="continuationSeparator" w:id="0">
    <w:p w14:paraId="33F2F742" w14:textId="77777777" w:rsidR="00CB4F52" w:rsidRDefault="00CB4F52">
      <w:r>
        <w:continuationSeparator/>
      </w:r>
    </w:p>
  </w:footnote>
  <w:footnote w:id="1">
    <w:p w14:paraId="1D78BD64" w14:textId="77777777" w:rsidR="00323F12" w:rsidRDefault="00000000">
      <w:r>
        <w:rPr>
          <w:rStyle w:val="FootnoteReference"/>
        </w:rPr>
        <w:footnoteRef/>
      </w:r>
      <w:r>
        <w:t xml:space="preserve">Janet Burton and Julie Kerr, </w:t>
      </w:r>
      <w:r>
        <w:rPr>
          <w:i/>
          <w:iCs/>
        </w:rPr>
        <w:t>The Cistercians in the Middle Ages</w:t>
      </w:r>
      <w:r>
        <w:t xml:space="preserve"> (Woodbridge: Boydell Press, 2011), pp. 15–20.</w:t>
      </w:r>
    </w:p>
  </w:footnote>
  <w:footnote w:id="2">
    <w:p w14:paraId="3C0678E0" w14:textId="4A65A656" w:rsidR="00323F12" w:rsidRDefault="00000000">
      <w:r>
        <w:rPr>
          <w:rStyle w:val="FootnoteReference"/>
        </w:rPr>
        <w:footnoteRef/>
      </w:r>
      <w:r>
        <w:t xml:space="preserve">Bernard of Clairvaux, </w:t>
      </w:r>
      <w:r>
        <w:rPr>
          <w:i/>
          <w:iCs/>
        </w:rPr>
        <w:t xml:space="preserve">Apologia ad </w:t>
      </w:r>
      <w:proofErr w:type="spellStart"/>
      <w:r>
        <w:rPr>
          <w:i/>
          <w:iCs/>
        </w:rPr>
        <w:t>Guillelmum</w:t>
      </w:r>
      <w:proofErr w:type="spellEnd"/>
      <w:r>
        <w:rPr>
          <w:i/>
          <w:iCs/>
        </w:rPr>
        <w:t xml:space="preserve"> </w:t>
      </w:r>
      <w:proofErr w:type="spellStart"/>
      <w:r>
        <w:rPr>
          <w:i/>
          <w:iCs/>
        </w:rPr>
        <w:t>Abbatem</w:t>
      </w:r>
      <w:proofErr w:type="spellEnd"/>
      <w:r>
        <w:t xml:space="preserve"> (c. 1125), §XII.28, trans. in </w:t>
      </w:r>
      <w:r>
        <w:rPr>
          <w:i/>
          <w:iCs/>
        </w:rPr>
        <w:t>Cistercian Documents</w:t>
      </w:r>
      <w:r>
        <w:t>, vol. 1</w:t>
      </w:r>
      <w:r w:rsidR="005B4FA9">
        <w:t xml:space="preserve"> </w:t>
      </w:r>
      <w:r w:rsidR="005B4FA9">
        <w:t>&lt;</w:t>
      </w:r>
      <w:r w:rsidR="005B4FA9" w:rsidRPr="005B4FA9">
        <w:t>https://moodle.uwtsd.ac.uk/course/view.php?id=11080</w:t>
      </w:r>
      <w:r w:rsidR="005B4FA9">
        <w:t>&gt; [Accessed 6 Apr 2026]</w:t>
      </w:r>
    </w:p>
  </w:footnote>
  <w:footnote w:id="3">
    <w:p w14:paraId="5F57F128" w14:textId="7C76F024" w:rsidR="00323F12" w:rsidRDefault="00000000">
      <w:r>
        <w:rPr>
          <w:rStyle w:val="FootnoteReference"/>
        </w:rPr>
        <w:footnoteRef/>
      </w:r>
      <w:r>
        <w:t xml:space="preserve">William of </w:t>
      </w:r>
      <w:proofErr w:type="spellStart"/>
      <w:r>
        <w:t>Malmesbury</w:t>
      </w:r>
      <w:proofErr w:type="spellEnd"/>
      <w:r>
        <w:t xml:space="preserve">, trans. in </w:t>
      </w:r>
      <w:r>
        <w:rPr>
          <w:i/>
          <w:iCs/>
        </w:rPr>
        <w:t>Cistercian Documents</w:t>
      </w:r>
      <w:r>
        <w:t xml:space="preserve">, vol. 2 </w:t>
      </w:r>
      <w:r w:rsidR="005B4FA9">
        <w:t>&lt;</w:t>
      </w:r>
      <w:r w:rsidR="005B4FA9" w:rsidRPr="005B4FA9">
        <w:t>https://moodle.uwtsd.ac.uk/course/view.php?id=11080</w:t>
      </w:r>
      <w:r w:rsidR="005B4FA9">
        <w:t>&gt; [Accessed 6 Apr 2026]</w:t>
      </w:r>
    </w:p>
  </w:footnote>
  <w:footnote w:id="4">
    <w:p w14:paraId="4BCB65D2" w14:textId="190932CF" w:rsidR="00323F12" w:rsidRDefault="00000000">
      <w:r>
        <w:rPr>
          <w:rStyle w:val="FootnoteReference"/>
        </w:rPr>
        <w:footnoteRef/>
      </w:r>
      <w:r>
        <w:t xml:space="preserve">Conrad Rudolph, </w:t>
      </w:r>
      <w:r>
        <w:rPr>
          <w:i/>
          <w:iCs/>
        </w:rPr>
        <w:t>The ‘Things of Greater Importance’: Bernard of Clairvaux’s Apologia and the Medieval Attitude Toward Art</w:t>
      </w:r>
      <w:r>
        <w:t xml:space="preserve"> (Philadelphia: University of Pennsylvania Press, 1990), pp. 42–4</w:t>
      </w:r>
      <w:r w:rsidR="00104316">
        <w:t>8</w:t>
      </w:r>
      <w:r>
        <w:t>.</w:t>
      </w:r>
    </w:p>
  </w:footnote>
  <w:footnote w:id="5">
    <w:p w14:paraId="550DFE68" w14:textId="77777777" w:rsidR="00323F12" w:rsidRDefault="00000000">
      <w:r>
        <w:rPr>
          <w:rStyle w:val="FootnoteReference"/>
        </w:rPr>
        <w:footnoteRef/>
      </w:r>
      <w:r>
        <w:t xml:space="preserve">Peter Fergusson, </w:t>
      </w:r>
      <w:r>
        <w:rPr>
          <w:i/>
          <w:iCs/>
        </w:rPr>
        <w:t xml:space="preserve">Architecture of Solitude: Cistercian Abbeys in </w:t>
      </w:r>
      <w:proofErr w:type="gramStart"/>
      <w:r>
        <w:rPr>
          <w:i/>
          <w:iCs/>
        </w:rPr>
        <w:t>Twelfth-Century England</w:t>
      </w:r>
      <w:proofErr w:type="gramEnd"/>
      <w:r>
        <w:t xml:space="preserve"> (Princeton: Princeton University Press, 1984), pp. 113–17.</w:t>
      </w:r>
    </w:p>
  </w:footnote>
  <w:footnote w:id="6">
    <w:p w14:paraId="14E5C2D0" w14:textId="1E0602F4" w:rsidR="00323F12" w:rsidRDefault="00000000">
      <w:r>
        <w:rPr>
          <w:rStyle w:val="FootnoteReference"/>
        </w:rPr>
        <w:footnoteRef/>
      </w:r>
      <w:r>
        <w:t xml:space="preserve">General Chapter Statutes, 1158, 1181, trans. in </w:t>
      </w:r>
      <w:r>
        <w:rPr>
          <w:i/>
          <w:iCs/>
        </w:rPr>
        <w:t>Cistercian Documents</w:t>
      </w:r>
      <w:r>
        <w:t xml:space="preserve">, </w:t>
      </w:r>
      <w:r w:rsidR="00104316">
        <w:t>&lt;</w:t>
      </w:r>
      <w:r w:rsidR="00104316" w:rsidRPr="005B4FA9">
        <w:t>https://moodle.uwtsd.ac.uk/course/view.php?id=11080</w:t>
      </w:r>
      <w:r w:rsidR="00104316">
        <w:t>&gt; [Accessed 6 Apr 2026]</w:t>
      </w:r>
    </w:p>
  </w:footnote>
  <w:footnote w:id="7">
    <w:p w14:paraId="4D6F4FAC" w14:textId="77777777" w:rsidR="00323F12" w:rsidRDefault="00000000">
      <w:r>
        <w:rPr>
          <w:rStyle w:val="FootnoteReference"/>
        </w:rPr>
        <w:footnoteRef/>
      </w:r>
      <w:r>
        <w:t xml:space="preserve">Glyn Coppack, </w:t>
      </w:r>
      <w:r>
        <w:rPr>
          <w:i/>
          <w:iCs/>
        </w:rPr>
        <w:t>The White Monks: The Cistercians in Britain, 1128–1540</w:t>
      </w:r>
      <w:r>
        <w:t xml:space="preserve"> (Stroud: Tempus, 1998).</w:t>
      </w:r>
    </w:p>
  </w:footnote>
  <w:footnote w:id="8">
    <w:p w14:paraId="13938924" w14:textId="77777777" w:rsidR="00104316" w:rsidRDefault="00000000" w:rsidP="00104316">
      <w:r>
        <w:rPr>
          <w:rStyle w:val="FootnoteReference"/>
        </w:rPr>
        <w:footnoteRef/>
      </w:r>
      <w:r>
        <w:rPr>
          <w:i/>
          <w:iCs/>
        </w:rPr>
        <w:t>The Rule of St Benedict</w:t>
      </w:r>
      <w:r>
        <w:t>, trans. by Carolinne White (London: Penguin, 2008), pp. 55–57</w:t>
      </w:r>
      <w:r w:rsidR="00104316">
        <w:t xml:space="preserve">. </w:t>
      </w:r>
      <w:r w:rsidR="00104316">
        <w:t>&lt;</w:t>
      </w:r>
      <w:r w:rsidR="00104316" w:rsidRPr="005B4FA9">
        <w:t>https://moodle.uwtsd.ac.uk/course/view.php?id=11080</w:t>
      </w:r>
      <w:r w:rsidR="00104316">
        <w:t>&gt; [Accessed 6 Apr 2026]</w:t>
      </w:r>
    </w:p>
    <w:p w14:paraId="42505678" w14:textId="1E00D431" w:rsidR="00323F12" w:rsidRDefault="00323F12"/>
  </w:footnote>
  <w:footnote w:id="9">
    <w:p w14:paraId="7EC5DCBC" w14:textId="77777777" w:rsidR="00323F12" w:rsidRDefault="00000000">
      <w:r>
        <w:rPr>
          <w:rStyle w:val="FootnoteReference"/>
        </w:rPr>
        <w:footnoteRef/>
      </w:r>
      <w:r>
        <w:t xml:space="preserve">Megan Cassidy-Welch, </w:t>
      </w:r>
      <w:r>
        <w:rPr>
          <w:i/>
          <w:iCs/>
        </w:rPr>
        <w:t>Monastic Spaces and their Meanings: Thirteenth-Century English Cistercian Monasteries</w:t>
      </w:r>
      <w:r>
        <w:t xml:space="preserve"> (Turnhout: </w:t>
      </w:r>
      <w:proofErr w:type="spellStart"/>
      <w:r>
        <w:t>Brepols</w:t>
      </w:r>
      <w:proofErr w:type="spellEnd"/>
      <w:r>
        <w:t>, 2001).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46AB7" w14:textId="4C8D5CDB" w:rsidR="00323F12" w:rsidRDefault="00323F12">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D10C15"/>
    <w:multiLevelType w:val="hybridMultilevel"/>
    <w:tmpl w:val="6D6C298A"/>
    <w:lvl w:ilvl="0" w:tplc="E4B47F72">
      <w:start w:val="1"/>
      <w:numFmt w:val="bullet"/>
      <w:lvlText w:val="●"/>
      <w:lvlJc w:val="left"/>
      <w:pPr>
        <w:ind w:left="720" w:hanging="360"/>
      </w:pPr>
    </w:lvl>
    <w:lvl w:ilvl="1" w:tplc="A6209090">
      <w:start w:val="1"/>
      <w:numFmt w:val="bullet"/>
      <w:lvlText w:val="○"/>
      <w:lvlJc w:val="left"/>
      <w:pPr>
        <w:ind w:left="1440" w:hanging="360"/>
      </w:pPr>
    </w:lvl>
    <w:lvl w:ilvl="2" w:tplc="5574CF82">
      <w:start w:val="1"/>
      <w:numFmt w:val="bullet"/>
      <w:lvlText w:val="■"/>
      <w:lvlJc w:val="left"/>
      <w:pPr>
        <w:ind w:left="2160" w:hanging="360"/>
      </w:pPr>
    </w:lvl>
    <w:lvl w:ilvl="3" w:tplc="4A062566">
      <w:start w:val="1"/>
      <w:numFmt w:val="bullet"/>
      <w:lvlText w:val="●"/>
      <w:lvlJc w:val="left"/>
      <w:pPr>
        <w:ind w:left="2880" w:hanging="360"/>
      </w:pPr>
    </w:lvl>
    <w:lvl w:ilvl="4" w:tplc="FFA2993E">
      <w:start w:val="1"/>
      <w:numFmt w:val="bullet"/>
      <w:lvlText w:val="○"/>
      <w:lvlJc w:val="left"/>
      <w:pPr>
        <w:ind w:left="3600" w:hanging="360"/>
      </w:pPr>
    </w:lvl>
    <w:lvl w:ilvl="5" w:tplc="70BC4144">
      <w:start w:val="1"/>
      <w:numFmt w:val="bullet"/>
      <w:lvlText w:val="■"/>
      <w:lvlJc w:val="left"/>
      <w:pPr>
        <w:ind w:left="4320" w:hanging="360"/>
      </w:pPr>
    </w:lvl>
    <w:lvl w:ilvl="6" w:tplc="63C878D4">
      <w:start w:val="1"/>
      <w:numFmt w:val="bullet"/>
      <w:lvlText w:val="●"/>
      <w:lvlJc w:val="left"/>
      <w:pPr>
        <w:ind w:left="5040" w:hanging="360"/>
      </w:pPr>
    </w:lvl>
    <w:lvl w:ilvl="7" w:tplc="D784746A">
      <w:start w:val="1"/>
      <w:numFmt w:val="bullet"/>
      <w:lvlText w:val="●"/>
      <w:lvlJc w:val="left"/>
      <w:pPr>
        <w:ind w:left="5760" w:hanging="360"/>
      </w:pPr>
    </w:lvl>
    <w:lvl w:ilvl="8" w:tplc="9A1814DE">
      <w:start w:val="1"/>
      <w:numFmt w:val="bullet"/>
      <w:lvlText w:val="●"/>
      <w:lvlJc w:val="left"/>
      <w:pPr>
        <w:ind w:left="6480" w:hanging="360"/>
      </w:pPr>
    </w:lvl>
  </w:abstractNum>
  <w:num w:numId="1" w16cid:durableId="112558163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F12"/>
    <w:rsid w:val="00104316"/>
    <w:rsid w:val="001B17C9"/>
    <w:rsid w:val="00323F12"/>
    <w:rsid w:val="005B4FA9"/>
    <w:rsid w:val="00871349"/>
    <w:rsid w:val="0099484F"/>
    <w:rsid w:val="00B317D1"/>
    <w:rsid w:val="00C32907"/>
    <w:rsid w:val="00CB4F52"/>
    <w:rsid w:val="00D562AC"/>
    <w:rsid w:val="00F76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801B6"/>
  <w15:docId w15:val="{8CC31F92-DF9F-A143-A3FC-44365A91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32907"/>
    <w:pPr>
      <w:tabs>
        <w:tab w:val="center" w:pos="4513"/>
        <w:tab w:val="right" w:pos="9026"/>
      </w:tabs>
    </w:pPr>
  </w:style>
  <w:style w:type="character" w:customStyle="1" w:styleId="HeaderChar">
    <w:name w:val="Header Char"/>
    <w:basedOn w:val="DefaultParagraphFont"/>
    <w:link w:val="Header"/>
    <w:uiPriority w:val="99"/>
    <w:rsid w:val="00C32907"/>
  </w:style>
  <w:style w:type="paragraph" w:styleId="Footer">
    <w:name w:val="footer"/>
    <w:basedOn w:val="Normal"/>
    <w:link w:val="FooterChar"/>
    <w:uiPriority w:val="99"/>
    <w:unhideWhenUsed/>
    <w:rsid w:val="00C32907"/>
    <w:pPr>
      <w:tabs>
        <w:tab w:val="center" w:pos="4513"/>
        <w:tab w:val="right" w:pos="9026"/>
      </w:tabs>
    </w:pPr>
  </w:style>
  <w:style w:type="character" w:customStyle="1" w:styleId="FooterChar">
    <w:name w:val="Footer Char"/>
    <w:basedOn w:val="DefaultParagraphFont"/>
    <w:link w:val="Footer"/>
    <w:uiPriority w:val="99"/>
    <w:rsid w:val="00C32907"/>
  </w:style>
  <w:style w:type="character" w:styleId="UnresolvedMention">
    <w:name w:val="Unresolved Mention"/>
    <w:basedOn w:val="DefaultParagraphFont"/>
    <w:uiPriority w:val="99"/>
    <w:semiHidden/>
    <w:unhideWhenUsed/>
    <w:rsid w:val="005B4F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6E4DC-5A3E-0D49-89D1-B8952DC3A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1324</Words>
  <Characters>7510</Characters>
  <Application>Microsoft Office Word</Application>
  <DocSecurity>0</DocSecurity>
  <Lines>102</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Kate Love (2321358)</cp:lastModifiedBy>
  <cp:revision>2</cp:revision>
  <dcterms:created xsi:type="dcterms:W3CDTF">2026-04-10T22:32:00Z</dcterms:created>
  <dcterms:modified xsi:type="dcterms:W3CDTF">2026-04-10T22:32:00Z</dcterms:modified>
</cp:coreProperties>
</file>