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D8883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D222A">
              <w:rPr>
                <w:b/>
                <w:color w:val="auto"/>
                <w:sz w:val="32"/>
              </w:rPr>
              <w:t>Samuel Barnard</w:t>
            </w:r>
          </w:p>
          <w:p w14:paraId="58374EBA" w14:textId="77777777" w:rsidR="00575A8F" w:rsidRDefault="00575A8F" w:rsidP="00E6298B">
            <w:pPr>
              <w:overflowPunct/>
              <w:autoSpaceDE/>
              <w:autoSpaceDN/>
              <w:adjustRightInd/>
              <w:ind w:right="107"/>
              <w:textAlignment w:val="auto"/>
              <w:rPr>
                <w:b/>
                <w:color w:val="auto"/>
                <w:sz w:val="32"/>
              </w:rPr>
            </w:pPr>
          </w:p>
          <w:p w14:paraId="099731DE" w14:textId="77777777" w:rsidR="008D222A" w:rsidRDefault="00575A8F" w:rsidP="008D222A">
            <w:pPr>
              <w:overflowPunct/>
              <w:autoSpaceDE/>
              <w:autoSpaceDN/>
              <w:adjustRightInd/>
              <w:ind w:right="107"/>
              <w:textAlignment w:val="auto"/>
              <w:rPr>
                <w:b/>
                <w:color w:val="auto"/>
                <w:sz w:val="32"/>
              </w:rPr>
            </w:pPr>
            <w:r w:rsidRPr="008F22BD">
              <w:rPr>
                <w:b/>
                <w:color w:val="auto"/>
                <w:sz w:val="32"/>
              </w:rPr>
              <w:t>Learner’s University Registration Number:</w:t>
            </w:r>
            <w:r w:rsidR="008D222A">
              <w:rPr>
                <w:b/>
                <w:color w:val="auto"/>
                <w:sz w:val="32"/>
              </w:rPr>
              <w:t xml:space="preserve"> </w:t>
            </w:r>
            <w:r w:rsidR="008D222A">
              <w:rPr>
                <w:b/>
                <w:color w:val="auto"/>
                <w:sz w:val="32"/>
              </w:rPr>
              <w:t>2236200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A51C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6F833193"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During this segment of my workbook, I will discuss how I managed varying levels of stress whilst comparing the different strategies I used to develop resilience towards stress during my initial six months of learning. Resilience is defined as the ability to make a conscious effort to proceed in a reasonable and integrated way </w:t>
      </w:r>
      <w:proofErr w:type="gramStart"/>
      <w:r w:rsidRPr="000E2DA1">
        <w:rPr>
          <w:rFonts w:ascii="Calibri" w:hAnsi="Calibri" w:cs="Calibri"/>
          <w:color w:val="auto"/>
        </w:rPr>
        <w:t>as a result of</w:t>
      </w:r>
      <w:proofErr w:type="gramEnd"/>
      <w:r w:rsidRPr="000E2DA1">
        <w:rPr>
          <w:rFonts w:ascii="Calibri" w:hAnsi="Calibri" w:cs="Calibri"/>
          <w:color w:val="auto"/>
        </w:rPr>
        <w:t xml:space="preserve"> lessons learnt from a negative experience such as traumatic life experiences (Southwick </w:t>
      </w:r>
      <w:r w:rsidRPr="000E2DA1">
        <w:rPr>
          <w:rFonts w:ascii="Calibri" w:hAnsi="Calibri" w:cs="Calibri"/>
          <w:i/>
          <w:iCs/>
          <w:color w:val="auto"/>
        </w:rPr>
        <w:t>et</w:t>
      </w:r>
      <w:r w:rsidRPr="000E2DA1">
        <w:rPr>
          <w:rFonts w:ascii="Calibri" w:hAnsi="Calibri" w:cs="Calibri"/>
          <w:color w:val="auto"/>
        </w:rPr>
        <w:t xml:space="preserve"> </w:t>
      </w:r>
      <w:r w:rsidRPr="000E2DA1">
        <w:rPr>
          <w:rFonts w:ascii="Calibri" w:hAnsi="Calibri" w:cs="Calibri"/>
          <w:i/>
          <w:iCs/>
          <w:color w:val="auto"/>
        </w:rPr>
        <w:t>al</w:t>
      </w:r>
      <w:r w:rsidRPr="000E2DA1">
        <w:rPr>
          <w:rFonts w:ascii="Calibri" w:hAnsi="Calibri" w:cs="Calibri"/>
          <w:color w:val="auto"/>
        </w:rPr>
        <w:t xml:space="preserve">., 2014). I will compare how physical exercise, social interaction and time management have helped me cope with the stresses of learning and exam preparation during this period.  </w:t>
      </w:r>
      <w:r w:rsidRPr="000E2DA1">
        <w:rPr>
          <w:rFonts w:asciiTheme="minorHAnsi" w:hAnsiTheme="minorHAnsi" w:cstheme="minorHAnsi"/>
          <w:color w:val="auto"/>
        </w:rPr>
        <w:t>The mental health charity Mind defines stress as how individuals react whilst they are under pressure or threatened (2022), which can cause frustration and chronic fatigue (Mc</w:t>
      </w:r>
      <w:r>
        <w:rPr>
          <w:rFonts w:asciiTheme="minorHAnsi" w:hAnsiTheme="minorHAnsi" w:cstheme="minorHAnsi"/>
        </w:rPr>
        <w:t>E</w:t>
      </w:r>
      <w:r w:rsidRPr="000E2DA1">
        <w:rPr>
          <w:rFonts w:asciiTheme="minorHAnsi" w:hAnsiTheme="minorHAnsi" w:cstheme="minorHAnsi"/>
          <w:color w:val="auto"/>
        </w:rPr>
        <w:t xml:space="preserve">wan, 2005). Stress can differ with </w:t>
      </w:r>
      <w:proofErr w:type="gramStart"/>
      <w:r w:rsidRPr="000E2DA1">
        <w:rPr>
          <w:rFonts w:asciiTheme="minorHAnsi" w:hAnsiTheme="minorHAnsi" w:cstheme="minorHAnsi"/>
          <w:color w:val="auto"/>
        </w:rPr>
        <w:t>each individual</w:t>
      </w:r>
      <w:proofErr w:type="gramEnd"/>
      <w:r w:rsidRPr="000E2DA1">
        <w:rPr>
          <w:rFonts w:asciiTheme="minorHAnsi" w:hAnsiTheme="minorHAnsi" w:cstheme="minorHAnsi"/>
          <w:color w:val="auto"/>
        </w:rPr>
        <w:t xml:space="preserve"> can affect people differently.</w:t>
      </w:r>
      <w:r w:rsidRPr="000E2DA1">
        <w:rPr>
          <w:rFonts w:ascii="Calibri" w:hAnsi="Calibri" w:cs="Calibri"/>
          <w:color w:val="auto"/>
        </w:rPr>
        <w:t xml:space="preserve"> Traumatic experiences could cause stress and have a significant impact on a person’s brain function and even result in mental health ailments such as depression and in some situations Post-Traumatic Stress Disorder (PTSD) (Wu, G et al., 2013). </w:t>
      </w:r>
    </w:p>
    <w:p w14:paraId="1711C300" w14:textId="77777777" w:rsidR="008D222A" w:rsidRPr="000E2DA1" w:rsidRDefault="008D222A" w:rsidP="008D222A">
      <w:pPr>
        <w:jc w:val="both"/>
        <w:rPr>
          <w:rFonts w:ascii="Calibri" w:hAnsi="Calibri" w:cs="Calibri"/>
          <w:color w:val="auto"/>
        </w:rPr>
      </w:pPr>
    </w:p>
    <w:p w14:paraId="1F728E60" w14:textId="77777777" w:rsidR="008D222A" w:rsidRPr="000E2DA1" w:rsidRDefault="008D222A" w:rsidP="008D222A">
      <w:pPr>
        <w:jc w:val="both"/>
        <w:rPr>
          <w:color w:val="auto"/>
        </w:rPr>
      </w:pPr>
      <w:r w:rsidRPr="000E2DA1">
        <w:rPr>
          <w:rFonts w:ascii="Calibri" w:hAnsi="Calibri" w:cs="Calibri"/>
          <w:color w:val="auto"/>
        </w:rPr>
        <w:t xml:space="preserve">Physical exercise can be performed doing a multitude of different activities including low intensity workouts such as leisurely walking, yoga or light swimming, or more intense activities such as running or circuit training. Exercise is when energy is expended through physical exertion of varying levels of intensity to increase muscle strength or increase heart rate </w:t>
      </w:r>
      <w:r w:rsidRPr="000E2DA1">
        <w:rPr>
          <w:rFonts w:ascii="Calibri" w:hAnsi="Calibri" w:cs="Calibri"/>
          <w:color w:val="auto"/>
          <w:shd w:val="clear" w:color="auto" w:fill="FFFFFF"/>
        </w:rPr>
        <w:t xml:space="preserve">(Edenfield and Blumenthal, 2011). There are two classification of exercise, aerobic and anaerobic exercise. </w:t>
      </w:r>
      <w:r w:rsidRPr="000E2DA1">
        <w:rPr>
          <w:rFonts w:ascii="Calibri" w:hAnsi="Calibri" w:cs="Calibri"/>
          <w:color w:val="auto"/>
        </w:rPr>
        <w:t xml:space="preserve">Aerobic exercise are activities such as distance running which the body requires large quantities of oxygen to perform. Activities that are anaerobic include short bouts of high-intensity exertion such as sprinting, as they depend on the metabolism of muscle glycogen to produce energy and power instead of relying on large quantities of oxygen </w:t>
      </w:r>
      <w:r w:rsidRPr="000E2DA1">
        <w:rPr>
          <w:rFonts w:ascii="Calibri" w:hAnsi="Calibri" w:cs="Calibri"/>
          <w:color w:val="auto"/>
          <w:shd w:val="clear" w:color="auto" w:fill="FFFFFF"/>
        </w:rPr>
        <w:t>(Edenfield and Blumenthal, 2011).</w:t>
      </w:r>
      <w:r w:rsidRPr="000E2DA1">
        <w:rPr>
          <w:rFonts w:ascii="Calibri" w:hAnsi="Calibri" w:cs="Calibri"/>
          <w:color w:val="auto"/>
        </w:rPr>
        <w:t xml:space="preserve"> As a result of strenuous exercise, the body releases hormones in the brain called endorphins which are responsible for the sensation known as “runner’s high”, a relaxed psychological state achieved post exercise. This euphoric feeling is the body’s natural pain killer and aids in stress relief (Harvard Health, 2020). To counteract the stresses of our initial training, I would try and achieve 10,000 steps every day, which I would monitor using my apple smartwatch. I would exercise for 60 minutes four times a week, which would include weightlifting, running and occasionally swimming. These different activities would be varied in intensity, ensuring that I am working both classifications of aerobic and anaerobic training regularly. Maintaining a regular exercise program helped me cope with stress.</w:t>
      </w:r>
    </w:p>
    <w:p w14:paraId="08CCB545" w14:textId="77777777" w:rsidR="008D222A" w:rsidRDefault="008D222A" w:rsidP="008D222A">
      <w:pPr>
        <w:jc w:val="both"/>
        <w:rPr>
          <w:rFonts w:ascii="Calibri" w:hAnsi="Calibri" w:cs="Calibri"/>
        </w:rPr>
      </w:pPr>
    </w:p>
    <w:p w14:paraId="3052DAFB" w14:textId="77777777" w:rsidR="008D222A" w:rsidRDefault="008D222A" w:rsidP="008D222A">
      <w:pPr>
        <w:jc w:val="both"/>
      </w:pPr>
      <w:r>
        <w:rPr>
          <w:rFonts w:ascii="Calibri" w:hAnsi="Calibri" w:cs="Calibri"/>
        </w:rPr>
        <w:t>Socialising in my free time played a big part in helping me to deal with the stresses of the initial six months. A social interaction is a social exchange between individuals (</w:t>
      </w:r>
      <w:proofErr w:type="spellStart"/>
      <w:r>
        <w:rPr>
          <w:rFonts w:ascii="Calibri" w:hAnsi="Calibri" w:cs="Calibri"/>
        </w:rPr>
        <w:t>Libretexts</w:t>
      </w:r>
      <w:proofErr w:type="spellEnd"/>
      <w:r>
        <w:rPr>
          <w:rFonts w:ascii="Calibri" w:hAnsi="Calibri" w:cs="Calibri"/>
        </w:rPr>
        <w:t>, 2021), and Dwyer</w:t>
      </w:r>
      <w:r>
        <w:rPr>
          <w:rFonts w:ascii="Calibri" w:hAnsi="Calibri" w:cs="Calibri"/>
          <w:i/>
          <w:iCs/>
        </w:rPr>
        <w:t xml:space="preserve"> et al.</w:t>
      </w:r>
      <w:r>
        <w:rPr>
          <w:rFonts w:ascii="Calibri" w:hAnsi="Calibri" w:cs="Calibri"/>
        </w:rPr>
        <w:t xml:space="preserve"> (2018) states that engaging in social interactions has a substantial effect on a person’s well-being. Fortunately, I have encouraging and supportive friends and family who have given me emotional support and a safe space in which to express my emotions and share any concerns. Having that social support from friends, family and colleagues can help an individual cope with the more challenging daily situations. Leistner and Menke (2018) defined social support as having reliable people available to us who actively express their love and care for us. A hormone called oxytocin is released in the brain when people bond socially, with the hormone otherwise being recognised as the “cuddle” or “love” hormone because of the positive effect it has on a person (Owens, 2021). Having regular social interactions and a positive social support network is good for the individual and is proven to have no association with elevated concentrations of cortisol, the body’s natural stress hormone (Mayer et al., 2018).</w:t>
      </w:r>
    </w:p>
    <w:p w14:paraId="75A78A86" w14:textId="77777777" w:rsidR="008D222A" w:rsidRDefault="008D222A" w:rsidP="008D222A">
      <w:pPr>
        <w:jc w:val="both"/>
        <w:rPr>
          <w:rFonts w:ascii="Calibri" w:hAnsi="Calibri" w:cs="Calibri"/>
        </w:rPr>
      </w:pPr>
    </w:p>
    <w:p w14:paraId="377A317D" w14:textId="77777777" w:rsidR="008D222A" w:rsidRDefault="008D222A" w:rsidP="008D222A">
      <w:pPr>
        <w:jc w:val="both"/>
        <w:rPr>
          <w:rFonts w:ascii="Calibri" w:hAnsi="Calibri" w:cs="Calibri"/>
        </w:rPr>
      </w:pPr>
      <w:r>
        <w:rPr>
          <w:rFonts w:ascii="Calibri" w:hAnsi="Calibri" w:cs="Calibri"/>
        </w:rPr>
        <w:lastRenderedPageBreak/>
        <w:t xml:space="preserve">Stress can have a significant impact on a person's health and have an adverse effect on the body's vital functions (Gonzalez and Miranda-Massari, 2014). Unhealthy eating habits may be a result of stress, as the body craves foods that are heavy in fat and sugar, commonly known as ‘junk food’ when exposed to stress. These foods should be avoided because they only provide you with a short burst of energy and can leave you feel fatigued for an extended period (Gonzalez and Miranda-Massari, 2014). People who experience stress frequently may not have the time to fit a balanced diet into a busy routine. Whilst working Monday to Friday, between the hours of 0800-1600 hours during my six months training, I ensured that I would prepare nutritious meals in advance for the week. By doing so it would alleviate any pressure for me to have to prepare food the evening prior or spend money in the Police Learning Centre (PLC) canteen. Results revealed in a study conducted by </w:t>
      </w:r>
      <w:proofErr w:type="spellStart"/>
      <w:r>
        <w:rPr>
          <w:rFonts w:ascii="Calibri" w:hAnsi="Calibri" w:cs="Calibri"/>
        </w:rPr>
        <w:t>Pechey</w:t>
      </w:r>
      <w:proofErr w:type="spellEnd"/>
      <w:r>
        <w:rPr>
          <w:rFonts w:ascii="Calibri" w:hAnsi="Calibri" w:cs="Calibri"/>
        </w:rPr>
        <w:t xml:space="preserve"> and Monsivais (2016) that there’s a substantial relationship between higher socioeconomic class and higher food expenditures, which in turn was correlated with healthier purchasing. To make the most of my finances, I would budget a certain amount of money every week to spend on groceries, ensuring I wasn’t overspending.</w:t>
      </w:r>
    </w:p>
    <w:p w14:paraId="65C95728" w14:textId="77777777" w:rsidR="008D222A" w:rsidRDefault="008D222A" w:rsidP="008D222A">
      <w:pPr>
        <w:jc w:val="both"/>
        <w:rPr>
          <w:rFonts w:ascii="Calibri" w:hAnsi="Calibri" w:cs="Calibri"/>
        </w:rPr>
      </w:pPr>
    </w:p>
    <w:p w14:paraId="7821960F" w14:textId="77777777" w:rsidR="008D222A" w:rsidRPr="000E2DA1" w:rsidRDefault="008D222A" w:rsidP="008D222A">
      <w:pPr>
        <w:jc w:val="both"/>
        <w:rPr>
          <w:rFonts w:ascii="Calibri" w:hAnsi="Calibri" w:cs="Calibri"/>
          <w:color w:val="auto"/>
        </w:rPr>
      </w:pPr>
      <w:r>
        <w:rPr>
          <w:rFonts w:ascii="Calibri" w:hAnsi="Calibri" w:cs="Calibri"/>
        </w:rPr>
        <w:t xml:space="preserve">In conclusion, regular physical exercise, a healthy balanced diet, and regular social interaction have helped me combat the fluctuating levels of stress during what was a challenging period for me. I have studied in university prior to joining the police and therefore have had plenty of experience with time management and academic </w:t>
      </w:r>
      <w:r w:rsidRPr="000E2DA1">
        <w:rPr>
          <w:rFonts w:ascii="Calibri" w:hAnsi="Calibri" w:cs="Calibri"/>
          <w:color w:val="auto"/>
        </w:rPr>
        <w:t xml:space="preserve">work, however despite this it does not come naturally to me. I studied a sports related topic and am familiar with the importance of exercise and dieting. I utilised regular physical exercise as a coping strategy because I enjoy it, however along the byproduct of enjoyment, it also aids in the reduction of the body’s natural stress hormones, adrenaline, and cortisol (Leuenberger, 2006) with the positive effects which I have covered above. Partnered with regular exercise I try and maintain a healthy balanced diet to keep healthy, but also to manage sustainable levels of stress. Exercise and a healthy diet go hand in hand in my life, however I will often incorporate a social aspect alongside them. I often go weightlifting with friends and cook with my partner. For me, these three </w:t>
      </w:r>
      <w:proofErr w:type="spellStart"/>
      <w:r w:rsidRPr="000E2DA1">
        <w:rPr>
          <w:rFonts w:ascii="Calibri" w:hAnsi="Calibri" w:cs="Calibri"/>
          <w:color w:val="auto"/>
        </w:rPr>
        <w:t>compliment</w:t>
      </w:r>
      <w:proofErr w:type="spellEnd"/>
      <w:r w:rsidRPr="000E2DA1">
        <w:rPr>
          <w:rFonts w:ascii="Calibri" w:hAnsi="Calibri" w:cs="Calibri"/>
          <w:color w:val="auto"/>
        </w:rPr>
        <w:t xml:space="preserve"> each other completely.</w:t>
      </w:r>
    </w:p>
    <w:p w14:paraId="3B86B94E" w14:textId="77777777" w:rsidR="008D222A" w:rsidRPr="000E2DA1" w:rsidRDefault="008D222A" w:rsidP="008D222A">
      <w:pPr>
        <w:jc w:val="both"/>
        <w:rPr>
          <w:rFonts w:ascii="Calibri" w:hAnsi="Calibri" w:cs="Calibri"/>
          <w:color w:val="auto"/>
        </w:rPr>
      </w:pPr>
    </w:p>
    <w:p w14:paraId="3A7FC8EB" w14:textId="77777777" w:rsidR="008D222A" w:rsidRPr="000E2DA1" w:rsidRDefault="008D222A" w:rsidP="008D222A">
      <w:pPr>
        <w:jc w:val="both"/>
        <w:rPr>
          <w:rFonts w:ascii="Calibri" w:hAnsi="Calibri" w:cs="Calibri"/>
          <w:color w:val="auto"/>
        </w:rPr>
      </w:pPr>
      <w:r w:rsidRPr="000E2DA1">
        <w:rPr>
          <w:rFonts w:ascii="Calibri" w:hAnsi="Calibri" w:cs="Calibri"/>
          <w:color w:val="auto"/>
        </w:rPr>
        <w:t>WORD COUNT 1026 (1000)</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5E43F15C"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In the following task, I will define conflict as pertinent to this section, followed by my critical assessment of my performance and my use of communication skills using the acronym L.E.A.P.S (Listen, Empathy, Ask, Paraphrase and Summarise) endorsed by the College of Policing (2020). When reflecting on my actions during the incident, I will discuss relevant academic models including the </w:t>
      </w:r>
      <w:proofErr w:type="spellStart"/>
      <w:r w:rsidRPr="000E2DA1">
        <w:rPr>
          <w:rFonts w:ascii="Calibri" w:hAnsi="Calibri" w:cs="Calibri"/>
          <w:color w:val="auto"/>
        </w:rPr>
        <w:t>Betari’s</w:t>
      </w:r>
      <w:proofErr w:type="spellEnd"/>
      <w:r w:rsidRPr="000E2DA1">
        <w:rPr>
          <w:rFonts w:ascii="Calibri" w:hAnsi="Calibri" w:cs="Calibri"/>
          <w:color w:val="auto"/>
        </w:rPr>
        <w:t xml:space="preserve"> Box model and the Thomas-Kilmann conflict management model, comparing relevant and useful aspects of the models. Reflecting after this incident will benefit me in identifying personal and professional strengths and areas for improvement moving forward. </w:t>
      </w:r>
    </w:p>
    <w:p w14:paraId="6F8F3714" w14:textId="77777777" w:rsidR="008D222A" w:rsidRPr="000E2DA1" w:rsidRDefault="008D222A" w:rsidP="008D222A">
      <w:pPr>
        <w:jc w:val="both"/>
        <w:rPr>
          <w:rFonts w:ascii="Calibri" w:hAnsi="Calibri" w:cs="Calibri"/>
          <w:color w:val="auto"/>
        </w:rPr>
      </w:pPr>
    </w:p>
    <w:p w14:paraId="6440E03E"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Conflict can occur in any setting, making it difficult to characterise or define. Conflict seems to be primarily characterised by a disagreement, difference of opinion or an incompatibility. According to Himes (2008), there are five levels of conflict, intrapersonal – conflict within an individual, interpersonal – conflict between individuals, intragroup – conflict within a group of people, intergroup – conflict between groups of people, and </w:t>
      </w:r>
      <w:proofErr w:type="spellStart"/>
      <w:r w:rsidRPr="000E2DA1">
        <w:rPr>
          <w:rFonts w:ascii="Calibri" w:hAnsi="Calibri" w:cs="Calibri"/>
          <w:color w:val="auto"/>
        </w:rPr>
        <w:t>intraorganisational</w:t>
      </w:r>
      <w:proofErr w:type="spellEnd"/>
      <w:r w:rsidRPr="000E2DA1">
        <w:rPr>
          <w:rFonts w:ascii="Calibri" w:hAnsi="Calibri" w:cs="Calibri"/>
          <w:color w:val="auto"/>
        </w:rPr>
        <w:t xml:space="preserve"> – conflict within organisations. The occurrence I will be critically assessing and reflecting upon, included an interpersonal conflict between myself, the police officer, and a male offender because of a domestic abuse incident between a husband and wife.</w:t>
      </w:r>
    </w:p>
    <w:p w14:paraId="27E78C9B" w14:textId="77777777" w:rsidR="008D222A" w:rsidRPr="000E2DA1" w:rsidRDefault="008D222A" w:rsidP="008D222A">
      <w:pPr>
        <w:rPr>
          <w:rFonts w:ascii="Calibri" w:hAnsi="Calibri" w:cs="Calibri"/>
          <w:b/>
          <w:bCs/>
          <w:color w:val="auto"/>
        </w:rPr>
      </w:pPr>
    </w:p>
    <w:p w14:paraId="7909E73A"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I will begin by describing the incident and ensuring that specifics have been left vague to comply with data protection. We received a call during the early hours of the morning regarding what was described as an ongoing domestic next door to the reporting person’s (RP) address. The RP reported that there was screaming and shouting which had been escalating over a short period of time. The RP provided the names of the neighbours that reside at the address; however, they were not certain of who was arguing and how many people were involved. </w:t>
      </w:r>
    </w:p>
    <w:p w14:paraId="0BF8A2DF" w14:textId="77777777" w:rsidR="008D222A" w:rsidRPr="000E2DA1" w:rsidRDefault="008D222A" w:rsidP="008D222A">
      <w:pPr>
        <w:jc w:val="both"/>
        <w:rPr>
          <w:rFonts w:ascii="Calibri" w:hAnsi="Calibri" w:cs="Calibri"/>
          <w:color w:val="auto"/>
        </w:rPr>
      </w:pPr>
    </w:p>
    <w:p w14:paraId="5C8CEFCB" w14:textId="77777777" w:rsidR="008D222A" w:rsidRPr="000E2DA1" w:rsidRDefault="008D222A" w:rsidP="008D222A">
      <w:pPr>
        <w:jc w:val="both"/>
        <w:rPr>
          <w:rFonts w:ascii="Calibri" w:hAnsi="Calibri" w:cs="Calibri"/>
          <w:color w:val="auto"/>
        </w:rPr>
      </w:pPr>
      <w:r w:rsidRPr="000E2DA1">
        <w:rPr>
          <w:rFonts w:ascii="Calibri" w:hAnsi="Calibri" w:cs="Calibri"/>
          <w:color w:val="auto"/>
        </w:rPr>
        <w:t>My colleague and I attended the address, to which a male answered the door. We briefly explained that we had received a call regarding a disturbance at the address. The male appeared hesitant to let us in initially wanting to know more about the call made, but when told that we had cause to enter the property under section 17 of the Police and Criminal Evidence Act (PACE, 1984), he let us in without quarrel. Upon entry to the property, we found a visibly upset female in addition to the male that opened the door. Officers spoke to both parties separately and came to conclusion from the information disclosed that the male was suspected of assaulting the female. I explained to the offender that he was under arrest. I gave him the grounds for the arrest, followed by the caution, the necessity, and the time of arrest. I arrested in accordance with Code G of the PACE codes of practice and conducted a section 32 search under PACE prior to escorting the male to the back of the police van, followed by a short drive to Swansea Central Police Station custody unit.</w:t>
      </w:r>
    </w:p>
    <w:p w14:paraId="25D83416" w14:textId="77777777" w:rsidR="008D222A" w:rsidRPr="000E2DA1" w:rsidRDefault="008D222A" w:rsidP="008D222A">
      <w:pPr>
        <w:jc w:val="both"/>
        <w:rPr>
          <w:rFonts w:ascii="Calibri" w:hAnsi="Calibri" w:cs="Calibri"/>
          <w:color w:val="auto"/>
        </w:rPr>
      </w:pPr>
    </w:p>
    <w:p w14:paraId="7252F4B3" w14:textId="77777777" w:rsidR="008D222A" w:rsidRPr="000E2DA1" w:rsidRDefault="008D222A" w:rsidP="008D222A">
      <w:pPr>
        <w:jc w:val="both"/>
        <w:rPr>
          <w:rFonts w:ascii="Calibri" w:hAnsi="Calibri" w:cs="Calibri"/>
          <w:color w:val="auto"/>
        </w:rPr>
      </w:pPr>
      <w:r w:rsidRPr="000E2DA1">
        <w:rPr>
          <w:rFonts w:ascii="Calibri" w:hAnsi="Calibri" w:cs="Calibri"/>
          <w:color w:val="auto"/>
        </w:rPr>
        <w:t>As a result of the assault on the female, she had suffered extensive bruising to her upper right arm and right shoulder radiating towards her neck. The female also had a small amount of fresh blood to her right nostril. The victim disclosed to my colleague and I that there had been a verbal quarrel between them regarding an ex-partner. The verbal argument escalated, with the offender grabbing her right arm near the shoulder with his left hand and pushing her up against the wardrobe door in their bedroom. His hand moved from her upper right arm to above the shoulder joint, covering her clavicle, whilst he was using his right hand to gesture and point whilst shouting. These injuries are in line with the offence of Actual Bodily Harm (ABH) under section 47 of the Offences Against the Persons act (OAP, 1861).</w:t>
      </w:r>
    </w:p>
    <w:p w14:paraId="73826685" w14:textId="77777777" w:rsidR="008D222A" w:rsidRPr="000E2DA1" w:rsidRDefault="008D222A" w:rsidP="008D222A">
      <w:pPr>
        <w:jc w:val="both"/>
        <w:rPr>
          <w:rFonts w:ascii="Calibri" w:hAnsi="Calibri" w:cs="Calibri"/>
          <w:color w:val="auto"/>
        </w:rPr>
      </w:pPr>
    </w:p>
    <w:p w14:paraId="6CA3E0F1" w14:textId="77777777" w:rsidR="008D222A" w:rsidRPr="000E2DA1" w:rsidRDefault="008D222A" w:rsidP="008D222A">
      <w:pPr>
        <w:jc w:val="center"/>
        <w:rPr>
          <w:rFonts w:ascii="Calibri" w:hAnsi="Calibri" w:cs="Calibri"/>
          <w:i/>
          <w:iCs/>
          <w:color w:val="auto"/>
        </w:rPr>
      </w:pPr>
      <w:r w:rsidRPr="000E2DA1">
        <w:rPr>
          <w:rFonts w:ascii="Calibri" w:hAnsi="Calibri" w:cs="Calibri"/>
          <w:i/>
          <w:iCs/>
          <w:color w:val="auto"/>
        </w:rPr>
        <w:t>“A person is guilty of an offence if he intentionally or recklessly uses unlawful force on another, thereby occasioning him actual bodily harm (ABH)”</w:t>
      </w:r>
    </w:p>
    <w:p w14:paraId="65F97BA7" w14:textId="77777777" w:rsidR="008D222A" w:rsidRPr="000E2DA1" w:rsidRDefault="008D222A" w:rsidP="008D222A">
      <w:pPr>
        <w:jc w:val="both"/>
        <w:rPr>
          <w:rFonts w:ascii="Calibri" w:hAnsi="Calibri" w:cs="Calibri"/>
          <w:color w:val="auto"/>
        </w:rPr>
      </w:pPr>
    </w:p>
    <w:p w14:paraId="2F09AA7C"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The UK Home Office defines domestic abuse as displaying coercive and controlling behaviours, whilst also demonstrating psychological and physical violence (2012). Both men and women can be subjected to domestic abuse, although women are significantly more likely to be victimised (Cleaver et al., 2019). Domestic abuse is reported to have affected one in three women (World Health Organisation, 2023), and has adverse impacts on a person’s health, putting them at an increased risk of chronic illnesses, as well as mental health issues such as anxiety, depression, and PTSD (Cleaver et al., 2019). There is a body of research citing that some abusive domestic relationships do not consist of any physical abuse, but more so elements of coercive and controlling forms of abuse. Perpetrators may use strategies to control the victim, reinforcing their behaviour with the threat of physical violence (Hilder &amp; Bettinson, 2016). </w:t>
      </w:r>
    </w:p>
    <w:p w14:paraId="20DE1158" w14:textId="77777777" w:rsidR="008D222A" w:rsidRPr="000E2DA1" w:rsidRDefault="008D222A" w:rsidP="008D222A">
      <w:pPr>
        <w:jc w:val="center"/>
        <w:rPr>
          <w:rFonts w:ascii="Calibri" w:hAnsi="Calibri" w:cs="Calibri"/>
          <w:color w:val="auto"/>
          <w:shd w:val="clear" w:color="auto" w:fill="FFFF00"/>
        </w:rPr>
      </w:pPr>
    </w:p>
    <w:p w14:paraId="024C1C96"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When we first arrived on scene, it was crucial for us to establish what had happened between the pair. Firstly, we separated both parties, with my colleague taking the victim into a different room to speak to her privately, leaving me with the offender to establish what had happened. When speaking to the offender I ensured I communicated with him in accordance with the College of Policing’s LEAPS model from their personal safety manual, which is a structured and flexible approach to communicating with people in any scenario (College of Policing, 2020). Jurczyk defines communication as the process of passing information and its common understanding between people (2022). I wanted him to calm down </w:t>
      </w:r>
      <w:proofErr w:type="gramStart"/>
      <w:r w:rsidRPr="000E2DA1">
        <w:rPr>
          <w:rFonts w:ascii="Calibri" w:hAnsi="Calibri" w:cs="Calibri"/>
          <w:color w:val="auto"/>
        </w:rPr>
        <w:t>in an attempt to</w:t>
      </w:r>
      <w:proofErr w:type="gramEnd"/>
      <w:r w:rsidRPr="000E2DA1">
        <w:rPr>
          <w:rFonts w:ascii="Calibri" w:hAnsi="Calibri" w:cs="Calibri"/>
          <w:color w:val="auto"/>
        </w:rPr>
        <w:t xml:space="preserve"> reduce the tension because he was clearly uncomfortable of our presence. I began by asking the offender to tell me what had happened, ensuring that I was listening to his side of the story intently to avoid missing any small detail that may be pertinent to the investigation. The offender’s body language and hesitant nature along with the victim being visibly upset when we arrived at the property initially raised my awareness to the male, however despite this a police officer must be impartial and empathic whilst being open minded to what is being said without displaying any judgement (College of Policing, 2020). Paraphrasing a person’s account back to them is a useful habit because it shows them that you are listening and understanding what is being said, but similarly if you have misunderstood something then they can correct you to ensure you’re on the same page. I did this with the offenders account of the situation, and then condensed everything to summarise what was said (College of Policing, 2020). Once I had confirmed what he had told me, I then had a brief conversation with my colleague who had been taking the victim’s account, to establish what had happened. Between both accounts of the event, it was clear that an offence had been committed with him having assaulted his partner. Despite the decision being made to arrest the offender, the continuation of clear and concise communication is still important. Whilst conveying the offender to Swansea central custody unit, I was sat in the back of the van facing him and talking to him about his hobbies to take his mind off the situation at hand whilst my colleague drove. </w:t>
      </w:r>
    </w:p>
    <w:p w14:paraId="3CF16223" w14:textId="77777777" w:rsidR="008D222A" w:rsidRPr="000E2DA1" w:rsidRDefault="008D222A" w:rsidP="008D222A">
      <w:pPr>
        <w:jc w:val="both"/>
        <w:rPr>
          <w:rFonts w:ascii="Calibri" w:hAnsi="Calibri" w:cs="Calibri"/>
          <w:color w:val="auto"/>
        </w:rPr>
      </w:pPr>
    </w:p>
    <w:p w14:paraId="134EA2AD"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I played a significant role in this incident because I was the arresting officer and was the officer that interacted with the offender the most. Utilising my communication techniques and my honesty with the offender helped keep him calm and compliant, which made the process of arrest and conveying him to custody simpler. I think my decision to explain to the offender what was going to happen next helped avoid any escalation, and that he was appreciative of my clarity. I did not change how I conducted myself with the offender because I did not feel as though I needed to, he was responding to be adequately and was not aggressively towards us. College of Policing (2020) provides officers with practical advice for verbal communication, some of which I tried to adapt in this scenario, including speaking clearly, avoid shouting and to be honest with the people we’re dealing with. Building a rapport is a strength of mine, having worked in roles within hospitality, retail and in an emergency service control room previously, and I was able to utilise this strength from beginning to end with this offender. </w:t>
      </w:r>
    </w:p>
    <w:p w14:paraId="4AC375AD" w14:textId="77777777" w:rsidR="008D222A" w:rsidRPr="000E2DA1" w:rsidRDefault="008D222A" w:rsidP="008D222A">
      <w:pPr>
        <w:rPr>
          <w:rFonts w:ascii="Calibri" w:hAnsi="Calibri" w:cs="Calibri"/>
          <w:color w:val="auto"/>
        </w:rPr>
      </w:pPr>
    </w:p>
    <w:p w14:paraId="47865BD8"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The </w:t>
      </w:r>
      <w:proofErr w:type="spellStart"/>
      <w:r w:rsidRPr="000E2DA1">
        <w:rPr>
          <w:rFonts w:ascii="Calibri" w:hAnsi="Calibri" w:cs="Calibri"/>
          <w:color w:val="auto"/>
        </w:rPr>
        <w:t>Betari</w:t>
      </w:r>
      <w:proofErr w:type="spellEnd"/>
      <w:r w:rsidRPr="000E2DA1">
        <w:rPr>
          <w:rFonts w:ascii="Calibri" w:hAnsi="Calibri" w:cs="Calibri"/>
          <w:color w:val="auto"/>
        </w:rPr>
        <w:t xml:space="preserve"> Box model is a cycle showing how attitude can affect behaviour. This model is simple to understand and shows how our attitudes and behaviours can affect the attitudes and behaviours of others (Jurczyk, 2022). </w:t>
      </w:r>
      <w:proofErr w:type="spellStart"/>
      <w:r w:rsidRPr="000E2DA1">
        <w:rPr>
          <w:rFonts w:ascii="Calibri" w:hAnsi="Calibri" w:cs="Calibri"/>
          <w:color w:val="auto"/>
        </w:rPr>
        <w:t>Betari</w:t>
      </w:r>
      <w:proofErr w:type="spellEnd"/>
      <w:r w:rsidRPr="000E2DA1">
        <w:rPr>
          <w:rFonts w:ascii="Calibri" w:hAnsi="Calibri" w:cs="Calibri"/>
          <w:color w:val="auto"/>
        </w:rPr>
        <w:t xml:space="preserve"> Box model exhibits how my attitude affects my behaviour, how my behaviour affects your attitude, how your attitude affects your </w:t>
      </w:r>
      <w:r w:rsidRPr="000E2DA1">
        <w:rPr>
          <w:rFonts w:ascii="Calibri" w:hAnsi="Calibri" w:cs="Calibri"/>
          <w:color w:val="auto"/>
        </w:rPr>
        <w:lastRenderedPageBreak/>
        <w:t xml:space="preserve">behaviour, and how your behaviour affects my attitude. This model shows how people can become stuck in a vicious cycle based on their attitudes and behaviours toward one another (College of Policing, 2020). However, if you change your attitude during a conflict, then that may aid in breaking the cycle and therefore improving or ending the conflict. </w:t>
      </w:r>
    </w:p>
    <w:p w14:paraId="087E39D3" w14:textId="77777777" w:rsidR="008D222A" w:rsidRPr="000E2DA1" w:rsidRDefault="008D222A" w:rsidP="008D222A">
      <w:pPr>
        <w:jc w:val="center"/>
        <w:rPr>
          <w:color w:val="auto"/>
        </w:rPr>
      </w:pPr>
      <w:r w:rsidRPr="000E2DA1">
        <w:rPr>
          <w:rFonts w:ascii="Calibri" w:hAnsi="Calibri" w:cs="Calibri"/>
          <w:noProof/>
          <w:color w:val="auto"/>
        </w:rPr>
        <w:drawing>
          <wp:inline distT="0" distB="0" distL="0" distR="0" wp14:anchorId="20A433CA" wp14:editId="56638E18">
            <wp:extent cx="2345271" cy="1758820"/>
            <wp:effectExtent l="0" t="0" r="0" b="0"/>
            <wp:docPr id="1386446153" name="Picture 1" descr="Conflict management skills | College of Polici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2345271" cy="1758820"/>
                    </a:xfrm>
                    <a:prstGeom prst="rect">
                      <a:avLst/>
                    </a:prstGeom>
                    <a:noFill/>
                    <a:ln>
                      <a:noFill/>
                      <a:prstDash/>
                    </a:ln>
                  </pic:spPr>
                </pic:pic>
              </a:graphicData>
            </a:graphic>
          </wp:inline>
        </w:drawing>
      </w:r>
    </w:p>
    <w:p w14:paraId="6D7D0AA6"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The Thomas-Kilmann model is used by individuals and professionals to understand how different types of conflict affect the personal and a groups dynamic (Jurczyk, 2022). There are five styles of dealing with conflict, which are measured by the ‘dimensions’ of assertiveness and cooperation. The five styles of dealing with conflict in accordance with this model are as </w:t>
      </w:r>
      <w:proofErr w:type="gramStart"/>
      <w:r w:rsidRPr="000E2DA1">
        <w:rPr>
          <w:rFonts w:ascii="Calibri" w:hAnsi="Calibri" w:cs="Calibri"/>
          <w:color w:val="auto"/>
        </w:rPr>
        <w:t>follows;</w:t>
      </w:r>
      <w:proofErr w:type="gramEnd"/>
      <w:r w:rsidRPr="000E2DA1">
        <w:rPr>
          <w:rFonts w:ascii="Calibri" w:hAnsi="Calibri" w:cs="Calibri"/>
          <w:color w:val="auto"/>
        </w:rPr>
        <w:t xml:space="preserve"> competing, collaborating, compromising, avoiding, and accommodating, as seen in the diagram below. (</w:t>
      </w:r>
      <w:proofErr w:type="spellStart"/>
      <w:r w:rsidRPr="000E2DA1">
        <w:rPr>
          <w:rFonts w:ascii="Calibri" w:hAnsi="Calibri" w:cs="Calibri"/>
          <w:color w:val="auto"/>
        </w:rPr>
        <w:t>Riasi</w:t>
      </w:r>
      <w:proofErr w:type="spellEnd"/>
      <w:r w:rsidRPr="000E2DA1">
        <w:rPr>
          <w:rFonts w:ascii="Calibri" w:hAnsi="Calibri" w:cs="Calibri"/>
          <w:color w:val="auto"/>
        </w:rPr>
        <w:t xml:space="preserve"> &amp; Asadzadeh, 2015). Jurczyk defines the first dimension of assertiveness as “the extent to which one tries to satisfy his or her own concerns”, and cooperativeness as “the extent to which one tries to satisfy the concerns of another person” (2022).</w:t>
      </w:r>
    </w:p>
    <w:p w14:paraId="710E6894" w14:textId="77777777" w:rsidR="008D222A" w:rsidRPr="000E2DA1" w:rsidRDefault="008D222A" w:rsidP="008D222A">
      <w:pPr>
        <w:shd w:val="clear" w:color="auto" w:fill="FFFFFF"/>
        <w:spacing w:after="150"/>
        <w:rPr>
          <w:rFonts w:ascii="Calibri" w:hAnsi="Calibri" w:cs="Calibri"/>
          <w:color w:val="auto"/>
        </w:rPr>
      </w:pPr>
    </w:p>
    <w:p w14:paraId="50CEF3B8" w14:textId="77777777" w:rsidR="008D222A" w:rsidRPr="000E2DA1" w:rsidRDefault="008D222A" w:rsidP="008D222A">
      <w:pPr>
        <w:jc w:val="center"/>
        <w:rPr>
          <w:color w:val="auto"/>
        </w:rPr>
      </w:pPr>
      <w:r w:rsidRPr="000E2DA1">
        <w:rPr>
          <w:rFonts w:ascii="Calibri" w:hAnsi="Calibri" w:cs="Calibri"/>
          <w:noProof/>
          <w:color w:val="auto"/>
        </w:rPr>
        <w:drawing>
          <wp:inline distT="0" distB="0" distL="0" distR="0" wp14:anchorId="444F1406" wp14:editId="28BFF3D6">
            <wp:extent cx="2915509" cy="1550072"/>
            <wp:effectExtent l="0" t="0" r="0" b="0"/>
            <wp:docPr id="2053186921" name="Picture 2" descr="A diagram of a company's company's company's company's company's company's company's company's company's company's company's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2053186921" name="Picture 2" descr="A diagram of a company's company's company's company's company's company's company's company's company's company's company's company'&#10;&#10;Description automatically generated"/>
                    <pic:cNvPicPr/>
                  </pic:nvPicPr>
                  <pic:blipFill>
                    <a:blip r:embed="rId21"/>
                    <a:srcRect/>
                    <a:stretch>
                      <a:fillRect/>
                    </a:stretch>
                  </pic:blipFill>
                  <pic:spPr>
                    <a:xfrm>
                      <a:off x="0" y="0"/>
                      <a:ext cx="2915509" cy="1550072"/>
                    </a:xfrm>
                    <a:prstGeom prst="rect">
                      <a:avLst/>
                    </a:prstGeom>
                    <a:noFill/>
                    <a:ln>
                      <a:noFill/>
                      <a:prstDash/>
                    </a:ln>
                  </pic:spPr>
                </pic:pic>
              </a:graphicData>
            </a:graphic>
          </wp:inline>
        </w:drawing>
      </w:r>
    </w:p>
    <w:p w14:paraId="2E68C0B9" w14:textId="77777777" w:rsidR="008D222A" w:rsidRPr="000E2DA1" w:rsidRDefault="008D222A" w:rsidP="008D222A">
      <w:pPr>
        <w:rPr>
          <w:rFonts w:ascii="Calibri" w:hAnsi="Calibri" w:cs="Calibri"/>
          <w:b/>
          <w:bCs/>
          <w:color w:val="auto"/>
        </w:rPr>
      </w:pPr>
    </w:p>
    <w:p w14:paraId="03B63BBF" w14:textId="77777777" w:rsidR="008D222A" w:rsidRPr="000E2DA1" w:rsidRDefault="008D222A" w:rsidP="008D222A">
      <w:pPr>
        <w:rPr>
          <w:rFonts w:ascii="Calibri" w:hAnsi="Calibri" w:cs="Calibri"/>
          <w:b/>
          <w:bCs/>
          <w:color w:val="auto"/>
        </w:rPr>
      </w:pPr>
      <w:r w:rsidRPr="000E2DA1">
        <w:rPr>
          <w:rFonts w:ascii="Calibri" w:hAnsi="Calibri" w:cs="Calibri"/>
          <w:b/>
          <w:bCs/>
          <w:color w:val="auto"/>
        </w:rPr>
        <w:t xml:space="preserve">Thomas-Kilmann: The five styles of dealing with </w:t>
      </w:r>
      <w:proofErr w:type="gramStart"/>
      <w:r w:rsidRPr="000E2DA1">
        <w:rPr>
          <w:rFonts w:ascii="Calibri" w:hAnsi="Calibri" w:cs="Calibri"/>
          <w:b/>
          <w:bCs/>
          <w:color w:val="auto"/>
        </w:rPr>
        <w:t>conflict;</w:t>
      </w:r>
      <w:proofErr w:type="gramEnd"/>
    </w:p>
    <w:p w14:paraId="011ECD41" w14:textId="77777777" w:rsidR="008D222A" w:rsidRPr="000E2DA1" w:rsidRDefault="008D222A" w:rsidP="008D222A">
      <w:pPr>
        <w:pStyle w:val="ListParagraph"/>
        <w:numPr>
          <w:ilvl w:val="0"/>
          <w:numId w:val="50"/>
        </w:numPr>
        <w:suppressAutoHyphens/>
        <w:overflowPunct/>
        <w:autoSpaceDE/>
        <w:adjustRightInd/>
        <w:textAlignment w:val="auto"/>
        <w:rPr>
          <w:color w:val="auto"/>
        </w:rPr>
      </w:pPr>
      <w:r w:rsidRPr="000E2DA1">
        <w:rPr>
          <w:rFonts w:ascii="Calibri" w:hAnsi="Calibri" w:cs="Calibri"/>
          <w:b/>
          <w:bCs/>
          <w:color w:val="auto"/>
        </w:rPr>
        <w:t>Accommodating</w:t>
      </w:r>
      <w:r w:rsidRPr="000E2DA1">
        <w:rPr>
          <w:rFonts w:ascii="Calibri" w:hAnsi="Calibri" w:cs="Calibri"/>
          <w:color w:val="auto"/>
        </w:rPr>
        <w:t xml:space="preserve"> (High cooperativeness, low assertiveness)</w:t>
      </w:r>
    </w:p>
    <w:p w14:paraId="15B4F94D" w14:textId="77777777" w:rsidR="008D222A" w:rsidRPr="000E2DA1" w:rsidRDefault="008D222A" w:rsidP="008D222A">
      <w:pPr>
        <w:ind w:left="720"/>
        <w:rPr>
          <w:rFonts w:ascii="Calibri" w:hAnsi="Calibri" w:cs="Calibri"/>
          <w:color w:val="auto"/>
        </w:rPr>
      </w:pPr>
      <w:r w:rsidRPr="000E2DA1">
        <w:rPr>
          <w:rFonts w:ascii="Calibri" w:hAnsi="Calibri" w:cs="Calibri"/>
          <w:color w:val="auto"/>
        </w:rPr>
        <w:t xml:space="preserve">Accommodating style is when we cooperate with the others to a high degree, however this might be at our own expense and not in line with our personal objectives. </w:t>
      </w:r>
    </w:p>
    <w:p w14:paraId="5ACCCBC6" w14:textId="77777777" w:rsidR="008D222A" w:rsidRPr="000E2DA1" w:rsidRDefault="008D222A" w:rsidP="008D222A">
      <w:pPr>
        <w:pStyle w:val="ListParagraph"/>
        <w:numPr>
          <w:ilvl w:val="0"/>
          <w:numId w:val="50"/>
        </w:numPr>
        <w:suppressAutoHyphens/>
        <w:overflowPunct/>
        <w:autoSpaceDE/>
        <w:adjustRightInd/>
        <w:textAlignment w:val="auto"/>
        <w:rPr>
          <w:color w:val="auto"/>
        </w:rPr>
      </w:pPr>
      <w:r w:rsidRPr="000E2DA1">
        <w:rPr>
          <w:rFonts w:ascii="Calibri" w:hAnsi="Calibri" w:cs="Calibri"/>
          <w:b/>
          <w:bCs/>
          <w:color w:val="auto"/>
        </w:rPr>
        <w:t>Avoiding</w:t>
      </w:r>
      <w:r w:rsidRPr="000E2DA1">
        <w:rPr>
          <w:rFonts w:ascii="Calibri" w:hAnsi="Calibri" w:cs="Calibri"/>
          <w:color w:val="auto"/>
        </w:rPr>
        <w:t xml:space="preserve"> (low cooperativeness, low assertiveness)</w:t>
      </w:r>
    </w:p>
    <w:p w14:paraId="7DB2573C" w14:textId="77777777" w:rsidR="008D222A" w:rsidRPr="000E2DA1" w:rsidRDefault="008D222A" w:rsidP="008D222A">
      <w:pPr>
        <w:ind w:left="720"/>
        <w:rPr>
          <w:rFonts w:ascii="Calibri" w:hAnsi="Calibri" w:cs="Calibri"/>
          <w:color w:val="auto"/>
        </w:rPr>
      </w:pPr>
      <w:r w:rsidRPr="000E2DA1">
        <w:rPr>
          <w:rFonts w:ascii="Calibri" w:hAnsi="Calibri" w:cs="Calibri"/>
          <w:color w:val="auto"/>
        </w:rPr>
        <w:t>Avoiding style is when we try to avoid the issue that caused the conflict. In this case neither party exhibits assertive or cooperative behaviours, and neither party gets what they want.</w:t>
      </w:r>
    </w:p>
    <w:p w14:paraId="3DC99B53" w14:textId="77777777" w:rsidR="008D222A" w:rsidRPr="000E2DA1" w:rsidRDefault="008D222A" w:rsidP="008D222A">
      <w:pPr>
        <w:pStyle w:val="ListParagraph"/>
        <w:numPr>
          <w:ilvl w:val="0"/>
          <w:numId w:val="50"/>
        </w:numPr>
        <w:suppressAutoHyphens/>
        <w:overflowPunct/>
        <w:autoSpaceDE/>
        <w:adjustRightInd/>
        <w:textAlignment w:val="auto"/>
        <w:rPr>
          <w:color w:val="auto"/>
        </w:rPr>
      </w:pPr>
      <w:r w:rsidRPr="000E2DA1">
        <w:rPr>
          <w:rFonts w:ascii="Calibri" w:hAnsi="Calibri" w:cs="Calibri"/>
          <w:b/>
          <w:bCs/>
          <w:color w:val="auto"/>
        </w:rPr>
        <w:t>Collaborating</w:t>
      </w:r>
      <w:r w:rsidRPr="000E2DA1">
        <w:rPr>
          <w:rFonts w:ascii="Calibri" w:hAnsi="Calibri" w:cs="Calibri"/>
          <w:color w:val="auto"/>
        </w:rPr>
        <w:t xml:space="preserve"> (high cooperativeness, high assertiveness)</w:t>
      </w:r>
    </w:p>
    <w:p w14:paraId="7A5882CF" w14:textId="77777777" w:rsidR="008D222A" w:rsidRPr="000E2DA1" w:rsidRDefault="008D222A" w:rsidP="008D222A">
      <w:pPr>
        <w:ind w:left="720"/>
        <w:rPr>
          <w:rFonts w:ascii="Calibri" w:hAnsi="Calibri" w:cs="Calibri"/>
          <w:color w:val="auto"/>
        </w:rPr>
      </w:pPr>
      <w:r w:rsidRPr="000E2DA1">
        <w:rPr>
          <w:rFonts w:ascii="Calibri" w:hAnsi="Calibri" w:cs="Calibri"/>
          <w:color w:val="auto"/>
        </w:rPr>
        <w:t xml:space="preserve">Collaborating style is when both parties are involved in the conflict collaborate to satisfy the goals of one another respectfully. </w:t>
      </w:r>
    </w:p>
    <w:p w14:paraId="309F403A" w14:textId="77777777" w:rsidR="008D222A" w:rsidRPr="000E2DA1" w:rsidRDefault="008D222A" w:rsidP="008D222A">
      <w:pPr>
        <w:pStyle w:val="ListParagraph"/>
        <w:numPr>
          <w:ilvl w:val="0"/>
          <w:numId w:val="50"/>
        </w:numPr>
        <w:suppressAutoHyphens/>
        <w:overflowPunct/>
        <w:autoSpaceDE/>
        <w:adjustRightInd/>
        <w:textAlignment w:val="auto"/>
        <w:rPr>
          <w:color w:val="auto"/>
        </w:rPr>
      </w:pPr>
      <w:r w:rsidRPr="000E2DA1">
        <w:rPr>
          <w:rFonts w:ascii="Calibri" w:hAnsi="Calibri" w:cs="Calibri"/>
          <w:b/>
          <w:bCs/>
          <w:color w:val="auto"/>
        </w:rPr>
        <w:t>Competing</w:t>
      </w:r>
      <w:r w:rsidRPr="000E2DA1">
        <w:rPr>
          <w:rFonts w:ascii="Calibri" w:hAnsi="Calibri" w:cs="Calibri"/>
          <w:color w:val="auto"/>
        </w:rPr>
        <w:t xml:space="preserve"> (high assertiveness, low cooperativeness) </w:t>
      </w:r>
    </w:p>
    <w:p w14:paraId="686FC2D1" w14:textId="77777777" w:rsidR="008D222A" w:rsidRPr="000E2DA1" w:rsidRDefault="008D222A" w:rsidP="008D222A">
      <w:pPr>
        <w:ind w:left="720"/>
        <w:rPr>
          <w:rFonts w:ascii="Calibri" w:hAnsi="Calibri" w:cs="Calibri"/>
          <w:color w:val="auto"/>
        </w:rPr>
      </w:pPr>
      <w:r w:rsidRPr="000E2DA1">
        <w:rPr>
          <w:rFonts w:ascii="Calibri" w:hAnsi="Calibri" w:cs="Calibri"/>
          <w:color w:val="auto"/>
        </w:rPr>
        <w:t xml:space="preserve">Competing style is when we want to achieve our goals and objectives, but we do not want to cooperate with the other party. </w:t>
      </w:r>
    </w:p>
    <w:p w14:paraId="2291AC49" w14:textId="77777777" w:rsidR="008D222A" w:rsidRPr="000E2DA1" w:rsidRDefault="008D222A" w:rsidP="008D222A">
      <w:pPr>
        <w:pStyle w:val="ListParagraph"/>
        <w:numPr>
          <w:ilvl w:val="0"/>
          <w:numId w:val="50"/>
        </w:numPr>
        <w:suppressAutoHyphens/>
        <w:overflowPunct/>
        <w:autoSpaceDE/>
        <w:adjustRightInd/>
        <w:textAlignment w:val="auto"/>
        <w:rPr>
          <w:color w:val="auto"/>
        </w:rPr>
      </w:pPr>
      <w:r w:rsidRPr="000E2DA1">
        <w:rPr>
          <w:rFonts w:ascii="Calibri" w:hAnsi="Calibri" w:cs="Calibri"/>
          <w:b/>
          <w:bCs/>
          <w:color w:val="auto"/>
        </w:rPr>
        <w:t>Compromising</w:t>
      </w:r>
      <w:r w:rsidRPr="000E2DA1">
        <w:rPr>
          <w:rFonts w:ascii="Calibri" w:hAnsi="Calibri" w:cs="Calibri"/>
          <w:color w:val="auto"/>
        </w:rPr>
        <w:t xml:space="preserve"> </w:t>
      </w:r>
    </w:p>
    <w:p w14:paraId="498B36A0" w14:textId="77777777" w:rsidR="008D222A" w:rsidRPr="000E2DA1" w:rsidRDefault="008D222A" w:rsidP="008D222A">
      <w:pPr>
        <w:ind w:left="720"/>
        <w:rPr>
          <w:rFonts w:ascii="Calibri" w:hAnsi="Calibri" w:cs="Calibri"/>
          <w:color w:val="auto"/>
        </w:rPr>
      </w:pPr>
      <w:r w:rsidRPr="000E2DA1">
        <w:rPr>
          <w:rFonts w:ascii="Calibri" w:hAnsi="Calibri" w:cs="Calibri"/>
          <w:color w:val="auto"/>
        </w:rPr>
        <w:t>Compromising style is when an individual exhibits median levels of assertiveness and cooperativeness (</w:t>
      </w:r>
      <w:proofErr w:type="spellStart"/>
      <w:r w:rsidRPr="000E2DA1">
        <w:rPr>
          <w:rFonts w:ascii="Calibri" w:hAnsi="Calibri" w:cs="Calibri"/>
          <w:color w:val="auto"/>
        </w:rPr>
        <w:t>Riasi</w:t>
      </w:r>
      <w:proofErr w:type="spellEnd"/>
      <w:r w:rsidRPr="000E2DA1">
        <w:rPr>
          <w:rFonts w:ascii="Calibri" w:hAnsi="Calibri" w:cs="Calibri"/>
          <w:color w:val="auto"/>
        </w:rPr>
        <w:t xml:space="preserve"> &amp; Asadzadeh, 2015).</w:t>
      </w:r>
    </w:p>
    <w:p w14:paraId="7CBB6440" w14:textId="77777777" w:rsidR="008D222A" w:rsidRPr="000E2DA1" w:rsidRDefault="008D222A" w:rsidP="008D222A">
      <w:pPr>
        <w:rPr>
          <w:rFonts w:ascii="Calibri" w:hAnsi="Calibri" w:cs="Calibri"/>
          <w:color w:val="auto"/>
        </w:rPr>
      </w:pPr>
    </w:p>
    <w:p w14:paraId="3C01DA12" w14:textId="77777777" w:rsidR="008D222A" w:rsidRPr="000E2DA1" w:rsidRDefault="008D222A" w:rsidP="008D222A">
      <w:pPr>
        <w:ind w:right="107"/>
        <w:jc w:val="both"/>
        <w:rPr>
          <w:rFonts w:ascii="Calibri" w:hAnsi="Calibri" w:cs="Calibri"/>
          <w:color w:val="auto"/>
        </w:rPr>
      </w:pPr>
      <w:r w:rsidRPr="000E2DA1">
        <w:rPr>
          <w:rFonts w:ascii="Calibri" w:hAnsi="Calibri" w:cs="Calibri"/>
          <w:color w:val="auto"/>
        </w:rPr>
        <w:t xml:space="preserve">From my limited experience working as a response officer, I do believe that </w:t>
      </w:r>
      <w:proofErr w:type="spellStart"/>
      <w:r w:rsidRPr="000E2DA1">
        <w:rPr>
          <w:rFonts w:ascii="Calibri" w:hAnsi="Calibri" w:cs="Calibri"/>
          <w:color w:val="auto"/>
        </w:rPr>
        <w:t>Betari</w:t>
      </w:r>
      <w:proofErr w:type="spellEnd"/>
      <w:r w:rsidRPr="000E2DA1">
        <w:rPr>
          <w:rFonts w:ascii="Calibri" w:hAnsi="Calibri" w:cs="Calibri"/>
          <w:color w:val="auto"/>
        </w:rPr>
        <w:t xml:space="preserve"> Box model is a useful tool in most situations, however some people we deal with as uniformed police officers may have had a bad experience with the police in the past or may have a pre-conceived opinion of the police, see the uniform, and instantly react negatively to officers. Some people do not like authority and will not be told what to do or what they cannot do even by the police. This model is not policing specific and will not benefit an officer in every situation. Police officers must evaluate a </w:t>
      </w:r>
      <w:r w:rsidRPr="000E2DA1">
        <w:rPr>
          <w:rFonts w:ascii="Calibri" w:hAnsi="Calibri" w:cs="Calibri"/>
          <w:color w:val="auto"/>
        </w:rPr>
        <w:lastRenderedPageBreak/>
        <w:t xml:space="preserve">situation on their arrival using the National Decision Model (NDM) and be able to utilise a variety of different conflict management models. </w:t>
      </w:r>
    </w:p>
    <w:p w14:paraId="2E17B0E4" w14:textId="77777777" w:rsidR="008D222A" w:rsidRPr="000E2DA1" w:rsidRDefault="008D222A" w:rsidP="008D222A">
      <w:pPr>
        <w:ind w:right="107"/>
        <w:jc w:val="both"/>
        <w:rPr>
          <w:rFonts w:ascii="Calibri" w:hAnsi="Calibri" w:cs="Calibri"/>
          <w:color w:val="auto"/>
        </w:rPr>
      </w:pPr>
    </w:p>
    <w:p w14:paraId="5DE9F830" w14:textId="77777777" w:rsidR="008D222A" w:rsidRPr="000E2DA1" w:rsidRDefault="008D222A" w:rsidP="008D222A">
      <w:pPr>
        <w:ind w:right="107"/>
        <w:jc w:val="both"/>
        <w:rPr>
          <w:color w:val="auto"/>
        </w:rPr>
      </w:pPr>
      <w:r w:rsidRPr="000E2DA1">
        <w:rPr>
          <w:rFonts w:ascii="Calibri" w:hAnsi="Calibri" w:cs="Calibri"/>
          <w:color w:val="auto"/>
        </w:rPr>
        <w:t xml:space="preserve">Ultimately, the police officer needs to have the last say in the situation as they are responsible for upholding the law. </w:t>
      </w:r>
      <w:r w:rsidRPr="000E2DA1">
        <w:rPr>
          <w:rFonts w:ascii="Calibri" w:hAnsi="Calibri" w:cs="Calibri"/>
          <w:color w:val="auto"/>
          <w:spacing w:val="3"/>
        </w:rPr>
        <w:t>Officers must be able to justify the decision to make an arrest or not. In some situations, other positive action may be more appropriate than an arrest if their behaviour or action does not amount to a criminal offence (</w:t>
      </w:r>
      <w:r w:rsidRPr="000E2DA1">
        <w:rPr>
          <w:rFonts w:ascii="Calibri" w:hAnsi="Calibri" w:cs="Calibri"/>
          <w:color w:val="auto"/>
        </w:rPr>
        <w:t>College of Policing</w:t>
      </w:r>
      <w:r w:rsidRPr="000E2DA1">
        <w:rPr>
          <w:rFonts w:ascii="Calibri" w:hAnsi="Calibri" w:cs="Calibri"/>
          <w:color w:val="auto"/>
          <w:spacing w:val="3"/>
        </w:rPr>
        <w:t>, 2018). However, in relation to my chosen occurrence for this task, the offender committed an arrestable offence of assault.</w:t>
      </w:r>
    </w:p>
    <w:p w14:paraId="73E32FB6" w14:textId="77777777" w:rsidR="008D222A" w:rsidRPr="000E2DA1" w:rsidRDefault="008D222A" w:rsidP="008D222A">
      <w:pPr>
        <w:ind w:right="107"/>
        <w:jc w:val="both"/>
        <w:rPr>
          <w:rFonts w:ascii="Calibri" w:hAnsi="Calibri" w:cs="Calibri"/>
          <w:color w:val="auto"/>
        </w:rPr>
      </w:pPr>
    </w:p>
    <w:p w14:paraId="6DAA56FF" w14:textId="77777777" w:rsidR="008D222A" w:rsidRPr="000E2DA1" w:rsidRDefault="008D222A" w:rsidP="008D222A">
      <w:pPr>
        <w:jc w:val="both"/>
        <w:rPr>
          <w:rFonts w:ascii="Calibri" w:hAnsi="Calibri" w:cs="Calibri"/>
          <w:color w:val="auto"/>
        </w:rPr>
      </w:pPr>
      <w:r w:rsidRPr="000E2DA1">
        <w:rPr>
          <w:rFonts w:ascii="Calibri" w:hAnsi="Calibri" w:cs="Calibri"/>
          <w:color w:val="auto"/>
        </w:rPr>
        <w:t xml:space="preserve">Some of the forementioned Thomas-Kilmann styles of managing conflict would not apply to the offender. For example, the accommodating and avoiding styles would not be appropriate when dealing with the offender, because the results would be at the officer’s expense and not in the best interest of the victim. The collaborating style wouldn’t be sufficient, because it implies that both the offender and the officer’s goals are satisfied. Competing style would be the most appropriate style in this situation if the offender was less compliant and resisted arrest, because only one of either the officer or the offender would achieve their objective. I used a compromising style when dealing with the offender. I was assertive enough to gain access to the property despite his hesitancy and was able to keep control of the situation, whilst showing cooperativeness to the offender by talking to him and reassuring him throughout the process of arrest to avoid any sudden escalation. Similarly, to </w:t>
      </w:r>
      <w:proofErr w:type="spellStart"/>
      <w:r w:rsidRPr="000E2DA1">
        <w:rPr>
          <w:rFonts w:ascii="Calibri" w:hAnsi="Calibri" w:cs="Calibri"/>
          <w:color w:val="auto"/>
        </w:rPr>
        <w:t>Betari</w:t>
      </w:r>
      <w:proofErr w:type="spellEnd"/>
      <w:r w:rsidRPr="000E2DA1">
        <w:rPr>
          <w:rFonts w:ascii="Calibri" w:hAnsi="Calibri" w:cs="Calibri"/>
          <w:color w:val="auto"/>
        </w:rPr>
        <w:t xml:space="preserve"> Box, it is certainly useful in some situations, but the Thomas-Kilmann theory will not be a sufficient approach to conflict management every time. Perhaps there isn’t a ‘one shoe fits all’ when considering an approach to conflict management.</w:t>
      </w:r>
    </w:p>
    <w:p w14:paraId="3AD85478" w14:textId="77777777" w:rsidR="008D222A" w:rsidRPr="000E2DA1" w:rsidRDefault="008D222A" w:rsidP="008D222A">
      <w:pPr>
        <w:rPr>
          <w:rFonts w:ascii="Calibri" w:hAnsi="Calibri" w:cs="Calibri"/>
          <w:color w:val="auto"/>
        </w:rPr>
      </w:pPr>
    </w:p>
    <w:p w14:paraId="182D65B9" w14:textId="77777777" w:rsidR="008D222A" w:rsidRPr="000E2DA1" w:rsidRDefault="008D222A" w:rsidP="008D222A">
      <w:pPr>
        <w:rPr>
          <w:rFonts w:ascii="Calibri" w:hAnsi="Calibri" w:cs="Calibri"/>
          <w:color w:val="auto"/>
        </w:rPr>
      </w:pPr>
      <w:r w:rsidRPr="000E2DA1">
        <w:rPr>
          <w:rFonts w:ascii="Calibri" w:hAnsi="Calibri" w:cs="Calibri"/>
          <w:color w:val="auto"/>
        </w:rPr>
        <w:t>WORD COUNT 2165 (2000)</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12631DE" w14:textId="77777777" w:rsidR="00921405" w:rsidRPr="000E2DA1" w:rsidRDefault="00921405" w:rsidP="00921405">
      <w:pPr>
        <w:jc w:val="both"/>
        <w:rPr>
          <w:color w:val="auto"/>
        </w:rPr>
      </w:pPr>
      <w:r w:rsidRPr="000E2DA1">
        <w:rPr>
          <w:rFonts w:ascii="Calibri" w:hAnsi="Calibri" w:cs="Calibri"/>
          <w:color w:val="auto"/>
        </w:rPr>
        <w:t xml:space="preserve">In the following task I will explain the victim’s codes of practice, whilst examining competing issues such as legislation and social issues such as hate crime. </w:t>
      </w:r>
      <w:r w:rsidRPr="000E2DA1">
        <w:rPr>
          <w:rFonts w:ascii="Calibri" w:hAnsi="Calibri" w:cs="Calibri"/>
          <w:color w:val="auto"/>
          <w:lang w:eastAsia="zh-TW"/>
        </w:rPr>
        <w:t xml:space="preserve">The Codes of Practice for Victims of Crime in England and Wales is a guide for victims to understand what to expect from the Criminal Justice System (CJS) if they have been a victim of crime </w:t>
      </w:r>
      <w:r w:rsidRPr="000E2DA1">
        <w:rPr>
          <w:rFonts w:ascii="Calibri" w:hAnsi="Calibri" w:cs="Calibri"/>
          <w:color w:val="auto"/>
        </w:rPr>
        <w:t>(Ministry of Justice, 2021).</w:t>
      </w:r>
      <w:r w:rsidRPr="000E2DA1">
        <w:rPr>
          <w:rFonts w:ascii="Calibri" w:hAnsi="Calibri" w:cs="Calibri"/>
          <w:color w:val="auto"/>
          <w:lang w:eastAsia="zh-TW"/>
        </w:rPr>
        <w:t xml:space="preserve"> The victim’s codes of practice as it’s commonly known outlines the minimum standard of care and the 12 rights that victims are entitled to. </w:t>
      </w:r>
      <w:r w:rsidRPr="000E2DA1">
        <w:rPr>
          <w:rFonts w:ascii="Calibri" w:hAnsi="Calibri" w:cs="Calibri"/>
          <w:color w:val="auto"/>
        </w:rPr>
        <w:t xml:space="preserve">I will discuss the relevant victim codes I used when dealing with the victim of a racially aggravated hate crime incident, and how his needs have been met this far. When reflecting on my actions during the incident, I will use the Gibbs (1988) reflective model. </w:t>
      </w:r>
    </w:p>
    <w:p w14:paraId="3153B23E" w14:textId="77777777" w:rsidR="00921405" w:rsidRPr="000E2DA1" w:rsidRDefault="00921405" w:rsidP="00921405">
      <w:pPr>
        <w:rPr>
          <w:rFonts w:ascii="Calibri" w:hAnsi="Calibri" w:cs="Calibri"/>
          <w:b/>
          <w:bCs/>
          <w:color w:val="auto"/>
        </w:rPr>
      </w:pPr>
    </w:p>
    <w:p w14:paraId="72E9CEE3" w14:textId="77777777" w:rsidR="00921405" w:rsidRPr="000E2DA1" w:rsidRDefault="00921405" w:rsidP="00921405">
      <w:pPr>
        <w:jc w:val="both"/>
        <w:rPr>
          <w:rFonts w:ascii="Calibri" w:hAnsi="Calibri" w:cs="Calibri"/>
          <w:color w:val="auto"/>
        </w:rPr>
      </w:pPr>
      <w:r w:rsidRPr="000E2DA1">
        <w:rPr>
          <w:rFonts w:ascii="Calibri" w:hAnsi="Calibri" w:cs="Calibri"/>
          <w:color w:val="auto"/>
        </w:rPr>
        <w:t>I will begin by describing the incident and ensuring that specifics have been left vague to comply with data protection. It had been reported that a neighbour had been shouting abuse and threatening him. The reporting person was the victim that had been subject to the abuse. We attended the address to learn that there has been history between both parties, with the victim having reported his neighbour to the police on several occasions, but notably three times in the past three days. The victim reported that things had deteriorated two days prior to our attendance because he had been making changes to the fence bordering his neighbour’s property. The offender had taken offence to the victims’ actions despite permitting him to construct the fence. Later that evening the offender had thrown three raw eggs at the victim’s property and vehicle. The victim hadn’t witnessed the occurrence but had come across the mess before referring to his CCTV camera capturing the incident. The victim then reported the incident to the police, with officers attending the address that evening.</w:t>
      </w:r>
    </w:p>
    <w:p w14:paraId="0EB2C20E" w14:textId="77777777" w:rsidR="00921405" w:rsidRPr="000E2DA1" w:rsidRDefault="00921405" w:rsidP="00921405">
      <w:pPr>
        <w:jc w:val="both"/>
        <w:rPr>
          <w:rFonts w:ascii="Calibri" w:hAnsi="Calibri" w:cs="Calibri"/>
          <w:color w:val="auto"/>
        </w:rPr>
      </w:pPr>
    </w:p>
    <w:p w14:paraId="7ACB5E63"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It was the following morning when the victim was cleaning the raw egg from his car that he was subject to verbal abuse from the offender. The victim reported that the offender could be heard shouting offensive words of a racial nature towards English people, which he perceived to be aimed towards his racial membership, because he was the only English person that lived nearby. This behaviour continued for some time before the victim attended Swansea Central Police station to report it. Later that day I attended the address to establish the circumstances of the incident. </w:t>
      </w:r>
    </w:p>
    <w:p w14:paraId="66F0EADB" w14:textId="77777777" w:rsidR="00921405" w:rsidRPr="000E2DA1" w:rsidRDefault="00921405" w:rsidP="00921405">
      <w:pPr>
        <w:jc w:val="both"/>
        <w:rPr>
          <w:rFonts w:ascii="Calibri" w:hAnsi="Calibri" w:cs="Calibri"/>
          <w:color w:val="auto"/>
        </w:rPr>
      </w:pPr>
    </w:p>
    <w:p w14:paraId="436ECD2B"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The offender was subsequently arrested the following day for a different offence. He was questioned in relation to the hate crime during the interview for the offence for which he was arrested and was further arrested for racially aggravated </w:t>
      </w:r>
      <w:r w:rsidRPr="000E2DA1">
        <w:rPr>
          <w:rFonts w:ascii="Calibri" w:hAnsi="Calibri" w:cs="Calibri"/>
          <w:color w:val="auto"/>
        </w:rPr>
        <w:lastRenderedPageBreak/>
        <w:t xml:space="preserve">public order during the interview. These actions are in line with the offence of section 18 of the Public Order Act 1986, acts intended or likely to stir up racial hatred </w:t>
      </w:r>
      <w:proofErr w:type="gramStart"/>
      <w:r w:rsidRPr="000E2DA1">
        <w:rPr>
          <w:rFonts w:ascii="Calibri" w:hAnsi="Calibri" w:cs="Calibri"/>
          <w:color w:val="auto"/>
        </w:rPr>
        <w:t>through the use of</w:t>
      </w:r>
      <w:proofErr w:type="gramEnd"/>
      <w:r w:rsidRPr="000E2DA1">
        <w:rPr>
          <w:rFonts w:ascii="Calibri" w:hAnsi="Calibri" w:cs="Calibri"/>
          <w:color w:val="auto"/>
        </w:rPr>
        <w:t xml:space="preserve"> words or behaviour.</w:t>
      </w:r>
    </w:p>
    <w:p w14:paraId="0CC1BCE5" w14:textId="77777777" w:rsidR="00921405" w:rsidRPr="000E2DA1" w:rsidRDefault="00921405" w:rsidP="00921405">
      <w:pPr>
        <w:jc w:val="center"/>
        <w:rPr>
          <w:color w:val="auto"/>
        </w:rPr>
      </w:pPr>
      <w:r w:rsidRPr="000E2DA1">
        <w:rPr>
          <w:rFonts w:ascii="Calibri" w:hAnsi="Calibri" w:cs="Calibri"/>
          <w:color w:val="auto"/>
        </w:rPr>
        <w:br/>
      </w:r>
      <w:r w:rsidRPr="000E2DA1">
        <w:rPr>
          <w:rStyle w:val="legds"/>
          <w:rFonts w:ascii="Calibri" w:hAnsi="Calibri" w:cs="Calibri"/>
          <w:color w:val="auto"/>
        </w:rPr>
        <w:t>“Use of words or behaviour or display of written material.</w:t>
      </w:r>
    </w:p>
    <w:p w14:paraId="7F786199" w14:textId="77777777" w:rsidR="00921405" w:rsidRPr="000E2DA1" w:rsidRDefault="00921405" w:rsidP="00921405">
      <w:pPr>
        <w:pStyle w:val="legclearfix"/>
        <w:shd w:val="clear" w:color="auto" w:fill="FFFFFF"/>
        <w:spacing w:before="0" w:after="120"/>
        <w:jc w:val="center"/>
      </w:pPr>
      <w:r w:rsidRPr="000E2DA1">
        <w:rPr>
          <w:rStyle w:val="legds"/>
          <w:rFonts w:ascii="Calibri" w:hAnsi="Calibri" w:cs="Calibri"/>
          <w:sz w:val="20"/>
          <w:szCs w:val="20"/>
        </w:rPr>
        <w:t>(1) A person who uses threatening, abusive, or insulting words or behaviour, or displays any written material which is threatening, abusive or insulting, is guilty of an offence if—</w:t>
      </w:r>
    </w:p>
    <w:p w14:paraId="48452491" w14:textId="77777777" w:rsidR="00921405" w:rsidRPr="000E2DA1" w:rsidRDefault="00921405" w:rsidP="00921405">
      <w:pPr>
        <w:pStyle w:val="legclearfix"/>
        <w:shd w:val="clear" w:color="auto" w:fill="FFFFFF"/>
        <w:spacing w:before="0" w:after="120"/>
        <w:jc w:val="center"/>
        <w:rPr>
          <w:rStyle w:val="legds"/>
          <w:rFonts w:ascii="Calibri" w:hAnsi="Calibri" w:cs="Calibri"/>
          <w:i/>
          <w:iCs/>
          <w:sz w:val="20"/>
          <w:szCs w:val="20"/>
        </w:rPr>
      </w:pPr>
      <w:r w:rsidRPr="000E2DA1">
        <w:rPr>
          <w:rStyle w:val="legds"/>
          <w:rFonts w:ascii="Calibri" w:hAnsi="Calibri" w:cs="Calibri"/>
          <w:sz w:val="20"/>
          <w:szCs w:val="20"/>
        </w:rPr>
        <w:t>(a) he intends thereby to stir up racial hatred</w:t>
      </w:r>
      <w:r w:rsidRPr="000E2DA1">
        <w:rPr>
          <w:rStyle w:val="legds"/>
          <w:rFonts w:ascii="Calibri" w:hAnsi="Calibri" w:cs="Calibri"/>
          <w:i/>
          <w:iCs/>
          <w:sz w:val="20"/>
          <w:szCs w:val="20"/>
        </w:rPr>
        <w:t>”</w:t>
      </w:r>
    </w:p>
    <w:p w14:paraId="1F989D6D" w14:textId="77777777" w:rsidR="00921405" w:rsidRPr="000E2DA1" w:rsidRDefault="00921405" w:rsidP="00921405">
      <w:pPr>
        <w:pStyle w:val="legclearfix"/>
        <w:shd w:val="clear" w:color="auto" w:fill="FFFFFF"/>
        <w:spacing w:before="0" w:after="120"/>
        <w:jc w:val="center"/>
      </w:pPr>
    </w:p>
    <w:p w14:paraId="3CDC34C4"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The Home Office reported that there 80,393 recorded incidents in 2016/2017 where hate crime was the motivating factor of an offence, which was a significant increase of 29% compared to the previous year in 2015/2016 (O'Neill, 2017). Hate crime is defined by the Criminal Prosecution Service as “any criminal offence which is perceived, by the victim or any other person, to be motivated by hostility or prejudice towards someone based on a personal characteristic”. If the incident is perceived to be motivated by hostility or prejudice towards a person’s actual or perceived disability, race, religion and belief, sexual orientation or transgender, then it would be considered a hate crime (O'Neill, 2017). </w:t>
      </w:r>
    </w:p>
    <w:p w14:paraId="66E118B2" w14:textId="77777777" w:rsidR="00921405" w:rsidRPr="000E2DA1" w:rsidRDefault="00921405" w:rsidP="00921405">
      <w:pPr>
        <w:rPr>
          <w:rFonts w:ascii="Calibri" w:hAnsi="Calibri" w:cs="Calibri"/>
          <w:color w:val="auto"/>
        </w:rPr>
      </w:pPr>
    </w:p>
    <w:p w14:paraId="647D482B" w14:textId="77777777" w:rsidR="00921405" w:rsidRPr="000E2DA1" w:rsidRDefault="00921405" w:rsidP="00921405">
      <w:pPr>
        <w:jc w:val="both"/>
        <w:rPr>
          <w:color w:val="auto"/>
        </w:rPr>
      </w:pPr>
      <w:r w:rsidRPr="000E2DA1">
        <w:rPr>
          <w:rFonts w:ascii="Calibri" w:hAnsi="Calibri" w:cs="Calibri"/>
          <w:color w:val="auto"/>
        </w:rPr>
        <w:t xml:space="preserve">In the following section, I will expand on the Code of Practice for Victims of Crime (Victim Codes) I used to provide the victim in the above occurrence with the best service. </w:t>
      </w:r>
      <w:r w:rsidRPr="000E2DA1">
        <w:rPr>
          <w:rFonts w:ascii="Calibri" w:hAnsi="Calibri" w:cs="Calibri"/>
          <w:color w:val="auto"/>
          <w:lang w:eastAsia="zh-TW"/>
        </w:rPr>
        <w:t xml:space="preserve">The Victim Codes clearly states that victims have a right to support </w:t>
      </w:r>
      <w:proofErr w:type="gramStart"/>
      <w:r w:rsidRPr="000E2DA1">
        <w:rPr>
          <w:rFonts w:ascii="Calibri" w:hAnsi="Calibri" w:cs="Calibri"/>
          <w:color w:val="auto"/>
          <w:lang w:eastAsia="zh-TW"/>
        </w:rPr>
        <w:t>whether or not</w:t>
      </w:r>
      <w:proofErr w:type="gramEnd"/>
      <w:r w:rsidRPr="000E2DA1">
        <w:rPr>
          <w:rFonts w:ascii="Calibri" w:hAnsi="Calibri" w:cs="Calibri"/>
          <w:color w:val="auto"/>
          <w:lang w:eastAsia="zh-TW"/>
        </w:rPr>
        <w:t xml:space="preserve"> they decide to report the crime to the police while also being made aware around the critical phases of the criminal justice process. The police are one of a multitude of different organisations that are responsible to ensure that the victim’s rights are met </w:t>
      </w:r>
      <w:r w:rsidRPr="000E2DA1">
        <w:rPr>
          <w:rFonts w:ascii="Calibri" w:hAnsi="Calibri" w:cs="Calibri"/>
          <w:color w:val="auto"/>
        </w:rPr>
        <w:t xml:space="preserve">(Ministry of Justice, 2021). </w:t>
      </w:r>
    </w:p>
    <w:p w14:paraId="35467BDA" w14:textId="77777777" w:rsidR="00921405" w:rsidRPr="000E2DA1" w:rsidRDefault="00921405" w:rsidP="00921405">
      <w:pPr>
        <w:jc w:val="both"/>
        <w:rPr>
          <w:rFonts w:ascii="Calibri" w:hAnsi="Calibri" w:cs="Calibri"/>
          <w:color w:val="auto"/>
        </w:rPr>
      </w:pPr>
    </w:p>
    <w:p w14:paraId="6C0A390D" w14:textId="77777777" w:rsidR="00921405" w:rsidRPr="000E2DA1" w:rsidRDefault="00921405" w:rsidP="00921405">
      <w:pPr>
        <w:jc w:val="both"/>
        <w:rPr>
          <w:color w:val="auto"/>
        </w:rPr>
      </w:pPr>
      <w:r w:rsidRPr="000E2DA1">
        <w:rPr>
          <w:rFonts w:ascii="Calibri" w:hAnsi="Calibri" w:cs="Calibri"/>
          <w:color w:val="auto"/>
        </w:rPr>
        <w:t>Due to there being no permanent damage to the property wall or vehicle from the egg throwing, the 5</w:t>
      </w:r>
      <w:r w:rsidRPr="000E2DA1">
        <w:rPr>
          <w:rFonts w:ascii="Calibri" w:hAnsi="Calibri" w:cs="Calibri"/>
          <w:color w:val="auto"/>
          <w:vertAlign w:val="superscript"/>
        </w:rPr>
        <w:t>th</w:t>
      </w:r>
      <w:r w:rsidRPr="000E2DA1">
        <w:rPr>
          <w:rFonts w:ascii="Calibri" w:hAnsi="Calibri" w:cs="Calibri"/>
          <w:color w:val="auto"/>
        </w:rPr>
        <w:t xml:space="preserve"> Right of the Victim Codes did not apply. The case has yet to reach court, as it is currently being reviewed by the Criminal Prosecution Service (CPS). Therefore Rights 8 and 9 have yet to be used by the victim, although I have made him fully aware that should it go to court that I will contact him to let him know of the details. Below are the five most prominent rights provided to the victim thus far in the case. </w:t>
      </w:r>
    </w:p>
    <w:p w14:paraId="5F3BA646" w14:textId="77777777" w:rsidR="00921405" w:rsidRPr="000E2DA1" w:rsidRDefault="00921405" w:rsidP="00921405">
      <w:pPr>
        <w:jc w:val="both"/>
        <w:rPr>
          <w:rFonts w:ascii="Calibri" w:hAnsi="Calibri" w:cs="Calibri"/>
          <w:color w:val="auto"/>
        </w:rPr>
      </w:pPr>
    </w:p>
    <w:p w14:paraId="0E66C3B1" w14:textId="77777777" w:rsidR="00921405" w:rsidRPr="000E2DA1" w:rsidRDefault="00921405" w:rsidP="00921405">
      <w:pPr>
        <w:jc w:val="both"/>
        <w:rPr>
          <w:rFonts w:ascii="Calibri" w:hAnsi="Calibri" w:cs="Calibri"/>
          <w:color w:val="auto"/>
        </w:rPr>
      </w:pPr>
      <w:r w:rsidRPr="000E2DA1">
        <w:rPr>
          <w:rFonts w:ascii="Calibri" w:hAnsi="Calibri" w:cs="Calibri"/>
          <w:color w:val="auto"/>
        </w:rPr>
        <w:t>The victim has the right to understand and to be understood, meaning that the information must be provided in a way that the victim understands it (Ministry of Justice, 2021). There were no language challenges with the victim of this incident, as his first language was English. Alternatively, if the victim was of a different nationality and did not speak English fluently, then they would have the right to access an interpreter to understand what is being said to them, but also to be understood fully by others.</w:t>
      </w:r>
    </w:p>
    <w:p w14:paraId="176E253C" w14:textId="77777777" w:rsidR="00921405" w:rsidRPr="000E2DA1" w:rsidRDefault="00921405" w:rsidP="00921405">
      <w:pPr>
        <w:jc w:val="both"/>
        <w:rPr>
          <w:rFonts w:ascii="Calibri" w:hAnsi="Calibri" w:cs="Calibri"/>
          <w:color w:val="auto"/>
        </w:rPr>
      </w:pPr>
    </w:p>
    <w:p w14:paraId="779730A8" w14:textId="77777777" w:rsidR="00921405" w:rsidRPr="000E2DA1" w:rsidRDefault="00921405" w:rsidP="00921405">
      <w:pPr>
        <w:jc w:val="both"/>
        <w:rPr>
          <w:color w:val="auto"/>
        </w:rPr>
      </w:pPr>
      <w:r w:rsidRPr="000E2DA1">
        <w:rPr>
          <w:rFonts w:ascii="Calibri" w:hAnsi="Calibri" w:cs="Calibri"/>
          <w:color w:val="auto"/>
        </w:rPr>
        <w:t>The 2</w:t>
      </w:r>
      <w:r w:rsidRPr="000E2DA1">
        <w:rPr>
          <w:rFonts w:ascii="Calibri" w:hAnsi="Calibri" w:cs="Calibri"/>
          <w:color w:val="auto"/>
          <w:vertAlign w:val="superscript"/>
        </w:rPr>
        <w:t>nd</w:t>
      </w:r>
      <w:r w:rsidRPr="000E2DA1">
        <w:rPr>
          <w:rFonts w:ascii="Calibri" w:hAnsi="Calibri" w:cs="Calibri"/>
          <w:color w:val="auto"/>
        </w:rPr>
        <w:t xml:space="preserve"> Right is for the details of the crime to be recorded by the police as soon as possible (Ministry of Justice, 2021). Whilst at the victim’s address, I took a digital witness statement (DWS) from him regarding the events that led up to him reporting the offender. I ensured I made note of their history but emphasised the hate crime incident.</w:t>
      </w:r>
    </w:p>
    <w:p w14:paraId="7E329044" w14:textId="77777777" w:rsidR="00921405" w:rsidRPr="000E2DA1" w:rsidRDefault="00921405" w:rsidP="00921405">
      <w:pPr>
        <w:jc w:val="both"/>
        <w:rPr>
          <w:rFonts w:ascii="Calibri" w:hAnsi="Calibri" w:cs="Calibri"/>
          <w:color w:val="auto"/>
        </w:rPr>
      </w:pPr>
    </w:p>
    <w:p w14:paraId="74D58EFD" w14:textId="77777777" w:rsidR="00921405" w:rsidRPr="000E2DA1" w:rsidRDefault="00921405" w:rsidP="00921405">
      <w:pPr>
        <w:jc w:val="both"/>
        <w:rPr>
          <w:color w:val="auto"/>
        </w:rPr>
      </w:pPr>
      <w:r w:rsidRPr="000E2DA1">
        <w:rPr>
          <w:rFonts w:ascii="Calibri" w:hAnsi="Calibri" w:cs="Calibri"/>
          <w:color w:val="auto"/>
        </w:rPr>
        <w:t>The 4</w:t>
      </w:r>
      <w:r w:rsidRPr="000E2DA1">
        <w:rPr>
          <w:rFonts w:ascii="Calibri" w:hAnsi="Calibri" w:cs="Calibri"/>
          <w:color w:val="auto"/>
          <w:vertAlign w:val="superscript"/>
        </w:rPr>
        <w:t>th</w:t>
      </w:r>
      <w:r w:rsidRPr="000E2DA1">
        <w:rPr>
          <w:rFonts w:ascii="Calibri" w:hAnsi="Calibri" w:cs="Calibri"/>
          <w:color w:val="auto"/>
        </w:rPr>
        <w:t xml:space="preserve"> Right allows the victim to be referred to additional services for support including the right to contact them directly (Ministry of Justice, 2021). As part of this Right, you are entitled to special court measures utilised to obtain the best evidence out of vulnerable victims, making the court process more manageable (College of Policing, 2023). All victims are eligible for a Victim focus referral (VFR). VFR is the main support service for victims of crime in South Wales, and is submitted by the police if the victim, witness, or anyone affected by an incident wishes to accept any further support. The victim’s information is then shared with external parties who can then contact them and provide them with emotional support, practical </w:t>
      </w:r>
      <w:proofErr w:type="gramStart"/>
      <w:r w:rsidRPr="000E2DA1">
        <w:rPr>
          <w:rFonts w:ascii="Calibri" w:hAnsi="Calibri" w:cs="Calibri"/>
          <w:color w:val="auto"/>
        </w:rPr>
        <w:t>help</w:t>
      </w:r>
      <w:proofErr w:type="gramEnd"/>
      <w:r w:rsidRPr="000E2DA1">
        <w:rPr>
          <w:rFonts w:ascii="Calibri" w:hAnsi="Calibri" w:cs="Calibri"/>
          <w:color w:val="auto"/>
        </w:rPr>
        <w:t xml:space="preserve"> or referrals to other agencies. Victims that are eligible to specialist support services have the right to do so, for example the victim of the above occurrence was eligible to being contacted by a Hate Crime Support Officer (HCSO) because he was a victim of hate crime.</w:t>
      </w:r>
    </w:p>
    <w:p w14:paraId="3FDB7DB7" w14:textId="77777777" w:rsidR="00921405" w:rsidRPr="000E2DA1" w:rsidRDefault="00921405" w:rsidP="00921405">
      <w:pPr>
        <w:jc w:val="both"/>
        <w:rPr>
          <w:rFonts w:ascii="Calibri" w:hAnsi="Calibri" w:cs="Calibri"/>
          <w:color w:val="auto"/>
        </w:rPr>
      </w:pPr>
    </w:p>
    <w:p w14:paraId="6272AE6B" w14:textId="77777777" w:rsidR="00921405" w:rsidRPr="000E2DA1" w:rsidRDefault="00921405" w:rsidP="00921405">
      <w:pPr>
        <w:jc w:val="both"/>
        <w:rPr>
          <w:color w:val="auto"/>
        </w:rPr>
      </w:pPr>
      <w:r w:rsidRPr="000E2DA1">
        <w:rPr>
          <w:rFonts w:ascii="Calibri" w:hAnsi="Calibri" w:cs="Calibri"/>
          <w:color w:val="auto"/>
        </w:rPr>
        <w:t>The 6</w:t>
      </w:r>
      <w:r w:rsidRPr="000E2DA1">
        <w:rPr>
          <w:rFonts w:ascii="Calibri" w:hAnsi="Calibri" w:cs="Calibri"/>
          <w:color w:val="auto"/>
          <w:vertAlign w:val="superscript"/>
        </w:rPr>
        <w:t>th</w:t>
      </w:r>
      <w:r w:rsidRPr="000E2DA1">
        <w:rPr>
          <w:rFonts w:ascii="Calibri" w:hAnsi="Calibri" w:cs="Calibri"/>
          <w:color w:val="auto"/>
        </w:rPr>
        <w:t xml:space="preserve"> Right of Victim Codes is the Right to be provided with updates on the case and what decisions are being taken </w:t>
      </w:r>
      <w:proofErr w:type="gramStart"/>
      <w:r w:rsidRPr="000E2DA1">
        <w:rPr>
          <w:rFonts w:ascii="Calibri" w:hAnsi="Calibri" w:cs="Calibri"/>
          <w:color w:val="auto"/>
        </w:rPr>
        <w:t>in regards to</w:t>
      </w:r>
      <w:proofErr w:type="gramEnd"/>
      <w:r w:rsidRPr="000E2DA1">
        <w:rPr>
          <w:rFonts w:ascii="Calibri" w:hAnsi="Calibri" w:cs="Calibri"/>
          <w:color w:val="auto"/>
        </w:rPr>
        <w:t xml:space="preserve"> it (Ministry of Justice, 2021). During the weeks that followed the incident, I kept in contact with the victim, speaking with him regularly. I was in the process of completing a case file to be sent to the CPS for advice regarding the incident, and I would often update the victim on its progress. There was also an occasion where I attended his address because I wished to collect his CCTV footage to view and use as exhibits, sending him a NICE investigate link to send them over safely. NICE is a customer experience software used by the Police to obtain evidence in the form of CCTV, ring doorbell footage or photographs to accelerate investigations and improve incident response (NICE, 2023).</w:t>
      </w:r>
    </w:p>
    <w:p w14:paraId="649A3003" w14:textId="77777777" w:rsidR="00921405" w:rsidRPr="000E2DA1" w:rsidRDefault="00921405" w:rsidP="00921405">
      <w:pPr>
        <w:jc w:val="both"/>
        <w:rPr>
          <w:rFonts w:ascii="Calibri" w:hAnsi="Calibri" w:cs="Calibri"/>
          <w:color w:val="auto"/>
        </w:rPr>
      </w:pPr>
    </w:p>
    <w:p w14:paraId="0A30C793" w14:textId="77777777" w:rsidR="00921405" w:rsidRPr="000E2DA1" w:rsidRDefault="00921405" w:rsidP="00921405">
      <w:pPr>
        <w:jc w:val="both"/>
        <w:rPr>
          <w:color w:val="auto"/>
        </w:rPr>
      </w:pPr>
      <w:r w:rsidRPr="000E2DA1">
        <w:rPr>
          <w:rFonts w:ascii="Calibri" w:hAnsi="Calibri" w:cs="Calibri"/>
          <w:color w:val="auto"/>
        </w:rPr>
        <w:lastRenderedPageBreak/>
        <w:t>Every victim of crime, whatever the degree or severity has the Right to make a Victim Personal Statement (VPS) under the 7</w:t>
      </w:r>
      <w:r w:rsidRPr="000E2DA1">
        <w:rPr>
          <w:rFonts w:ascii="Calibri" w:hAnsi="Calibri" w:cs="Calibri"/>
          <w:color w:val="auto"/>
          <w:vertAlign w:val="superscript"/>
        </w:rPr>
        <w:t>th</w:t>
      </w:r>
      <w:r w:rsidRPr="000E2DA1">
        <w:rPr>
          <w:rFonts w:ascii="Calibri" w:hAnsi="Calibri" w:cs="Calibri"/>
          <w:color w:val="auto"/>
        </w:rPr>
        <w:t xml:space="preserve"> Right. The VPS is the victims voice, and is a statement written in their own words describing how the crime has affected them mentally, emotionally, or physically (Ministry of Justice, 2021). The VPS may be read out in court as part of the prosecution and may have an impact on sentencing.</w:t>
      </w:r>
    </w:p>
    <w:p w14:paraId="0C64F5C6" w14:textId="77777777" w:rsidR="00921405" w:rsidRPr="000E2DA1" w:rsidRDefault="00921405" w:rsidP="00921405">
      <w:pPr>
        <w:rPr>
          <w:rFonts w:ascii="Calibri" w:hAnsi="Calibri" w:cs="Calibri"/>
          <w:color w:val="auto"/>
        </w:rPr>
      </w:pPr>
    </w:p>
    <w:p w14:paraId="18355638"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We attended an address to establish the circumstances of an incident reported by the occupant who was the victim of a racially aggravated hate crime. It was reported that they had been subject to a series of incidents which he believed was in relation to the fact that he is an English man. Prior to our attendance, the offender had used insulting racial language towards the victim’s membership and had subsequently continued to insult and throw eggs at the victim’s home and vehicle. Whilst at the premises talking with the victim, I showed him understanding and empathy. I took a DWS from him, ensuring that I obtained as much detail as possible, obtaining CCTV footage to exhibit, and offered VFR for any emotional or practical support that he might desire. </w:t>
      </w:r>
    </w:p>
    <w:p w14:paraId="5139590A" w14:textId="77777777" w:rsidR="00921405" w:rsidRPr="000E2DA1" w:rsidRDefault="00921405" w:rsidP="00921405">
      <w:pPr>
        <w:jc w:val="both"/>
        <w:rPr>
          <w:rFonts w:ascii="Calibri" w:hAnsi="Calibri" w:cs="Calibri"/>
          <w:color w:val="auto"/>
        </w:rPr>
      </w:pPr>
    </w:p>
    <w:p w14:paraId="2019C567"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I had not experienced an incident of this nature prior to attending this call. I was anxious initially because it was a new experience for me, and I wasn’t confident in how to process a hate crime incident. I was able to talk to the victim with ease, establishing what had happened and taking a DWS from him, however I was reliant on my tutor’s leadership when it came to discussing the hate crime protocol. The victim was very frustrated at the situation. He couldn’t understand why the offender had become so hostile towards him and showed great concern for his wife and granddaughter who had witnessed the verbal abuse that morning. He was reassured at our attendance, and I continued to explain the avenues for support that we could offer in the meantime whilst we conducted the investigation. </w:t>
      </w:r>
    </w:p>
    <w:p w14:paraId="17B6C20F" w14:textId="77777777" w:rsidR="00921405" w:rsidRPr="000E2DA1" w:rsidRDefault="00921405" w:rsidP="00921405">
      <w:pPr>
        <w:jc w:val="both"/>
        <w:rPr>
          <w:rFonts w:ascii="Calibri" w:hAnsi="Calibri" w:cs="Calibri"/>
          <w:color w:val="auto"/>
        </w:rPr>
      </w:pPr>
    </w:p>
    <w:p w14:paraId="593F716B" w14:textId="77777777" w:rsidR="00921405" w:rsidRDefault="00921405" w:rsidP="00921405">
      <w:pPr>
        <w:jc w:val="both"/>
        <w:rPr>
          <w:rFonts w:ascii="Calibri" w:hAnsi="Calibri" w:cs="Calibri"/>
        </w:rPr>
      </w:pPr>
      <w:r w:rsidRPr="000E2DA1">
        <w:rPr>
          <w:rFonts w:ascii="Calibri" w:hAnsi="Calibri" w:cs="Calibri"/>
          <w:color w:val="auto"/>
        </w:rPr>
        <w:t xml:space="preserve">My analysis of the situation is that I had made a positive contribution overall. Naturally with it being my first exposure to such an incident, my dialogue didn’t flow as well as it could have, but I appreciate that I still have so much to learn on the job despite spending six months in training. My rapport with the victim certainly made a positive impact, which is something I have been able to continue with him since our initial attendance. </w:t>
      </w:r>
    </w:p>
    <w:p w14:paraId="71EF0A02" w14:textId="77777777" w:rsidR="00921405" w:rsidRDefault="00921405" w:rsidP="00921405">
      <w:pPr>
        <w:jc w:val="both"/>
        <w:rPr>
          <w:rFonts w:ascii="Calibri" w:hAnsi="Calibri" w:cs="Calibri"/>
        </w:rPr>
      </w:pPr>
    </w:p>
    <w:p w14:paraId="4ABD5078" w14:textId="204D7ADB" w:rsidR="00921405" w:rsidRPr="000E2DA1" w:rsidRDefault="00921405" w:rsidP="00921405">
      <w:pPr>
        <w:jc w:val="both"/>
        <w:rPr>
          <w:rFonts w:ascii="Calibri" w:hAnsi="Calibri" w:cs="Calibri"/>
          <w:color w:val="auto"/>
        </w:rPr>
      </w:pPr>
      <w:r>
        <w:rPr>
          <w:rFonts w:ascii="Calibri" w:hAnsi="Calibri" w:cs="Calibri"/>
        </w:rPr>
        <w:t xml:space="preserve">In conclusion, I would better prepare myself in future, familiarising myself with the context of the call and what my actions could be, although officers do not always have the luxury of doing this, and things can change so quickly whilst at scene. </w:t>
      </w:r>
      <w:r w:rsidRPr="000E2DA1">
        <w:rPr>
          <w:rFonts w:ascii="Calibri" w:hAnsi="Calibri" w:cs="Calibri"/>
          <w:color w:val="auto"/>
        </w:rPr>
        <w:t>I have since had some exposure to hate crime incidents and now have a better understanding of them. Despite this, I would like to improve my knowledge on the topic of hate crime so that I can feel confident, but also provide the victim with the best possible service.</w:t>
      </w:r>
      <w:r>
        <w:rPr>
          <w:rFonts w:ascii="Calibri" w:hAnsi="Calibri" w:cs="Calibri"/>
        </w:rPr>
        <w:t xml:space="preserve"> </w:t>
      </w:r>
      <w:r w:rsidRPr="000E2DA1">
        <w:rPr>
          <w:rFonts w:ascii="Calibri" w:hAnsi="Calibri" w:cs="Calibri"/>
          <w:color w:val="auto"/>
        </w:rPr>
        <w:t>To better my understanding of the topic, I will ensure that I set time aside to read about hate crime and our force policy around how to implement our protocols. I am fortunate in that I am part of a very experienced team and can ask them questions and ask for advice. To make this happen I will need to make time to conduct some personal learning, or even revise any completed or uncompleted e-learning modules around the topic.</w:t>
      </w:r>
    </w:p>
    <w:p w14:paraId="5BC4F145" w14:textId="77777777" w:rsidR="00921405" w:rsidRPr="000E2DA1" w:rsidRDefault="00921405" w:rsidP="00921405">
      <w:pPr>
        <w:jc w:val="both"/>
        <w:rPr>
          <w:rFonts w:ascii="Calibri" w:hAnsi="Calibri" w:cs="Calibri"/>
          <w:color w:val="auto"/>
        </w:rPr>
      </w:pPr>
    </w:p>
    <w:p w14:paraId="2D68D090" w14:textId="77777777" w:rsidR="00921405" w:rsidRPr="000E2DA1" w:rsidRDefault="00921405" w:rsidP="00921405">
      <w:pPr>
        <w:jc w:val="both"/>
        <w:rPr>
          <w:rFonts w:ascii="Calibri" w:hAnsi="Calibri" w:cs="Calibri"/>
          <w:color w:val="auto"/>
        </w:rPr>
      </w:pPr>
      <w:r w:rsidRPr="000E2DA1">
        <w:rPr>
          <w:rFonts w:ascii="Calibri" w:hAnsi="Calibri" w:cs="Calibri"/>
          <w:color w:val="auto"/>
        </w:rPr>
        <w:t xml:space="preserve">WORD COUNT </w:t>
      </w:r>
      <w:r>
        <w:rPr>
          <w:rFonts w:ascii="Calibri" w:hAnsi="Calibri" w:cs="Calibri"/>
        </w:rPr>
        <w:t>1903</w:t>
      </w:r>
      <w:r w:rsidRPr="000E2DA1">
        <w:rPr>
          <w:rFonts w:ascii="Calibri" w:hAnsi="Calibri" w:cs="Calibri"/>
          <w:color w:val="auto"/>
        </w:rPr>
        <w:t xml:space="preserve"> (1750)</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998048F" w14:textId="77777777" w:rsidR="00921405" w:rsidRDefault="00921405" w:rsidP="00921405">
      <w:pPr>
        <w:jc w:val="both"/>
      </w:pPr>
      <w:r>
        <w:rPr>
          <w:rFonts w:ascii="Calibri" w:hAnsi="Calibri" w:cs="Calibri"/>
        </w:rPr>
        <w:t xml:space="preserve">In the following task, I will reflect upon an incident I have recently attended and discuss my use of the National Decision Model (NDM) when dealing with the offender. The NDM is a framework used by police officers to assess an incident and question the situations confronting them when at scene (College of Policing, 2014). Decision making is often challenging, with a lot of pressure being put on officers to make the right decision. This model is a simple and logical approach, providing greater professional judgement and empowers officers to use their discretion and achieve the highest level of confidence with the public (College of Policing, 2014). A police constable has legal powers to utilise in line with the NDM, legislative frameworks, policy guidelines and when exercising professional discretion. I will incorporate how I navigated the policing code of ethics and relate the Criminal Procedure and Investigations Act (CPIA) 1996 to the incident, expanding on the duties imposed on officers under this legislation. </w:t>
      </w:r>
    </w:p>
    <w:p w14:paraId="27F3A40A" w14:textId="77777777" w:rsidR="00921405" w:rsidRDefault="00921405" w:rsidP="00921405">
      <w:pPr>
        <w:jc w:val="both"/>
        <w:rPr>
          <w:rFonts w:ascii="Calibri" w:hAnsi="Calibri" w:cs="Calibri"/>
        </w:rPr>
      </w:pPr>
    </w:p>
    <w:p w14:paraId="48E8CF0D" w14:textId="77777777" w:rsidR="00921405" w:rsidRPr="002D6957" w:rsidRDefault="00921405" w:rsidP="00921405">
      <w:pPr>
        <w:jc w:val="both"/>
        <w:rPr>
          <w:rFonts w:ascii="Calibri" w:hAnsi="Calibri" w:cs="Calibri"/>
        </w:rPr>
      </w:pPr>
      <w:r>
        <w:rPr>
          <w:rFonts w:ascii="Calibri" w:hAnsi="Calibri" w:cs="Calibri"/>
        </w:rPr>
        <w:t xml:space="preserve">I will begin by outlining the incident eliminating any specifics to comply with data protection. I attended a road traffic collision (RTC) involving two vehicles. I was made aware of the reported circumstances over the radio, with it being reported that the offender was driving a red ford focus collided with the side of another vehicle at speed. The offender then exited his vehicle and staggered over toward the RP, smelling of alcohol and slurring heavily. Upon our arrival, my colleague spoke to the female driver who was sat in her vehicle, whilst I spoke to the offender who was stood next to his vehicle. Neither party were reported to be injured, although the female was visibly shaken up. I began trying to establish the circumstances with the offender who appeared intoxicated and was difficult to understand. I explained to him that due to information provided to officers and my suspicion that he has driven his vehicle whilst unfit through drink or drugs, that I required him to perform a preliminary breath test to establish if he was under the influence. The male driver was reluctant to cooperate and admitted to having had approximately two or three cans of lager. I proceeded to conduct a roadside breath test, with the offender recording a result significantly over the legal limit. </w:t>
      </w:r>
    </w:p>
    <w:p w14:paraId="265C0123" w14:textId="77777777" w:rsidR="00921405" w:rsidRDefault="00921405" w:rsidP="00921405">
      <w:pPr>
        <w:jc w:val="both"/>
        <w:rPr>
          <w:rFonts w:ascii="Calibri" w:hAnsi="Calibri" w:cs="Calibri"/>
        </w:rPr>
      </w:pPr>
    </w:p>
    <w:p w14:paraId="32A46645" w14:textId="77777777" w:rsidR="00921405" w:rsidRDefault="00921405" w:rsidP="00921405">
      <w:pPr>
        <w:jc w:val="both"/>
      </w:pPr>
      <w:r>
        <w:rPr>
          <w:noProof/>
        </w:rPr>
        <w:lastRenderedPageBreak/>
        <w:drawing>
          <wp:anchor distT="0" distB="0" distL="114300" distR="114300" simplePos="0" relativeHeight="251659264" behindDoc="1" locked="0" layoutInCell="1" allowOverlap="1" wp14:anchorId="3F396C57" wp14:editId="18FE23CB">
            <wp:simplePos x="0" y="0"/>
            <wp:positionH relativeFrom="column">
              <wp:posOffset>1906172</wp:posOffset>
            </wp:positionH>
            <wp:positionV relativeFrom="paragraph">
              <wp:posOffset>1058789</wp:posOffset>
            </wp:positionV>
            <wp:extent cx="1842770" cy="1708785"/>
            <wp:effectExtent l="0" t="0" r="0" b="5715"/>
            <wp:wrapTopAndBottom/>
            <wp:docPr id="1939291597" name="Picture 1" descr="National decision model | College of Poli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 College of Polic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770" cy="1708785"/>
                    </a:xfrm>
                    <a:prstGeom prst="rect">
                      <a:avLst/>
                    </a:prstGeom>
                    <a:noFill/>
                    <a:ln>
                      <a:noFill/>
                    </a:ln>
                  </pic:spPr>
                </pic:pic>
              </a:graphicData>
            </a:graphic>
          </wp:anchor>
        </w:drawing>
      </w:r>
      <w:r>
        <w:rPr>
          <w:rFonts w:ascii="Calibri" w:hAnsi="Calibri" w:cs="Calibri"/>
        </w:rPr>
        <w:t xml:space="preserve">The NDM comprises of six elements as seen in the below featured diagram; 1) information and intelligence, 2) assess threat, harm, risk and develop a working strategy, 3) powers and policies, 4) identify options and contingencies, 5) </w:t>
      </w:r>
      <w:proofErr w:type="gramStart"/>
      <w:r>
        <w:rPr>
          <w:rFonts w:ascii="Calibri" w:hAnsi="Calibri" w:cs="Calibri"/>
        </w:rPr>
        <w:t>take action</w:t>
      </w:r>
      <w:proofErr w:type="gramEnd"/>
      <w:r>
        <w:rPr>
          <w:rFonts w:ascii="Calibri" w:hAnsi="Calibri" w:cs="Calibri"/>
        </w:rPr>
        <w:t xml:space="preserve"> and review. The sixth element which is at the heart of the NDM is the code of ethics. The policing principles are at the core of the code of ethics and is essential in the lawful execution of our duty. In addition to the policing principles, the 10 standards of professional policing underpin the importance of what is expected of us (College </w:t>
      </w:r>
      <w:proofErr w:type="gramStart"/>
      <w:r>
        <w:rPr>
          <w:rFonts w:ascii="Calibri" w:hAnsi="Calibri" w:cs="Calibri"/>
        </w:rPr>
        <w:t>Of</w:t>
      </w:r>
      <w:proofErr w:type="gramEnd"/>
      <w:r>
        <w:rPr>
          <w:rFonts w:ascii="Calibri" w:hAnsi="Calibri" w:cs="Calibri"/>
        </w:rPr>
        <w:t xml:space="preserve"> Policing, 2019). </w:t>
      </w:r>
    </w:p>
    <w:p w14:paraId="67F434A3" w14:textId="77777777" w:rsidR="00921405" w:rsidRDefault="00921405" w:rsidP="00921405">
      <w:pPr>
        <w:jc w:val="both"/>
        <w:rPr>
          <w:rFonts w:ascii="Calibri" w:hAnsi="Calibri" w:cs="Calibri"/>
        </w:rPr>
      </w:pPr>
    </w:p>
    <w:p w14:paraId="1E944DAC" w14:textId="77777777" w:rsidR="00921405" w:rsidRPr="0002216B" w:rsidRDefault="00921405" w:rsidP="00921405">
      <w:pPr>
        <w:jc w:val="both"/>
        <w:rPr>
          <w:rFonts w:ascii="Calibri" w:hAnsi="Calibri" w:cs="Calibri"/>
          <w:color w:val="auto"/>
        </w:rPr>
      </w:pPr>
      <w:r>
        <w:rPr>
          <w:rFonts w:ascii="Calibri" w:hAnsi="Calibri" w:cs="Calibri"/>
        </w:rPr>
        <w:t xml:space="preserve">The </w:t>
      </w:r>
      <w:r w:rsidRPr="0002216B">
        <w:rPr>
          <w:rFonts w:ascii="Calibri" w:hAnsi="Calibri" w:cs="Calibri"/>
          <w:color w:val="auto"/>
        </w:rPr>
        <w:t xml:space="preserve">process of decision-making begins with the information and intelligence stage (College </w:t>
      </w:r>
      <w:proofErr w:type="gramStart"/>
      <w:r w:rsidRPr="0002216B">
        <w:rPr>
          <w:rFonts w:ascii="Calibri" w:hAnsi="Calibri" w:cs="Calibri"/>
          <w:color w:val="auto"/>
        </w:rPr>
        <w:t>Of</w:t>
      </w:r>
      <w:proofErr w:type="gramEnd"/>
      <w:r w:rsidRPr="0002216B">
        <w:rPr>
          <w:rFonts w:ascii="Calibri" w:hAnsi="Calibri" w:cs="Calibri"/>
          <w:color w:val="auto"/>
        </w:rPr>
        <w:t xml:space="preserve"> Policing, 2019). Prior to attendance, officers will be made aware of the initial reported circumstances, with officers also having access to updates, NICHE records and Police National Computer (PNC) on their hand-held devices. NICHE is a police records management system used by police forces within the UK, </w:t>
      </w:r>
      <w:r>
        <w:rPr>
          <w:rFonts w:ascii="Calibri" w:hAnsi="Calibri" w:cs="Calibri"/>
        </w:rPr>
        <w:t xml:space="preserve">storing </w:t>
      </w:r>
      <w:r w:rsidRPr="0002216B">
        <w:rPr>
          <w:rFonts w:ascii="Calibri" w:hAnsi="Calibri" w:cs="Calibri"/>
          <w:color w:val="auto"/>
        </w:rPr>
        <w:t xml:space="preserve">the primary policing entities of people, locations, </w:t>
      </w:r>
      <w:proofErr w:type="gramStart"/>
      <w:r w:rsidRPr="0002216B">
        <w:rPr>
          <w:rFonts w:ascii="Calibri" w:hAnsi="Calibri" w:cs="Calibri"/>
          <w:color w:val="auto"/>
        </w:rPr>
        <w:t>vehicles</w:t>
      </w:r>
      <w:proofErr w:type="gramEnd"/>
      <w:r w:rsidRPr="0002216B">
        <w:rPr>
          <w:rFonts w:ascii="Calibri" w:hAnsi="Calibri" w:cs="Calibri"/>
          <w:color w:val="auto"/>
        </w:rPr>
        <w:t xml:space="preserve"> and occurrences </w:t>
      </w:r>
      <w:r w:rsidRPr="0002216B">
        <w:rPr>
          <w:rFonts w:asciiTheme="minorHAnsi" w:hAnsiTheme="minorHAnsi" w:cstheme="minorHAnsi"/>
          <w:color w:val="auto"/>
        </w:rPr>
        <w:t>(</w:t>
      </w:r>
      <w:r w:rsidRPr="00AB187E">
        <w:rPr>
          <w:rFonts w:asciiTheme="minorHAnsi" w:hAnsiTheme="minorHAnsi" w:cstheme="minorHAnsi"/>
          <w:color w:val="auto"/>
        </w:rPr>
        <w:t>His Majesty’s Inspectorate of Constabulary and Fire &amp; Rescue Services</w:t>
      </w:r>
      <w:r w:rsidRPr="0002216B">
        <w:rPr>
          <w:rFonts w:asciiTheme="minorHAnsi" w:hAnsiTheme="minorHAnsi" w:cstheme="minorHAnsi"/>
          <w:color w:val="auto"/>
        </w:rPr>
        <w:t xml:space="preserve"> (HMICFRS), 2023). PNC is the national database available to UK Police forces, allowing police to conduct checks on an individual’s criminal record or a vehicle index’ for example (HMICFRS, 2018)</w:t>
      </w:r>
      <w:r w:rsidRPr="0002216B">
        <w:rPr>
          <w:rFonts w:ascii="Calibri" w:hAnsi="Calibri" w:cs="Calibri"/>
          <w:color w:val="auto"/>
        </w:rPr>
        <w:t xml:space="preserve">. The information established whilst talking to both parties were </w:t>
      </w:r>
      <w:proofErr w:type="gramStart"/>
      <w:r w:rsidRPr="0002216B">
        <w:rPr>
          <w:rFonts w:ascii="Calibri" w:hAnsi="Calibri" w:cs="Calibri"/>
          <w:color w:val="auto"/>
        </w:rPr>
        <w:t>similar to</w:t>
      </w:r>
      <w:proofErr w:type="gramEnd"/>
      <w:r w:rsidRPr="0002216B">
        <w:rPr>
          <w:rFonts w:ascii="Calibri" w:hAnsi="Calibri" w:cs="Calibri"/>
          <w:color w:val="auto"/>
        </w:rPr>
        <w:t xml:space="preserve"> the witness account provided by the RP.</w:t>
      </w:r>
    </w:p>
    <w:p w14:paraId="3A748E03" w14:textId="77777777" w:rsidR="00921405" w:rsidRDefault="00921405" w:rsidP="00921405">
      <w:pPr>
        <w:jc w:val="both"/>
        <w:rPr>
          <w:rFonts w:ascii="Calibri" w:hAnsi="Calibri" w:cs="Calibri"/>
        </w:rPr>
      </w:pPr>
    </w:p>
    <w:p w14:paraId="2478CA5B" w14:textId="77777777" w:rsidR="00921405" w:rsidRDefault="00921405" w:rsidP="00921405">
      <w:pPr>
        <w:jc w:val="both"/>
        <w:rPr>
          <w:rFonts w:ascii="Calibri" w:hAnsi="Calibri" w:cs="Calibri"/>
        </w:rPr>
      </w:pPr>
      <w:r>
        <w:rPr>
          <w:rFonts w:ascii="Calibri" w:hAnsi="Calibri" w:cs="Calibri"/>
        </w:rPr>
        <w:t xml:space="preserve">It was clear upon our initial attendance that given the location of the incident, we would require some support. The incident occurred on a busy mini roundabout, meaning we had to assess the threat, harm, and risk of the situation, taking responsibility to prevent any further incidents occurring and the safety of the public. To develop a working strategy, I requested a traffic unit to help support scene management and breathalyse the male. Unfortunately, due to the demand that afternoon, there were no traffic units available, however another response unit arrived a short time later to help manage traffic, allowing my colleague and I to deal with the incident. Fortunately, neither party were injured or trapped in their vehicles, negating the need to call for the ambulance or fire services. </w:t>
      </w:r>
    </w:p>
    <w:p w14:paraId="48F7C08D" w14:textId="77777777" w:rsidR="00921405" w:rsidRPr="0002216B" w:rsidRDefault="00921405" w:rsidP="00921405">
      <w:pPr>
        <w:jc w:val="both"/>
        <w:rPr>
          <w:rFonts w:ascii="Calibri" w:hAnsi="Calibri" w:cs="Calibri"/>
          <w:color w:val="auto"/>
        </w:rPr>
      </w:pPr>
    </w:p>
    <w:p w14:paraId="63A2C39A" w14:textId="77777777" w:rsidR="00921405" w:rsidRPr="0002216B" w:rsidRDefault="00921405" w:rsidP="00921405">
      <w:pPr>
        <w:jc w:val="both"/>
        <w:rPr>
          <w:rFonts w:ascii="Calibri" w:hAnsi="Calibri" w:cs="Calibri"/>
          <w:color w:val="auto"/>
        </w:rPr>
      </w:pPr>
      <w:r w:rsidRPr="0002216B">
        <w:rPr>
          <w:rFonts w:ascii="Calibri" w:hAnsi="Calibri" w:cs="Calibri"/>
          <w:color w:val="auto"/>
        </w:rPr>
        <w:t xml:space="preserve">The powers and policies determine the options and contingencies available to officers. There are several powers that come with the Road Traffic Act (RTA) 1988, with some of which being exercised during this incident. Given that I had suspicion that the male driver may have been under the influence, the accident occurring on a road, and the male admitting to having driven the car, I had the power to administer a preliminary breath test to establish if the proportion of alcohol in his breath exceeded the prescribed limit in line with section 6(3) of the RTA. He recorded a result of 91 microgrammes of alcohol, </w:t>
      </w:r>
      <w:r>
        <w:rPr>
          <w:rFonts w:ascii="Calibri" w:hAnsi="Calibri" w:cs="Calibri"/>
        </w:rPr>
        <w:t>with</w:t>
      </w:r>
      <w:r w:rsidRPr="0002216B">
        <w:rPr>
          <w:rFonts w:ascii="Calibri" w:hAnsi="Calibri" w:cs="Calibri"/>
          <w:color w:val="auto"/>
        </w:rPr>
        <w:t xml:space="preserve"> the legal limit</w:t>
      </w:r>
      <w:r>
        <w:rPr>
          <w:rFonts w:ascii="Calibri" w:hAnsi="Calibri" w:cs="Calibri"/>
        </w:rPr>
        <w:t xml:space="preserve"> being</w:t>
      </w:r>
      <w:r w:rsidRPr="0002216B">
        <w:rPr>
          <w:rFonts w:ascii="Calibri" w:hAnsi="Calibri" w:cs="Calibri"/>
          <w:color w:val="auto"/>
        </w:rPr>
        <w:t xml:space="preserve"> 35 microgrammes of alcohol in 100 millilitres of breath</w:t>
      </w:r>
      <w:r>
        <w:rPr>
          <w:rFonts w:ascii="Calibri" w:hAnsi="Calibri" w:cs="Calibri"/>
        </w:rPr>
        <w:t xml:space="preserve">. </w:t>
      </w:r>
      <w:r w:rsidRPr="0002216B">
        <w:rPr>
          <w:rFonts w:ascii="Calibri" w:hAnsi="Calibri" w:cs="Calibri"/>
          <w:color w:val="auto"/>
        </w:rPr>
        <w:t>He was subsequently arrested in accordance with section 6D of the RTA, for a section 4 of the RTA 1988 offence of driving or being in charge when under the influence of drink or drugs.</w:t>
      </w:r>
    </w:p>
    <w:p w14:paraId="7636D7BD" w14:textId="77777777" w:rsidR="00921405" w:rsidRDefault="00921405" w:rsidP="00921405">
      <w:pPr>
        <w:jc w:val="both"/>
        <w:rPr>
          <w:rFonts w:ascii="Calibri" w:hAnsi="Calibri" w:cs="Calibri"/>
        </w:rPr>
      </w:pPr>
    </w:p>
    <w:p w14:paraId="30FF63F9" w14:textId="77777777" w:rsidR="00921405" w:rsidRDefault="00921405" w:rsidP="00921405">
      <w:pPr>
        <w:jc w:val="both"/>
        <w:rPr>
          <w:rFonts w:ascii="Calibri" w:hAnsi="Calibri" w:cs="Calibri"/>
        </w:rPr>
      </w:pPr>
      <w:r>
        <w:rPr>
          <w:rFonts w:ascii="Calibri" w:hAnsi="Calibri" w:cs="Calibri"/>
        </w:rPr>
        <w:t xml:space="preserve">Officers are required to consider other options and contingencies when making decisions at scene (College </w:t>
      </w:r>
      <w:proofErr w:type="gramStart"/>
      <w:r>
        <w:rPr>
          <w:rFonts w:ascii="Calibri" w:hAnsi="Calibri" w:cs="Calibri"/>
        </w:rPr>
        <w:t>Of</w:t>
      </w:r>
      <w:proofErr w:type="gramEnd"/>
      <w:r>
        <w:rPr>
          <w:rFonts w:ascii="Calibri" w:hAnsi="Calibri" w:cs="Calibri"/>
        </w:rPr>
        <w:t xml:space="preserve"> Policing, 2014). Arresting the male for being drunk and in charge of a motor vehicle on a road in a public place was a proportionate action. Police officers are responsible for promoting safety and safeguarding members of the public at risk. Taking any other action apart from arrest could have put people at risk of him repeating his actions or worse. Given the situation that presented itself to me, I did not see any alternative to an arrest, which was justifiable under the circumstance. </w:t>
      </w:r>
    </w:p>
    <w:p w14:paraId="50AB1A1A" w14:textId="77777777" w:rsidR="00921405" w:rsidRDefault="00921405" w:rsidP="00921405">
      <w:pPr>
        <w:jc w:val="both"/>
        <w:rPr>
          <w:rFonts w:ascii="Calibri" w:hAnsi="Calibri" w:cs="Calibri"/>
        </w:rPr>
      </w:pPr>
    </w:p>
    <w:p w14:paraId="4F153EB2" w14:textId="77777777" w:rsidR="00921405" w:rsidRDefault="00921405" w:rsidP="00921405">
      <w:pPr>
        <w:jc w:val="both"/>
        <w:rPr>
          <w:rFonts w:ascii="Calibri" w:hAnsi="Calibri" w:cs="Calibri"/>
        </w:rPr>
      </w:pPr>
      <w:r>
        <w:rPr>
          <w:rFonts w:ascii="Calibri" w:hAnsi="Calibri" w:cs="Calibri"/>
        </w:rPr>
        <w:t xml:space="preserve">The fifth element of the NDM is to </w:t>
      </w:r>
      <w:proofErr w:type="gramStart"/>
      <w:r>
        <w:rPr>
          <w:rFonts w:ascii="Calibri" w:hAnsi="Calibri" w:cs="Calibri"/>
        </w:rPr>
        <w:t>take action</w:t>
      </w:r>
      <w:proofErr w:type="gramEnd"/>
      <w:r>
        <w:rPr>
          <w:rFonts w:ascii="Calibri" w:hAnsi="Calibri" w:cs="Calibri"/>
        </w:rPr>
        <w:t xml:space="preserve">, therefore implementing your decisions on the situation. For example, from my observations of the male, along with the information that he was under the influence, and him admitting to me that he had had some alcohol to drink that day, I knew that it was a possibility that he would record a result over the legal limit and result in him being arrested, however I needed to take lawful action and breathalyse him before taking further action. The second phase of this element is to review your actions. When reviewing your performance at an incident, you can highlight what you did well, areas to improve and alternative actions that could have been taken. </w:t>
      </w:r>
      <w:r>
        <w:rPr>
          <w:rFonts w:ascii="Calibri" w:hAnsi="Calibri" w:cs="Calibri"/>
        </w:rPr>
        <w:lastRenderedPageBreak/>
        <w:t xml:space="preserve">Discussing these measures with your colleagues or supervisors may be beneficial, as they may be able to review it from an alternative perspective. </w:t>
      </w:r>
    </w:p>
    <w:p w14:paraId="7D13180A" w14:textId="77777777" w:rsidR="00921405" w:rsidRDefault="00921405" w:rsidP="00921405">
      <w:pPr>
        <w:jc w:val="both"/>
        <w:rPr>
          <w:rFonts w:ascii="Calibri" w:hAnsi="Calibri" w:cs="Calibri"/>
        </w:rPr>
      </w:pPr>
    </w:p>
    <w:p w14:paraId="608E2E9E" w14:textId="77777777" w:rsidR="00921405" w:rsidRDefault="00921405" w:rsidP="00921405">
      <w:pPr>
        <w:jc w:val="both"/>
      </w:pPr>
      <w:r>
        <w:rPr>
          <w:rFonts w:ascii="Calibri" w:hAnsi="Calibri" w:cs="Calibri"/>
        </w:rPr>
        <w:t xml:space="preserve">The final element which sits at the core of the NDM, is the Code </w:t>
      </w:r>
      <w:proofErr w:type="gramStart"/>
      <w:r>
        <w:rPr>
          <w:rFonts w:ascii="Calibri" w:hAnsi="Calibri" w:cs="Calibri"/>
        </w:rPr>
        <w:t>Of</w:t>
      </w:r>
      <w:proofErr w:type="gramEnd"/>
      <w:r>
        <w:rPr>
          <w:rFonts w:ascii="Calibri" w:hAnsi="Calibri" w:cs="Calibri"/>
        </w:rPr>
        <w:t xml:space="preserve"> Ethics (COE). The public is less likely to support the police in upholding the law if they lack the confidence to believe that the police will be fair, ethical, and operating in their best interests, and it is the COE that sets the professional standard for officers to follow (College </w:t>
      </w:r>
      <w:proofErr w:type="gramStart"/>
      <w:r>
        <w:rPr>
          <w:rFonts w:ascii="Calibri" w:hAnsi="Calibri" w:cs="Calibri"/>
        </w:rPr>
        <w:t>Of</w:t>
      </w:r>
      <w:proofErr w:type="gramEnd"/>
      <w:r>
        <w:rPr>
          <w:rFonts w:ascii="Calibri" w:hAnsi="Calibri" w:cs="Calibri"/>
        </w:rPr>
        <w:t xml:space="preserve"> Policing, 2014). College Of Policing states that the COE is about self-awareness, empowering officers to act honourably, and having the confidence to challenge coworkers regardless of their rank or position within the police (2014). The COE comprises of the nine policing principles that are essential in the lawful execution of our duty, and the ten standards of professional policing, underpinning the importance of what is expected of us as police officers (College </w:t>
      </w:r>
      <w:proofErr w:type="gramStart"/>
      <w:r>
        <w:rPr>
          <w:rFonts w:ascii="Calibri" w:hAnsi="Calibri" w:cs="Calibri"/>
        </w:rPr>
        <w:t>Of</w:t>
      </w:r>
      <w:proofErr w:type="gramEnd"/>
      <w:r>
        <w:rPr>
          <w:rFonts w:ascii="Calibri" w:hAnsi="Calibri" w:cs="Calibri"/>
        </w:rPr>
        <w:t xml:space="preserve"> Policing, 2019).</w:t>
      </w:r>
    </w:p>
    <w:p w14:paraId="499F4E52" w14:textId="77777777" w:rsidR="00921405" w:rsidRDefault="00921405" w:rsidP="00921405">
      <w:pPr>
        <w:jc w:val="both"/>
        <w:rPr>
          <w:rFonts w:ascii="Calibri" w:hAnsi="Calibri" w:cs="Calibri"/>
        </w:rPr>
      </w:pPr>
    </w:p>
    <w:p w14:paraId="7F8C8158" w14:textId="77777777" w:rsidR="00921405" w:rsidRDefault="00921405" w:rsidP="00921405">
      <w:pPr>
        <w:jc w:val="both"/>
        <w:rPr>
          <w:rFonts w:ascii="Calibri" w:hAnsi="Calibri" w:cs="Calibri"/>
        </w:rPr>
      </w:pPr>
      <w:r>
        <w:rPr>
          <w:rFonts w:ascii="Calibri" w:hAnsi="Calibri" w:cs="Calibri"/>
        </w:rPr>
        <w:t>I believe that I dealt with the incident well considering that I am not overly confident with traffic legislation and have not had much exposure to traffic offences during my tutorship. I feel as though I conducted myself well throughout the incident and represented the policing principles competently. When dealing with people, I believe it is crucial to treat everyone, whether it be the victim, a witness, or the offender, with fairness and respect. By doing so, you are treating them how you would like to be treated, and it may reduce any existing tensions. Using an offender for example, if they feel as though they are not being treated fairly, they may choose to be more aggressive and noncompliant, which may, but not always be avoidable if they are addressed fairly. With the information that was presented to me upon attending the RTC, I was objective in my decision-making using evidence in the form of the established circumstances and the breathalyser result from the male driver which proved he was over the prescribed limit. Officers must not allow their personal opinions or feelings influence their actions, acting on only what is known to them about the incident or what you learn when at scene. I was accountable for my decisions at the scene, answering to the custody sergeant and to my supervisor. Given the circumstances of the incident, there was no resistance regarding my decision to arrest the offender or how I conducted myself.</w:t>
      </w:r>
    </w:p>
    <w:p w14:paraId="4C4AF9D7" w14:textId="77777777" w:rsidR="00921405" w:rsidRDefault="00921405" w:rsidP="00921405">
      <w:pPr>
        <w:jc w:val="both"/>
        <w:rPr>
          <w:rFonts w:ascii="Calibri" w:hAnsi="Calibri" w:cs="Calibri"/>
        </w:rPr>
      </w:pPr>
      <w:r>
        <w:rPr>
          <w:rFonts w:ascii="Calibri" w:hAnsi="Calibri" w:cs="Calibri"/>
        </w:rPr>
        <w:t>The Criminal Procedure and Investigations Act (CPIA, 1996) is a piece of legislation that was enacted to ensure fair trial and efficient investigations, governing the conduct of criminal investigations and the handling of evidence. The act outlines how officers are to record, retain, and reveal material gathered throughout the investigation that may be pertinent to the inquiry (GOV.UK, 2015). The CPIA is important for regulating police conduct during criminal investigations and to safeguard the rights of suspects, ensure a fair trial, and maintain public confidence in the criminal justice system (CJS). It places significant responsibilities on the police to adhere to specific procedures and protocols while conducting investigations (GOV.UK, 2015).</w:t>
      </w:r>
    </w:p>
    <w:p w14:paraId="735F8418" w14:textId="77777777" w:rsidR="00921405" w:rsidRDefault="00921405" w:rsidP="00921405">
      <w:pPr>
        <w:jc w:val="both"/>
        <w:rPr>
          <w:rFonts w:ascii="Calibri" w:hAnsi="Calibri" w:cs="Calibri"/>
        </w:rPr>
      </w:pPr>
    </w:p>
    <w:p w14:paraId="325B8880" w14:textId="77777777" w:rsidR="00921405" w:rsidRDefault="00921405" w:rsidP="00921405">
      <w:pPr>
        <w:jc w:val="both"/>
        <w:rPr>
          <w:rFonts w:ascii="Calibri" w:hAnsi="Calibri" w:cs="Calibri"/>
        </w:rPr>
      </w:pPr>
      <w:r>
        <w:rPr>
          <w:rFonts w:ascii="Calibri" w:hAnsi="Calibri" w:cs="Calibri"/>
        </w:rPr>
        <w:t>I was the Officer in charge (OIC) in the above-mentioned occurrence and was responsible for directing the investigation (GOV.UK, 2015) and pursuing all reasonable lines of enquiry whether these point towards or away from the defendant (</w:t>
      </w:r>
      <w:proofErr w:type="spellStart"/>
      <w:r>
        <w:rPr>
          <w:rFonts w:ascii="Calibri" w:hAnsi="Calibri" w:cs="Calibri"/>
        </w:rPr>
        <w:t>Sancus</w:t>
      </w:r>
      <w:proofErr w:type="spellEnd"/>
      <w:r>
        <w:rPr>
          <w:rFonts w:ascii="Calibri" w:hAnsi="Calibri" w:cs="Calibri"/>
        </w:rPr>
        <w:t xml:space="preserve"> solutions, 2013). Officers can conveniently record information directly on to the incident log using their issued Electronic Pocket Notebooks (EPNB’s), updating anyone involved. Whilst at scene, I was actively updating the log, inputting the male’s details, and liaising with the control room to request a person’s check over the radio. After arresting the male, using my EPNB I selected an ‘arrest template’, which after completing with the relevant information regarding the incident, for example the defendants name, circumstance of arrest and the necessity, was then recorded on the log. </w:t>
      </w:r>
    </w:p>
    <w:p w14:paraId="7C907308" w14:textId="77777777" w:rsidR="00921405" w:rsidRDefault="00921405" w:rsidP="00921405">
      <w:pPr>
        <w:jc w:val="both"/>
        <w:rPr>
          <w:rFonts w:ascii="Calibri" w:hAnsi="Calibri" w:cs="Calibri"/>
        </w:rPr>
      </w:pPr>
    </w:p>
    <w:p w14:paraId="4C9A069F" w14:textId="77777777" w:rsidR="00921405" w:rsidRDefault="00921405" w:rsidP="00921405">
      <w:pPr>
        <w:jc w:val="both"/>
        <w:rPr>
          <w:rFonts w:ascii="Calibri" w:hAnsi="Calibri" w:cs="Calibri"/>
        </w:rPr>
      </w:pPr>
      <w:r>
        <w:rPr>
          <w:rFonts w:ascii="Calibri" w:hAnsi="Calibri" w:cs="Calibri"/>
        </w:rPr>
        <w:t xml:space="preserve">When the custody sergeant deemed it suitable that the offender was sober enough to be interviewed, I attended custody to conduct the interview. Every suspect is eligible to receive free legal representation during interviews in line with the CPIA, however he declined the offer. The purpose of the interview is to establish what happened, to provide their account and provide any defences or alibis (College </w:t>
      </w:r>
      <w:proofErr w:type="gramStart"/>
      <w:r>
        <w:rPr>
          <w:rFonts w:ascii="Calibri" w:hAnsi="Calibri" w:cs="Calibri"/>
        </w:rPr>
        <w:t>Of</w:t>
      </w:r>
      <w:proofErr w:type="gramEnd"/>
      <w:r>
        <w:rPr>
          <w:rFonts w:ascii="Calibri" w:hAnsi="Calibri" w:cs="Calibri"/>
        </w:rPr>
        <w:t xml:space="preserve"> Policing, 2013). During the interview they may admit to the offence for which they were arrested, partially admit to it, deny having committed the offence or go ‘no comment’. Every suspect is entitled to the right of a fair trial under the European Convention on Human Rights (ECHR) act (2022), with the police remaining impartial and ensuring that they are receiving their right (Harfield, 2009). The CPIA requires officers to take detailed and accurate statements from witnesses and the aggrieved, providing officers with crucial insight into the incident (College </w:t>
      </w:r>
      <w:proofErr w:type="gramStart"/>
      <w:r>
        <w:rPr>
          <w:rFonts w:ascii="Calibri" w:hAnsi="Calibri" w:cs="Calibri"/>
        </w:rPr>
        <w:t>Of</w:t>
      </w:r>
      <w:proofErr w:type="gramEnd"/>
      <w:r>
        <w:rPr>
          <w:rFonts w:ascii="Calibri" w:hAnsi="Calibri" w:cs="Calibri"/>
        </w:rPr>
        <w:t xml:space="preserve"> Policing, 2013). </w:t>
      </w:r>
    </w:p>
    <w:p w14:paraId="23B1A7A2" w14:textId="77777777" w:rsidR="00921405" w:rsidRDefault="00921405" w:rsidP="00921405">
      <w:pPr>
        <w:jc w:val="both"/>
        <w:rPr>
          <w:rFonts w:ascii="Calibri" w:hAnsi="Calibri" w:cs="Calibri"/>
        </w:rPr>
      </w:pPr>
    </w:p>
    <w:p w14:paraId="4BFCE065" w14:textId="77777777" w:rsidR="00921405" w:rsidRDefault="00921405" w:rsidP="00921405">
      <w:pPr>
        <w:rPr>
          <w:rFonts w:ascii="Calibri" w:hAnsi="Calibri" w:cs="Calibri"/>
        </w:rPr>
      </w:pPr>
      <w:r>
        <w:rPr>
          <w:rFonts w:ascii="Calibri" w:hAnsi="Calibri" w:cs="Calibri"/>
        </w:rPr>
        <w:t>WORD COUNT 1925 (1750)</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7BAB0E7" w14:textId="77777777" w:rsidR="009A51C4" w:rsidRPr="00372A15" w:rsidRDefault="009A51C4" w:rsidP="009A51C4">
      <w:pPr>
        <w:pStyle w:val="ListParagraph"/>
        <w:numPr>
          <w:ilvl w:val="0"/>
          <w:numId w:val="51"/>
        </w:numPr>
        <w:suppressAutoHyphens/>
        <w:overflowPunct/>
        <w:autoSpaceDE/>
        <w:autoSpaceDN/>
        <w:adjustRightInd/>
        <w:spacing w:before="100" w:beforeAutospacing="1" w:after="100" w:afterAutospacing="1"/>
        <w:textAlignment w:val="auto"/>
        <w:rPr>
          <w:rFonts w:asciiTheme="minorHAnsi" w:hAnsiTheme="minorHAnsi" w:cstheme="minorHAnsi"/>
        </w:rPr>
      </w:pPr>
      <w:r w:rsidRPr="00372A15">
        <w:rPr>
          <w:rFonts w:asciiTheme="minorHAnsi" w:hAnsiTheme="minorHAnsi" w:cstheme="minorHAnsi"/>
          <w:i/>
          <w:iCs/>
        </w:rPr>
        <w:t>About us: Nice public safety &amp; justice</w:t>
      </w:r>
      <w:r w:rsidRPr="00372A15">
        <w:rPr>
          <w:rFonts w:asciiTheme="minorHAnsi" w:hAnsiTheme="minorHAnsi" w:cstheme="minorHAnsi"/>
        </w:rPr>
        <w:t xml:space="preserve"> (2023) </w:t>
      </w:r>
      <w:r w:rsidRPr="00372A15">
        <w:rPr>
          <w:rFonts w:asciiTheme="minorHAnsi" w:hAnsiTheme="minorHAnsi" w:cstheme="minorHAnsi"/>
          <w:i/>
          <w:iCs/>
        </w:rPr>
        <w:t>NICE</w:t>
      </w:r>
      <w:r w:rsidRPr="00372A15">
        <w:rPr>
          <w:rFonts w:asciiTheme="minorHAnsi" w:hAnsiTheme="minorHAnsi" w:cstheme="minorHAnsi"/>
        </w:rPr>
        <w:t xml:space="preserve">. Available at: https://www.nicepublicsafety.com/about-us (Accessed: 02 October 2023). </w:t>
      </w:r>
    </w:p>
    <w:p w14:paraId="20213602"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sz w:val="20"/>
          <w:szCs w:val="20"/>
        </w:rPr>
        <w:t xml:space="preserve">Cleaver, K. </w:t>
      </w:r>
      <w:r w:rsidRPr="00372A15">
        <w:rPr>
          <w:rFonts w:asciiTheme="minorHAnsi" w:hAnsiTheme="minorHAnsi" w:cstheme="minorHAnsi"/>
          <w:i/>
          <w:iCs/>
          <w:sz w:val="20"/>
          <w:szCs w:val="20"/>
        </w:rPr>
        <w:t>et al.</w:t>
      </w:r>
      <w:r w:rsidRPr="00372A15">
        <w:rPr>
          <w:rFonts w:asciiTheme="minorHAnsi" w:hAnsiTheme="minorHAnsi" w:cstheme="minorHAnsi"/>
          <w:sz w:val="20"/>
          <w:szCs w:val="20"/>
        </w:rPr>
        <w:t xml:space="preserve"> (2019) ‘A review of UK based multi-agency approaches to early intervention in domestic abuse: Lessons to be learnt from existing evaluation studies’, </w:t>
      </w:r>
      <w:r w:rsidRPr="00372A15">
        <w:rPr>
          <w:rFonts w:asciiTheme="minorHAnsi" w:hAnsiTheme="minorHAnsi" w:cstheme="minorHAnsi"/>
          <w:i/>
          <w:iCs/>
          <w:sz w:val="20"/>
          <w:szCs w:val="20"/>
        </w:rPr>
        <w:t>Aggression and Violent Behaviour</w:t>
      </w:r>
      <w:r w:rsidRPr="00372A15">
        <w:rPr>
          <w:rFonts w:asciiTheme="minorHAnsi" w:hAnsiTheme="minorHAnsi" w:cstheme="minorHAnsi"/>
          <w:sz w:val="20"/>
          <w:szCs w:val="20"/>
        </w:rPr>
        <w:t xml:space="preserve">, 46, pp. 140–155. </w:t>
      </w:r>
      <w:proofErr w:type="gramStart"/>
      <w:r w:rsidRPr="00372A15">
        <w:rPr>
          <w:rFonts w:asciiTheme="minorHAnsi" w:hAnsiTheme="minorHAnsi" w:cstheme="minorHAnsi"/>
          <w:sz w:val="20"/>
          <w:szCs w:val="20"/>
        </w:rPr>
        <w:t>doi:10.1016/j.avb</w:t>
      </w:r>
      <w:proofErr w:type="gramEnd"/>
      <w:r w:rsidRPr="00372A15">
        <w:rPr>
          <w:rFonts w:asciiTheme="minorHAnsi" w:hAnsiTheme="minorHAnsi" w:cstheme="minorHAnsi"/>
          <w:sz w:val="20"/>
          <w:szCs w:val="20"/>
        </w:rPr>
        <w:t xml:space="preserve">.2019.02.005. </w:t>
      </w:r>
    </w:p>
    <w:p w14:paraId="3521A506" w14:textId="77777777" w:rsidR="009A51C4" w:rsidRPr="00372A15" w:rsidRDefault="009A51C4" w:rsidP="009A51C4">
      <w:pPr>
        <w:pStyle w:val="ListParagraph"/>
        <w:numPr>
          <w:ilvl w:val="0"/>
          <w:numId w:val="51"/>
        </w:numPr>
        <w:suppressAutoHyphens/>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Code of practice - gov.uk</w:t>
      </w:r>
      <w:r w:rsidRPr="00372A15">
        <w:rPr>
          <w:rFonts w:asciiTheme="minorHAnsi" w:hAnsiTheme="minorHAnsi" w:cstheme="minorHAnsi"/>
        </w:rPr>
        <w:t xml:space="preserve"> (2015) </w:t>
      </w:r>
      <w:r w:rsidRPr="00372A15">
        <w:rPr>
          <w:rFonts w:asciiTheme="minorHAnsi" w:hAnsiTheme="minorHAnsi" w:cstheme="minorHAnsi"/>
          <w:i/>
          <w:iCs/>
        </w:rPr>
        <w:t>GOV.UK</w:t>
      </w:r>
      <w:r w:rsidRPr="00372A15">
        <w:rPr>
          <w:rFonts w:asciiTheme="minorHAnsi" w:hAnsiTheme="minorHAnsi" w:cstheme="minorHAnsi"/>
        </w:rPr>
        <w:t xml:space="preserve">. Available at: https://assets.publishing.service.gov.uk/government/uploads/system/uploads/attachment_data/file/447967/code-of-practice-approved.pdf (Accessed: 15 September 2023). </w:t>
      </w:r>
    </w:p>
    <w:p w14:paraId="66C496CB"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Conflict management skills</w:t>
      </w:r>
      <w:r w:rsidRPr="00372A15">
        <w:rPr>
          <w:rFonts w:asciiTheme="minorHAnsi" w:hAnsiTheme="minorHAnsi" w:cstheme="minorHAnsi"/>
        </w:rPr>
        <w:t xml:space="preserve"> (2020) </w:t>
      </w:r>
      <w:r w:rsidRPr="00372A15">
        <w:rPr>
          <w:rFonts w:asciiTheme="minorHAnsi" w:hAnsiTheme="minorHAnsi" w:cstheme="minorHAnsi"/>
          <w:i/>
          <w:iCs/>
        </w:rPr>
        <w:t>College of Policing</w:t>
      </w:r>
      <w:r w:rsidRPr="00372A15">
        <w:rPr>
          <w:rFonts w:asciiTheme="minorHAnsi" w:hAnsiTheme="minorHAnsi" w:cstheme="minorHAnsi"/>
        </w:rPr>
        <w:t xml:space="preserve">. Available at: https://www.college.police.uk/guidance/conflict-management/conflict-management-skills#example-model-leaps-personal-safety-manual (Accessed: 06 August 2023). </w:t>
      </w:r>
    </w:p>
    <w:p w14:paraId="1ED9CBC1"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Conflict management skills</w:t>
      </w:r>
      <w:r w:rsidRPr="00372A15">
        <w:rPr>
          <w:rFonts w:asciiTheme="minorHAnsi" w:hAnsiTheme="minorHAnsi" w:cstheme="minorHAnsi"/>
        </w:rPr>
        <w:t xml:space="preserve"> (2020) </w:t>
      </w:r>
      <w:r w:rsidRPr="00372A15">
        <w:rPr>
          <w:rFonts w:asciiTheme="minorHAnsi" w:hAnsiTheme="minorHAnsi" w:cstheme="minorHAnsi"/>
          <w:i/>
          <w:iCs/>
        </w:rPr>
        <w:t>College of Policing</w:t>
      </w:r>
      <w:r w:rsidRPr="00372A15">
        <w:rPr>
          <w:rFonts w:asciiTheme="minorHAnsi" w:hAnsiTheme="minorHAnsi" w:cstheme="minorHAnsi"/>
        </w:rPr>
        <w:t xml:space="preserve">. Available at: https://www.college.police.uk/guidance/conflict-management/conflict-management-skills (Accessed: 24 August 2023). </w:t>
      </w:r>
    </w:p>
    <w:p w14:paraId="246A7512"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Dwyer, R.J., </w:t>
      </w:r>
      <w:proofErr w:type="spellStart"/>
      <w:r w:rsidRPr="00372A15">
        <w:rPr>
          <w:rFonts w:asciiTheme="minorHAnsi" w:hAnsiTheme="minorHAnsi" w:cstheme="minorHAnsi"/>
        </w:rPr>
        <w:t>Kushlev</w:t>
      </w:r>
      <w:proofErr w:type="spellEnd"/>
      <w:r w:rsidRPr="00372A15">
        <w:rPr>
          <w:rFonts w:asciiTheme="minorHAnsi" w:hAnsiTheme="minorHAnsi" w:cstheme="minorHAnsi"/>
        </w:rPr>
        <w:t xml:space="preserve">, K. and Dunn, E.W. (2018) ‘Smartphone use undermines enjoyment of face-to-face social interactions’, </w:t>
      </w:r>
      <w:r w:rsidRPr="00372A15">
        <w:rPr>
          <w:rFonts w:asciiTheme="minorHAnsi" w:hAnsiTheme="minorHAnsi" w:cstheme="minorHAnsi"/>
          <w:i/>
          <w:iCs/>
        </w:rPr>
        <w:t>Journal of Experimental Social Psychology</w:t>
      </w:r>
      <w:r w:rsidRPr="00372A15">
        <w:rPr>
          <w:rFonts w:asciiTheme="minorHAnsi" w:hAnsiTheme="minorHAnsi" w:cstheme="minorHAnsi"/>
        </w:rPr>
        <w:t xml:space="preserve">, 78, pp. 233–239. </w:t>
      </w:r>
      <w:proofErr w:type="gramStart"/>
      <w:r w:rsidRPr="00372A15">
        <w:rPr>
          <w:rFonts w:asciiTheme="minorHAnsi" w:hAnsiTheme="minorHAnsi" w:cstheme="minorHAnsi"/>
        </w:rPr>
        <w:t>doi:10.1016/j.jesp</w:t>
      </w:r>
      <w:proofErr w:type="gramEnd"/>
      <w:r w:rsidRPr="00372A15">
        <w:rPr>
          <w:rFonts w:asciiTheme="minorHAnsi" w:hAnsiTheme="minorHAnsi" w:cstheme="minorHAnsi"/>
        </w:rPr>
        <w:t xml:space="preserve">.2017.10.007. </w:t>
      </w:r>
    </w:p>
    <w:p w14:paraId="2319F1BB" w14:textId="77777777" w:rsidR="009A51C4" w:rsidRPr="00372A15" w:rsidRDefault="009A51C4" w:rsidP="009A51C4">
      <w:pPr>
        <w:pStyle w:val="ListParagraph"/>
        <w:numPr>
          <w:ilvl w:val="0"/>
          <w:numId w:val="51"/>
        </w:numPr>
        <w:suppressAutoHyphens/>
        <w:overflowPunct/>
        <w:autoSpaceDE/>
        <w:adjustRightInd/>
        <w:textAlignment w:val="auto"/>
        <w:rPr>
          <w:rFonts w:asciiTheme="minorHAnsi" w:hAnsiTheme="minorHAnsi" w:cstheme="minorHAnsi"/>
        </w:rPr>
      </w:pPr>
      <w:r w:rsidRPr="00372A15">
        <w:rPr>
          <w:rFonts w:asciiTheme="minorHAnsi" w:hAnsiTheme="minorHAnsi" w:cstheme="minorHAnsi"/>
          <w:color w:val="222222"/>
          <w:shd w:val="clear" w:color="auto" w:fill="FFFFFF"/>
        </w:rPr>
        <w:t>Edenfield, T.M. and Blumenthal, J.A., (2011) Exercise and stress reduction. </w:t>
      </w:r>
      <w:r w:rsidRPr="00372A15">
        <w:rPr>
          <w:rFonts w:asciiTheme="minorHAnsi" w:hAnsiTheme="minorHAnsi" w:cstheme="minorHAnsi"/>
          <w:i/>
          <w:iCs/>
          <w:color w:val="222222"/>
          <w:shd w:val="clear" w:color="auto" w:fill="FFFFFF"/>
        </w:rPr>
        <w:t>The handbook of stress science: Biology, psychology, and health</w:t>
      </w:r>
      <w:r w:rsidRPr="00372A15">
        <w:rPr>
          <w:rFonts w:asciiTheme="minorHAnsi" w:hAnsiTheme="minorHAnsi" w:cstheme="minorHAnsi"/>
          <w:color w:val="222222"/>
          <w:shd w:val="clear" w:color="auto" w:fill="FFFFFF"/>
        </w:rPr>
        <w:t>, pp.301-319.</w:t>
      </w:r>
    </w:p>
    <w:p w14:paraId="355B63A2" w14:textId="77777777" w:rsidR="009A51C4" w:rsidRPr="00372A15" w:rsidRDefault="009A51C4" w:rsidP="009A51C4">
      <w:pPr>
        <w:pStyle w:val="ListParagraph"/>
        <w:numPr>
          <w:ilvl w:val="0"/>
          <w:numId w:val="51"/>
        </w:numPr>
        <w:suppressAutoHyphens/>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European Convention on Human Rights - article 6</w:t>
      </w:r>
      <w:r w:rsidRPr="00372A15">
        <w:rPr>
          <w:rFonts w:asciiTheme="minorHAnsi" w:hAnsiTheme="minorHAnsi" w:cstheme="minorHAnsi"/>
        </w:rPr>
        <w:t xml:space="preserve"> (2022) </w:t>
      </w:r>
      <w:r w:rsidRPr="00372A15">
        <w:rPr>
          <w:rFonts w:asciiTheme="minorHAnsi" w:hAnsiTheme="minorHAnsi" w:cstheme="minorHAnsi"/>
          <w:i/>
          <w:iCs/>
        </w:rPr>
        <w:t>European Union Agency for Fundamental Rights</w:t>
      </w:r>
      <w:r w:rsidRPr="00372A15">
        <w:rPr>
          <w:rFonts w:asciiTheme="minorHAnsi" w:hAnsiTheme="minorHAnsi" w:cstheme="minorHAnsi"/>
        </w:rPr>
        <w:t xml:space="preserve">. Available at: https://fra.europa.eu/en/law-reference/european-convention-human-rights-article-6 (Accessed: 15 September 2023). </w:t>
      </w:r>
    </w:p>
    <w:p w14:paraId="0E0A0962"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 xml:space="preserve">Exercising to relax - </w:t>
      </w:r>
      <w:proofErr w:type="spellStart"/>
      <w:r w:rsidRPr="00372A15">
        <w:rPr>
          <w:rFonts w:asciiTheme="minorHAnsi" w:hAnsiTheme="minorHAnsi" w:cstheme="minorHAnsi"/>
          <w:i/>
          <w:iCs/>
        </w:rPr>
        <w:t>harvard</w:t>
      </w:r>
      <w:proofErr w:type="spellEnd"/>
      <w:r w:rsidRPr="00372A15">
        <w:rPr>
          <w:rFonts w:asciiTheme="minorHAnsi" w:hAnsiTheme="minorHAnsi" w:cstheme="minorHAnsi"/>
          <w:i/>
          <w:iCs/>
        </w:rPr>
        <w:t xml:space="preserve"> health publishing</w:t>
      </w:r>
      <w:r w:rsidRPr="00372A15">
        <w:rPr>
          <w:rFonts w:asciiTheme="minorHAnsi" w:hAnsiTheme="minorHAnsi" w:cstheme="minorHAnsi"/>
        </w:rPr>
        <w:t xml:space="preserve"> (2020) </w:t>
      </w:r>
      <w:r w:rsidRPr="00372A15">
        <w:rPr>
          <w:rFonts w:asciiTheme="minorHAnsi" w:hAnsiTheme="minorHAnsi" w:cstheme="minorHAnsi"/>
          <w:i/>
          <w:iCs/>
        </w:rPr>
        <w:t>Harvard Health</w:t>
      </w:r>
      <w:r w:rsidRPr="00372A15">
        <w:rPr>
          <w:rFonts w:asciiTheme="minorHAnsi" w:hAnsiTheme="minorHAnsi" w:cstheme="minorHAnsi"/>
        </w:rPr>
        <w:t xml:space="preserve">. Available at: https://www.health.harvard.edu/staying-healthy/exercising-to-relax (Accessed: 25 July 2023). </w:t>
      </w:r>
    </w:p>
    <w:p w14:paraId="3216ABAD"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GOV.UK (2014) </w:t>
      </w:r>
      <w:r w:rsidRPr="00372A15">
        <w:rPr>
          <w:rFonts w:asciiTheme="minorHAnsi" w:hAnsiTheme="minorHAnsi" w:cstheme="minorHAnsi"/>
          <w:i/>
          <w:iCs/>
        </w:rPr>
        <w:t>The Drink Drive Limit</w:t>
      </w:r>
      <w:r w:rsidRPr="00372A15">
        <w:rPr>
          <w:rFonts w:asciiTheme="minorHAnsi" w:hAnsiTheme="minorHAnsi" w:cstheme="minorHAnsi"/>
        </w:rPr>
        <w:t xml:space="preserve">, </w:t>
      </w:r>
      <w:r w:rsidRPr="00372A15">
        <w:rPr>
          <w:rFonts w:asciiTheme="minorHAnsi" w:hAnsiTheme="minorHAnsi" w:cstheme="minorHAnsi"/>
          <w:i/>
          <w:iCs/>
        </w:rPr>
        <w:t>GOV.UK</w:t>
      </w:r>
      <w:r w:rsidRPr="00372A15">
        <w:rPr>
          <w:rFonts w:asciiTheme="minorHAnsi" w:hAnsiTheme="minorHAnsi" w:cstheme="minorHAnsi"/>
        </w:rPr>
        <w:t xml:space="preserve">. Available at: https://www.gov.uk/drink-drive-limit (Accessed: 11 September 2023). </w:t>
      </w:r>
    </w:p>
    <w:p w14:paraId="2AC4D2BB" w14:textId="77777777" w:rsidR="009A51C4" w:rsidRPr="00372A15" w:rsidRDefault="009A51C4" w:rsidP="009A51C4">
      <w:pPr>
        <w:pStyle w:val="ListParagraph"/>
        <w:numPr>
          <w:ilvl w:val="0"/>
          <w:numId w:val="51"/>
        </w:numPr>
        <w:suppressAutoHyphens/>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Harfield, C. (2009) </w:t>
      </w:r>
      <w:r w:rsidRPr="00372A15">
        <w:rPr>
          <w:rFonts w:asciiTheme="minorHAnsi" w:hAnsiTheme="minorHAnsi" w:cstheme="minorHAnsi"/>
          <w:i/>
          <w:iCs/>
        </w:rPr>
        <w:t>Blackstone’s Police Operational Handbook: Practice and procedure</w:t>
      </w:r>
      <w:r w:rsidRPr="00372A15">
        <w:rPr>
          <w:rFonts w:asciiTheme="minorHAnsi" w:hAnsiTheme="minorHAnsi" w:cstheme="minorHAnsi"/>
        </w:rPr>
        <w:t xml:space="preserve">. Oxford: Oxford University Press. </w:t>
      </w:r>
    </w:p>
    <w:p w14:paraId="5BD52354"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Hate crime</w:t>
      </w:r>
      <w:r w:rsidRPr="00372A15">
        <w:rPr>
          <w:rFonts w:asciiTheme="minorHAnsi" w:hAnsiTheme="minorHAnsi" w:cstheme="minorHAnsi"/>
        </w:rPr>
        <w:t xml:space="preserve"> (no date) </w:t>
      </w:r>
      <w:r w:rsidRPr="00372A15">
        <w:rPr>
          <w:rFonts w:asciiTheme="minorHAnsi" w:hAnsiTheme="minorHAnsi" w:cstheme="minorHAnsi"/>
          <w:i/>
          <w:iCs/>
        </w:rPr>
        <w:t>The Crown Prosecution Service</w:t>
      </w:r>
      <w:r w:rsidRPr="00372A15">
        <w:rPr>
          <w:rFonts w:asciiTheme="minorHAnsi" w:hAnsiTheme="minorHAnsi" w:cstheme="minorHAnsi"/>
        </w:rPr>
        <w:t xml:space="preserve">. Available at: https://www.cps.gov.uk/crime-info/hate-crime (Accessed: 04 September 2023). </w:t>
      </w:r>
    </w:p>
    <w:p w14:paraId="1AB92DBA"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Hilder, S. and Bettinson, V. (2016) </w:t>
      </w:r>
      <w:r w:rsidRPr="00372A15">
        <w:rPr>
          <w:rFonts w:asciiTheme="minorHAnsi" w:hAnsiTheme="minorHAnsi" w:cstheme="minorHAnsi"/>
          <w:i/>
          <w:iCs/>
        </w:rPr>
        <w:t>Domestic violence: Interdisciplinary perspectives on protection, prevention and intervention</w:t>
      </w:r>
      <w:proofErr w:type="gramStart"/>
      <w:r w:rsidRPr="00372A15">
        <w:rPr>
          <w:rFonts w:asciiTheme="minorHAnsi" w:hAnsiTheme="minorHAnsi" w:cstheme="minorHAnsi"/>
          <w:i/>
          <w:iCs/>
        </w:rPr>
        <w:t xml:space="preserve">. </w:t>
      </w:r>
      <w:r w:rsidRPr="00372A15">
        <w:rPr>
          <w:rFonts w:asciiTheme="minorHAnsi" w:hAnsiTheme="minorHAnsi" w:cstheme="minorHAnsi"/>
        </w:rPr>
        <w:t>.</w:t>
      </w:r>
      <w:proofErr w:type="gramEnd"/>
      <w:r w:rsidRPr="00372A15">
        <w:rPr>
          <w:rFonts w:asciiTheme="minorHAnsi" w:hAnsiTheme="minorHAnsi" w:cstheme="minorHAnsi"/>
        </w:rPr>
        <w:t xml:space="preserve"> Palgrave Macmillan, UK. </w:t>
      </w:r>
    </w:p>
    <w:p w14:paraId="4D1BF4BD" w14:textId="77777777" w:rsidR="009A51C4" w:rsidRPr="00372A15" w:rsidRDefault="009A51C4" w:rsidP="009A51C4">
      <w:pPr>
        <w:pStyle w:val="ListParagraph"/>
        <w:numPr>
          <w:ilvl w:val="0"/>
          <w:numId w:val="51"/>
        </w:numPr>
        <w:suppressAutoHyphens/>
        <w:overflowPunct/>
        <w:autoSpaceDE/>
        <w:adjustRightInd/>
        <w:textAlignment w:val="auto"/>
        <w:rPr>
          <w:rFonts w:asciiTheme="minorHAnsi" w:hAnsiTheme="minorHAnsi" w:cstheme="minorHAnsi"/>
        </w:rPr>
      </w:pPr>
      <w:r w:rsidRPr="00372A15">
        <w:rPr>
          <w:rFonts w:asciiTheme="minorHAnsi" w:hAnsiTheme="minorHAnsi" w:cstheme="minorHAnsi"/>
          <w:color w:val="222222"/>
          <w:shd w:val="clear" w:color="auto" w:fill="FFFFFF"/>
        </w:rPr>
        <w:t>Himes, J.S., (2008) </w:t>
      </w:r>
      <w:r w:rsidRPr="00372A15">
        <w:rPr>
          <w:rFonts w:asciiTheme="minorHAnsi" w:hAnsiTheme="minorHAnsi" w:cstheme="minorHAnsi"/>
          <w:i/>
          <w:iCs/>
          <w:color w:val="222222"/>
          <w:shd w:val="clear" w:color="auto" w:fill="FFFFFF"/>
        </w:rPr>
        <w:t>Conflict and conflict management</w:t>
      </w:r>
      <w:r w:rsidRPr="00372A15">
        <w:rPr>
          <w:rFonts w:asciiTheme="minorHAnsi" w:hAnsiTheme="minorHAnsi" w:cstheme="minorHAnsi"/>
          <w:color w:val="222222"/>
          <w:shd w:val="clear" w:color="auto" w:fill="FFFFFF"/>
        </w:rPr>
        <w:t>. University of Georgia Press.</w:t>
      </w:r>
    </w:p>
    <w:p w14:paraId="4488CB08" w14:textId="77777777" w:rsidR="009A51C4" w:rsidRPr="00372A15" w:rsidRDefault="009A51C4" w:rsidP="009A51C4">
      <w:pPr>
        <w:pStyle w:val="ListParagraph"/>
        <w:numPr>
          <w:ilvl w:val="0"/>
          <w:numId w:val="51"/>
        </w:numPr>
        <w:suppressAutoHyphens/>
        <w:overflowPunct/>
        <w:autoSpaceDE/>
        <w:adjustRightInd/>
        <w:textAlignment w:val="auto"/>
        <w:rPr>
          <w:rFonts w:asciiTheme="minorHAnsi" w:hAnsiTheme="minorHAnsi" w:cstheme="minorHAnsi"/>
        </w:rPr>
      </w:pPr>
      <w:r w:rsidRPr="00372A15">
        <w:rPr>
          <w:rFonts w:asciiTheme="minorHAnsi" w:hAnsiTheme="minorHAnsi" w:cstheme="minorHAnsi"/>
        </w:rPr>
        <w:t xml:space="preserve">Home Office. (2012). Domestic violence and abuse: detailed Guidance, Available online at: </w:t>
      </w:r>
      <w:hyperlink r:id="rId23" w:history="1">
        <w:r w:rsidRPr="00372A15">
          <w:rPr>
            <w:rStyle w:val="Hyperlink"/>
            <w:rFonts w:asciiTheme="minorHAnsi" w:hAnsiTheme="minorHAnsi" w:cstheme="minorHAnsi"/>
          </w:rPr>
          <w:t>Domestic abuse: how to get help - GOV.UK (www.gov.uk)</w:t>
        </w:r>
      </w:hyperlink>
    </w:p>
    <w:p w14:paraId="4EE1B99D"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i/>
          <w:iCs/>
          <w:color w:val="05103E"/>
          <w:sz w:val="20"/>
          <w:szCs w:val="20"/>
        </w:rPr>
        <w:t>Investigation introduction | College of Policing</w:t>
      </w:r>
      <w:r w:rsidRPr="00372A15">
        <w:rPr>
          <w:rFonts w:asciiTheme="minorHAnsi" w:hAnsiTheme="minorHAnsi" w:cstheme="minorHAnsi"/>
          <w:color w:val="05103E"/>
          <w:sz w:val="20"/>
          <w:szCs w:val="20"/>
        </w:rPr>
        <w:t> (2013). Available at: </w:t>
      </w:r>
      <w:hyperlink r:id="rId24" w:history="1">
        <w:r w:rsidRPr="00372A15">
          <w:rPr>
            <w:rStyle w:val="Hyperlink"/>
            <w:rFonts w:asciiTheme="minorHAnsi" w:hAnsiTheme="minorHAnsi" w:cstheme="minorHAnsi"/>
            <w:sz w:val="20"/>
            <w:szCs w:val="20"/>
          </w:rPr>
          <w:t>https://www.college.police.uk/app/investigation/investigation-introduction?highlight=cpia</w:t>
        </w:r>
      </w:hyperlink>
      <w:r w:rsidRPr="00372A15">
        <w:rPr>
          <w:rFonts w:asciiTheme="minorHAnsi" w:hAnsiTheme="minorHAnsi" w:cstheme="minorHAnsi"/>
          <w:color w:val="05103E"/>
          <w:sz w:val="20"/>
          <w:szCs w:val="20"/>
        </w:rPr>
        <w:t>.</w:t>
      </w:r>
    </w:p>
    <w:p w14:paraId="449A8F5B"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sz w:val="20"/>
          <w:szCs w:val="20"/>
        </w:rPr>
        <w:t xml:space="preserve">Investigation process (2013) College of Policing. Available at: </w:t>
      </w:r>
      <w:hyperlink r:id="rId25" w:history="1">
        <w:r w:rsidRPr="00372A15">
          <w:rPr>
            <w:rStyle w:val="Hyperlink"/>
            <w:rFonts w:asciiTheme="minorHAnsi" w:hAnsiTheme="minorHAnsi" w:cstheme="minorHAnsi"/>
            <w:sz w:val="20"/>
            <w:szCs w:val="20"/>
          </w:rPr>
          <w:t>Investigation process | College of Policing</w:t>
        </w:r>
      </w:hyperlink>
      <w:r w:rsidRPr="00372A15">
        <w:rPr>
          <w:rFonts w:asciiTheme="minorHAnsi" w:hAnsiTheme="minorHAnsi" w:cstheme="minorHAnsi"/>
          <w:sz w:val="20"/>
          <w:szCs w:val="20"/>
        </w:rPr>
        <w:t xml:space="preserve"> (Accessed 16 September 2023).</w:t>
      </w:r>
    </w:p>
    <w:p w14:paraId="787A6F4C"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proofErr w:type="gramStart"/>
      <w:r w:rsidRPr="00372A15">
        <w:rPr>
          <w:rFonts w:asciiTheme="minorHAnsi" w:hAnsiTheme="minorHAnsi" w:cstheme="minorHAnsi"/>
        </w:rPr>
        <w:t>JR;,</w:t>
      </w:r>
      <w:proofErr w:type="gramEnd"/>
      <w:r w:rsidRPr="00372A15">
        <w:rPr>
          <w:rFonts w:asciiTheme="minorHAnsi" w:hAnsiTheme="minorHAnsi" w:cstheme="minorHAnsi"/>
        </w:rPr>
        <w:t xml:space="preserve"> G.M.-M. (2014) </w:t>
      </w:r>
      <w:r w:rsidRPr="00372A15">
        <w:rPr>
          <w:rFonts w:asciiTheme="minorHAnsi" w:hAnsiTheme="minorHAnsi" w:cstheme="minorHAnsi"/>
          <w:i/>
          <w:iCs/>
        </w:rPr>
        <w:t>Diet and stress</w:t>
      </w:r>
      <w:r w:rsidRPr="00372A15">
        <w:rPr>
          <w:rFonts w:asciiTheme="minorHAnsi" w:hAnsiTheme="minorHAnsi" w:cstheme="minorHAnsi"/>
        </w:rPr>
        <w:t xml:space="preserve">, </w:t>
      </w:r>
      <w:r w:rsidRPr="00372A15">
        <w:rPr>
          <w:rFonts w:asciiTheme="minorHAnsi" w:hAnsiTheme="minorHAnsi" w:cstheme="minorHAnsi"/>
          <w:i/>
          <w:iCs/>
        </w:rPr>
        <w:t>The Psychiatric clinics of North America</w:t>
      </w:r>
      <w:r w:rsidRPr="00372A15">
        <w:rPr>
          <w:rFonts w:asciiTheme="minorHAnsi" w:hAnsiTheme="minorHAnsi" w:cstheme="minorHAnsi"/>
        </w:rPr>
        <w:t xml:space="preserve">. Available at: https://pubmed.ncbi.nlm.nih.gov/25455067/ (Accessed: 03 August 2023). </w:t>
      </w:r>
    </w:p>
    <w:p w14:paraId="0C0C9D44"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Jurczyk, M. (2022) </w:t>
      </w:r>
      <w:r w:rsidRPr="00372A15">
        <w:rPr>
          <w:rFonts w:asciiTheme="minorHAnsi" w:hAnsiTheme="minorHAnsi" w:cstheme="minorHAnsi"/>
          <w:i/>
          <w:iCs/>
        </w:rPr>
        <w:t>Security as a superior value at work with youth offenders: A new ...</w:t>
      </w:r>
      <w:r w:rsidRPr="00372A15">
        <w:rPr>
          <w:rFonts w:asciiTheme="minorHAnsi" w:hAnsiTheme="minorHAnsi" w:cstheme="minorHAnsi"/>
        </w:rPr>
        <w:t xml:space="preserve">, </w:t>
      </w:r>
      <w:r w:rsidRPr="00372A15">
        <w:rPr>
          <w:rFonts w:asciiTheme="minorHAnsi" w:hAnsiTheme="minorHAnsi" w:cstheme="minorHAnsi"/>
          <w:i/>
          <w:iCs/>
        </w:rPr>
        <w:t>Research Gate</w:t>
      </w:r>
      <w:r w:rsidRPr="00372A15">
        <w:rPr>
          <w:rFonts w:asciiTheme="minorHAnsi" w:hAnsiTheme="minorHAnsi" w:cstheme="minorHAnsi"/>
        </w:rPr>
        <w:t xml:space="preserve">. Available at: https://www.researchgate.net/profile/Marcin-Jurczyk/publication/364311611_Security_as_a_superior_value_at_work_with_youth_offenders_a_new_perspective_for_institutional_social_rehabilitation_in_the_context_of_British_practice_approach/links/6345d3509cb4fe44f31d9886/Security-as-a-superior-value-at-work-with-youth-offenders-a-new-perspective-for-institutional-social-rehabilitation-in-the-context-of-British-practice-approach.pdf (Accessed: 24 August 2023). </w:t>
      </w:r>
    </w:p>
    <w:p w14:paraId="5AF9E77C"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lastRenderedPageBreak/>
        <w:t xml:space="preserve">Justice, M. of (2021) </w:t>
      </w:r>
      <w:r w:rsidRPr="00372A15">
        <w:rPr>
          <w:rFonts w:asciiTheme="minorHAnsi" w:hAnsiTheme="minorHAnsi" w:cstheme="minorHAnsi"/>
          <w:i/>
          <w:iCs/>
        </w:rPr>
        <w:t>The code of practice for victims of crime in England and Wales and supporting Public Information Materials</w:t>
      </w:r>
      <w:r w:rsidRPr="00372A15">
        <w:rPr>
          <w:rFonts w:asciiTheme="minorHAnsi" w:hAnsiTheme="minorHAnsi" w:cstheme="minorHAnsi"/>
        </w:rPr>
        <w:t xml:space="preserve">, </w:t>
      </w:r>
      <w:r w:rsidRPr="00372A15">
        <w:rPr>
          <w:rFonts w:asciiTheme="minorHAnsi" w:hAnsiTheme="minorHAnsi" w:cstheme="minorHAnsi"/>
          <w:i/>
          <w:iCs/>
        </w:rPr>
        <w:t>GOV.UK</w:t>
      </w:r>
      <w:r w:rsidRPr="00372A15">
        <w:rPr>
          <w:rFonts w:asciiTheme="minorHAnsi" w:hAnsiTheme="minorHAnsi" w:cstheme="minorHAnsi"/>
        </w:rPr>
        <w:t xml:space="preserve">. Available at: https://www.gov.uk/government/publications/the-code-of-practice-for-victims-of-crime (Accessed: 04 September 2023). </w:t>
      </w:r>
    </w:p>
    <w:p w14:paraId="40325936"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Leistner, C. and Menke, A. (2018) ‘How to measure glucocorticoid receptor’s sensitivity in patients with stress-related psychiatric disorders’, </w:t>
      </w:r>
      <w:proofErr w:type="spellStart"/>
      <w:r w:rsidRPr="00372A15">
        <w:rPr>
          <w:rFonts w:asciiTheme="minorHAnsi" w:hAnsiTheme="minorHAnsi" w:cstheme="minorHAnsi"/>
          <w:i/>
          <w:iCs/>
        </w:rPr>
        <w:t>Psychoneuroendocrinology</w:t>
      </w:r>
      <w:proofErr w:type="spellEnd"/>
      <w:r w:rsidRPr="00372A15">
        <w:rPr>
          <w:rFonts w:asciiTheme="minorHAnsi" w:hAnsiTheme="minorHAnsi" w:cstheme="minorHAnsi"/>
        </w:rPr>
        <w:t xml:space="preserve">, 91, pp. 235–260. </w:t>
      </w:r>
      <w:proofErr w:type="gramStart"/>
      <w:r w:rsidRPr="00372A15">
        <w:rPr>
          <w:rFonts w:asciiTheme="minorHAnsi" w:hAnsiTheme="minorHAnsi" w:cstheme="minorHAnsi"/>
        </w:rPr>
        <w:t>doi:10.1016/j.psyneuen</w:t>
      </w:r>
      <w:proofErr w:type="gramEnd"/>
      <w:r w:rsidRPr="00372A15">
        <w:rPr>
          <w:rFonts w:asciiTheme="minorHAnsi" w:hAnsiTheme="minorHAnsi" w:cstheme="minorHAnsi"/>
        </w:rPr>
        <w:t xml:space="preserve">.2018.01.023. </w:t>
      </w:r>
    </w:p>
    <w:p w14:paraId="66954C4C"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Leuenberger, A. (2006) </w:t>
      </w:r>
      <w:r w:rsidRPr="00372A15">
        <w:rPr>
          <w:rFonts w:asciiTheme="minorHAnsi" w:hAnsiTheme="minorHAnsi" w:cstheme="minorHAnsi"/>
          <w:i/>
          <w:iCs/>
        </w:rPr>
        <w:t xml:space="preserve">Endorphins, exercise, and addictions: A review of exercise ... - </w:t>
      </w:r>
      <w:proofErr w:type="spellStart"/>
      <w:r w:rsidRPr="00372A15">
        <w:rPr>
          <w:rFonts w:asciiTheme="minorHAnsi" w:hAnsiTheme="minorHAnsi" w:cstheme="minorHAnsi"/>
          <w:i/>
          <w:iCs/>
        </w:rPr>
        <w:t>pubpub</w:t>
      </w:r>
      <w:proofErr w:type="spellEnd"/>
      <w:r w:rsidRPr="00372A15">
        <w:rPr>
          <w:rFonts w:asciiTheme="minorHAnsi" w:hAnsiTheme="minorHAnsi" w:cstheme="minorHAnsi"/>
        </w:rPr>
        <w:t xml:space="preserve">, </w:t>
      </w:r>
      <w:r w:rsidRPr="00372A15">
        <w:rPr>
          <w:rFonts w:asciiTheme="minorHAnsi" w:hAnsiTheme="minorHAnsi" w:cstheme="minorHAnsi"/>
          <w:i/>
          <w:iCs/>
        </w:rPr>
        <w:t>Endorphins, Exercise, and Addictions: A Review of Exercise Dependence</w:t>
      </w:r>
      <w:r w:rsidRPr="00372A15">
        <w:rPr>
          <w:rFonts w:asciiTheme="minorHAnsi" w:hAnsiTheme="minorHAnsi" w:cstheme="minorHAnsi"/>
        </w:rPr>
        <w:t xml:space="preserve">. Available at: https://assets.pubpub.org/p7226jkq/01643385373012.pdf (Accessed: 25 July 2023). </w:t>
      </w:r>
    </w:p>
    <w:p w14:paraId="089CFE18"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proofErr w:type="spellStart"/>
      <w:r w:rsidRPr="00372A15">
        <w:rPr>
          <w:rFonts w:asciiTheme="minorHAnsi" w:hAnsiTheme="minorHAnsi" w:cstheme="minorHAnsi"/>
        </w:rPr>
        <w:t>Libretexts</w:t>
      </w:r>
      <w:proofErr w:type="spellEnd"/>
      <w:r w:rsidRPr="00372A15">
        <w:rPr>
          <w:rFonts w:asciiTheme="minorHAnsi" w:hAnsiTheme="minorHAnsi" w:cstheme="minorHAnsi"/>
        </w:rPr>
        <w:t xml:space="preserve"> (2021) </w:t>
      </w:r>
      <w:r w:rsidRPr="00372A15">
        <w:rPr>
          <w:rFonts w:asciiTheme="minorHAnsi" w:hAnsiTheme="minorHAnsi" w:cstheme="minorHAnsi"/>
          <w:i/>
          <w:iCs/>
        </w:rPr>
        <w:t>5.1A: Understanding social interaction</w:t>
      </w:r>
      <w:r w:rsidRPr="00372A15">
        <w:rPr>
          <w:rFonts w:asciiTheme="minorHAnsi" w:hAnsiTheme="minorHAnsi" w:cstheme="minorHAnsi"/>
        </w:rPr>
        <w:t xml:space="preserve">, </w:t>
      </w:r>
      <w:r w:rsidRPr="00372A15">
        <w:rPr>
          <w:rFonts w:asciiTheme="minorHAnsi" w:hAnsiTheme="minorHAnsi" w:cstheme="minorHAnsi"/>
          <w:i/>
          <w:iCs/>
        </w:rPr>
        <w:t xml:space="preserve">Social Sci </w:t>
      </w:r>
      <w:proofErr w:type="spellStart"/>
      <w:r w:rsidRPr="00372A15">
        <w:rPr>
          <w:rFonts w:asciiTheme="minorHAnsi" w:hAnsiTheme="minorHAnsi" w:cstheme="minorHAnsi"/>
          <w:i/>
          <w:iCs/>
        </w:rPr>
        <w:t>LibreTexts</w:t>
      </w:r>
      <w:proofErr w:type="spellEnd"/>
      <w:r w:rsidRPr="00372A15">
        <w:rPr>
          <w:rFonts w:asciiTheme="minorHAnsi" w:hAnsiTheme="minorHAnsi" w:cstheme="minorHAnsi"/>
        </w:rPr>
        <w:t xml:space="preserve">. Available at: https://socialsci.libretexts.org/Bookshelves/Sociology/Introduction_to_Sociology/Sociology_(Boundless)/05:_Social_Interaction/5.01:_Understanding_Social_Interaction/5.1A:_Understanding_Social_Interaction (Accessed: 26 July 2023). </w:t>
      </w:r>
    </w:p>
    <w:p w14:paraId="09CC8336"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Mayer, S.E. </w:t>
      </w:r>
      <w:r w:rsidRPr="00372A15">
        <w:rPr>
          <w:rFonts w:asciiTheme="minorHAnsi" w:hAnsiTheme="minorHAnsi" w:cstheme="minorHAnsi"/>
          <w:i/>
          <w:iCs/>
        </w:rPr>
        <w:t>et al.</w:t>
      </w:r>
      <w:r w:rsidRPr="00372A15">
        <w:rPr>
          <w:rFonts w:asciiTheme="minorHAnsi" w:hAnsiTheme="minorHAnsi" w:cstheme="minorHAnsi"/>
        </w:rPr>
        <w:t xml:space="preserve"> (2018) ‘Chronic stress, Hair Cortisol and depression: A prospective and longitudinal study of Medical Internship’, </w:t>
      </w:r>
      <w:proofErr w:type="spellStart"/>
      <w:r w:rsidRPr="00372A15">
        <w:rPr>
          <w:rFonts w:asciiTheme="minorHAnsi" w:hAnsiTheme="minorHAnsi" w:cstheme="minorHAnsi"/>
          <w:i/>
          <w:iCs/>
        </w:rPr>
        <w:t>Psychoneuroendocrinology</w:t>
      </w:r>
      <w:proofErr w:type="spellEnd"/>
      <w:r w:rsidRPr="00372A15">
        <w:rPr>
          <w:rFonts w:asciiTheme="minorHAnsi" w:hAnsiTheme="minorHAnsi" w:cstheme="minorHAnsi"/>
        </w:rPr>
        <w:t xml:space="preserve">, 92, pp. 57–65. </w:t>
      </w:r>
      <w:proofErr w:type="gramStart"/>
      <w:r w:rsidRPr="00372A15">
        <w:rPr>
          <w:rFonts w:asciiTheme="minorHAnsi" w:hAnsiTheme="minorHAnsi" w:cstheme="minorHAnsi"/>
        </w:rPr>
        <w:t>doi:10.1016/j.psyneuen</w:t>
      </w:r>
      <w:proofErr w:type="gramEnd"/>
      <w:r w:rsidRPr="00372A15">
        <w:rPr>
          <w:rFonts w:asciiTheme="minorHAnsi" w:hAnsiTheme="minorHAnsi" w:cstheme="minorHAnsi"/>
        </w:rPr>
        <w:t xml:space="preserve">.2018.03.020. </w:t>
      </w:r>
    </w:p>
    <w:p w14:paraId="05D273B4"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sz w:val="20"/>
          <w:szCs w:val="20"/>
        </w:rPr>
        <w:t xml:space="preserve">McEwan, B. (2012) </w:t>
      </w:r>
      <w:r w:rsidRPr="00372A15">
        <w:rPr>
          <w:rFonts w:asciiTheme="minorHAnsi" w:hAnsiTheme="minorHAnsi" w:cstheme="minorHAnsi"/>
          <w:i/>
          <w:iCs/>
          <w:sz w:val="20"/>
          <w:szCs w:val="20"/>
        </w:rPr>
        <w:t xml:space="preserve">Brain on stress: How the social environment gets under </w:t>
      </w:r>
      <w:proofErr w:type="gramStart"/>
      <w:r w:rsidRPr="00372A15">
        <w:rPr>
          <w:rFonts w:asciiTheme="minorHAnsi" w:hAnsiTheme="minorHAnsi" w:cstheme="minorHAnsi"/>
          <w:i/>
          <w:iCs/>
          <w:sz w:val="20"/>
          <w:szCs w:val="20"/>
        </w:rPr>
        <w:t>The</w:t>
      </w:r>
      <w:proofErr w:type="gramEnd"/>
      <w:r w:rsidRPr="00372A15">
        <w:rPr>
          <w:rFonts w:asciiTheme="minorHAnsi" w:hAnsiTheme="minorHAnsi" w:cstheme="minorHAnsi"/>
          <w:i/>
          <w:iCs/>
          <w:sz w:val="20"/>
          <w:szCs w:val="20"/>
        </w:rPr>
        <w:t xml:space="preserve"> skin</w:t>
      </w:r>
      <w:r w:rsidRPr="00372A15">
        <w:rPr>
          <w:rFonts w:asciiTheme="minorHAnsi" w:hAnsiTheme="minorHAnsi" w:cstheme="minorHAnsi"/>
          <w:sz w:val="20"/>
          <w:szCs w:val="20"/>
        </w:rPr>
        <w:t xml:space="preserve">, </w:t>
      </w:r>
      <w:r w:rsidRPr="00372A15">
        <w:rPr>
          <w:rFonts w:asciiTheme="minorHAnsi" w:hAnsiTheme="minorHAnsi" w:cstheme="minorHAnsi"/>
          <w:i/>
          <w:iCs/>
          <w:sz w:val="20"/>
          <w:szCs w:val="20"/>
        </w:rPr>
        <w:t>Proceedings of the National Academy of Sciences of the United States of America</w:t>
      </w:r>
      <w:r w:rsidRPr="00372A15">
        <w:rPr>
          <w:rFonts w:asciiTheme="minorHAnsi" w:hAnsiTheme="minorHAnsi" w:cstheme="minorHAnsi"/>
          <w:sz w:val="20"/>
          <w:szCs w:val="20"/>
        </w:rPr>
        <w:t xml:space="preserve">. Available at: https://pubmed.ncbi.nlm.nih.gov/23045648/ (Accessed: 23 July 2023). </w:t>
      </w:r>
    </w:p>
    <w:p w14:paraId="75AD85FF" w14:textId="77777777" w:rsidR="009A51C4" w:rsidRPr="00372A15" w:rsidRDefault="009A51C4" w:rsidP="009A51C4">
      <w:pPr>
        <w:pStyle w:val="ListParagraph"/>
        <w:numPr>
          <w:ilvl w:val="0"/>
          <w:numId w:val="51"/>
        </w:numPr>
        <w:suppressAutoHyphens/>
        <w:overflowPunct/>
        <w:autoSpaceDE/>
        <w:autoSpaceDN/>
        <w:adjustRightInd/>
        <w:spacing w:before="100" w:beforeAutospacing="1" w:after="100" w:afterAutospacing="1"/>
        <w:textAlignment w:val="auto"/>
        <w:rPr>
          <w:rFonts w:asciiTheme="minorHAnsi" w:hAnsiTheme="minorHAnsi" w:cstheme="minorHAnsi"/>
        </w:rPr>
      </w:pPr>
      <w:proofErr w:type="spellStart"/>
      <w:r w:rsidRPr="00372A15">
        <w:rPr>
          <w:rFonts w:asciiTheme="minorHAnsi" w:hAnsiTheme="minorHAnsi" w:cstheme="minorHAnsi"/>
        </w:rPr>
        <w:t>Mcewan</w:t>
      </w:r>
      <w:proofErr w:type="spellEnd"/>
      <w:r w:rsidRPr="00372A15">
        <w:rPr>
          <w:rFonts w:asciiTheme="minorHAnsi" w:hAnsiTheme="minorHAnsi" w:cstheme="minorHAnsi"/>
        </w:rPr>
        <w:t xml:space="preserve">, B.S. (2005) </w:t>
      </w:r>
      <w:r w:rsidRPr="00372A15">
        <w:rPr>
          <w:rFonts w:asciiTheme="minorHAnsi" w:hAnsiTheme="minorHAnsi" w:cstheme="minorHAnsi"/>
          <w:i/>
          <w:iCs/>
        </w:rPr>
        <w:t xml:space="preserve">Douglas Hospital Research Centre Symposium </w:t>
      </w:r>
      <w:proofErr w:type="spellStart"/>
      <w:r w:rsidRPr="00372A15">
        <w:rPr>
          <w:rFonts w:asciiTheme="minorHAnsi" w:hAnsiTheme="minorHAnsi" w:cstheme="minorHAnsi"/>
          <w:i/>
          <w:iCs/>
        </w:rPr>
        <w:t>Symposium</w:t>
      </w:r>
      <w:proofErr w:type="spellEnd"/>
      <w:r w:rsidRPr="00372A15">
        <w:rPr>
          <w:rFonts w:asciiTheme="minorHAnsi" w:hAnsiTheme="minorHAnsi" w:cstheme="minorHAnsi"/>
          <w:i/>
          <w:iCs/>
        </w:rPr>
        <w:t xml:space="preserve"> du Centre de ... - </w:t>
      </w:r>
      <w:proofErr w:type="spellStart"/>
      <w:r w:rsidRPr="00372A15">
        <w:rPr>
          <w:rFonts w:asciiTheme="minorHAnsi" w:hAnsiTheme="minorHAnsi" w:cstheme="minorHAnsi"/>
          <w:i/>
          <w:iCs/>
        </w:rPr>
        <w:t>jpn</w:t>
      </w:r>
      <w:proofErr w:type="spellEnd"/>
      <w:r w:rsidRPr="00372A15">
        <w:rPr>
          <w:rFonts w:asciiTheme="minorHAnsi" w:hAnsiTheme="minorHAnsi" w:cstheme="minorHAnsi"/>
        </w:rPr>
        <w:t xml:space="preserve">, </w:t>
      </w:r>
      <w:r w:rsidRPr="00372A15">
        <w:rPr>
          <w:rFonts w:asciiTheme="minorHAnsi" w:hAnsiTheme="minorHAnsi" w:cstheme="minorHAnsi"/>
          <w:i/>
          <w:iCs/>
        </w:rPr>
        <w:t>Stressed or stressed out: What is the difference?</w:t>
      </w:r>
      <w:r w:rsidRPr="00372A15">
        <w:rPr>
          <w:rFonts w:asciiTheme="minorHAnsi" w:hAnsiTheme="minorHAnsi" w:cstheme="minorHAnsi"/>
        </w:rPr>
        <w:t xml:space="preserve"> Available at: https://www.jpn.ca/content/jpn/30/5/315.full.pdf (Accessed: 02 October 2023). </w:t>
      </w:r>
    </w:p>
    <w:p w14:paraId="1CFA7E07"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National decision model</w:t>
      </w:r>
      <w:r w:rsidRPr="00372A15">
        <w:rPr>
          <w:rFonts w:asciiTheme="minorHAnsi" w:hAnsiTheme="minorHAnsi" w:cstheme="minorHAnsi"/>
        </w:rPr>
        <w:t xml:space="preserve"> (2014) </w:t>
      </w:r>
      <w:r w:rsidRPr="00372A15">
        <w:rPr>
          <w:rFonts w:asciiTheme="minorHAnsi" w:hAnsiTheme="minorHAnsi" w:cstheme="minorHAnsi"/>
          <w:i/>
          <w:iCs/>
        </w:rPr>
        <w:t>College of Policing</w:t>
      </w:r>
      <w:r w:rsidRPr="00372A15">
        <w:rPr>
          <w:rFonts w:asciiTheme="minorHAnsi" w:hAnsiTheme="minorHAnsi" w:cstheme="minorHAnsi"/>
        </w:rPr>
        <w:t xml:space="preserve">. Available at: https://www.college.police.uk/app/national-decision-model (Accessed: 09 September 2023). </w:t>
      </w:r>
    </w:p>
    <w:p w14:paraId="50C185B8" w14:textId="77777777" w:rsidR="009A51C4" w:rsidRPr="00372A15" w:rsidRDefault="009A51C4" w:rsidP="009A51C4">
      <w:pPr>
        <w:pStyle w:val="ListParagraph"/>
        <w:numPr>
          <w:ilvl w:val="0"/>
          <w:numId w:val="51"/>
        </w:numPr>
        <w:suppressAutoHyphens/>
        <w:overflowPunct/>
        <w:autoSpaceDE/>
        <w:autoSpaceDN/>
        <w:adjustRightInd/>
        <w:spacing w:before="100" w:beforeAutospacing="1" w:after="100" w:afterAutospacing="1"/>
        <w:textAlignment w:val="auto"/>
        <w:rPr>
          <w:rFonts w:asciiTheme="minorHAnsi" w:hAnsiTheme="minorHAnsi" w:cstheme="minorHAnsi"/>
        </w:rPr>
      </w:pPr>
      <w:r w:rsidRPr="00372A15">
        <w:rPr>
          <w:rFonts w:asciiTheme="minorHAnsi" w:hAnsiTheme="minorHAnsi" w:cstheme="minorHAnsi"/>
          <w:i/>
          <w:iCs/>
        </w:rPr>
        <w:t>Niche</w:t>
      </w:r>
      <w:r w:rsidRPr="00372A15">
        <w:rPr>
          <w:rFonts w:asciiTheme="minorHAnsi" w:hAnsiTheme="minorHAnsi" w:cstheme="minorHAnsi"/>
        </w:rPr>
        <w:t xml:space="preserve"> (2023) </w:t>
      </w:r>
      <w:r w:rsidRPr="00372A15">
        <w:rPr>
          <w:rFonts w:asciiTheme="minorHAnsi" w:hAnsiTheme="minorHAnsi" w:cstheme="minorHAnsi"/>
          <w:i/>
          <w:iCs/>
        </w:rPr>
        <w:t>His Majesty’s Inspectorate of Constabulary and Fire &amp; Rescue Services</w:t>
      </w:r>
      <w:r w:rsidRPr="00372A15">
        <w:rPr>
          <w:rFonts w:asciiTheme="minorHAnsi" w:hAnsiTheme="minorHAnsi" w:cstheme="minorHAnsi"/>
        </w:rPr>
        <w:t xml:space="preserve">. Available at: https://hmicfrs.justiceinspectorates.gov.uk/glossary/niche/ (Accessed: 02 October 2023). </w:t>
      </w:r>
    </w:p>
    <w:p w14:paraId="2B33C002"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O’Neill, A. (2017) </w:t>
      </w:r>
      <w:r w:rsidRPr="00372A15">
        <w:rPr>
          <w:rFonts w:asciiTheme="minorHAnsi" w:hAnsiTheme="minorHAnsi" w:cstheme="minorHAnsi"/>
          <w:i/>
          <w:iCs/>
        </w:rPr>
        <w:t>Hate crime, England and Wales, 2016 to 2017 - London borough of Merton</w:t>
      </w:r>
      <w:r w:rsidRPr="00372A15">
        <w:rPr>
          <w:rFonts w:asciiTheme="minorHAnsi" w:hAnsiTheme="minorHAnsi" w:cstheme="minorHAnsi"/>
        </w:rPr>
        <w:t xml:space="preserve">, </w:t>
      </w:r>
      <w:r w:rsidRPr="00372A15">
        <w:rPr>
          <w:rFonts w:asciiTheme="minorHAnsi" w:hAnsiTheme="minorHAnsi" w:cstheme="minorHAnsi"/>
          <w:i/>
          <w:iCs/>
        </w:rPr>
        <w:t xml:space="preserve">Hate Crime, England and </w:t>
      </w:r>
      <w:proofErr w:type="gramStart"/>
      <w:r w:rsidRPr="00372A15">
        <w:rPr>
          <w:rFonts w:asciiTheme="minorHAnsi" w:hAnsiTheme="minorHAnsi" w:cstheme="minorHAnsi"/>
          <w:i/>
          <w:iCs/>
        </w:rPr>
        <w:t>Wales,  2016</w:t>
      </w:r>
      <w:proofErr w:type="gramEnd"/>
      <w:r w:rsidRPr="00372A15">
        <w:rPr>
          <w:rFonts w:asciiTheme="minorHAnsi" w:hAnsiTheme="minorHAnsi" w:cstheme="minorHAnsi"/>
          <w:i/>
          <w:iCs/>
        </w:rPr>
        <w:t>/17</w:t>
      </w:r>
      <w:r w:rsidRPr="00372A15">
        <w:rPr>
          <w:rFonts w:asciiTheme="minorHAnsi" w:hAnsiTheme="minorHAnsi" w:cstheme="minorHAnsi"/>
        </w:rPr>
        <w:t xml:space="preserve">. Available at: https://democracy.merton.gov.uk/documents/s22058/Enc.%204%20for%20Hate%20crime%20strategy%20-%20due%2012.03.18.pdf (Accessed: 04 September 2023). </w:t>
      </w:r>
    </w:p>
    <w:p w14:paraId="7B59D03C"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Owens, A. (2021) </w:t>
      </w:r>
      <w:r w:rsidRPr="00372A15">
        <w:rPr>
          <w:rFonts w:asciiTheme="minorHAnsi" w:hAnsiTheme="minorHAnsi" w:cstheme="minorHAnsi"/>
          <w:i/>
          <w:iCs/>
        </w:rPr>
        <w:t xml:space="preserve">Oxytocin: What it is, how it makes you feel &amp; why it matters - </w:t>
      </w:r>
      <w:proofErr w:type="spellStart"/>
      <w:r w:rsidRPr="00372A15">
        <w:rPr>
          <w:rFonts w:asciiTheme="minorHAnsi" w:hAnsiTheme="minorHAnsi" w:cstheme="minorHAnsi"/>
          <w:i/>
          <w:iCs/>
        </w:rPr>
        <w:t>psycom</w:t>
      </w:r>
      <w:proofErr w:type="spellEnd"/>
      <w:r w:rsidRPr="00372A15">
        <w:rPr>
          <w:rFonts w:asciiTheme="minorHAnsi" w:hAnsiTheme="minorHAnsi" w:cstheme="minorHAnsi"/>
        </w:rPr>
        <w:t xml:space="preserve">, </w:t>
      </w:r>
      <w:r w:rsidRPr="00372A15">
        <w:rPr>
          <w:rFonts w:asciiTheme="minorHAnsi" w:hAnsiTheme="minorHAnsi" w:cstheme="minorHAnsi"/>
          <w:i/>
          <w:iCs/>
        </w:rPr>
        <w:t>Tell Me All I Need to Know About Oxytocin</w:t>
      </w:r>
      <w:r w:rsidRPr="00372A15">
        <w:rPr>
          <w:rFonts w:asciiTheme="minorHAnsi" w:hAnsiTheme="minorHAnsi" w:cstheme="minorHAnsi"/>
        </w:rPr>
        <w:t xml:space="preserve">. Available at: https://www.psycom.net/oxytocin (Accessed: 26 July 2023). </w:t>
      </w:r>
    </w:p>
    <w:p w14:paraId="3F9680E3" w14:textId="77777777" w:rsidR="009A51C4" w:rsidRPr="00372A15" w:rsidRDefault="009A51C4" w:rsidP="009A51C4">
      <w:pPr>
        <w:pStyle w:val="NormalWeb"/>
        <w:numPr>
          <w:ilvl w:val="0"/>
          <w:numId w:val="51"/>
        </w:numPr>
        <w:rPr>
          <w:rFonts w:asciiTheme="minorHAnsi" w:hAnsiTheme="minorHAnsi" w:cstheme="minorHAnsi"/>
          <w:sz w:val="20"/>
          <w:szCs w:val="20"/>
        </w:rPr>
      </w:pPr>
      <w:proofErr w:type="spellStart"/>
      <w:r w:rsidRPr="00372A15">
        <w:rPr>
          <w:rFonts w:asciiTheme="minorHAnsi" w:hAnsiTheme="minorHAnsi" w:cstheme="minorHAnsi"/>
          <w:sz w:val="20"/>
          <w:szCs w:val="20"/>
        </w:rPr>
        <w:t>Pechey</w:t>
      </w:r>
      <w:proofErr w:type="spellEnd"/>
      <w:r w:rsidRPr="00372A15">
        <w:rPr>
          <w:rFonts w:asciiTheme="minorHAnsi" w:hAnsiTheme="minorHAnsi" w:cstheme="minorHAnsi"/>
          <w:sz w:val="20"/>
          <w:szCs w:val="20"/>
        </w:rPr>
        <w:t xml:space="preserve">, R. and Monsivais, P. (2016) ‘Socioeconomic inequalities in the healthiness of food choices: Exploring the contributions of food expenditures’, </w:t>
      </w:r>
      <w:r w:rsidRPr="00372A15">
        <w:rPr>
          <w:rFonts w:asciiTheme="minorHAnsi" w:hAnsiTheme="minorHAnsi" w:cstheme="minorHAnsi"/>
          <w:i/>
          <w:iCs/>
          <w:sz w:val="20"/>
          <w:szCs w:val="20"/>
        </w:rPr>
        <w:t>Preventive Medicine</w:t>
      </w:r>
      <w:r w:rsidRPr="00372A15">
        <w:rPr>
          <w:rFonts w:asciiTheme="minorHAnsi" w:hAnsiTheme="minorHAnsi" w:cstheme="minorHAnsi"/>
          <w:sz w:val="20"/>
          <w:szCs w:val="20"/>
        </w:rPr>
        <w:t xml:space="preserve">, 88, pp. 203–209. </w:t>
      </w:r>
      <w:proofErr w:type="gramStart"/>
      <w:r w:rsidRPr="00372A15">
        <w:rPr>
          <w:rFonts w:asciiTheme="minorHAnsi" w:hAnsiTheme="minorHAnsi" w:cstheme="minorHAnsi"/>
          <w:sz w:val="20"/>
          <w:szCs w:val="20"/>
        </w:rPr>
        <w:t>doi:10.1016/j.ypmed</w:t>
      </w:r>
      <w:proofErr w:type="gramEnd"/>
      <w:r w:rsidRPr="00372A15">
        <w:rPr>
          <w:rFonts w:asciiTheme="minorHAnsi" w:hAnsiTheme="minorHAnsi" w:cstheme="minorHAnsi"/>
          <w:sz w:val="20"/>
          <w:szCs w:val="20"/>
        </w:rPr>
        <w:t xml:space="preserve">.2016.04.012. </w:t>
      </w:r>
    </w:p>
    <w:p w14:paraId="0BDB5E4F"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i/>
          <w:iCs/>
          <w:sz w:val="20"/>
          <w:szCs w:val="20"/>
        </w:rPr>
        <w:t>Police constable</w:t>
      </w:r>
      <w:r w:rsidRPr="00372A15">
        <w:rPr>
          <w:rFonts w:asciiTheme="minorHAnsi" w:hAnsiTheme="minorHAnsi" w:cstheme="minorHAnsi"/>
          <w:sz w:val="20"/>
          <w:szCs w:val="20"/>
        </w:rPr>
        <w:t xml:space="preserve"> (2019) </w:t>
      </w:r>
      <w:r w:rsidRPr="00372A15">
        <w:rPr>
          <w:rFonts w:asciiTheme="minorHAnsi" w:hAnsiTheme="minorHAnsi" w:cstheme="minorHAnsi"/>
          <w:i/>
          <w:iCs/>
          <w:sz w:val="20"/>
          <w:szCs w:val="20"/>
        </w:rPr>
        <w:t>College of Policing</w:t>
      </w:r>
      <w:r w:rsidRPr="00372A15">
        <w:rPr>
          <w:rFonts w:asciiTheme="minorHAnsi" w:hAnsiTheme="minorHAnsi" w:cstheme="minorHAnsi"/>
          <w:sz w:val="20"/>
          <w:szCs w:val="20"/>
        </w:rPr>
        <w:t xml:space="preserve">. Available at: https://profdev.college.police.uk/professional-profile/police-constable/ (Accessed: 04 August 2023). </w:t>
      </w:r>
    </w:p>
    <w:p w14:paraId="79BDA801" w14:textId="77777777" w:rsidR="009A51C4"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Police National Computer Inspections</w:t>
      </w:r>
      <w:r w:rsidRPr="00372A15">
        <w:rPr>
          <w:rFonts w:asciiTheme="minorHAnsi" w:hAnsiTheme="minorHAnsi" w:cstheme="minorHAnsi"/>
        </w:rPr>
        <w:t xml:space="preserve"> (2018) </w:t>
      </w:r>
      <w:r w:rsidRPr="00372A15">
        <w:rPr>
          <w:rFonts w:asciiTheme="minorHAnsi" w:hAnsiTheme="minorHAnsi" w:cstheme="minorHAnsi"/>
          <w:i/>
          <w:iCs/>
        </w:rPr>
        <w:t>His Majesty’s Inspectorate of Constabulary and Fire &amp; Rescue Services</w:t>
      </w:r>
      <w:r w:rsidRPr="00372A15">
        <w:rPr>
          <w:rFonts w:asciiTheme="minorHAnsi" w:hAnsiTheme="minorHAnsi" w:cstheme="minorHAnsi"/>
        </w:rPr>
        <w:t>. Available at: https://hmicfrs.justiceinspectorates.gov.uk/our-work/article/police-national-computer-inspections/ (Accessed: 02 October 2023</w:t>
      </w:r>
      <w:r>
        <w:rPr>
          <w:rFonts w:asciiTheme="minorHAnsi" w:hAnsiTheme="minorHAnsi" w:cstheme="minorHAnsi"/>
        </w:rPr>
        <w:t>)</w:t>
      </w:r>
    </w:p>
    <w:p w14:paraId="7BE32E1D"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proofErr w:type="spellStart"/>
      <w:r w:rsidRPr="00372A15">
        <w:rPr>
          <w:rFonts w:asciiTheme="minorHAnsi" w:hAnsiTheme="minorHAnsi" w:cstheme="minorHAnsi"/>
        </w:rPr>
        <w:t>Riasi</w:t>
      </w:r>
      <w:proofErr w:type="spellEnd"/>
      <w:r w:rsidRPr="00372A15">
        <w:rPr>
          <w:rFonts w:asciiTheme="minorHAnsi" w:hAnsiTheme="minorHAnsi" w:cstheme="minorHAnsi"/>
        </w:rPr>
        <w:t xml:space="preserve">, A. and Asadzadeh, N. (2015) ‘The relationship between principals’ reward power and their conflict management styles based on Thomas–Kilmann Conflict Mode Instrument’, </w:t>
      </w:r>
      <w:r w:rsidRPr="00372A15">
        <w:rPr>
          <w:rFonts w:asciiTheme="minorHAnsi" w:hAnsiTheme="minorHAnsi" w:cstheme="minorHAnsi"/>
          <w:i/>
          <w:iCs/>
        </w:rPr>
        <w:t>Management Science Letters</w:t>
      </w:r>
      <w:r w:rsidRPr="00372A15">
        <w:rPr>
          <w:rFonts w:asciiTheme="minorHAnsi" w:hAnsiTheme="minorHAnsi" w:cstheme="minorHAnsi"/>
        </w:rPr>
        <w:t xml:space="preserve">, 5(6), pp. 611–618. </w:t>
      </w:r>
      <w:proofErr w:type="gramStart"/>
      <w:r w:rsidRPr="00372A15">
        <w:rPr>
          <w:rFonts w:asciiTheme="minorHAnsi" w:hAnsiTheme="minorHAnsi" w:cstheme="minorHAnsi"/>
        </w:rPr>
        <w:t>doi:10.5267/j.msl</w:t>
      </w:r>
      <w:proofErr w:type="gramEnd"/>
      <w:r w:rsidRPr="00372A15">
        <w:rPr>
          <w:rFonts w:asciiTheme="minorHAnsi" w:hAnsiTheme="minorHAnsi" w:cstheme="minorHAnsi"/>
        </w:rPr>
        <w:t xml:space="preserve">.2015.4.004. </w:t>
      </w:r>
    </w:p>
    <w:p w14:paraId="556D0333" w14:textId="77777777" w:rsidR="009A51C4" w:rsidRPr="003E6DC9" w:rsidRDefault="009A51C4" w:rsidP="009A51C4">
      <w:pPr>
        <w:pStyle w:val="NormalWeb"/>
        <w:numPr>
          <w:ilvl w:val="0"/>
          <w:numId w:val="51"/>
        </w:numPr>
        <w:rPr>
          <w:rFonts w:asciiTheme="minorHAnsi" w:hAnsiTheme="minorHAnsi" w:cstheme="minorHAnsi"/>
          <w:sz w:val="20"/>
          <w:szCs w:val="20"/>
        </w:rPr>
      </w:pPr>
      <w:r w:rsidRPr="003E6DC9">
        <w:rPr>
          <w:rFonts w:asciiTheme="minorHAnsi" w:hAnsiTheme="minorHAnsi" w:cstheme="minorHAnsi"/>
          <w:i/>
          <w:iCs/>
          <w:sz w:val="20"/>
          <w:szCs w:val="20"/>
        </w:rPr>
        <w:t xml:space="preserve">Road Traffic Act 1988, </w:t>
      </w:r>
      <w:r w:rsidRPr="003E6DC9">
        <w:rPr>
          <w:rFonts w:asciiTheme="minorHAnsi" w:hAnsiTheme="minorHAnsi" w:cstheme="minorHAnsi"/>
          <w:sz w:val="20"/>
          <w:szCs w:val="20"/>
        </w:rPr>
        <w:t>c.4. Available at:</w:t>
      </w:r>
      <w:r w:rsidRPr="003E6DC9">
        <w:rPr>
          <w:rFonts w:asciiTheme="minorHAnsi" w:hAnsiTheme="minorHAnsi" w:cstheme="minorHAnsi"/>
          <w:i/>
          <w:iCs/>
          <w:sz w:val="20"/>
          <w:szCs w:val="20"/>
        </w:rPr>
        <w:t xml:space="preserve"> </w:t>
      </w:r>
      <w:hyperlink r:id="rId26" w:history="1">
        <w:r w:rsidRPr="003E6DC9">
          <w:rPr>
            <w:rStyle w:val="Hyperlink"/>
            <w:rFonts w:asciiTheme="minorHAnsi" w:hAnsiTheme="minorHAnsi" w:cstheme="minorHAnsi"/>
            <w:sz w:val="20"/>
            <w:szCs w:val="20"/>
          </w:rPr>
          <w:t>Road Traffic Act 1988 (legislation.gov.uk)</w:t>
        </w:r>
      </w:hyperlink>
      <w:r w:rsidRPr="003E6DC9">
        <w:rPr>
          <w:rFonts w:asciiTheme="minorHAnsi" w:hAnsiTheme="minorHAnsi" w:cstheme="minorHAnsi"/>
          <w:sz w:val="20"/>
          <w:szCs w:val="20"/>
        </w:rPr>
        <w:t>. (Accessed: 2 October 2023)</w:t>
      </w:r>
    </w:p>
    <w:p w14:paraId="52208E53" w14:textId="77777777" w:rsidR="009A51C4" w:rsidRPr="003E6DC9" w:rsidRDefault="009A51C4" w:rsidP="009A51C4">
      <w:pPr>
        <w:pStyle w:val="NormalWeb"/>
        <w:numPr>
          <w:ilvl w:val="0"/>
          <w:numId w:val="51"/>
        </w:numPr>
        <w:rPr>
          <w:rFonts w:asciiTheme="minorHAnsi" w:hAnsiTheme="minorHAnsi" w:cstheme="minorHAnsi"/>
          <w:sz w:val="20"/>
          <w:szCs w:val="20"/>
        </w:rPr>
      </w:pPr>
      <w:r w:rsidRPr="003E6DC9">
        <w:rPr>
          <w:rFonts w:asciiTheme="minorHAnsi" w:hAnsiTheme="minorHAnsi" w:cstheme="minorHAnsi"/>
          <w:i/>
          <w:iCs/>
          <w:sz w:val="20"/>
          <w:szCs w:val="20"/>
        </w:rPr>
        <w:t xml:space="preserve">Road Traffic Act 1988, </w:t>
      </w:r>
      <w:r w:rsidRPr="003E6DC9">
        <w:rPr>
          <w:rFonts w:asciiTheme="minorHAnsi" w:hAnsiTheme="minorHAnsi" w:cstheme="minorHAnsi"/>
          <w:sz w:val="20"/>
          <w:szCs w:val="20"/>
        </w:rPr>
        <w:t>c.6(3). Available at:</w:t>
      </w:r>
      <w:r w:rsidRPr="003E6DC9">
        <w:rPr>
          <w:rFonts w:asciiTheme="minorHAnsi" w:hAnsiTheme="minorHAnsi" w:cstheme="minorHAnsi"/>
          <w:i/>
          <w:iCs/>
          <w:sz w:val="20"/>
          <w:szCs w:val="20"/>
        </w:rPr>
        <w:t xml:space="preserve"> </w:t>
      </w:r>
      <w:hyperlink r:id="rId27" w:history="1">
        <w:r w:rsidRPr="003E6DC9">
          <w:rPr>
            <w:rStyle w:val="Hyperlink"/>
            <w:rFonts w:asciiTheme="minorHAnsi" w:hAnsiTheme="minorHAnsi" w:cstheme="minorHAnsi"/>
            <w:sz w:val="20"/>
            <w:szCs w:val="20"/>
          </w:rPr>
          <w:t>Road Traffic Act 1988 (legislation.gov.uk)</w:t>
        </w:r>
      </w:hyperlink>
      <w:r w:rsidRPr="003E6DC9">
        <w:rPr>
          <w:rFonts w:asciiTheme="minorHAnsi" w:hAnsiTheme="minorHAnsi" w:cstheme="minorHAnsi"/>
          <w:sz w:val="20"/>
          <w:szCs w:val="20"/>
        </w:rPr>
        <w:t>. (Accessed: 2 October 2023)</w:t>
      </w:r>
    </w:p>
    <w:p w14:paraId="4600D4FA" w14:textId="77777777" w:rsidR="009A51C4" w:rsidRPr="003E6DC9" w:rsidRDefault="009A51C4" w:rsidP="009A51C4">
      <w:pPr>
        <w:pStyle w:val="NormalWeb"/>
        <w:numPr>
          <w:ilvl w:val="0"/>
          <w:numId w:val="51"/>
        </w:numPr>
        <w:rPr>
          <w:rFonts w:asciiTheme="minorHAnsi" w:hAnsiTheme="minorHAnsi" w:cstheme="minorHAnsi"/>
          <w:sz w:val="20"/>
          <w:szCs w:val="20"/>
        </w:rPr>
      </w:pPr>
      <w:r w:rsidRPr="003E6DC9">
        <w:rPr>
          <w:rFonts w:asciiTheme="minorHAnsi" w:hAnsiTheme="minorHAnsi" w:cstheme="minorHAnsi"/>
          <w:i/>
          <w:iCs/>
          <w:sz w:val="20"/>
          <w:szCs w:val="20"/>
        </w:rPr>
        <w:t xml:space="preserve">Road Traffic Act 1988, </w:t>
      </w:r>
      <w:r w:rsidRPr="003E6DC9">
        <w:rPr>
          <w:rFonts w:asciiTheme="minorHAnsi" w:hAnsiTheme="minorHAnsi" w:cstheme="minorHAnsi"/>
          <w:sz w:val="20"/>
          <w:szCs w:val="20"/>
        </w:rPr>
        <w:t>c.6D. Available at:</w:t>
      </w:r>
      <w:r w:rsidRPr="003E6DC9">
        <w:rPr>
          <w:rFonts w:asciiTheme="minorHAnsi" w:hAnsiTheme="minorHAnsi" w:cstheme="minorHAnsi"/>
          <w:i/>
          <w:iCs/>
          <w:sz w:val="20"/>
          <w:szCs w:val="20"/>
        </w:rPr>
        <w:t xml:space="preserve"> </w:t>
      </w:r>
      <w:hyperlink r:id="rId28" w:history="1">
        <w:r w:rsidRPr="003E6DC9">
          <w:rPr>
            <w:rStyle w:val="Hyperlink"/>
            <w:rFonts w:asciiTheme="minorHAnsi" w:hAnsiTheme="minorHAnsi" w:cstheme="minorHAnsi"/>
            <w:sz w:val="20"/>
            <w:szCs w:val="20"/>
          </w:rPr>
          <w:t>Road Traffic Act 1988 (legislation.gov.uk)</w:t>
        </w:r>
      </w:hyperlink>
      <w:r w:rsidRPr="003E6DC9">
        <w:rPr>
          <w:rFonts w:asciiTheme="minorHAnsi" w:hAnsiTheme="minorHAnsi" w:cstheme="minorHAnsi"/>
          <w:sz w:val="20"/>
          <w:szCs w:val="20"/>
        </w:rPr>
        <w:t>. (Accessed: 2 October 2023)</w:t>
      </w:r>
    </w:p>
    <w:p w14:paraId="28F757F5" w14:textId="77777777" w:rsidR="009A51C4" w:rsidRPr="00372A15" w:rsidRDefault="009A51C4" w:rsidP="009A51C4">
      <w:pPr>
        <w:pStyle w:val="NormalWeb"/>
        <w:numPr>
          <w:ilvl w:val="0"/>
          <w:numId w:val="51"/>
        </w:numPr>
        <w:rPr>
          <w:rFonts w:asciiTheme="minorHAnsi" w:hAnsiTheme="minorHAnsi" w:cstheme="minorHAnsi"/>
          <w:sz w:val="20"/>
          <w:szCs w:val="20"/>
        </w:rPr>
      </w:pPr>
      <w:proofErr w:type="spellStart"/>
      <w:r w:rsidRPr="00372A15">
        <w:rPr>
          <w:rFonts w:asciiTheme="minorHAnsi" w:hAnsiTheme="minorHAnsi" w:cstheme="minorHAnsi"/>
          <w:sz w:val="20"/>
          <w:szCs w:val="20"/>
        </w:rPr>
        <w:t>Sancus</w:t>
      </w:r>
      <w:proofErr w:type="spellEnd"/>
      <w:r w:rsidRPr="00372A15">
        <w:rPr>
          <w:rFonts w:asciiTheme="minorHAnsi" w:hAnsiTheme="minorHAnsi" w:cstheme="minorHAnsi"/>
          <w:sz w:val="20"/>
          <w:szCs w:val="20"/>
        </w:rPr>
        <w:t xml:space="preserve"> Solutions (2013) The Criminal Procedures &amp; Investigations Act 1996 (as amended) [online]. Available at: </w:t>
      </w:r>
      <w:hyperlink r:id="rId29" w:history="1">
        <w:r w:rsidRPr="00372A15">
          <w:rPr>
            <w:rStyle w:val="Hyperlink"/>
            <w:rFonts w:asciiTheme="minorHAnsi" w:hAnsiTheme="minorHAnsi" w:cstheme="minorHAnsi"/>
            <w:sz w:val="20"/>
            <w:szCs w:val="20"/>
          </w:rPr>
          <w:t>Microsoft Word - 6 CPIA handout MS _2_ (sancussolutions.co.uk)</w:t>
        </w:r>
      </w:hyperlink>
      <w:r w:rsidRPr="00372A15">
        <w:rPr>
          <w:rFonts w:asciiTheme="minorHAnsi" w:hAnsiTheme="minorHAnsi" w:cstheme="minorHAnsi"/>
          <w:sz w:val="20"/>
          <w:szCs w:val="20"/>
        </w:rPr>
        <w:t xml:space="preserve"> [Accessed: 19 September 2023].</w:t>
      </w:r>
    </w:p>
    <w:p w14:paraId="33F62361"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rPr>
        <w:t xml:space="preserve">Southwick, S.M. </w:t>
      </w:r>
      <w:r w:rsidRPr="00372A15">
        <w:rPr>
          <w:rFonts w:asciiTheme="minorHAnsi" w:hAnsiTheme="minorHAnsi" w:cstheme="minorHAnsi"/>
          <w:i/>
          <w:iCs/>
        </w:rPr>
        <w:t>et al.</w:t>
      </w:r>
      <w:r w:rsidRPr="00372A15">
        <w:rPr>
          <w:rFonts w:asciiTheme="minorHAnsi" w:hAnsiTheme="minorHAnsi" w:cstheme="minorHAnsi"/>
        </w:rPr>
        <w:t xml:space="preserve"> (2014) ‘Resilience definitions, theory, and challenges: Interdisciplinary perspectives’, </w:t>
      </w:r>
      <w:r w:rsidRPr="00372A15">
        <w:rPr>
          <w:rFonts w:asciiTheme="minorHAnsi" w:hAnsiTheme="minorHAnsi" w:cstheme="minorHAnsi"/>
          <w:i/>
          <w:iCs/>
        </w:rPr>
        <w:t xml:space="preserve">European Journal of </w:t>
      </w:r>
      <w:proofErr w:type="spellStart"/>
      <w:r w:rsidRPr="00372A15">
        <w:rPr>
          <w:rFonts w:asciiTheme="minorHAnsi" w:hAnsiTheme="minorHAnsi" w:cstheme="minorHAnsi"/>
          <w:i/>
          <w:iCs/>
        </w:rPr>
        <w:t>Psychotraumatology</w:t>
      </w:r>
      <w:proofErr w:type="spellEnd"/>
      <w:r w:rsidRPr="00372A15">
        <w:rPr>
          <w:rFonts w:asciiTheme="minorHAnsi" w:hAnsiTheme="minorHAnsi" w:cstheme="minorHAnsi"/>
        </w:rPr>
        <w:t>, 5(1). doi:10.3402/</w:t>
      </w:r>
      <w:proofErr w:type="gramStart"/>
      <w:r w:rsidRPr="00372A15">
        <w:rPr>
          <w:rFonts w:asciiTheme="minorHAnsi" w:hAnsiTheme="minorHAnsi" w:cstheme="minorHAnsi"/>
        </w:rPr>
        <w:t>ejpt.v</w:t>
      </w:r>
      <w:proofErr w:type="gramEnd"/>
      <w:r w:rsidRPr="00372A15">
        <w:rPr>
          <w:rFonts w:asciiTheme="minorHAnsi" w:hAnsiTheme="minorHAnsi" w:cstheme="minorHAnsi"/>
        </w:rPr>
        <w:t xml:space="preserve">5.25338. </w:t>
      </w:r>
    </w:p>
    <w:p w14:paraId="04B7FDC2" w14:textId="77777777" w:rsidR="009A51C4" w:rsidRPr="00372A15" w:rsidRDefault="009A51C4" w:rsidP="009A51C4">
      <w:pPr>
        <w:pStyle w:val="NormalWeb"/>
        <w:numPr>
          <w:ilvl w:val="0"/>
          <w:numId w:val="51"/>
        </w:numPr>
        <w:rPr>
          <w:rFonts w:asciiTheme="minorHAnsi" w:hAnsiTheme="minorHAnsi" w:cstheme="minorHAnsi"/>
          <w:sz w:val="20"/>
          <w:szCs w:val="20"/>
        </w:rPr>
      </w:pPr>
      <w:r w:rsidRPr="00372A15">
        <w:rPr>
          <w:rFonts w:asciiTheme="minorHAnsi" w:hAnsiTheme="minorHAnsi" w:cstheme="minorHAnsi"/>
          <w:i/>
          <w:iCs/>
          <w:sz w:val="20"/>
          <w:szCs w:val="20"/>
        </w:rPr>
        <w:lastRenderedPageBreak/>
        <w:t>Violence against women</w:t>
      </w:r>
      <w:r w:rsidRPr="00372A15">
        <w:rPr>
          <w:rFonts w:asciiTheme="minorHAnsi" w:hAnsiTheme="minorHAnsi" w:cstheme="minorHAnsi"/>
          <w:sz w:val="20"/>
          <w:szCs w:val="20"/>
        </w:rPr>
        <w:t xml:space="preserve"> (2023) </w:t>
      </w:r>
      <w:r w:rsidRPr="00372A15">
        <w:rPr>
          <w:rFonts w:asciiTheme="minorHAnsi" w:hAnsiTheme="minorHAnsi" w:cstheme="minorHAnsi"/>
          <w:i/>
          <w:iCs/>
          <w:sz w:val="20"/>
          <w:szCs w:val="20"/>
        </w:rPr>
        <w:t>World Health Organization</w:t>
      </w:r>
      <w:r w:rsidRPr="00372A15">
        <w:rPr>
          <w:rFonts w:asciiTheme="minorHAnsi" w:hAnsiTheme="minorHAnsi" w:cstheme="minorHAnsi"/>
          <w:sz w:val="20"/>
          <w:szCs w:val="20"/>
        </w:rPr>
        <w:t xml:space="preserve">. Available at: https://www.who.int/en/news-room/fact-sheets/detail/violence-against-women (Accessed: 04 August 2023). </w:t>
      </w:r>
    </w:p>
    <w:p w14:paraId="218EB3D3" w14:textId="77777777" w:rsidR="009A51C4" w:rsidRPr="00372A15" w:rsidRDefault="009A51C4" w:rsidP="009A51C4">
      <w:pPr>
        <w:pStyle w:val="ListParagraph"/>
        <w:numPr>
          <w:ilvl w:val="0"/>
          <w:numId w:val="51"/>
        </w:numPr>
        <w:suppressAutoHyphens/>
        <w:overflowPunct/>
        <w:autoSpaceDE/>
        <w:autoSpaceDN/>
        <w:adjustRightInd/>
        <w:spacing w:before="100" w:beforeAutospacing="1" w:after="100" w:afterAutospacing="1"/>
        <w:textAlignment w:val="auto"/>
        <w:rPr>
          <w:rFonts w:asciiTheme="minorHAnsi" w:hAnsiTheme="minorHAnsi" w:cstheme="minorHAnsi"/>
        </w:rPr>
      </w:pPr>
      <w:r w:rsidRPr="00372A15">
        <w:rPr>
          <w:rFonts w:asciiTheme="minorHAnsi" w:hAnsiTheme="minorHAnsi" w:cstheme="minorHAnsi"/>
          <w:i/>
          <w:iCs/>
        </w:rPr>
        <w:t>What is stress?</w:t>
      </w:r>
      <w:r w:rsidRPr="00372A15">
        <w:rPr>
          <w:rFonts w:asciiTheme="minorHAnsi" w:hAnsiTheme="minorHAnsi" w:cstheme="minorHAnsi"/>
        </w:rPr>
        <w:t xml:space="preserve"> (2022) </w:t>
      </w:r>
      <w:r w:rsidRPr="00372A15">
        <w:rPr>
          <w:rFonts w:asciiTheme="minorHAnsi" w:hAnsiTheme="minorHAnsi" w:cstheme="minorHAnsi"/>
          <w:i/>
          <w:iCs/>
        </w:rPr>
        <w:t>Mind</w:t>
      </w:r>
      <w:r w:rsidRPr="00372A15">
        <w:rPr>
          <w:rFonts w:asciiTheme="minorHAnsi" w:hAnsiTheme="minorHAnsi" w:cstheme="minorHAnsi"/>
        </w:rPr>
        <w:t xml:space="preserve">. Available at: https://www.mind.org.uk/information-support/types-of-mental-health-problems/stress/what-is-stress/ (Accessed: 02 October 2023). </w:t>
      </w:r>
    </w:p>
    <w:p w14:paraId="7A956FE7" w14:textId="77777777" w:rsidR="009A51C4" w:rsidRPr="00372A15" w:rsidRDefault="009A51C4" w:rsidP="009A51C4">
      <w:pPr>
        <w:pStyle w:val="ListParagraph"/>
        <w:numPr>
          <w:ilvl w:val="0"/>
          <w:numId w:val="51"/>
        </w:numPr>
        <w:overflowPunct/>
        <w:autoSpaceDE/>
        <w:adjustRightInd/>
        <w:spacing w:before="100" w:after="100"/>
        <w:textAlignment w:val="auto"/>
        <w:rPr>
          <w:rFonts w:asciiTheme="minorHAnsi" w:hAnsiTheme="minorHAnsi" w:cstheme="minorHAnsi"/>
        </w:rPr>
      </w:pPr>
      <w:r w:rsidRPr="00372A15">
        <w:rPr>
          <w:rFonts w:asciiTheme="minorHAnsi" w:hAnsiTheme="minorHAnsi" w:cstheme="minorHAnsi"/>
          <w:i/>
          <w:iCs/>
        </w:rPr>
        <w:t>Working with victims and witnesses</w:t>
      </w:r>
      <w:r w:rsidRPr="00372A15">
        <w:rPr>
          <w:rFonts w:asciiTheme="minorHAnsi" w:hAnsiTheme="minorHAnsi" w:cstheme="minorHAnsi"/>
        </w:rPr>
        <w:t xml:space="preserve"> (2023) </w:t>
      </w:r>
      <w:r w:rsidRPr="00372A15">
        <w:rPr>
          <w:rFonts w:asciiTheme="minorHAnsi" w:hAnsiTheme="minorHAnsi" w:cstheme="minorHAnsi"/>
          <w:i/>
          <w:iCs/>
        </w:rPr>
        <w:t>College of Policing</w:t>
      </w:r>
      <w:r w:rsidRPr="00372A15">
        <w:rPr>
          <w:rFonts w:asciiTheme="minorHAnsi" w:hAnsiTheme="minorHAnsi" w:cstheme="minorHAnsi"/>
        </w:rPr>
        <w:t xml:space="preserve">. Available at: https://www.college.police.uk/app/investigation/working-victims-and-witnesses#special-measures (Accessed: 05 September 2023). </w:t>
      </w:r>
    </w:p>
    <w:p w14:paraId="51F2F158" w14:textId="77777777" w:rsidR="009A51C4" w:rsidRPr="003E6DC9" w:rsidRDefault="009A51C4" w:rsidP="009A51C4">
      <w:pPr>
        <w:pStyle w:val="NormalWeb"/>
        <w:numPr>
          <w:ilvl w:val="0"/>
          <w:numId w:val="51"/>
        </w:numPr>
        <w:rPr>
          <w:rFonts w:asciiTheme="minorHAnsi" w:hAnsiTheme="minorHAnsi" w:cstheme="minorHAnsi"/>
          <w:sz w:val="20"/>
          <w:szCs w:val="20"/>
        </w:rPr>
      </w:pPr>
      <w:r w:rsidRPr="003E6DC9">
        <w:rPr>
          <w:rFonts w:asciiTheme="minorHAnsi" w:hAnsiTheme="minorHAnsi" w:cstheme="minorHAnsi"/>
          <w:sz w:val="20"/>
          <w:szCs w:val="20"/>
        </w:rPr>
        <w:t xml:space="preserve">Wu, G. </w:t>
      </w:r>
      <w:r w:rsidRPr="003E6DC9">
        <w:rPr>
          <w:rFonts w:asciiTheme="minorHAnsi" w:hAnsiTheme="minorHAnsi" w:cstheme="minorHAnsi"/>
          <w:i/>
          <w:iCs/>
          <w:sz w:val="20"/>
          <w:szCs w:val="20"/>
        </w:rPr>
        <w:t>et al.</w:t>
      </w:r>
      <w:r w:rsidRPr="003E6DC9">
        <w:rPr>
          <w:rFonts w:asciiTheme="minorHAnsi" w:hAnsiTheme="minorHAnsi" w:cstheme="minorHAnsi"/>
          <w:sz w:val="20"/>
          <w:szCs w:val="20"/>
        </w:rPr>
        <w:t xml:space="preserve"> (2013) </w:t>
      </w:r>
      <w:r w:rsidRPr="003E6DC9">
        <w:rPr>
          <w:rFonts w:asciiTheme="minorHAnsi" w:hAnsiTheme="minorHAnsi" w:cstheme="minorHAnsi"/>
          <w:i/>
          <w:iCs/>
          <w:sz w:val="20"/>
          <w:szCs w:val="20"/>
        </w:rPr>
        <w:t>Understanding resilience</w:t>
      </w:r>
      <w:r w:rsidRPr="003E6DC9">
        <w:rPr>
          <w:rFonts w:asciiTheme="minorHAnsi" w:hAnsiTheme="minorHAnsi" w:cstheme="minorHAnsi"/>
          <w:sz w:val="20"/>
          <w:szCs w:val="20"/>
        </w:rPr>
        <w:t xml:space="preserve">, </w:t>
      </w:r>
      <w:r w:rsidRPr="003E6DC9">
        <w:rPr>
          <w:rFonts w:asciiTheme="minorHAnsi" w:hAnsiTheme="minorHAnsi" w:cstheme="minorHAnsi"/>
          <w:i/>
          <w:iCs/>
          <w:sz w:val="20"/>
          <w:szCs w:val="20"/>
        </w:rPr>
        <w:t>Frontiers</w:t>
      </w:r>
      <w:r w:rsidRPr="003E6DC9">
        <w:rPr>
          <w:rFonts w:asciiTheme="minorHAnsi" w:hAnsiTheme="minorHAnsi" w:cstheme="minorHAnsi"/>
          <w:sz w:val="20"/>
          <w:szCs w:val="20"/>
        </w:rPr>
        <w:t xml:space="preserve">. Available at: https://www.frontiersin.org/articles/10.3389/fnbeh.2013.00010/full (Accessed: 23 July 2023). </w:t>
      </w:r>
    </w:p>
    <w:p w14:paraId="7021A3B1" w14:textId="77777777" w:rsidR="009A51C4" w:rsidRPr="00EE3ADE" w:rsidRDefault="009A51C4" w:rsidP="009A51C4">
      <w:pPr>
        <w:pStyle w:val="NormalWeb"/>
        <w:ind w:left="360"/>
        <w:rPr>
          <w:rFonts w:asciiTheme="minorHAnsi" w:hAnsiTheme="minorHAnsi" w:cstheme="minorHAnsi"/>
          <w:sz w:val="20"/>
          <w:szCs w:val="20"/>
        </w:rPr>
      </w:pPr>
    </w:p>
    <w:p w14:paraId="69C91F0C" w14:textId="63B904D8" w:rsidR="009A51C4"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0B142712"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921405" w:rsidRPr="00921405">
        <w:rPr>
          <w:rFonts w:ascii="Cochocib Script Latin Pro" w:eastAsia="Arial" w:hAnsi="Cochocib Script Latin Pro"/>
          <w:color w:val="000000" w:themeColor="text1"/>
          <w:sz w:val="44"/>
          <w:szCs w:val="44"/>
          <w:highlight w:val="yellow"/>
        </w:rPr>
        <w:t>S Barnard</w:t>
      </w:r>
    </w:p>
    <w:p w14:paraId="5A951FC3" w14:textId="567E0F34" w:rsidR="641A9DDA" w:rsidRDefault="641A9DDA" w:rsidP="366F6C5C">
      <w:pPr>
        <w:jc w:val="both"/>
        <w:rPr>
          <w:color w:val="000000" w:themeColor="text1"/>
          <w:sz w:val="24"/>
          <w:szCs w:val="24"/>
          <w:highlight w:val="yellow"/>
        </w:rPr>
      </w:pPr>
    </w:p>
    <w:p w14:paraId="0C5B59A2" w14:textId="1045461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21405">
        <w:rPr>
          <w:rFonts w:eastAsia="Arial"/>
          <w:color w:val="000000" w:themeColor="text1"/>
          <w:sz w:val="24"/>
          <w:szCs w:val="24"/>
          <w:highlight w:val="yellow"/>
        </w:rPr>
        <w:t>03/10/2023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chocib Script Latin Pro">
    <w:charset w:val="00"/>
    <w:family w:val="auto"/>
    <w:pitch w:val="variable"/>
    <w:sig w:usb0="A00000AF" w:usb1="5000004A" w:usb2="00000000" w:usb3="00000000" w:csb0="00000093"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63603B"/>
    <w:multiLevelType w:val="multilevel"/>
    <w:tmpl w:val="18943FB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2C4D1A"/>
    <w:multiLevelType w:val="multilevel"/>
    <w:tmpl w:val="27F4FF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0418308">
    <w:abstractNumId w:val="39"/>
  </w:num>
  <w:num w:numId="2" w16cid:durableId="1115095545">
    <w:abstractNumId w:val="31"/>
  </w:num>
  <w:num w:numId="3" w16cid:durableId="791898704">
    <w:abstractNumId w:val="23"/>
  </w:num>
  <w:num w:numId="4" w16cid:durableId="719595484">
    <w:abstractNumId w:val="1"/>
    <w:lvlOverride w:ilvl="0">
      <w:lvl w:ilvl="0">
        <w:start w:val="1"/>
        <w:numFmt w:val="bullet"/>
        <w:lvlText w:val=""/>
        <w:lvlJc w:val="left"/>
        <w:pPr>
          <w:ind w:left="720" w:hanging="360"/>
        </w:pPr>
        <w:rPr>
          <w:rFonts w:ascii="Symbol" w:hAnsi="Symbol" w:hint="default"/>
        </w:rPr>
      </w:lvl>
    </w:lvlOverride>
  </w:num>
  <w:num w:numId="5" w16cid:durableId="1545560097">
    <w:abstractNumId w:val="21"/>
  </w:num>
  <w:num w:numId="6" w16cid:durableId="546533629">
    <w:abstractNumId w:val="47"/>
  </w:num>
  <w:num w:numId="7" w16cid:durableId="1726024148">
    <w:abstractNumId w:val="49"/>
  </w:num>
  <w:num w:numId="8" w16cid:durableId="1888949433">
    <w:abstractNumId w:val="34"/>
  </w:num>
  <w:num w:numId="9" w16cid:durableId="1678270401">
    <w:abstractNumId w:val="32"/>
  </w:num>
  <w:num w:numId="10" w16cid:durableId="1880243384">
    <w:abstractNumId w:val="28"/>
  </w:num>
  <w:num w:numId="11" w16cid:durableId="1633175248">
    <w:abstractNumId w:val="29"/>
  </w:num>
  <w:num w:numId="12" w16cid:durableId="1504514160">
    <w:abstractNumId w:val="9"/>
  </w:num>
  <w:num w:numId="13" w16cid:durableId="377974210">
    <w:abstractNumId w:val="33"/>
  </w:num>
  <w:num w:numId="14" w16cid:durableId="1031758411">
    <w:abstractNumId w:val="16"/>
  </w:num>
  <w:num w:numId="15" w16cid:durableId="339241206">
    <w:abstractNumId w:val="15"/>
  </w:num>
  <w:num w:numId="16" w16cid:durableId="524638746">
    <w:abstractNumId w:val="26"/>
  </w:num>
  <w:num w:numId="17" w16cid:durableId="87044869">
    <w:abstractNumId w:val="7"/>
  </w:num>
  <w:num w:numId="18" w16cid:durableId="336270466">
    <w:abstractNumId w:val="25"/>
  </w:num>
  <w:num w:numId="19" w16cid:durableId="712076230">
    <w:abstractNumId w:val="14"/>
  </w:num>
  <w:num w:numId="20" w16cid:durableId="991253729">
    <w:abstractNumId w:val="12"/>
  </w:num>
  <w:num w:numId="21" w16cid:durableId="64057179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4978940">
    <w:abstractNumId w:val="22"/>
  </w:num>
  <w:num w:numId="23" w16cid:durableId="1848515127">
    <w:abstractNumId w:val="17"/>
  </w:num>
  <w:num w:numId="24" w16cid:durableId="211815002">
    <w:abstractNumId w:val="13"/>
  </w:num>
  <w:num w:numId="25" w16cid:durableId="1586263997">
    <w:abstractNumId w:val="10"/>
  </w:num>
  <w:num w:numId="26" w16cid:durableId="1307053950">
    <w:abstractNumId w:val="27"/>
  </w:num>
  <w:num w:numId="27" w16cid:durableId="1063603407">
    <w:abstractNumId w:val="18"/>
  </w:num>
  <w:num w:numId="28" w16cid:durableId="436215057">
    <w:abstractNumId w:val="42"/>
  </w:num>
  <w:num w:numId="29" w16cid:durableId="153567539">
    <w:abstractNumId w:val="35"/>
  </w:num>
  <w:num w:numId="30" w16cid:durableId="2091653404">
    <w:abstractNumId w:val="41"/>
  </w:num>
  <w:num w:numId="31" w16cid:durableId="932664346">
    <w:abstractNumId w:val="19"/>
  </w:num>
  <w:num w:numId="32" w16cid:durableId="416832105">
    <w:abstractNumId w:val="45"/>
  </w:num>
  <w:num w:numId="33" w16cid:durableId="1263337800">
    <w:abstractNumId w:val="30"/>
  </w:num>
  <w:num w:numId="34" w16cid:durableId="745029136">
    <w:abstractNumId w:val="11"/>
  </w:num>
  <w:num w:numId="35" w16cid:durableId="67652718">
    <w:abstractNumId w:val="46"/>
  </w:num>
  <w:num w:numId="36" w16cid:durableId="1281231023">
    <w:abstractNumId w:val="40"/>
  </w:num>
  <w:num w:numId="37" w16cid:durableId="1817717629">
    <w:abstractNumId w:val="4"/>
  </w:num>
  <w:num w:numId="38" w16cid:durableId="2079817221">
    <w:abstractNumId w:val="48"/>
  </w:num>
  <w:num w:numId="39" w16cid:durableId="1595625283">
    <w:abstractNumId w:val="43"/>
  </w:num>
  <w:num w:numId="40" w16cid:durableId="856652722">
    <w:abstractNumId w:val="37"/>
  </w:num>
  <w:num w:numId="41" w16cid:durableId="1837379885">
    <w:abstractNumId w:val="38"/>
  </w:num>
  <w:num w:numId="42" w16cid:durableId="402992142">
    <w:abstractNumId w:val="3"/>
  </w:num>
  <w:num w:numId="43" w16cid:durableId="705567835">
    <w:abstractNumId w:val="5"/>
  </w:num>
  <w:num w:numId="44" w16cid:durableId="2050765530">
    <w:abstractNumId w:val="24"/>
  </w:num>
  <w:num w:numId="45" w16cid:durableId="1552842248">
    <w:abstractNumId w:val="6"/>
  </w:num>
  <w:num w:numId="46" w16cid:durableId="1167552175">
    <w:abstractNumId w:val="2"/>
  </w:num>
  <w:num w:numId="47" w16cid:durableId="703142026">
    <w:abstractNumId w:val="0"/>
  </w:num>
  <w:num w:numId="48" w16cid:durableId="1910924775">
    <w:abstractNumId w:val="20"/>
  </w:num>
  <w:num w:numId="49" w16cid:durableId="1945337072">
    <w:abstractNumId w:val="50"/>
  </w:num>
  <w:num w:numId="50" w16cid:durableId="1663704401">
    <w:abstractNumId w:val="36"/>
  </w:num>
  <w:num w:numId="51" w16cid:durableId="975839413">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2D9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55643"/>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222A"/>
    <w:rsid w:val="008D5813"/>
    <w:rsid w:val="008D634E"/>
    <w:rsid w:val="008D778A"/>
    <w:rsid w:val="008F22BD"/>
    <w:rsid w:val="009079BD"/>
    <w:rsid w:val="00910B43"/>
    <w:rsid w:val="00912BD9"/>
    <w:rsid w:val="00920E5B"/>
    <w:rsid w:val="00921405"/>
    <w:rsid w:val="00926436"/>
    <w:rsid w:val="0093018C"/>
    <w:rsid w:val="00932AFF"/>
    <w:rsid w:val="009544C0"/>
    <w:rsid w:val="00954FA4"/>
    <w:rsid w:val="00956AE9"/>
    <w:rsid w:val="00964CC6"/>
    <w:rsid w:val="00991FDA"/>
    <w:rsid w:val="009927A1"/>
    <w:rsid w:val="009A51C4"/>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921405"/>
    <w:pPr>
      <w:overflowPunct/>
      <w:autoSpaceDE/>
      <w:adjustRightInd/>
      <w:spacing w:before="100" w:after="100"/>
      <w:textAlignment w:val="auto"/>
    </w:pPr>
    <w:rPr>
      <w:rFonts w:ascii="Times New Roman" w:hAnsi="Times New Roman" w:cs="Times New Roman"/>
      <w:color w:val="auto"/>
      <w:sz w:val="24"/>
      <w:szCs w:val="24"/>
    </w:rPr>
  </w:style>
  <w:style w:type="character" w:customStyle="1" w:styleId="legds">
    <w:name w:val="legds"/>
    <w:basedOn w:val="DefaultParagraphFont"/>
    <w:rsid w:val="00921405"/>
  </w:style>
  <w:style w:type="paragraph" w:styleId="NormalWeb">
    <w:name w:val="Normal (Web)"/>
    <w:basedOn w:val="Normal"/>
    <w:uiPriority w:val="99"/>
    <w:rsid w:val="009A51C4"/>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88/52/section/4"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process?highlight=evalua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hyperlink" Target="https://www.sancussolutions.co.uk/wp-content/uploads/2013/01/:~:text=The%20Criminal%20Procedure%20%26%20Investigations%20Act%201996%20%28as,intend%20to%20use%20as%20evidence%20in%20its%20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introduction?highlight=cpia"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uidance/domestic-abuse-how-to-get-help" TargetMode="External"/><Relationship Id="rId28" Type="http://schemas.openxmlformats.org/officeDocument/2006/relationships/hyperlink" Target="https://www.legislation.gov.uk/ukpga/1988/52/section/4"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hyperlink" Target="https://www.legislation.gov.uk/ukpga/1988/52/section/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9350</Words>
  <Characters>53009</Characters>
  <Application>Microsoft Office Word</Application>
  <DocSecurity>0</DocSecurity>
  <Lines>441</Lines>
  <Paragraphs>124</Paragraphs>
  <ScaleCrop>false</ScaleCrop>
  <Company>Powys County Council</Company>
  <LinksUpToDate>false</LinksUpToDate>
  <CharactersWithSpaces>62235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Barnard,Samuel swp8590</cp:lastModifiedBy>
  <cp:revision>5</cp:revision>
  <cp:lastPrinted>2019-08-13T11:47:00Z</cp:lastPrinted>
  <dcterms:created xsi:type="dcterms:W3CDTF">2023-10-03T12:39:00Z</dcterms:created>
  <dcterms:modified xsi:type="dcterms:W3CDTF">2023-10-03T13:15:00Z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2023-10-03T12:39:25Z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f99f9b04-27ac-45d6-98ab-b2552fce2ad4</vt:lpwstr>
  </property>
  <property fmtid="{D5CDD505-2E9C-101B-9397-08002B2CF9AE}" pid="9" name="MSIP_Label_66cf8fe5-b7b7-4df7-b38d-1c61ac2f6639_ContentBits">
    <vt:lpwstr>0</vt:lpwstr>
  </property>
</Properties>
</file>