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FEED3F" w14:textId="23FEC996" w:rsidR="00230F35" w:rsidRDefault="00550327" w:rsidP="00230F35">
      <w:pPr>
        <w:pStyle w:val="NormalWeb"/>
        <w:spacing w:before="0" w:beforeAutospacing="0" w:after="0" w:afterAutospacing="0"/>
        <w:ind w:left="-180" w:right="-334"/>
      </w:pPr>
      <w:r>
        <w:rPr>
          <w:noProof/>
          <w:lang w:val="en-US" w:eastAsia="en-US"/>
        </w:rPr>
        <w:drawing>
          <wp:inline distT="0" distB="0" distL="0" distR="0" wp14:anchorId="0FDC2F73" wp14:editId="4C383966">
            <wp:extent cx="1906270" cy="635635"/>
            <wp:effectExtent l="25400" t="25400" r="24130" b="247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16E085BF" w14:textId="77777777" w:rsidR="00230F35" w:rsidRDefault="00230F35" w:rsidP="00230F35">
      <w:pPr>
        <w:pStyle w:val="NormalWeb"/>
        <w:spacing w:before="0" w:beforeAutospacing="0" w:after="0" w:afterAutospacing="0"/>
        <w:ind w:left="-180" w:right="-334"/>
      </w:pPr>
    </w:p>
    <w:p w14:paraId="3E77AD87" w14:textId="77777777" w:rsidR="00A745B6" w:rsidRDefault="00A745B6" w:rsidP="00230F35">
      <w:pPr>
        <w:pStyle w:val="NormalWeb"/>
        <w:spacing w:before="0" w:beforeAutospacing="0" w:after="0" w:afterAutospacing="0"/>
        <w:ind w:left="-180" w:right="-334"/>
      </w:pPr>
    </w:p>
    <w:p w14:paraId="1048F647"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A1CBA4A"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B238113" w14:textId="77777777" w:rsidR="002E67CE" w:rsidRPr="00230F35" w:rsidRDefault="002E67CE" w:rsidP="002E67CE">
      <w:pPr>
        <w:rPr>
          <w:rFonts w:ascii="Arial" w:hAnsi="Arial" w:cs="Arial"/>
          <w:sz w:val="28"/>
          <w:szCs w:val="28"/>
          <w:lang w:val="cy-GB"/>
        </w:rPr>
      </w:pPr>
    </w:p>
    <w:p w14:paraId="3C1B87B9"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0732AB89"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0BB7F49E" w14:textId="77777777" w:rsidTr="00A745B6">
        <w:trPr>
          <w:trHeight w:val="614"/>
        </w:trPr>
        <w:tc>
          <w:tcPr>
            <w:tcW w:w="8856" w:type="dxa"/>
            <w:gridSpan w:val="5"/>
          </w:tcPr>
          <w:p w14:paraId="3DEB6CC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13582147" w14:textId="77777777" w:rsidTr="00A745B6">
        <w:trPr>
          <w:trHeight w:val="718"/>
        </w:trPr>
        <w:tc>
          <w:tcPr>
            <w:tcW w:w="8856" w:type="dxa"/>
            <w:gridSpan w:val="5"/>
          </w:tcPr>
          <w:p w14:paraId="2B301656"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6ED598E9" w14:textId="77777777" w:rsidR="00FA2A4C" w:rsidRPr="00230F35" w:rsidRDefault="00F47020"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Megan </w:t>
            </w:r>
            <w:proofErr w:type="spellStart"/>
            <w:r>
              <w:rPr>
                <w:rFonts w:ascii="Arial" w:hAnsi="Arial" w:cs="Arial"/>
                <w:sz w:val="22"/>
                <w:szCs w:val="22"/>
              </w:rPr>
              <w:t>Ceris</w:t>
            </w:r>
            <w:proofErr w:type="spellEnd"/>
            <w:r>
              <w:rPr>
                <w:rFonts w:ascii="Arial" w:hAnsi="Arial" w:cs="Arial"/>
                <w:sz w:val="22"/>
                <w:szCs w:val="22"/>
              </w:rPr>
              <w:t xml:space="preserve"> John</w:t>
            </w:r>
          </w:p>
        </w:tc>
      </w:tr>
      <w:tr w:rsidR="00CE3B79" w:rsidRPr="00230F35" w14:paraId="5BD7B408" w14:textId="77777777" w:rsidTr="00A745B6">
        <w:trPr>
          <w:trHeight w:val="849"/>
        </w:trPr>
        <w:tc>
          <w:tcPr>
            <w:tcW w:w="4788" w:type="dxa"/>
          </w:tcPr>
          <w:p w14:paraId="3701535F"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8E82E4A" w14:textId="77777777" w:rsidR="00D67BF8" w:rsidRPr="00230F35" w:rsidRDefault="00E24C6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HPCA7005</w:t>
            </w:r>
          </w:p>
          <w:p w14:paraId="0E44B15D"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C550683" w14:textId="77777777" w:rsidR="00A745B6" w:rsidRDefault="00E24C6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Cosmology, Magic and Divination</w:t>
            </w:r>
          </w:p>
          <w:p w14:paraId="64E7C59A"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2A948215"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E4F3101" w14:textId="77777777" w:rsidR="00E24C68" w:rsidRPr="00230F35" w:rsidRDefault="00E24C6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1805675</w:t>
            </w:r>
          </w:p>
        </w:tc>
        <w:tc>
          <w:tcPr>
            <w:tcW w:w="1802" w:type="dxa"/>
          </w:tcPr>
          <w:p w14:paraId="5F17B0E1"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AE98673"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065823A2" w14:textId="77777777" w:rsidTr="00A745B6">
        <w:trPr>
          <w:trHeight w:val="1139"/>
        </w:trPr>
        <w:tc>
          <w:tcPr>
            <w:tcW w:w="8856" w:type="dxa"/>
            <w:gridSpan w:val="5"/>
          </w:tcPr>
          <w:p w14:paraId="7D2270F7" w14:textId="77777777"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2D54C0AC" w14:textId="77777777" w:rsidR="00D67BF8" w:rsidRPr="00230F35" w:rsidRDefault="00E24C6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Dorian </w:t>
            </w:r>
            <w:proofErr w:type="spellStart"/>
            <w:r>
              <w:rPr>
                <w:rFonts w:ascii="Arial" w:hAnsi="Arial" w:cs="Arial"/>
                <w:sz w:val="22"/>
                <w:szCs w:val="22"/>
              </w:rPr>
              <w:t>Greenbaum</w:t>
            </w:r>
            <w:proofErr w:type="spellEnd"/>
            <w:r>
              <w:rPr>
                <w:rFonts w:ascii="Arial" w:hAnsi="Arial" w:cs="Arial"/>
                <w:sz w:val="22"/>
                <w:szCs w:val="22"/>
              </w:rPr>
              <w:t xml:space="preserve"> and Crystal </w:t>
            </w:r>
            <w:proofErr w:type="spellStart"/>
            <w:r>
              <w:rPr>
                <w:rFonts w:ascii="Arial" w:hAnsi="Arial" w:cs="Arial"/>
                <w:sz w:val="22"/>
                <w:szCs w:val="22"/>
              </w:rPr>
              <w:t>Addey</w:t>
            </w:r>
            <w:proofErr w:type="spellEnd"/>
          </w:p>
          <w:p w14:paraId="27705396" w14:textId="77777777" w:rsidR="00230F35" w:rsidRDefault="00230F35" w:rsidP="002F467C">
            <w:pPr>
              <w:pStyle w:val="NormalWeb"/>
              <w:spacing w:before="0" w:beforeAutospacing="0" w:after="0" w:afterAutospacing="0"/>
              <w:ind w:right="34"/>
              <w:rPr>
                <w:rFonts w:ascii="Arial" w:hAnsi="Arial" w:cs="Arial"/>
                <w:sz w:val="22"/>
                <w:szCs w:val="22"/>
              </w:rPr>
            </w:pPr>
          </w:p>
          <w:p w14:paraId="1B4377D0"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E24C68">
              <w:rPr>
                <w:rFonts w:ascii="Arial" w:hAnsi="Arial" w:cs="Arial"/>
                <w:sz w:val="22"/>
                <w:szCs w:val="22"/>
              </w:rPr>
              <w:t xml:space="preserve"> 17</w:t>
            </w:r>
            <w:r w:rsidR="00E24C68" w:rsidRPr="00E24C68">
              <w:rPr>
                <w:rFonts w:ascii="Arial" w:hAnsi="Arial" w:cs="Arial"/>
                <w:sz w:val="22"/>
                <w:szCs w:val="22"/>
                <w:vertAlign w:val="superscript"/>
              </w:rPr>
              <w:t>th</w:t>
            </w:r>
            <w:r w:rsidR="00E24C68">
              <w:rPr>
                <w:rFonts w:ascii="Arial" w:hAnsi="Arial" w:cs="Arial"/>
                <w:sz w:val="22"/>
                <w:szCs w:val="22"/>
              </w:rPr>
              <w:t xml:space="preserve"> June 2019</w:t>
            </w:r>
          </w:p>
        </w:tc>
      </w:tr>
      <w:tr w:rsidR="00230F35" w:rsidRPr="00230F35" w14:paraId="476A25F7" w14:textId="77777777" w:rsidTr="00A745B6">
        <w:trPr>
          <w:trHeight w:val="978"/>
        </w:trPr>
        <w:tc>
          <w:tcPr>
            <w:tcW w:w="8856" w:type="dxa"/>
            <w:gridSpan w:val="5"/>
            <w:tcBorders>
              <w:bottom w:val="single" w:sz="4" w:space="0" w:color="000000"/>
            </w:tcBorders>
          </w:tcPr>
          <w:p w14:paraId="7E5BB2BF" w14:textId="77777777"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1EE552BC" w14:textId="77777777" w:rsidR="00F75EB5" w:rsidRDefault="00F75EB5" w:rsidP="00F75EB5">
            <w:pPr>
              <w:rPr>
                <w:rFonts w:ascii="Arial" w:hAnsi="Arial" w:cs="Arial"/>
                <w:sz w:val="22"/>
                <w:szCs w:val="22"/>
              </w:rPr>
            </w:pPr>
          </w:p>
          <w:p w14:paraId="5EA3A7D3" w14:textId="77777777" w:rsidR="00230F35" w:rsidRPr="00230F35" w:rsidRDefault="00230F35" w:rsidP="00E24C68">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E24C68">
              <w:rPr>
                <w:rFonts w:ascii="Arial" w:hAnsi="Arial" w:cs="Arial"/>
                <w:sz w:val="22"/>
                <w:szCs w:val="22"/>
              </w:rPr>
              <w:fldChar w:fldCharType="begin">
                <w:ffData>
                  <w:name w:val="Check13"/>
                  <w:enabled/>
                  <w:calcOnExit w:val="0"/>
                  <w:checkBox>
                    <w:sizeAuto/>
                    <w:default w:val="1"/>
                  </w:checkBox>
                </w:ffData>
              </w:fldChar>
            </w:r>
            <w:bookmarkStart w:id="0" w:name="Check13"/>
            <w:r w:rsidR="00E24C68">
              <w:rPr>
                <w:rFonts w:ascii="Arial" w:hAnsi="Arial" w:cs="Arial"/>
                <w:sz w:val="22"/>
                <w:szCs w:val="22"/>
              </w:rPr>
              <w:instrText xml:space="preserve"> FORMCHECKBOX </w:instrText>
            </w:r>
            <w:r w:rsidR="00E24C68">
              <w:rPr>
                <w:rFonts w:ascii="Arial" w:hAnsi="Arial" w:cs="Arial"/>
                <w:sz w:val="22"/>
                <w:szCs w:val="22"/>
              </w:rPr>
            </w:r>
            <w:r w:rsidR="00E24C68">
              <w:rPr>
                <w:rFonts w:ascii="Arial" w:hAnsi="Arial" w:cs="Arial"/>
                <w:sz w:val="22"/>
                <w:szCs w:val="22"/>
              </w:rPr>
              <w:fldChar w:fldCharType="end"/>
            </w:r>
            <w:bookmarkEnd w:id="0"/>
            <w:proofErr w:type="gramStart"/>
            <w:r w:rsidRPr="00230F35">
              <w:rPr>
                <w:rFonts w:ascii="Arial" w:hAnsi="Arial" w:cs="Arial"/>
                <w:sz w:val="22"/>
                <w:szCs w:val="22"/>
              </w:rPr>
              <w:t xml:space="preserve">    2</w:t>
            </w:r>
            <w:r w:rsidRPr="00230F35">
              <w:rPr>
                <w:rFonts w:ascii="Arial" w:hAnsi="Arial" w:cs="Arial"/>
                <w:sz w:val="22"/>
                <w:szCs w:val="22"/>
                <w:vertAlign w:val="superscript"/>
              </w:rPr>
              <w:t>nd</w:t>
            </w:r>
            <w:proofErr w:type="gramEnd"/>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901157" w:rsidRPr="00230F35" w14:paraId="5F84D86F" w14:textId="77777777" w:rsidTr="00A745B6">
        <w:trPr>
          <w:trHeight w:val="978"/>
        </w:trPr>
        <w:tc>
          <w:tcPr>
            <w:tcW w:w="8856" w:type="dxa"/>
            <w:gridSpan w:val="5"/>
            <w:shd w:val="clear" w:color="auto" w:fill="D9D9D9"/>
          </w:tcPr>
          <w:p w14:paraId="4E3F462D"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C741731"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E24C68">
              <w:rPr>
                <w:rFonts w:ascii="Arial" w:hAnsi="Arial" w:cs="Arial"/>
                <w:sz w:val="22"/>
                <w:szCs w:val="22"/>
              </w:rPr>
              <w:t>Megan John</w:t>
            </w:r>
            <w:r w:rsidRPr="00230F35">
              <w:rPr>
                <w:rFonts w:ascii="Arial" w:hAnsi="Arial" w:cs="Arial"/>
                <w:sz w:val="22"/>
                <w:szCs w:val="22"/>
              </w:rPr>
              <w:t>…</w:t>
            </w:r>
            <w:r w:rsidR="00AE3217" w:rsidRPr="00230F35">
              <w:rPr>
                <w:rFonts w:ascii="Arial" w:hAnsi="Arial" w:cs="Arial"/>
                <w:sz w:val="22"/>
                <w:szCs w:val="22"/>
              </w:rPr>
              <w:t>………</w:t>
            </w:r>
          </w:p>
          <w:p w14:paraId="3CAAB3C1"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7BBEBDD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590E9A" w:rsidRPr="00230F35" w14:paraId="71C7D9F3" w14:textId="77777777" w:rsidTr="00A745B6">
        <w:trPr>
          <w:trHeight w:val="3972"/>
        </w:trPr>
        <w:tc>
          <w:tcPr>
            <w:tcW w:w="8856" w:type="dxa"/>
            <w:gridSpan w:val="5"/>
          </w:tcPr>
          <w:p w14:paraId="06700E8B" w14:textId="77777777" w:rsidR="00A745B6" w:rsidRDefault="00A745B6" w:rsidP="00A745B6">
            <w:pPr>
              <w:rPr>
                <w:rFonts w:ascii="Arial" w:hAnsi="Arial"/>
                <w:b/>
              </w:rPr>
            </w:pPr>
          </w:p>
          <w:p w14:paraId="13EA9369"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3577D6F5" w14:textId="77777777" w:rsidTr="00022345">
              <w:tc>
                <w:tcPr>
                  <w:tcW w:w="6970" w:type="dxa"/>
                </w:tcPr>
                <w:p w14:paraId="2925DD5E" w14:textId="77777777" w:rsidR="00A745B6" w:rsidRPr="00116CE6" w:rsidRDefault="00A745B6" w:rsidP="009C1A08">
                  <w:pPr>
                    <w:rPr>
                      <w:rFonts w:ascii="Arial" w:hAnsi="Arial"/>
                      <w:sz w:val="20"/>
                      <w:szCs w:val="20"/>
                    </w:rPr>
                  </w:pPr>
                </w:p>
                <w:p w14:paraId="2CAA17CC"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45FACE0" w14:textId="77777777" w:rsidR="00A745B6" w:rsidRPr="00116CE6" w:rsidRDefault="00A745B6" w:rsidP="009C1A08">
                  <w:pPr>
                    <w:rPr>
                      <w:rFonts w:ascii="Arial" w:hAnsi="Arial"/>
                      <w:sz w:val="20"/>
                      <w:szCs w:val="20"/>
                    </w:rPr>
                  </w:pPr>
                </w:p>
              </w:tc>
            </w:tr>
            <w:tr w:rsidR="00A745B6" w:rsidRPr="00116CE6" w14:paraId="1148A49B" w14:textId="77777777" w:rsidTr="00022345">
              <w:tc>
                <w:tcPr>
                  <w:tcW w:w="6970" w:type="dxa"/>
                </w:tcPr>
                <w:p w14:paraId="517E36B7" w14:textId="77777777" w:rsidR="00A745B6" w:rsidRPr="00116CE6" w:rsidRDefault="00A745B6" w:rsidP="009C1A08">
                  <w:pPr>
                    <w:rPr>
                      <w:rFonts w:ascii="Arial" w:hAnsi="Arial"/>
                      <w:sz w:val="20"/>
                      <w:szCs w:val="20"/>
                    </w:rPr>
                  </w:pPr>
                </w:p>
                <w:p w14:paraId="7205EFC8"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68CCBBAC" w14:textId="77777777" w:rsidR="00A745B6" w:rsidRPr="00116CE6" w:rsidRDefault="00A745B6" w:rsidP="009C1A08">
                  <w:pPr>
                    <w:rPr>
                      <w:rFonts w:ascii="Arial" w:hAnsi="Arial"/>
                      <w:sz w:val="20"/>
                      <w:szCs w:val="20"/>
                    </w:rPr>
                  </w:pPr>
                </w:p>
              </w:tc>
            </w:tr>
            <w:tr w:rsidR="00963B31" w:rsidRPr="00116CE6" w14:paraId="248AA342" w14:textId="77777777" w:rsidTr="00022345">
              <w:tc>
                <w:tcPr>
                  <w:tcW w:w="6970" w:type="dxa"/>
                </w:tcPr>
                <w:p w14:paraId="2ADF9019" w14:textId="77777777" w:rsidR="00963B31" w:rsidRPr="006367FD" w:rsidRDefault="00963B31" w:rsidP="009C1A08">
                  <w:pPr>
                    <w:rPr>
                      <w:rFonts w:ascii="Arial" w:hAnsi="Arial"/>
                      <w:color w:val="000000"/>
                      <w:sz w:val="20"/>
                      <w:szCs w:val="20"/>
                    </w:rPr>
                  </w:pPr>
                  <w:r w:rsidRPr="006367FD">
                    <w:rPr>
                      <w:rFonts w:ascii="Arial" w:hAnsi="Arial"/>
                      <w:color w:val="000000"/>
                      <w:sz w:val="20"/>
                      <w:szCs w:val="20"/>
                    </w:rPr>
                    <w:t xml:space="preserve">Agreed Internal Mark: </w:t>
                  </w:r>
                </w:p>
                <w:p w14:paraId="5DA7D4FD" w14:textId="77777777" w:rsidR="00963B31" w:rsidRPr="00E14D2E" w:rsidRDefault="00963B31" w:rsidP="009C1A08">
                  <w:pPr>
                    <w:rPr>
                      <w:rFonts w:ascii="Arial" w:hAnsi="Arial"/>
                      <w:sz w:val="20"/>
                      <w:szCs w:val="20"/>
                      <w:highlight w:val="yellow"/>
                    </w:rPr>
                  </w:pPr>
                </w:p>
              </w:tc>
              <w:tc>
                <w:tcPr>
                  <w:tcW w:w="1660" w:type="dxa"/>
                </w:tcPr>
                <w:p w14:paraId="0AA2D9CF" w14:textId="77777777" w:rsidR="00963B31" w:rsidRPr="00E14D2E" w:rsidRDefault="00963B31" w:rsidP="009C1A08">
                  <w:pPr>
                    <w:rPr>
                      <w:rFonts w:ascii="Arial" w:hAnsi="Arial"/>
                      <w:sz w:val="20"/>
                      <w:szCs w:val="20"/>
                      <w:highlight w:val="yellow"/>
                    </w:rPr>
                  </w:pPr>
                </w:p>
              </w:tc>
            </w:tr>
            <w:tr w:rsidR="00A745B6" w:rsidRPr="00116CE6" w14:paraId="6D87BE26" w14:textId="77777777" w:rsidTr="00022345">
              <w:tc>
                <w:tcPr>
                  <w:tcW w:w="6970" w:type="dxa"/>
                </w:tcPr>
                <w:p w14:paraId="75A5D245" w14:textId="77777777" w:rsidR="00A745B6" w:rsidRPr="00116CE6" w:rsidRDefault="00A745B6" w:rsidP="009C1A08">
                  <w:pPr>
                    <w:rPr>
                      <w:rFonts w:ascii="Arial" w:hAnsi="Arial"/>
                      <w:sz w:val="20"/>
                      <w:szCs w:val="20"/>
                    </w:rPr>
                  </w:pPr>
                </w:p>
                <w:p w14:paraId="7580A337"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3026273" w14:textId="77777777" w:rsidR="00A745B6" w:rsidRPr="00116CE6" w:rsidRDefault="00A745B6" w:rsidP="009C1A08">
                  <w:pPr>
                    <w:rPr>
                      <w:rFonts w:ascii="Arial" w:hAnsi="Arial"/>
                      <w:sz w:val="20"/>
                      <w:szCs w:val="20"/>
                    </w:rPr>
                  </w:pPr>
                </w:p>
              </w:tc>
            </w:tr>
            <w:tr w:rsidR="00A745B6" w:rsidRPr="00116CE6" w14:paraId="41D44621" w14:textId="77777777" w:rsidTr="00022345">
              <w:tc>
                <w:tcPr>
                  <w:tcW w:w="6970" w:type="dxa"/>
                </w:tcPr>
                <w:p w14:paraId="0B96B8FC" w14:textId="77777777" w:rsidR="00A745B6" w:rsidRDefault="00A745B6" w:rsidP="009C1A08">
                  <w:pPr>
                    <w:rPr>
                      <w:rFonts w:ascii="Arial" w:hAnsi="Arial"/>
                      <w:sz w:val="20"/>
                      <w:szCs w:val="20"/>
                    </w:rPr>
                  </w:pPr>
                </w:p>
                <w:p w14:paraId="304354B8"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2215E106" w14:textId="77777777" w:rsidR="00A745B6" w:rsidRPr="00116CE6" w:rsidRDefault="00A745B6" w:rsidP="009C1A08">
                  <w:pPr>
                    <w:rPr>
                      <w:rFonts w:ascii="Arial" w:hAnsi="Arial"/>
                      <w:sz w:val="20"/>
                      <w:szCs w:val="20"/>
                    </w:rPr>
                  </w:pPr>
                </w:p>
              </w:tc>
              <w:tc>
                <w:tcPr>
                  <w:tcW w:w="1660" w:type="dxa"/>
                </w:tcPr>
                <w:p w14:paraId="3C667647" w14:textId="77777777" w:rsidR="00A745B6" w:rsidRPr="00116CE6" w:rsidRDefault="00A745B6" w:rsidP="009C1A08">
                  <w:pPr>
                    <w:rPr>
                      <w:rFonts w:ascii="Arial" w:hAnsi="Arial"/>
                      <w:sz w:val="20"/>
                      <w:szCs w:val="20"/>
                    </w:rPr>
                  </w:pPr>
                </w:p>
              </w:tc>
            </w:tr>
          </w:tbl>
          <w:p w14:paraId="07932CA5"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34246273"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2E1AB91" w14:textId="77777777" w:rsidR="00B462B1" w:rsidRDefault="00B462B1" w:rsidP="002F467C">
            <w:pPr>
              <w:pStyle w:val="NormalWeb"/>
              <w:spacing w:before="0" w:beforeAutospacing="0" w:after="0" w:afterAutospacing="0"/>
              <w:rPr>
                <w:rFonts w:ascii="Arial" w:hAnsi="Arial" w:cs="Arial"/>
                <w:b/>
                <w:sz w:val="22"/>
                <w:szCs w:val="22"/>
              </w:rPr>
            </w:pPr>
          </w:p>
          <w:p w14:paraId="567FD90E" w14:textId="77777777" w:rsidR="00F75EB5" w:rsidRDefault="00F75EB5" w:rsidP="002F467C">
            <w:pPr>
              <w:pStyle w:val="NormalWeb"/>
              <w:spacing w:before="0" w:beforeAutospacing="0" w:after="0" w:afterAutospacing="0"/>
              <w:rPr>
                <w:rFonts w:ascii="Arial" w:hAnsi="Arial" w:cs="Arial"/>
                <w:b/>
                <w:sz w:val="22"/>
                <w:szCs w:val="22"/>
              </w:rPr>
            </w:pPr>
          </w:p>
          <w:p w14:paraId="01B6BFD6" w14:textId="77777777" w:rsidR="00F75EB5" w:rsidRDefault="00F75EB5" w:rsidP="002F467C">
            <w:pPr>
              <w:pStyle w:val="NormalWeb"/>
              <w:spacing w:before="0" w:beforeAutospacing="0" w:after="0" w:afterAutospacing="0"/>
              <w:rPr>
                <w:rFonts w:ascii="Arial" w:hAnsi="Arial" w:cs="Arial"/>
                <w:b/>
                <w:sz w:val="22"/>
                <w:szCs w:val="22"/>
              </w:rPr>
            </w:pPr>
          </w:p>
          <w:p w14:paraId="5AEA2EBC" w14:textId="77777777" w:rsidR="00B462B1" w:rsidRDefault="00B462B1" w:rsidP="002F467C">
            <w:pPr>
              <w:pStyle w:val="NormalWeb"/>
              <w:spacing w:before="0" w:beforeAutospacing="0" w:after="0" w:afterAutospacing="0"/>
              <w:rPr>
                <w:rFonts w:ascii="Arial" w:hAnsi="Arial" w:cs="Arial"/>
                <w:b/>
                <w:sz w:val="22"/>
                <w:szCs w:val="22"/>
              </w:rPr>
            </w:pPr>
          </w:p>
          <w:p w14:paraId="650FD2C4"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2B158C5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74B57EA1" w14:textId="77777777" w:rsidR="00B56E7B" w:rsidRPr="00001C3B" w:rsidRDefault="00B56E7B" w:rsidP="00043549">
            <w:pPr>
              <w:pStyle w:val="NormalWeb"/>
              <w:rPr>
                <w:rFonts w:ascii="Arial" w:hAnsi="Arial" w:cs="Arial"/>
                <w:sz w:val="22"/>
                <w:szCs w:val="22"/>
              </w:rPr>
            </w:pPr>
          </w:p>
        </w:tc>
      </w:tr>
      <w:tr w:rsidR="00EC7546" w:rsidRPr="00230F35" w14:paraId="68CE0C59" w14:textId="77777777" w:rsidTr="00A745B6">
        <w:trPr>
          <w:trHeight w:val="492"/>
        </w:trPr>
        <w:tc>
          <w:tcPr>
            <w:tcW w:w="6768" w:type="dxa"/>
            <w:gridSpan w:val="3"/>
          </w:tcPr>
          <w:p w14:paraId="1B013C09"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1968E962"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44584D5F" w14:textId="77777777" w:rsidTr="002F467C">
        <w:tc>
          <w:tcPr>
            <w:tcW w:w="8856" w:type="dxa"/>
            <w:gridSpan w:val="5"/>
          </w:tcPr>
          <w:p w14:paraId="43BC9191"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34293C59"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2CFCDF8D"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7C18E70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265053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884DB1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BD5638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09444220" w14:textId="77777777" w:rsidTr="008D674F">
        <w:trPr>
          <w:trHeight w:val="720"/>
        </w:trPr>
        <w:tc>
          <w:tcPr>
            <w:tcW w:w="5211" w:type="dxa"/>
            <w:gridSpan w:val="2"/>
          </w:tcPr>
          <w:p w14:paraId="0A9CFDD2"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43C21FA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65C65" w:rsidRPr="002F467C" w14:paraId="32000E39" w14:textId="77777777" w:rsidTr="009C1A08">
        <w:trPr>
          <w:trHeight w:val="720"/>
        </w:trPr>
        <w:tc>
          <w:tcPr>
            <w:tcW w:w="8856" w:type="dxa"/>
            <w:gridSpan w:val="5"/>
          </w:tcPr>
          <w:p w14:paraId="1AA988EA" w14:textId="77777777" w:rsidR="00665C65" w:rsidRPr="006367FD" w:rsidRDefault="00665C65" w:rsidP="00230F35">
            <w:pPr>
              <w:rPr>
                <w:rFonts w:ascii="Arial" w:hAnsi="Arial" w:cs="Arial"/>
                <w:b/>
                <w:sz w:val="22"/>
                <w:szCs w:val="22"/>
              </w:rPr>
            </w:pPr>
            <w:r w:rsidRPr="006367FD">
              <w:rPr>
                <w:rFonts w:ascii="Arial" w:hAnsi="Arial" w:cs="Arial"/>
                <w:b/>
                <w:sz w:val="22"/>
                <w:szCs w:val="22"/>
              </w:rPr>
              <w:t>AGREED INTERNAL MARK (where necessary):</w:t>
            </w:r>
          </w:p>
          <w:p w14:paraId="74F630D4" w14:textId="77777777" w:rsidR="00963B31" w:rsidRPr="006367FD" w:rsidRDefault="00963B31" w:rsidP="00230F35">
            <w:pPr>
              <w:rPr>
                <w:rFonts w:ascii="Arial" w:hAnsi="Arial" w:cs="Arial"/>
                <w:b/>
                <w:sz w:val="22"/>
                <w:szCs w:val="22"/>
              </w:rPr>
            </w:pPr>
          </w:p>
          <w:p w14:paraId="23BC1B38" w14:textId="77777777" w:rsidR="00963B31" w:rsidRDefault="00963B31" w:rsidP="00230F35">
            <w:pPr>
              <w:rPr>
                <w:rFonts w:ascii="Arial" w:hAnsi="Arial" w:cs="Arial"/>
                <w:b/>
                <w:sz w:val="22"/>
                <w:szCs w:val="22"/>
              </w:rPr>
            </w:pPr>
            <w:r w:rsidRPr="006367FD">
              <w:rPr>
                <w:rFonts w:ascii="Arial" w:hAnsi="Arial" w:cs="Arial"/>
                <w:b/>
                <w:sz w:val="22"/>
                <w:szCs w:val="22"/>
              </w:rPr>
              <w:t>Comment on process o</w:t>
            </w:r>
            <w:r w:rsidR="000F1DE6" w:rsidRPr="006367FD">
              <w:rPr>
                <w:rFonts w:ascii="Arial" w:hAnsi="Arial" w:cs="Arial"/>
                <w:b/>
                <w:sz w:val="22"/>
                <w:szCs w:val="22"/>
              </w:rPr>
              <w:t>f</w:t>
            </w:r>
            <w:r w:rsidRPr="006367FD">
              <w:rPr>
                <w:rFonts w:ascii="Arial" w:hAnsi="Arial" w:cs="Arial"/>
                <w:b/>
                <w:sz w:val="22"/>
                <w:szCs w:val="22"/>
              </w:rPr>
              <w:t xml:space="preserve"> arriving at agreed mark:</w:t>
            </w:r>
          </w:p>
          <w:p w14:paraId="026D03E5" w14:textId="77777777" w:rsidR="000F1DE6" w:rsidRDefault="000F1DE6" w:rsidP="00230F35">
            <w:pPr>
              <w:rPr>
                <w:rFonts w:ascii="Arial" w:hAnsi="Arial" w:cs="Arial"/>
                <w:b/>
                <w:sz w:val="22"/>
                <w:szCs w:val="22"/>
              </w:rPr>
            </w:pPr>
          </w:p>
          <w:p w14:paraId="2B3B25C9" w14:textId="77777777" w:rsidR="000F1DE6" w:rsidRDefault="000F1DE6" w:rsidP="00230F35">
            <w:pPr>
              <w:rPr>
                <w:rFonts w:ascii="Arial" w:hAnsi="Arial" w:cs="Arial"/>
                <w:b/>
                <w:sz w:val="22"/>
                <w:szCs w:val="22"/>
              </w:rPr>
            </w:pPr>
          </w:p>
          <w:p w14:paraId="17254F57" w14:textId="77777777" w:rsidR="00D00BDC" w:rsidRDefault="00D00BDC" w:rsidP="00230F35">
            <w:pPr>
              <w:rPr>
                <w:rFonts w:ascii="Arial" w:hAnsi="Arial" w:cs="Arial"/>
                <w:b/>
                <w:sz w:val="22"/>
                <w:szCs w:val="22"/>
              </w:rPr>
            </w:pPr>
          </w:p>
          <w:p w14:paraId="0D617362" w14:textId="77777777" w:rsidR="00D00BDC" w:rsidRDefault="00D00BDC" w:rsidP="00230F35">
            <w:pPr>
              <w:rPr>
                <w:rFonts w:ascii="Arial" w:hAnsi="Arial" w:cs="Arial"/>
                <w:b/>
                <w:sz w:val="22"/>
                <w:szCs w:val="22"/>
              </w:rPr>
            </w:pPr>
          </w:p>
          <w:p w14:paraId="6E94219C" w14:textId="77777777" w:rsidR="00D00BDC" w:rsidRDefault="00D00BDC" w:rsidP="00230F35">
            <w:pPr>
              <w:rPr>
                <w:rFonts w:ascii="Arial" w:hAnsi="Arial" w:cs="Arial"/>
                <w:b/>
                <w:sz w:val="22"/>
                <w:szCs w:val="22"/>
              </w:rPr>
            </w:pPr>
          </w:p>
          <w:p w14:paraId="43DA418D" w14:textId="77777777" w:rsidR="000F1DE6" w:rsidRDefault="000F1DE6" w:rsidP="00230F35">
            <w:pPr>
              <w:rPr>
                <w:rFonts w:ascii="Arial" w:hAnsi="Arial" w:cs="Arial"/>
                <w:b/>
                <w:sz w:val="22"/>
                <w:szCs w:val="22"/>
              </w:rPr>
            </w:pPr>
          </w:p>
          <w:p w14:paraId="27119D02" w14:textId="77777777" w:rsidR="00963B31" w:rsidRDefault="00963B31" w:rsidP="00230F35">
            <w:pPr>
              <w:rPr>
                <w:rFonts w:ascii="Arial" w:hAnsi="Arial" w:cs="Arial"/>
                <w:b/>
                <w:sz w:val="22"/>
                <w:szCs w:val="22"/>
              </w:rPr>
            </w:pPr>
          </w:p>
          <w:p w14:paraId="69C126F2" w14:textId="77777777" w:rsidR="00963B31" w:rsidRPr="00B34964" w:rsidRDefault="00963B31" w:rsidP="00230F35">
            <w:pPr>
              <w:rPr>
                <w:rFonts w:ascii="Arial" w:hAnsi="Arial" w:cs="Arial"/>
                <w:b/>
                <w:sz w:val="22"/>
                <w:szCs w:val="22"/>
              </w:rPr>
            </w:pPr>
          </w:p>
        </w:tc>
      </w:tr>
      <w:tr w:rsidR="00230F35" w:rsidRPr="002F467C" w14:paraId="5456BE5D" w14:textId="77777777" w:rsidTr="009C1A08">
        <w:trPr>
          <w:trHeight w:val="720"/>
        </w:trPr>
        <w:tc>
          <w:tcPr>
            <w:tcW w:w="8856" w:type="dxa"/>
            <w:gridSpan w:val="5"/>
          </w:tcPr>
          <w:p w14:paraId="472E614C"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59576A1D" w14:textId="77777777" w:rsidR="00230F35" w:rsidRDefault="00230F35" w:rsidP="002F467C">
            <w:pPr>
              <w:pStyle w:val="NormalWeb"/>
              <w:spacing w:before="0" w:beforeAutospacing="0" w:after="0" w:afterAutospacing="0"/>
              <w:ind w:right="-334"/>
              <w:rPr>
                <w:rFonts w:ascii="Arial" w:hAnsi="Arial" w:cs="Arial"/>
                <w:bCs/>
                <w:sz w:val="22"/>
                <w:szCs w:val="22"/>
              </w:rPr>
            </w:pPr>
          </w:p>
          <w:p w14:paraId="098EBBA5" w14:textId="77777777" w:rsidR="00D00BDC" w:rsidRDefault="00D00BDC" w:rsidP="002F467C">
            <w:pPr>
              <w:pStyle w:val="NormalWeb"/>
              <w:spacing w:before="0" w:beforeAutospacing="0" w:after="0" w:afterAutospacing="0"/>
              <w:ind w:right="-334"/>
              <w:rPr>
                <w:rFonts w:ascii="Arial" w:hAnsi="Arial" w:cs="Arial"/>
                <w:bCs/>
                <w:sz w:val="22"/>
                <w:szCs w:val="22"/>
              </w:rPr>
            </w:pPr>
          </w:p>
          <w:p w14:paraId="43C16C01" w14:textId="77777777" w:rsidR="00D00BDC" w:rsidRDefault="00D00BDC" w:rsidP="002F467C">
            <w:pPr>
              <w:pStyle w:val="NormalWeb"/>
              <w:spacing w:before="0" w:beforeAutospacing="0" w:after="0" w:afterAutospacing="0"/>
              <w:ind w:right="-334"/>
              <w:rPr>
                <w:rFonts w:ascii="Arial" w:hAnsi="Arial" w:cs="Arial"/>
                <w:bCs/>
                <w:sz w:val="22"/>
                <w:szCs w:val="22"/>
              </w:rPr>
            </w:pPr>
          </w:p>
          <w:p w14:paraId="6E592BA4" w14:textId="77777777" w:rsidR="00D00BDC" w:rsidRDefault="00D00BDC" w:rsidP="002F467C">
            <w:pPr>
              <w:pStyle w:val="NormalWeb"/>
              <w:spacing w:before="0" w:beforeAutospacing="0" w:after="0" w:afterAutospacing="0"/>
              <w:ind w:right="-334"/>
              <w:rPr>
                <w:rFonts w:ascii="Arial" w:hAnsi="Arial" w:cs="Arial"/>
                <w:bCs/>
                <w:sz w:val="22"/>
                <w:szCs w:val="22"/>
              </w:rPr>
            </w:pPr>
          </w:p>
          <w:p w14:paraId="6DEC2524" w14:textId="77777777" w:rsidR="00D00BDC" w:rsidRPr="00230F35" w:rsidRDefault="00D00BDC" w:rsidP="002F467C">
            <w:pPr>
              <w:pStyle w:val="NormalWeb"/>
              <w:spacing w:before="0" w:beforeAutospacing="0" w:after="0" w:afterAutospacing="0"/>
              <w:ind w:right="-334"/>
              <w:rPr>
                <w:rFonts w:ascii="Arial" w:hAnsi="Arial" w:cs="Arial"/>
                <w:bCs/>
                <w:sz w:val="22"/>
                <w:szCs w:val="22"/>
              </w:rPr>
            </w:pPr>
          </w:p>
          <w:p w14:paraId="1759CBF1"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6AF1ABB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6154FBF0" w14:textId="77777777" w:rsidTr="00230F35">
        <w:trPr>
          <w:trHeight w:val="720"/>
        </w:trPr>
        <w:tc>
          <w:tcPr>
            <w:tcW w:w="5211" w:type="dxa"/>
            <w:gridSpan w:val="2"/>
          </w:tcPr>
          <w:p w14:paraId="1ED1D8EB"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37B6EC2"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145222F2"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2E1361F3" w14:textId="77777777" w:rsidR="00F47020" w:rsidRDefault="00F47020" w:rsidP="00FA07E9">
      <w:pPr>
        <w:pStyle w:val="NormalWeb"/>
        <w:spacing w:before="0" w:beforeAutospacing="0" w:after="0" w:afterAutospacing="0"/>
        <w:ind w:right="-334"/>
        <w:rPr>
          <w:rFonts w:ascii="Trebuchet MS" w:hAnsi="Trebuchet MS" w:cs="Tahoma"/>
          <w:bCs/>
          <w:sz w:val="24"/>
          <w:szCs w:val="24"/>
        </w:rPr>
      </w:pPr>
    </w:p>
    <w:p w14:paraId="38A17E6B" w14:textId="77777777" w:rsidR="00F47020" w:rsidRDefault="00F47020" w:rsidP="00FA07E9">
      <w:pPr>
        <w:pStyle w:val="NormalWeb"/>
        <w:spacing w:before="0" w:beforeAutospacing="0" w:after="0" w:afterAutospacing="0"/>
        <w:ind w:right="-334"/>
        <w:rPr>
          <w:rFonts w:ascii="Trebuchet MS" w:hAnsi="Trebuchet MS" w:cs="Tahoma"/>
          <w:bCs/>
          <w:sz w:val="24"/>
          <w:szCs w:val="24"/>
        </w:rPr>
      </w:pPr>
    </w:p>
    <w:p w14:paraId="267BB23A" w14:textId="77777777" w:rsidR="00F47020" w:rsidRDefault="00F47020" w:rsidP="00FA07E9">
      <w:pPr>
        <w:pStyle w:val="NormalWeb"/>
        <w:spacing w:before="0" w:beforeAutospacing="0" w:after="0" w:afterAutospacing="0"/>
        <w:ind w:right="-334"/>
        <w:rPr>
          <w:rFonts w:ascii="Trebuchet MS" w:hAnsi="Trebuchet MS" w:cs="Tahoma"/>
          <w:bCs/>
          <w:sz w:val="24"/>
          <w:szCs w:val="24"/>
        </w:rPr>
      </w:pPr>
    </w:p>
    <w:p w14:paraId="72712F5D" w14:textId="77777777" w:rsidR="00F47020" w:rsidRDefault="00F47020" w:rsidP="00FA07E9">
      <w:pPr>
        <w:pStyle w:val="NormalWeb"/>
        <w:spacing w:before="0" w:beforeAutospacing="0" w:after="0" w:afterAutospacing="0"/>
        <w:ind w:right="-334"/>
        <w:rPr>
          <w:rFonts w:ascii="Trebuchet MS" w:hAnsi="Trebuchet MS" w:cs="Tahoma"/>
          <w:bCs/>
          <w:sz w:val="24"/>
          <w:szCs w:val="24"/>
        </w:rPr>
      </w:pPr>
    </w:p>
    <w:p w14:paraId="7B32E9E2" w14:textId="77777777" w:rsidR="00F47020" w:rsidRDefault="00F47020" w:rsidP="00FA07E9">
      <w:pPr>
        <w:pStyle w:val="NormalWeb"/>
        <w:spacing w:before="0" w:beforeAutospacing="0" w:after="0" w:afterAutospacing="0"/>
        <w:ind w:right="-334"/>
        <w:rPr>
          <w:rFonts w:ascii="Trebuchet MS" w:hAnsi="Trebuchet MS" w:cs="Tahoma"/>
          <w:bCs/>
          <w:sz w:val="24"/>
          <w:szCs w:val="24"/>
        </w:rPr>
      </w:pPr>
    </w:p>
    <w:p w14:paraId="6B4380E7" w14:textId="77777777" w:rsidR="00F47020" w:rsidRDefault="00F47020" w:rsidP="00F47020">
      <w:pPr>
        <w:jc w:val="both"/>
        <w:rPr>
          <w:b/>
          <w:u w:val="single"/>
        </w:rPr>
      </w:pPr>
    </w:p>
    <w:p w14:paraId="17B51D39" w14:textId="77777777" w:rsidR="00F47020" w:rsidRPr="005A0DD0" w:rsidRDefault="00F47020" w:rsidP="00F47020">
      <w:pPr>
        <w:jc w:val="both"/>
        <w:rPr>
          <w:b/>
          <w:u w:val="single"/>
        </w:rPr>
      </w:pPr>
      <w:r w:rsidRPr="005A0DD0">
        <w:rPr>
          <w:b/>
          <w:u w:val="single"/>
        </w:rPr>
        <w:t xml:space="preserve">A Critical Review of Iamblichus’ Arguments for Divination in </w:t>
      </w:r>
      <w:r w:rsidRPr="00BB39B0">
        <w:rPr>
          <w:b/>
          <w:i/>
          <w:u w:val="single"/>
        </w:rPr>
        <w:t xml:space="preserve">De </w:t>
      </w:r>
      <w:proofErr w:type="spellStart"/>
      <w:r w:rsidRPr="00BB39B0">
        <w:rPr>
          <w:b/>
          <w:i/>
          <w:u w:val="single"/>
        </w:rPr>
        <w:t>Mysteriis</w:t>
      </w:r>
      <w:proofErr w:type="spellEnd"/>
    </w:p>
    <w:p w14:paraId="1A2EDE90" w14:textId="77777777" w:rsidR="00F47020" w:rsidRPr="009D7765" w:rsidRDefault="00F47020" w:rsidP="00F47020">
      <w:pPr>
        <w:jc w:val="both"/>
      </w:pPr>
    </w:p>
    <w:p w14:paraId="131CFF66" w14:textId="77777777" w:rsidR="00F47020" w:rsidRPr="009D7765" w:rsidRDefault="00F47020" w:rsidP="00F47020">
      <w:pPr>
        <w:jc w:val="both"/>
      </w:pPr>
      <w:r w:rsidRPr="009D7765">
        <w:t xml:space="preserve">This essay is going to be a critical review of Iamblichus’ arguments for divination in his letters entitled ‘De </w:t>
      </w:r>
      <w:proofErr w:type="spellStart"/>
      <w:r w:rsidRPr="009D7765">
        <w:t>Mysteriis</w:t>
      </w:r>
      <w:proofErr w:type="spellEnd"/>
      <w:r w:rsidRPr="009D7765">
        <w:t xml:space="preserve">’, </w:t>
      </w:r>
      <w:r w:rsidRPr="009D7765">
        <w:rPr>
          <w:i/>
        </w:rPr>
        <w:t xml:space="preserve">On The Mysteries, </w:t>
      </w:r>
      <w:r w:rsidRPr="009D7765">
        <w:t xml:space="preserve">and will focus on books I and III of the work, using Emma Clarke, John Dillon, and Jackson </w:t>
      </w:r>
      <w:proofErr w:type="spellStart"/>
      <w:r w:rsidRPr="009D7765">
        <w:t>Hershbell’s</w:t>
      </w:r>
      <w:proofErr w:type="spellEnd"/>
      <w:r w:rsidRPr="009D7765">
        <w:t xml:space="preserve"> translation as a source.</w:t>
      </w:r>
      <w:r w:rsidRPr="009D7765">
        <w:rPr>
          <w:rStyle w:val="FootnoteReference"/>
        </w:rPr>
        <w:footnoteReference w:id="1"/>
      </w:r>
      <w:r w:rsidRPr="009D7765">
        <w:t xml:space="preserve"> Throughout this essay, I am going to discuss the structure of the text and comment on Iamblichus’ key arguments.</w:t>
      </w:r>
    </w:p>
    <w:p w14:paraId="5A7EB1A9" w14:textId="77777777" w:rsidR="00F47020" w:rsidRPr="009D7765" w:rsidRDefault="00F47020" w:rsidP="00F47020">
      <w:pPr>
        <w:jc w:val="both"/>
      </w:pPr>
    </w:p>
    <w:p w14:paraId="497296C8" w14:textId="4A794DA0" w:rsidR="00F47020" w:rsidRPr="009D7765" w:rsidRDefault="00F47020" w:rsidP="00F47020">
      <w:pPr>
        <w:jc w:val="both"/>
      </w:pPr>
      <w:r>
        <w:t>To begin, Iamblichus</w:t>
      </w:r>
      <w:r w:rsidRPr="009D7765">
        <w:t xml:space="preserve"> was born in Syria in around 265 C.E., although</w:t>
      </w:r>
      <w:r>
        <w:t xml:space="preserve"> many believe it was </w:t>
      </w:r>
      <w:r w:rsidRPr="009D7765">
        <w:t>much earlier than this.</w:t>
      </w:r>
      <w:r w:rsidRPr="009D7765">
        <w:rPr>
          <w:rStyle w:val="FootnoteReference"/>
        </w:rPr>
        <w:footnoteReference w:id="2"/>
      </w:r>
      <w:r w:rsidRPr="009D7765">
        <w:t xml:space="preserve"> This was a turbulent time in Syria, but Iamblichus was born into a wealthy class and it is believed that he may have sought refuge on the coast to escape from Persian invasion.</w:t>
      </w:r>
      <w:r w:rsidRPr="009D7765">
        <w:rPr>
          <w:rStyle w:val="FootnoteReference"/>
        </w:rPr>
        <w:footnoteReference w:id="3"/>
      </w:r>
      <w:r w:rsidRPr="009D7765">
        <w:t xml:space="preserve"> It is possible to claim that his wealthy upbringing may have had an influence on his education and intellect, thus influencing the way he viewed religion and religious practices.</w:t>
      </w:r>
      <w:r w:rsidRPr="009D7765">
        <w:rPr>
          <w:rStyle w:val="FootnoteReference"/>
        </w:rPr>
        <w:footnoteReference w:id="4"/>
      </w:r>
      <w:r w:rsidRPr="009D7765">
        <w:t xml:space="preserve"> The letters </w:t>
      </w:r>
      <w:r w:rsidRPr="009D7765">
        <w:rPr>
          <w:i/>
        </w:rPr>
        <w:t xml:space="preserve">De </w:t>
      </w:r>
      <w:proofErr w:type="spellStart"/>
      <w:r w:rsidRPr="009D7765">
        <w:rPr>
          <w:i/>
        </w:rPr>
        <w:t>Mysteriis</w:t>
      </w:r>
      <w:proofErr w:type="spellEnd"/>
      <w:r w:rsidRPr="009D7765">
        <w:t xml:space="preserve"> were writt</w:t>
      </w:r>
      <w:r w:rsidR="007C0E13">
        <w:t xml:space="preserve">en between 280 and 305 C.E. </w:t>
      </w:r>
      <w:r w:rsidRPr="009D7765">
        <w:t>under the pseudonym ‘</w:t>
      </w:r>
      <w:proofErr w:type="spellStart"/>
      <w:r w:rsidRPr="009D7765">
        <w:t>Abamon</w:t>
      </w:r>
      <w:proofErr w:type="spellEnd"/>
      <w:r w:rsidRPr="009D7765">
        <w:t>’, under the guise of an Egyptian prophet.</w:t>
      </w:r>
      <w:r w:rsidRPr="009D7765">
        <w:rPr>
          <w:rStyle w:val="FootnoteReference"/>
        </w:rPr>
        <w:footnoteReference w:id="5"/>
      </w:r>
      <w:r w:rsidRPr="009D7765">
        <w:t xml:space="preserve"> Some believe that </w:t>
      </w:r>
      <w:r w:rsidR="007C0E13">
        <w:t>Iamblichus</w:t>
      </w:r>
      <w:r w:rsidRPr="009D7765">
        <w:t xml:space="preserve"> wrote under this guise in order to hide himself from the Christians, which was a rising religion.</w:t>
      </w:r>
      <w:r w:rsidRPr="009D7765">
        <w:rPr>
          <w:rStyle w:val="FootnoteReference"/>
        </w:rPr>
        <w:footnoteReference w:id="6"/>
      </w:r>
    </w:p>
    <w:p w14:paraId="4C0F5032" w14:textId="77777777" w:rsidR="00F47020" w:rsidRPr="009D7765" w:rsidRDefault="00F47020" w:rsidP="00F47020">
      <w:pPr>
        <w:jc w:val="both"/>
      </w:pPr>
    </w:p>
    <w:p w14:paraId="2124F93D" w14:textId="1DCC84E4" w:rsidR="00767E68" w:rsidRPr="009D7765" w:rsidRDefault="00F47020" w:rsidP="00F47020">
      <w:pPr>
        <w:jc w:val="both"/>
      </w:pPr>
      <w:r w:rsidRPr="009D7765">
        <w:rPr>
          <w:i/>
        </w:rPr>
        <w:t xml:space="preserve">De </w:t>
      </w:r>
      <w:proofErr w:type="spellStart"/>
      <w:r w:rsidRPr="009D7765">
        <w:rPr>
          <w:i/>
        </w:rPr>
        <w:t>Mysteriis</w:t>
      </w:r>
      <w:proofErr w:type="spellEnd"/>
      <w:r w:rsidRPr="009D7765">
        <w:t xml:space="preserve"> is a series of texts written in letter format as responses to Porphyry’s </w:t>
      </w:r>
      <w:r w:rsidRPr="009D7765">
        <w:rPr>
          <w:i/>
        </w:rPr>
        <w:t xml:space="preserve">Letter to </w:t>
      </w:r>
      <w:proofErr w:type="spellStart"/>
      <w:r w:rsidRPr="009D7765">
        <w:rPr>
          <w:i/>
        </w:rPr>
        <w:t>Anebo</w:t>
      </w:r>
      <w:proofErr w:type="spellEnd"/>
      <w:r w:rsidRPr="009D7765">
        <w:rPr>
          <w:i/>
        </w:rPr>
        <w:t>,</w:t>
      </w:r>
      <w:r w:rsidRPr="009D7765">
        <w:rPr>
          <w:rStyle w:val="FootnoteReference"/>
        </w:rPr>
        <w:footnoteReference w:id="7"/>
      </w:r>
      <w:r w:rsidRPr="009D7765">
        <w:rPr>
          <w:i/>
        </w:rPr>
        <w:t xml:space="preserve"> </w:t>
      </w:r>
      <w:r w:rsidRPr="009D7765">
        <w:t>and he uses the text to discuss</w:t>
      </w:r>
      <w:r w:rsidRPr="009D7765">
        <w:rPr>
          <w:i/>
        </w:rPr>
        <w:t xml:space="preserve"> </w:t>
      </w:r>
      <w:r w:rsidRPr="009D7765">
        <w:t>the nature of gods and the divine realm. The letter format was fai</w:t>
      </w:r>
      <w:r w:rsidR="000B5C18">
        <w:t>rly common in the Ancient World</w:t>
      </w:r>
      <w:r w:rsidRPr="009D7765">
        <w:t xml:space="preserve"> and thus </w:t>
      </w:r>
      <w:r>
        <w:t>it can be claimed</w:t>
      </w:r>
      <w:r w:rsidRPr="009D7765">
        <w:t xml:space="preserve"> that there was nothing particularly unusual about Iamblichus’ use of this presentation.</w:t>
      </w:r>
      <w:r w:rsidRPr="009D7765">
        <w:rPr>
          <w:rStyle w:val="FootnoteReference"/>
        </w:rPr>
        <w:footnoteReference w:id="8"/>
      </w:r>
      <w:r w:rsidRPr="009D7765">
        <w:t xml:space="preserve"> It was not written in this way in order to shock or cause any unrest, so to speak. Nevertheless, the text was written in order to defend theurgy and, through this </w:t>
      </w:r>
      <w:r w:rsidR="00AB1138">
        <w:t>layout</w:t>
      </w:r>
      <w:r w:rsidRPr="009D7765">
        <w:t xml:space="preserve">, it is possible that the </w:t>
      </w:r>
      <w:r w:rsidR="00AB1138">
        <w:t>letters were</w:t>
      </w:r>
      <w:r w:rsidRPr="009D7765">
        <w:t xml:space="preserve"> written in </w:t>
      </w:r>
      <w:r w:rsidR="00096655">
        <w:t>an attempt</w:t>
      </w:r>
      <w:r w:rsidRPr="009D7765">
        <w:t xml:space="preserve"> to guide non-Christians in their understanding of the gods.</w:t>
      </w:r>
      <w:r w:rsidRPr="009D7765">
        <w:rPr>
          <w:rStyle w:val="FootnoteReference"/>
        </w:rPr>
        <w:footnoteReference w:id="9"/>
      </w:r>
      <w:r w:rsidRPr="009D7765">
        <w:t xml:space="preserve"> Furthermore, this </w:t>
      </w:r>
      <w:r w:rsidR="00AB1138">
        <w:t>format</w:t>
      </w:r>
      <w:r w:rsidRPr="009D7765">
        <w:t xml:space="preserve"> does have an influence on how the reader perceives the arguments </w:t>
      </w:r>
      <w:r w:rsidR="00AB1138">
        <w:t>presented</w:t>
      </w:r>
      <w:r w:rsidRPr="009D7765">
        <w:t xml:space="preserve"> and, due to Iamblichus’ use of the 1</w:t>
      </w:r>
      <w:r w:rsidRPr="009D7765">
        <w:rPr>
          <w:vertAlign w:val="superscript"/>
        </w:rPr>
        <w:t>st</w:t>
      </w:r>
      <w:r w:rsidRPr="009D7765">
        <w:t xml:space="preserve"> and the 2</w:t>
      </w:r>
      <w:r w:rsidRPr="009D7765">
        <w:rPr>
          <w:vertAlign w:val="superscript"/>
        </w:rPr>
        <w:t>nd</w:t>
      </w:r>
      <w:r w:rsidRPr="009D7765">
        <w:t xml:space="preserve"> person, the reader gains a deeper connection to the text. </w:t>
      </w:r>
      <w:r w:rsidR="00822D8E">
        <w:t>Conversely</w:t>
      </w:r>
      <w:r w:rsidRPr="009D7765">
        <w:t>, Iamblichus writes in a way that counteracts the original letters written by Porphyry and he often corrects the questions that Porphyry poses.</w:t>
      </w:r>
      <w:r w:rsidRPr="009D7765">
        <w:rPr>
          <w:rStyle w:val="FootnoteReference"/>
        </w:rPr>
        <w:footnoteReference w:id="10"/>
      </w:r>
    </w:p>
    <w:p w14:paraId="2CEFDC07" w14:textId="77777777" w:rsidR="00F47020" w:rsidRPr="009D7765" w:rsidRDefault="00F47020" w:rsidP="00F47020">
      <w:pPr>
        <w:jc w:val="both"/>
      </w:pPr>
    </w:p>
    <w:p w14:paraId="08D8C547" w14:textId="0AD9B9DF" w:rsidR="00F47020" w:rsidRDefault="00F47020" w:rsidP="00F47020">
      <w:pPr>
        <w:jc w:val="both"/>
      </w:pPr>
      <w:r w:rsidRPr="009D7765">
        <w:t xml:space="preserve">Book </w:t>
      </w:r>
      <w:proofErr w:type="gramStart"/>
      <w:r w:rsidRPr="009D7765">
        <w:t xml:space="preserve">I of </w:t>
      </w:r>
      <w:r w:rsidRPr="009D7765">
        <w:rPr>
          <w:i/>
        </w:rPr>
        <w:t xml:space="preserve">De </w:t>
      </w:r>
      <w:proofErr w:type="spellStart"/>
      <w:r w:rsidRPr="009D7765">
        <w:rPr>
          <w:i/>
        </w:rPr>
        <w:t>Mysteriis</w:t>
      </w:r>
      <w:proofErr w:type="spellEnd"/>
      <w:r w:rsidRPr="009D7765">
        <w:rPr>
          <w:i/>
        </w:rPr>
        <w:t xml:space="preserve"> </w:t>
      </w:r>
      <w:r w:rsidRPr="009D7765">
        <w:t>focuses on theurgy and the divine realm</w:t>
      </w:r>
      <w:proofErr w:type="gramEnd"/>
      <w:r w:rsidRPr="009D7765">
        <w:t xml:space="preserve">. </w:t>
      </w:r>
      <w:r>
        <w:t>Iamblichus</w:t>
      </w:r>
      <w:r w:rsidRPr="009D7765">
        <w:t xml:space="preserve"> repeatedly mentions the plurality of the gods and their classifications, </w:t>
      </w:r>
      <w:r w:rsidR="006B211F" w:rsidRPr="006B211F">
        <w:t>including</w:t>
      </w:r>
      <w:r w:rsidRPr="006B211F">
        <w:t xml:space="preserve"> daemons and heroes.</w:t>
      </w:r>
      <w:r w:rsidRPr="009D7765">
        <w:t xml:space="preserve"> He does not delve into the act of divination itself, but rather discusses how the gods are </w:t>
      </w:r>
      <w:r w:rsidRPr="009D7765">
        <w:lastRenderedPageBreak/>
        <w:t>present. Early on in this chapter, Porphyry states that he “</w:t>
      </w:r>
      <w:r w:rsidRPr="009D7765">
        <w:rPr>
          <w:i/>
        </w:rPr>
        <w:t>concedes the existence of the gods</w:t>
      </w:r>
      <w:r w:rsidRPr="009D7765">
        <w:t>” and Iamblichus corrects him by asserting: “</w:t>
      </w:r>
      <w:r w:rsidRPr="009D7765">
        <w:rPr>
          <w:i/>
        </w:rPr>
        <w:t>an innate knowledge about the gods is coexistent with our nature</w:t>
      </w:r>
      <w:r w:rsidRPr="009D7765">
        <w:t>”.</w:t>
      </w:r>
      <w:r w:rsidRPr="009D7765">
        <w:rPr>
          <w:rStyle w:val="FootnoteReference"/>
        </w:rPr>
        <w:footnoteReference w:id="11"/>
      </w:r>
      <w:r w:rsidRPr="009D7765">
        <w:t xml:space="preserve"> These words show that Iamblichus </w:t>
      </w:r>
      <w:r w:rsidR="00AA05F1">
        <w:t>believes</w:t>
      </w:r>
      <w:r w:rsidRPr="009D7765">
        <w:t xml:space="preserve"> that divine presence is all around and within us, and that a connection with the gods is natural and </w:t>
      </w:r>
      <w:r w:rsidR="00D8483D" w:rsidRPr="009D7765">
        <w:t>inherent</w:t>
      </w:r>
      <w:r w:rsidRPr="009D7765">
        <w:t>. Iamblichus furthers this argument by declaring: “</w:t>
      </w:r>
      <w:r w:rsidRPr="009D7765">
        <w:rPr>
          <w:i/>
        </w:rPr>
        <w:t>it is rather the case that we are enveloped by the divine presence, and we are filled with it, and we possess our very essence by virtue of our knowledge that there are gods</w:t>
      </w:r>
      <w:r w:rsidRPr="009D7765">
        <w:t>.”</w:t>
      </w:r>
      <w:r w:rsidRPr="009D7765">
        <w:rPr>
          <w:rStyle w:val="FootnoteReference"/>
        </w:rPr>
        <w:footnoteReference w:id="12"/>
      </w:r>
      <w:r w:rsidRPr="009D7765">
        <w:t xml:space="preserve"> Iamblichus is stating that there are multiple gods that are all around us, dispelling the Christians’ belief that there is only one God. This idea is convincing insofar as you already believe in </w:t>
      </w:r>
      <w:r w:rsidR="00422F64">
        <w:t>a</w:t>
      </w:r>
      <w:r w:rsidRPr="009D7765">
        <w:t xml:space="preserve"> multitude of gods and, as John Dillon stated, Iamblichus argues his points well, but one must note take them too rationally.</w:t>
      </w:r>
      <w:r w:rsidRPr="009D7765">
        <w:rPr>
          <w:rStyle w:val="FootnoteReference"/>
        </w:rPr>
        <w:footnoteReference w:id="13"/>
      </w:r>
      <w:r w:rsidRPr="009D7765">
        <w:t xml:space="preserve"> It is easy to fall down the rabbit hole and believe </w:t>
      </w:r>
      <w:r>
        <w:t>everything</w:t>
      </w:r>
      <w:r w:rsidRPr="009D7765">
        <w:t xml:space="preserve"> that </w:t>
      </w:r>
      <w:r>
        <w:t>he claims</w:t>
      </w:r>
      <w:r w:rsidR="00987816">
        <w:t>,</w:t>
      </w:r>
      <w:r w:rsidRPr="009D7765">
        <w:t xml:space="preserve"> as </w:t>
      </w:r>
      <w:r>
        <w:t>his ideas</w:t>
      </w:r>
      <w:r w:rsidRPr="009D7765">
        <w:t xml:space="preserve"> </w:t>
      </w:r>
      <w:r>
        <w:t xml:space="preserve">are stated </w:t>
      </w:r>
      <w:r w:rsidRPr="009D7765">
        <w:t>in such an assertive and corrective manner</w:t>
      </w:r>
      <w:r>
        <w:t>.</w:t>
      </w:r>
      <w:r w:rsidRPr="009D7765">
        <w:t xml:space="preserve"> </w:t>
      </w:r>
      <w:r w:rsidRPr="002C601A">
        <w:t xml:space="preserve">Conversely, as </w:t>
      </w:r>
      <w:proofErr w:type="spellStart"/>
      <w:r w:rsidRPr="002C601A">
        <w:t>Addey</w:t>
      </w:r>
      <w:proofErr w:type="spellEnd"/>
      <w:r w:rsidRPr="002C601A">
        <w:t xml:space="preserve"> </w:t>
      </w:r>
      <w:r w:rsidR="00987816">
        <w:t>wrote</w:t>
      </w:r>
      <w:r w:rsidRPr="002C601A">
        <w:t xml:space="preserve">, Porphyry asked questions that he seemed to already know the answers to, and he </w:t>
      </w:r>
      <w:r w:rsidR="005052FE">
        <w:t xml:space="preserve">posed them to </w:t>
      </w:r>
      <w:r w:rsidRPr="002C601A">
        <w:t>Iamblichus in order to gain information on pagan religions and to defend paganism and theurgy.</w:t>
      </w:r>
      <w:r w:rsidRPr="002C601A">
        <w:rPr>
          <w:rStyle w:val="FootnoteReference"/>
        </w:rPr>
        <w:footnoteReference w:id="14"/>
      </w:r>
      <w:r w:rsidRPr="002C601A">
        <w:t xml:space="preserve"> </w:t>
      </w:r>
      <w:r w:rsidR="00987816">
        <w:t>Iamblichus, thus, did not need to convince Porphyry at all</w:t>
      </w:r>
      <w:r w:rsidR="00343266">
        <w:t>, nor did he need to explain why something is</w:t>
      </w:r>
      <w:r w:rsidR="005A4E9D">
        <w:t xml:space="preserve"> the way it is</w:t>
      </w:r>
      <w:r w:rsidR="00987816">
        <w:t xml:space="preserve">. </w:t>
      </w:r>
      <w:r w:rsidR="008C5A10">
        <w:t>This</w:t>
      </w:r>
      <w:r w:rsidRPr="002C601A">
        <w:t xml:space="preserve"> argument thus does not hold </w:t>
      </w:r>
      <w:r w:rsidR="009344BB">
        <w:t xml:space="preserve">much </w:t>
      </w:r>
      <w:r w:rsidRPr="002C601A">
        <w:t>weight, as he does not really need to convince anyone of this belief. Rather, he is confirming to Porphyry what he already knows.</w:t>
      </w:r>
    </w:p>
    <w:p w14:paraId="7F14D8E8" w14:textId="77777777" w:rsidR="00F47020" w:rsidRPr="009D7765" w:rsidRDefault="00F47020" w:rsidP="00F47020">
      <w:pPr>
        <w:jc w:val="both"/>
      </w:pPr>
    </w:p>
    <w:p w14:paraId="5DD22B40" w14:textId="3982734D" w:rsidR="00F47020" w:rsidRPr="009D7765" w:rsidRDefault="00F47020" w:rsidP="00F47020">
      <w:pPr>
        <w:jc w:val="both"/>
      </w:pPr>
      <w:r w:rsidRPr="009D7765">
        <w:t xml:space="preserve">Throughout </w:t>
      </w:r>
      <w:r w:rsidRPr="009D7765">
        <w:rPr>
          <w:i/>
        </w:rPr>
        <w:t xml:space="preserve">De </w:t>
      </w:r>
      <w:proofErr w:type="spellStart"/>
      <w:r w:rsidRPr="009D7765">
        <w:rPr>
          <w:i/>
        </w:rPr>
        <w:t>Mysteriis</w:t>
      </w:r>
      <w:proofErr w:type="spellEnd"/>
      <w:r w:rsidRPr="009D7765">
        <w:rPr>
          <w:i/>
        </w:rPr>
        <w:t xml:space="preserve"> </w:t>
      </w:r>
      <w:r w:rsidRPr="009D7765">
        <w:t>Iamblichus separates divination into two different categories</w:t>
      </w:r>
      <w:proofErr w:type="gramStart"/>
      <w:r w:rsidRPr="009D7765">
        <w:t>;</w:t>
      </w:r>
      <w:proofErr w:type="gramEnd"/>
      <w:r w:rsidRPr="009D7765">
        <w:t xml:space="preserve"> inspired divination, which comes through possession by the gods and oracles, and inductive divination, which includes augury and </w:t>
      </w:r>
      <w:proofErr w:type="spellStart"/>
      <w:r w:rsidRPr="009D7765">
        <w:t>haruspicy</w:t>
      </w:r>
      <w:proofErr w:type="spellEnd"/>
      <w:r w:rsidRPr="009D7765">
        <w:t>.</w:t>
      </w:r>
      <w:r w:rsidRPr="009D7765">
        <w:rPr>
          <w:rStyle w:val="FootnoteReference"/>
        </w:rPr>
        <w:footnoteReference w:id="15"/>
      </w:r>
      <w:r w:rsidRPr="009D7765">
        <w:t xml:space="preserve"> This distinction is vital as Iamblichus views the two methods very differently. It seems that, for Iamblichus, inspired divination is the truer, or rather, the more trustworthy form. He writes about </w:t>
      </w:r>
      <w:r w:rsidR="00433433">
        <w:t xml:space="preserve">inductive </w:t>
      </w:r>
      <w:r w:rsidRPr="009D7765">
        <w:t>divination as a human science, calling this the “</w:t>
      </w:r>
      <w:r w:rsidRPr="009D7765">
        <w:rPr>
          <w:i/>
        </w:rPr>
        <w:t>variety of the human art</w:t>
      </w:r>
      <w:r w:rsidRPr="009D7765">
        <w:t>”,</w:t>
      </w:r>
      <w:r w:rsidRPr="009D7765">
        <w:rPr>
          <w:rStyle w:val="FootnoteReference"/>
        </w:rPr>
        <w:footnoteReference w:id="16"/>
      </w:r>
      <w:r w:rsidRPr="009D7765">
        <w:t xml:space="preserve"> and </w:t>
      </w:r>
      <w:r>
        <w:t>implies</w:t>
      </w:r>
      <w:r w:rsidRPr="009D7765">
        <w:t xml:space="preserve"> that it is an inferior method of divination. He believes that these methods of foretelling, such as reading the stars or the flights of birds, </w:t>
      </w:r>
      <w:r>
        <w:t>are</w:t>
      </w:r>
      <w:r w:rsidRPr="009D7765">
        <w:t xml:space="preserve"> false as they are methods learned by humans, rather than given to us by the gods</w:t>
      </w:r>
      <w:r w:rsidRPr="00AC7EE7">
        <w:t xml:space="preserve">, </w:t>
      </w:r>
      <w:r w:rsidR="0051538F">
        <w:t>implying it to be</w:t>
      </w:r>
      <w:r w:rsidRPr="00AC7EE7">
        <w:t xml:space="preserve"> superficial divination</w:t>
      </w:r>
      <w:r w:rsidRPr="009D7765">
        <w:t>.</w:t>
      </w:r>
      <w:r w:rsidRPr="009D7765">
        <w:rPr>
          <w:rStyle w:val="FootnoteReference"/>
        </w:rPr>
        <w:footnoteReference w:id="17"/>
      </w:r>
      <w:r w:rsidRPr="009D7765">
        <w:t xml:space="preserve"> These methods are deceptive and </w:t>
      </w:r>
      <w:r w:rsidR="00045824" w:rsidRPr="009D7765">
        <w:t>artificial</w:t>
      </w:r>
      <w:r w:rsidRPr="009D7765">
        <w:t xml:space="preserve"> as they are thu</w:t>
      </w:r>
      <w:r w:rsidR="00045824">
        <w:t xml:space="preserve">s open to human </w:t>
      </w:r>
      <w:r w:rsidR="00045824" w:rsidRPr="007C5BCC">
        <w:t xml:space="preserve">interpretation and </w:t>
      </w:r>
      <w:r w:rsidR="007C5BCC" w:rsidRPr="007C5BCC">
        <w:t>are able to</w:t>
      </w:r>
      <w:r w:rsidR="00045824" w:rsidRPr="007C5BCC">
        <w:t xml:space="preserve"> be influenced by </w:t>
      </w:r>
      <w:r w:rsidRPr="007C5BCC">
        <w:t>human opinion</w:t>
      </w:r>
      <w:r w:rsidRPr="009D7765">
        <w:t>.</w:t>
      </w:r>
      <w:r w:rsidRPr="009D7765">
        <w:rPr>
          <w:rStyle w:val="FootnoteReference"/>
        </w:rPr>
        <w:footnoteReference w:id="18"/>
      </w:r>
      <w:r w:rsidRPr="009D7765">
        <w:t xml:space="preserve"> To further the distinction between the different forms of divination, Iamblichus writes “</w:t>
      </w:r>
      <w:r w:rsidRPr="009D7765">
        <w:rPr>
          <w:i/>
        </w:rPr>
        <w:t>for either the god possesses us, or we become wholly the god’s property, or we exercise our activity in common with him</w:t>
      </w:r>
      <w:r w:rsidRPr="009D7765">
        <w:t>” when writing about how divine inspiration is aroused.</w:t>
      </w:r>
      <w:r w:rsidRPr="009D7765">
        <w:rPr>
          <w:rStyle w:val="FootnoteReference"/>
        </w:rPr>
        <w:footnoteReference w:id="19"/>
      </w:r>
      <w:r w:rsidRPr="009D7765">
        <w:t xml:space="preserve"> Iamblichus’ idea of the two types of divination is very convincing as one can imagine how someone is more likely to be influenced by their own personal opinions or beliefs</w:t>
      </w:r>
      <w:r w:rsidR="001A44D2">
        <w:t xml:space="preserve"> during inductive divination</w:t>
      </w:r>
      <w:r>
        <w:t>, w</w:t>
      </w:r>
      <w:r w:rsidRPr="009D7765">
        <w:t>hereas</w:t>
      </w:r>
      <w:r>
        <w:t>,</w:t>
      </w:r>
      <w:r w:rsidRPr="009D7765">
        <w:t xml:space="preserve"> if </w:t>
      </w:r>
      <w:r w:rsidR="00C03E6C">
        <w:t>the prophecy</w:t>
      </w:r>
      <w:r w:rsidRPr="009D7765">
        <w:t xml:space="preserve"> </w:t>
      </w:r>
      <w:r w:rsidR="00C03E6C">
        <w:t>comes</w:t>
      </w:r>
      <w:r w:rsidRPr="009D7765">
        <w:t xml:space="preserve"> through the gods themselves</w:t>
      </w:r>
      <w:r>
        <w:t>,</w:t>
      </w:r>
      <w:r w:rsidRPr="009D7765">
        <w:t xml:space="preserve"> there is no room for human interpretation, thus leading to</w:t>
      </w:r>
      <w:r w:rsidR="001A44D2">
        <w:t xml:space="preserve"> a</w:t>
      </w:r>
      <w:r w:rsidRPr="009D7765">
        <w:t xml:space="preserve"> true </w:t>
      </w:r>
      <w:r w:rsidR="00C03E6C">
        <w:t>prediction</w:t>
      </w:r>
      <w:r w:rsidRPr="009D7765">
        <w:t xml:space="preserve">. </w:t>
      </w:r>
      <w:r w:rsidR="00B34EAF">
        <w:t>The</w:t>
      </w:r>
      <w:r w:rsidRPr="009D7765">
        <w:t xml:space="preserve"> idea of possession comes again when Iamblichus </w:t>
      </w:r>
      <w:r w:rsidR="00361047">
        <w:t>discusses</w:t>
      </w:r>
      <w:r w:rsidRPr="009D7765">
        <w:t xml:space="preserve"> the </w:t>
      </w:r>
      <w:proofErr w:type="spellStart"/>
      <w:r w:rsidRPr="009D7765">
        <w:t>Phythia</w:t>
      </w:r>
      <w:proofErr w:type="spellEnd"/>
      <w:r w:rsidRPr="009D7765">
        <w:t xml:space="preserve"> at Delphi, furthering </w:t>
      </w:r>
      <w:r>
        <w:t>his reasoning</w:t>
      </w:r>
      <w:r w:rsidRPr="009D7765">
        <w:t xml:space="preserve"> that the divine part of the human soul is able to achieve union with the gods.</w:t>
      </w:r>
      <w:r w:rsidRPr="009D7765">
        <w:rPr>
          <w:rStyle w:val="FootnoteReference"/>
        </w:rPr>
        <w:footnoteReference w:id="20"/>
      </w:r>
      <w:r w:rsidRPr="009D7765">
        <w:t xml:space="preserve"> </w:t>
      </w:r>
      <w:r w:rsidR="002F495C">
        <w:t>This links</w:t>
      </w:r>
      <w:r w:rsidR="00A779AC">
        <w:t xml:space="preserve"> to</w:t>
      </w:r>
      <w:r w:rsidRPr="009D7765">
        <w:t xml:space="preserve"> Plato</w:t>
      </w:r>
      <w:r w:rsidR="00A779AC">
        <w:t>’s idea that</w:t>
      </w:r>
      <w:r w:rsidRPr="009D7765">
        <w:t xml:space="preserve"> </w:t>
      </w:r>
      <w:r w:rsidRPr="009D7765">
        <w:lastRenderedPageBreak/>
        <w:t>inspired divination is superior to inductive divination</w:t>
      </w:r>
      <w:r w:rsidR="001434CC">
        <w:t xml:space="preserve">, </w:t>
      </w:r>
      <w:r w:rsidR="00B34EAF">
        <w:t>support</w:t>
      </w:r>
      <w:r w:rsidR="001434CC">
        <w:t>ing</w:t>
      </w:r>
      <w:r w:rsidR="00B34EAF">
        <w:t xml:space="preserve"> Iamblichus’ claim</w:t>
      </w:r>
      <w:r w:rsidR="00A779AC">
        <w:t>.</w:t>
      </w:r>
      <w:r w:rsidRPr="002006BA">
        <w:rPr>
          <w:rStyle w:val="FootnoteReference"/>
        </w:rPr>
        <w:footnoteReference w:id="21"/>
      </w:r>
      <w:r w:rsidR="00A779AC">
        <w:t xml:space="preserve"> </w:t>
      </w:r>
      <w:r w:rsidR="00575615">
        <w:t>However, t</w:t>
      </w:r>
      <w:r w:rsidRPr="002006BA">
        <w:t>o</w:t>
      </w:r>
      <w:r>
        <w:t xml:space="preserve"> further the idea </w:t>
      </w:r>
      <w:r w:rsidRPr="002006BA">
        <w:t>of superficial divination, Porphyry asks Iamblichus if symbols and magical items can be used to carry out divination and Iamblichus answers that these forms of divination are false, superficial, and accessible by the many.</w:t>
      </w:r>
      <w:r w:rsidRPr="002006BA">
        <w:rPr>
          <w:rStyle w:val="FootnoteReference"/>
        </w:rPr>
        <w:footnoteReference w:id="22"/>
      </w:r>
      <w:r w:rsidRPr="002006BA">
        <w:t xml:space="preserve"> These superficial divinations are untrustworthy and open to human interpretation, causing them to carry mistakes.</w:t>
      </w:r>
    </w:p>
    <w:p w14:paraId="62D21089" w14:textId="77777777" w:rsidR="00F47020" w:rsidRPr="009D7765" w:rsidRDefault="00F47020" w:rsidP="00F47020">
      <w:pPr>
        <w:jc w:val="both"/>
      </w:pPr>
    </w:p>
    <w:p w14:paraId="2FD15341" w14:textId="75AFA371" w:rsidR="00F47020" w:rsidRPr="009D7765" w:rsidRDefault="00A8797D" w:rsidP="0035429B">
      <w:pPr>
        <w:jc w:val="both"/>
      </w:pPr>
      <w:r>
        <w:t>Whilst b</w:t>
      </w:r>
      <w:r w:rsidR="00F47020" w:rsidRPr="009D7765">
        <w:t xml:space="preserve">ook I is rather an outline of theurgy, </w:t>
      </w:r>
      <w:r>
        <w:t>b</w:t>
      </w:r>
      <w:r w:rsidR="00F47020" w:rsidRPr="009D7765">
        <w:t>ook III is opened with a phrase stating that the questioner, Porphyry, is asking for a clear description of “</w:t>
      </w:r>
      <w:r w:rsidR="00F47020" w:rsidRPr="009D7765">
        <w:rPr>
          <w:i/>
        </w:rPr>
        <w:t>what happens in predicting the future</w:t>
      </w:r>
      <w:r w:rsidR="00F47020" w:rsidRPr="009D7765">
        <w:t>” and Iamblichus’ answer is that this process is impossible to learn.</w:t>
      </w:r>
      <w:r w:rsidR="00F47020" w:rsidRPr="009D7765">
        <w:rPr>
          <w:rStyle w:val="FootnoteReference"/>
        </w:rPr>
        <w:footnoteReference w:id="23"/>
      </w:r>
      <w:r w:rsidR="00F47020" w:rsidRPr="009D7765">
        <w:t xml:space="preserve"> This straight away informs the reader that predicting the future is such a complex topic, that it can neither be studied, nor fully understood. Iamblichus continues wit</w:t>
      </w:r>
      <w:r w:rsidR="00283991">
        <w:t xml:space="preserve">h his quote, later stating “[…] </w:t>
      </w:r>
      <w:r w:rsidR="00F47020" w:rsidRPr="009D7765">
        <w:rPr>
          <w:i/>
        </w:rPr>
        <w:t xml:space="preserve">nor is it, generally speaking, a human achievement at all. But it is a thing divine, supernatural, sent from heaven above; both </w:t>
      </w:r>
      <w:proofErr w:type="spellStart"/>
      <w:r w:rsidR="00F47020" w:rsidRPr="009D7765">
        <w:rPr>
          <w:i/>
        </w:rPr>
        <w:t>unbegotten</w:t>
      </w:r>
      <w:proofErr w:type="spellEnd"/>
      <w:r w:rsidR="00F47020" w:rsidRPr="009D7765">
        <w:rPr>
          <w:i/>
        </w:rPr>
        <w:t xml:space="preserve"> and eternal, it takes priority by its own nature</w:t>
      </w:r>
      <w:r w:rsidR="00F47020" w:rsidRPr="009D7765">
        <w:t>”.</w:t>
      </w:r>
      <w:r w:rsidR="00F47020" w:rsidRPr="009D7765">
        <w:rPr>
          <w:rStyle w:val="FootnoteReference"/>
        </w:rPr>
        <w:footnoteReference w:id="24"/>
      </w:r>
      <w:r w:rsidR="00F47020" w:rsidRPr="009D7765">
        <w:t xml:space="preserve"> With these words, Iamblichus is informing Porphyry (and those who come to read the text) that divination is not something that human be</w:t>
      </w:r>
      <w:r w:rsidR="0035429B">
        <w:t xml:space="preserve">ings can persuade or influence. </w:t>
      </w:r>
      <w:r w:rsidR="0035429B" w:rsidRPr="00F74D8E">
        <w:t xml:space="preserve">This statement is convincing as it </w:t>
      </w:r>
      <w:r w:rsidR="00E07E6A" w:rsidRPr="00F74D8E">
        <w:t>informs</w:t>
      </w:r>
      <w:r w:rsidR="0035429B" w:rsidRPr="00F74D8E">
        <w:t xml:space="preserve"> the readers that not everyone will be able to predict the future. Iamblichus</w:t>
      </w:r>
      <w:r w:rsidR="0035429B">
        <w:t xml:space="preserve"> is able to prove that t</w:t>
      </w:r>
      <w:r w:rsidR="00F47020" w:rsidRPr="009D7765">
        <w:t xml:space="preserve">he true </w:t>
      </w:r>
      <w:r w:rsidR="003B4109">
        <w:t>divination</w:t>
      </w:r>
      <w:r w:rsidR="00F47020" w:rsidRPr="009D7765">
        <w:t xml:space="preserve"> comes to us from the gods to those who are, as he goes on to write, pure and able to share it</w:t>
      </w:r>
      <w:r w:rsidR="00F47020">
        <w:t xml:space="preserve">, </w:t>
      </w:r>
      <w:r w:rsidR="00F47020" w:rsidRPr="00215FB9">
        <w:t>which will be discussed in the next paragraph</w:t>
      </w:r>
      <w:r w:rsidR="00F47020" w:rsidRPr="009D7765">
        <w:t>.</w:t>
      </w:r>
      <w:r w:rsidR="00F47020" w:rsidRPr="009D7765">
        <w:rPr>
          <w:rStyle w:val="FootnoteReference"/>
        </w:rPr>
        <w:footnoteReference w:id="25"/>
      </w:r>
      <w:r w:rsidR="00F47020" w:rsidRPr="009D7765">
        <w:t xml:space="preserve"> </w:t>
      </w:r>
    </w:p>
    <w:p w14:paraId="0C73A548" w14:textId="77777777" w:rsidR="00F47020" w:rsidRPr="009D7765" w:rsidRDefault="00F47020" w:rsidP="00F47020">
      <w:pPr>
        <w:jc w:val="both"/>
      </w:pPr>
    </w:p>
    <w:p w14:paraId="4B986544" w14:textId="62B058A9" w:rsidR="00F47020" w:rsidRPr="009D7765" w:rsidRDefault="00F47020" w:rsidP="00F47020">
      <w:pPr>
        <w:jc w:val="both"/>
      </w:pPr>
      <w:r w:rsidRPr="009D7765">
        <w:t>Iamblichus’ use of the verb ‘to share’ is most significant, for this implies</w:t>
      </w:r>
      <w:r w:rsidR="00696972">
        <w:t xml:space="preserve"> that</w:t>
      </w:r>
      <w:r w:rsidRPr="009D7765">
        <w:t xml:space="preserve"> </w:t>
      </w:r>
      <w:r>
        <w:t xml:space="preserve">not everybody is able to </w:t>
      </w:r>
      <w:r w:rsidR="00184D5F">
        <w:t>participate in divination</w:t>
      </w:r>
      <w:r>
        <w:t xml:space="preserve"> and</w:t>
      </w:r>
      <w:r w:rsidRPr="009D7765">
        <w:t xml:space="preserve"> that it is an act tha</w:t>
      </w:r>
      <w:r>
        <w:t>t involves more than one party. B</w:t>
      </w:r>
      <w:r w:rsidRPr="009D7765">
        <w:t xml:space="preserve">oth parties have to be willing and able to cooperate with one another. Iamblichus </w:t>
      </w:r>
      <w:r w:rsidR="006417A7">
        <w:t xml:space="preserve">continuously </w:t>
      </w:r>
      <w:r w:rsidRPr="009D7765">
        <w:t xml:space="preserve">repeats that being able to </w:t>
      </w:r>
      <w:r w:rsidR="00331C8E" w:rsidRPr="00900C08">
        <w:t>prophesy</w:t>
      </w:r>
      <w:r w:rsidRPr="009D7765">
        <w:t xml:space="preserve"> is a gift </w:t>
      </w:r>
      <w:r w:rsidR="00331C8E">
        <w:t>from</w:t>
      </w:r>
      <w:r w:rsidRPr="009D7765">
        <w:t xml:space="preserve"> gods</w:t>
      </w:r>
      <w:r w:rsidRPr="009D7765">
        <w:rPr>
          <w:rStyle w:val="FootnoteReference"/>
        </w:rPr>
        <w:footnoteReference w:id="26"/>
      </w:r>
      <w:r w:rsidRPr="009D7765">
        <w:t xml:space="preserve"> and he suggests that divination may only be possible due to </w:t>
      </w:r>
      <w:r>
        <w:t xml:space="preserve">its status </w:t>
      </w:r>
      <w:r w:rsidR="00A47092">
        <w:t>as</w:t>
      </w:r>
      <w:r w:rsidRPr="009D7765">
        <w:t xml:space="preserve"> a </w:t>
      </w:r>
      <w:r w:rsidR="006417A7">
        <w:t>divine gift</w:t>
      </w:r>
      <w:r w:rsidRPr="009D7765">
        <w:t>.</w:t>
      </w:r>
      <w:r w:rsidRPr="009D7765">
        <w:rPr>
          <w:rStyle w:val="FootnoteReference"/>
        </w:rPr>
        <w:footnoteReference w:id="27"/>
      </w:r>
      <w:r w:rsidRPr="009D7765">
        <w:t xml:space="preserve"> </w:t>
      </w:r>
      <w:r w:rsidRPr="00D31EE1">
        <w:t>Moreover, this</w:t>
      </w:r>
      <w:r w:rsidRPr="009D7765">
        <w:t xml:space="preserve"> further enhances the idea that the individual must be ready to receive the gift of divination; the recipient must be pure and be able to share the gift. This idea of sharing leads to the belief that gods and theurgists are working towards a com</w:t>
      </w:r>
      <w:r>
        <w:t>mon goal, or have a commonality and, a</w:t>
      </w:r>
      <w:r w:rsidRPr="009D7765">
        <w:t>s Dillon pointed</w:t>
      </w:r>
      <w:r>
        <w:t xml:space="preserve"> out</w:t>
      </w:r>
      <w:r w:rsidRPr="009D7765">
        <w:t xml:space="preserve">, the theurgist does </w:t>
      </w:r>
      <w:r w:rsidRPr="00830691">
        <w:t>indeed call the shots, but the gods are willing to answer.</w:t>
      </w:r>
      <w:r w:rsidRPr="00830691">
        <w:rPr>
          <w:rStyle w:val="FootnoteReference"/>
        </w:rPr>
        <w:footnoteReference w:id="28"/>
      </w:r>
      <w:r w:rsidRPr="00830691">
        <w:t xml:space="preserve"> Iamblichus’ idea of being able to share is </w:t>
      </w:r>
      <w:r w:rsidR="008B265D" w:rsidRPr="00830691">
        <w:t>persuasive</w:t>
      </w:r>
      <w:r w:rsidRPr="00830691">
        <w:t xml:space="preserve">. If everyone were able to practice divination, it would be common </w:t>
      </w:r>
      <w:r w:rsidR="003B21DE">
        <w:t>practice</w:t>
      </w:r>
      <w:r w:rsidRPr="00830691">
        <w:t xml:space="preserve"> and there would be no questioning or counter-arguments. </w:t>
      </w:r>
    </w:p>
    <w:p w14:paraId="3071BEB1" w14:textId="77777777" w:rsidR="00F47020" w:rsidRPr="009D7765" w:rsidRDefault="00F47020" w:rsidP="00F47020">
      <w:pPr>
        <w:jc w:val="both"/>
      </w:pPr>
    </w:p>
    <w:p w14:paraId="16AD4FBD" w14:textId="1BA87060" w:rsidR="00F47020" w:rsidRPr="009D7765" w:rsidRDefault="00F47020" w:rsidP="00F47020">
      <w:pPr>
        <w:jc w:val="both"/>
        <w:rPr>
          <w:i/>
        </w:rPr>
      </w:pPr>
      <w:r w:rsidRPr="00527292">
        <w:t>Iamblichus</w:t>
      </w:r>
      <w:r w:rsidRPr="009D7765">
        <w:t xml:space="preserve"> mentions another type of divination: the inspired oracle.</w:t>
      </w:r>
      <w:r w:rsidRPr="009D7765">
        <w:rPr>
          <w:rStyle w:val="FootnoteReference"/>
        </w:rPr>
        <w:footnoteReference w:id="29"/>
      </w:r>
      <w:r w:rsidRPr="009D7765">
        <w:t xml:space="preserve"> During this type of </w:t>
      </w:r>
      <w:r w:rsidR="000307FB">
        <w:t>divinatory practice</w:t>
      </w:r>
      <w:r w:rsidRPr="009D7765">
        <w:t xml:space="preserve">, the prophet drinks from a spring </w:t>
      </w:r>
      <w:r>
        <w:t xml:space="preserve">held </w:t>
      </w:r>
      <w:r w:rsidRPr="009D7765">
        <w:t xml:space="preserve">in a subterranean chamber. </w:t>
      </w:r>
      <w:r w:rsidR="008862A1">
        <w:t>This must be done</w:t>
      </w:r>
      <w:r w:rsidRPr="009D7765">
        <w:t xml:space="preserve"> on a certain night after completing the required ceremonies. Afterwards, he </w:t>
      </w:r>
      <w:r w:rsidR="00A26F64">
        <w:t xml:space="preserve">or she </w:t>
      </w:r>
      <w:r w:rsidRPr="009D7765">
        <w:t xml:space="preserve">is able to deliver </w:t>
      </w:r>
      <w:r w:rsidR="00A26F64">
        <w:t>the</w:t>
      </w:r>
      <w:r w:rsidRPr="009D7765">
        <w:t xml:space="preserve"> oracles.</w:t>
      </w:r>
      <w:r w:rsidRPr="009D7765">
        <w:rPr>
          <w:rStyle w:val="FootnoteReference"/>
        </w:rPr>
        <w:footnoteReference w:id="30"/>
      </w:r>
      <w:r w:rsidRPr="009D7765">
        <w:t xml:space="preserve"> Iamblichus goes on to state that the oracular power </w:t>
      </w:r>
      <w:r w:rsidRPr="009D7765">
        <w:lastRenderedPageBreak/>
        <w:t>of the water is not immediately obvious and also that “</w:t>
      </w:r>
      <w:r w:rsidRPr="009D7765">
        <w:rPr>
          <w:i/>
        </w:rPr>
        <w:t>not every inspiration that the water gives is from the god.</w:t>
      </w:r>
      <w:r w:rsidRPr="009D7765">
        <w:t>”</w:t>
      </w:r>
      <w:r w:rsidRPr="009D7765">
        <w:rPr>
          <w:rStyle w:val="FootnoteReference"/>
        </w:rPr>
        <w:footnoteReference w:id="31"/>
      </w:r>
      <w:r w:rsidRPr="009D7765">
        <w:t xml:space="preserve"> </w:t>
      </w:r>
      <w:proofErr w:type="gramStart"/>
      <w:r>
        <w:t>This idea links back to Iamblichus’ idea that divination can be carried out incorrectly.</w:t>
      </w:r>
      <w:proofErr w:type="gramEnd"/>
      <w:r>
        <w:t xml:space="preserve"> Additionally, it is a good way to avoid </w:t>
      </w:r>
      <w:r w:rsidR="001B633A">
        <w:t>any</w:t>
      </w:r>
      <w:r>
        <w:t xml:space="preserve"> counter-arguments that the prophecy was incorrect</w:t>
      </w:r>
      <w:r w:rsidR="001A31E4">
        <w:t>: it</w:t>
      </w:r>
      <w:r>
        <w:t xml:space="preserve"> may have been the case that the inspiration was not from the gods. Furthermore, t</w:t>
      </w:r>
      <w:r w:rsidRPr="009D7765">
        <w:t xml:space="preserve">he prophet </w:t>
      </w:r>
      <w:r w:rsidRPr="00830691">
        <w:t xml:space="preserve">must fast for the whole day and night before drinking the water and going into a trance, thus it is possible to claim that the prophet is woozy from the fast. Additionally, although now impossible to test, </w:t>
      </w:r>
      <w:r w:rsidR="00783E7B">
        <w:t>t</w:t>
      </w:r>
      <w:r w:rsidRPr="00830691">
        <w:t xml:space="preserve">he water </w:t>
      </w:r>
      <w:r w:rsidR="00783E7B">
        <w:t xml:space="preserve">may have </w:t>
      </w:r>
      <w:r w:rsidRPr="00830691">
        <w:t xml:space="preserve">contained gasses or chemicals that caused this state of </w:t>
      </w:r>
      <w:r w:rsidR="00760BA3" w:rsidRPr="00830691">
        <w:t>frenzy</w:t>
      </w:r>
      <w:r w:rsidRPr="00830691">
        <w:t>. In</w:t>
      </w:r>
      <w:r w:rsidRPr="009D7765">
        <w:t xml:space="preserve"> this section, Iamblichus often mentions receiving and receptivity. For example, the prophet must purify </w:t>
      </w:r>
      <w:r>
        <w:t>himself or herself</w:t>
      </w:r>
      <w:r w:rsidRPr="009D7765">
        <w:t xml:space="preserve"> </w:t>
      </w:r>
      <w:r w:rsidR="008E56A8">
        <w:t>befo</w:t>
      </w:r>
      <w:r w:rsidRPr="009D7765">
        <w:t>r</w:t>
      </w:r>
      <w:r w:rsidR="008E56A8">
        <w:t>e</w:t>
      </w:r>
      <w:r w:rsidRPr="009D7765">
        <w:t xml:space="preserve"> receiving the god. He</w:t>
      </w:r>
      <w:r w:rsidR="00215420">
        <w:t xml:space="preserve"> also</w:t>
      </w:r>
      <w:r w:rsidRPr="009D7765">
        <w:t xml:space="preserve"> mentions this when discussing the </w:t>
      </w:r>
      <w:proofErr w:type="spellStart"/>
      <w:r w:rsidRPr="009D7765">
        <w:t>Pythia</w:t>
      </w:r>
      <w:proofErr w:type="spellEnd"/>
      <w:r w:rsidRPr="009D7765">
        <w:t xml:space="preserve"> at Delphi.</w:t>
      </w:r>
      <w:r w:rsidRPr="009D7765">
        <w:rPr>
          <w:rStyle w:val="FootnoteReference"/>
        </w:rPr>
        <w:footnoteReference w:id="32"/>
      </w:r>
      <w:r w:rsidRPr="009D7765">
        <w:t xml:space="preserve"> Here, however, Iamblichus mentions that the </w:t>
      </w:r>
      <w:proofErr w:type="spellStart"/>
      <w:r w:rsidRPr="009D7765">
        <w:t>Phythia</w:t>
      </w:r>
      <w:proofErr w:type="spellEnd"/>
      <w:r w:rsidRPr="009D7765">
        <w:t xml:space="preserve"> must fast for 3 days, thus enhancing the </w:t>
      </w:r>
      <w:r w:rsidR="003200BD">
        <w:t>potentiality</w:t>
      </w:r>
      <w:r w:rsidRPr="009D7765">
        <w:t xml:space="preserve"> that she was in a state of delirium due to lack of food or energy.</w:t>
      </w:r>
    </w:p>
    <w:p w14:paraId="11D8CB6C" w14:textId="77777777" w:rsidR="00F47020" w:rsidRPr="009D7765" w:rsidRDefault="00F47020" w:rsidP="00F47020">
      <w:pPr>
        <w:jc w:val="both"/>
        <w:rPr>
          <w:i/>
        </w:rPr>
      </w:pPr>
    </w:p>
    <w:p w14:paraId="4500A5D5" w14:textId="2F6D1D05" w:rsidR="00F47020" w:rsidRDefault="00F47020" w:rsidP="00F47020">
      <w:pPr>
        <w:jc w:val="both"/>
        <w:rPr>
          <w:highlight w:val="yellow"/>
        </w:rPr>
      </w:pPr>
      <w:r w:rsidRPr="008C1A3F">
        <w:t>Iamblichus</w:t>
      </w:r>
      <w:r w:rsidRPr="009D7765">
        <w:t xml:space="preserve"> also categorises </w:t>
      </w:r>
      <w:r>
        <w:t>dream</w:t>
      </w:r>
      <w:r w:rsidRPr="009D7765">
        <w:t xml:space="preserve"> </w:t>
      </w:r>
      <w:r>
        <w:t xml:space="preserve">divination </w:t>
      </w:r>
      <w:r w:rsidRPr="009D7765">
        <w:t xml:space="preserve">into the two </w:t>
      </w:r>
      <w:r>
        <w:t>categories:</w:t>
      </w:r>
      <w:r w:rsidRPr="009D7765">
        <w:t xml:space="preserve"> he calls these ‘human</w:t>
      </w:r>
      <w:r>
        <w:t xml:space="preserve"> dreams’ and ‘god-sent dreams’. H</w:t>
      </w:r>
      <w:r w:rsidRPr="009D7765">
        <w:t>uman dreams come from the soul</w:t>
      </w:r>
      <w:r>
        <w:t xml:space="preserve"> and </w:t>
      </w:r>
      <w:r w:rsidRPr="009D7765">
        <w:t xml:space="preserve">Iamblichus argues that </w:t>
      </w:r>
      <w:r>
        <w:t>they</w:t>
      </w:r>
      <w:r w:rsidRPr="009D7765">
        <w:t xml:space="preserve"> are a result of your thoughts or fantasies.</w:t>
      </w:r>
      <w:r w:rsidRPr="009D7765">
        <w:rPr>
          <w:rStyle w:val="FootnoteReference"/>
        </w:rPr>
        <w:footnoteReference w:id="33"/>
      </w:r>
      <w:r w:rsidR="004A0E62">
        <w:t xml:space="preserve"> </w:t>
      </w:r>
      <w:r w:rsidRPr="009D7765">
        <w:t>This idea is very convincing as it is fairly common for your dreams to be based on how you are feeling</w:t>
      </w:r>
      <w:r>
        <w:t xml:space="preserve"> at a given point in time</w:t>
      </w:r>
      <w:r w:rsidRPr="009D7765">
        <w:t xml:space="preserve">. For example, if you are </w:t>
      </w:r>
      <w:r>
        <w:t>worried</w:t>
      </w:r>
      <w:r w:rsidRPr="009D7765">
        <w:t xml:space="preserve">, quite often </w:t>
      </w:r>
      <w:r>
        <w:t>your dream will be related to this</w:t>
      </w:r>
      <w:r w:rsidRPr="009D7765">
        <w:t>.</w:t>
      </w:r>
      <w:r>
        <w:t xml:space="preserve"> If you are worried about a family members’ health, it is likely that you will dream about their wellbeing.</w:t>
      </w:r>
      <w:r w:rsidRPr="009D7765">
        <w:t xml:space="preserve"> As </w:t>
      </w:r>
      <w:proofErr w:type="spellStart"/>
      <w:r w:rsidRPr="009D7765">
        <w:t>Addey</w:t>
      </w:r>
      <w:proofErr w:type="spellEnd"/>
      <w:r w:rsidRPr="009D7765">
        <w:t xml:space="preserve"> stated, human guesswork is required, emphasising that incorrect assumptions or readings of dreams can be made.</w:t>
      </w:r>
      <w:r w:rsidRPr="009D7765">
        <w:rPr>
          <w:rStyle w:val="FootnoteReference"/>
        </w:rPr>
        <w:footnoteReference w:id="34"/>
      </w:r>
      <w:r w:rsidRPr="009D7765">
        <w:t xml:space="preserve"> </w:t>
      </w:r>
      <w:r w:rsidRPr="001B3EB7">
        <w:t>‘God-sent dreams’ however, arise when in a state between sleep and being awake, when one is in a trance.</w:t>
      </w:r>
      <w:r w:rsidRPr="001B3EB7">
        <w:rPr>
          <w:rStyle w:val="FootnoteReference"/>
        </w:rPr>
        <w:footnoteReference w:id="35"/>
      </w:r>
      <w:r w:rsidRPr="001B3EB7">
        <w:t xml:space="preserve"> </w:t>
      </w:r>
      <w:r>
        <w:t xml:space="preserve">This is a </w:t>
      </w:r>
      <w:r w:rsidR="007D523F">
        <w:t>resounding</w:t>
      </w:r>
      <w:r>
        <w:t xml:space="preserve"> argument as it links back to Iamblichus’ idea of the individual needing to be pure and able to share the gift of divination with the god</w:t>
      </w:r>
      <w:r w:rsidRPr="008A2224">
        <w:t>s.</w:t>
      </w:r>
      <w:r>
        <w:t xml:space="preserve"> If someone were to experience a god-sent dream, they were</w:t>
      </w:r>
      <w:r w:rsidR="00013D65">
        <w:t xml:space="preserve"> thus</w:t>
      </w:r>
      <w:r>
        <w:t xml:space="preserve"> receptive to the gods.</w:t>
      </w:r>
    </w:p>
    <w:p w14:paraId="44E6ADAD" w14:textId="77777777" w:rsidR="00F47020" w:rsidRPr="009D7765" w:rsidRDefault="00F47020" w:rsidP="00F47020">
      <w:pPr>
        <w:jc w:val="both"/>
      </w:pPr>
    </w:p>
    <w:p w14:paraId="33EDCF4F" w14:textId="024BC83A" w:rsidR="00F47020" w:rsidRPr="005B3481" w:rsidRDefault="00D63F14" w:rsidP="00F47020">
      <w:pPr>
        <w:jc w:val="both"/>
      </w:pPr>
      <w:r>
        <w:t>To conclude</w:t>
      </w:r>
      <w:r w:rsidR="00F47020" w:rsidRPr="009D7765">
        <w:t xml:space="preserve">, </w:t>
      </w:r>
      <w:r w:rsidR="000A6DA7">
        <w:t xml:space="preserve">Iamblichus </w:t>
      </w:r>
      <w:r w:rsidR="0023619D">
        <w:t>portrays</w:t>
      </w:r>
      <w:r w:rsidR="000A6DA7">
        <w:t xml:space="preserve"> a convincing argument for divination</w:t>
      </w:r>
      <w:r w:rsidR="00AA1B29">
        <w:t xml:space="preserve"> as he </w:t>
      </w:r>
      <w:r w:rsidR="00D55D89">
        <w:t xml:space="preserve">answers all of Porphyry’s questions and is </w:t>
      </w:r>
      <w:r w:rsidR="00CE1A61">
        <w:t xml:space="preserve">both </w:t>
      </w:r>
      <w:r w:rsidR="00D55D89">
        <w:t xml:space="preserve">able to correct him </w:t>
      </w:r>
      <w:r w:rsidR="00CE1A61">
        <w:t>and</w:t>
      </w:r>
      <w:r w:rsidR="001E0EF1">
        <w:t xml:space="preserve"> elaborate on his statements.</w:t>
      </w:r>
      <w:r w:rsidR="009A0657">
        <w:t xml:space="preserve"> </w:t>
      </w:r>
      <w:r w:rsidR="00D15F4F">
        <w:t xml:space="preserve">Furthermore, Iamblichus’ use of </w:t>
      </w:r>
      <w:r w:rsidR="009A0657">
        <w:t>the two subcategories of divination</w:t>
      </w:r>
      <w:r w:rsidR="00D15F4F">
        <w:t xml:space="preserve"> to explain his points highlights</w:t>
      </w:r>
      <w:r w:rsidR="009A0657">
        <w:t xml:space="preserve"> his opinion that inspired divination is the truer form over induced divination</w:t>
      </w:r>
      <w:r w:rsidR="005B3481">
        <w:t xml:space="preserve"> due to the human aspect influencing induced divination</w:t>
      </w:r>
      <w:r w:rsidR="009A0657">
        <w:t>.</w:t>
      </w:r>
      <w:r w:rsidR="005B3481">
        <w:t xml:space="preserve"> </w:t>
      </w:r>
      <w:r w:rsidR="00D15F4F">
        <w:rPr>
          <w:lang w:val="en-US"/>
        </w:rPr>
        <w:t>Nevertheless</w:t>
      </w:r>
      <w:r w:rsidR="00AA1B29">
        <w:rPr>
          <w:lang w:val="en-US"/>
        </w:rPr>
        <w:t xml:space="preserve">, </w:t>
      </w:r>
      <w:r w:rsidR="00AA1B29">
        <w:t>i</w:t>
      </w:r>
      <w:r w:rsidR="00F47020" w:rsidRPr="009D7765">
        <w:t>t is possible to assert that he wrote the text in order to raise awareness of theurgy to counter the rise in Christianity</w:t>
      </w:r>
      <w:r w:rsidR="000A6DA7">
        <w:t>, rather tha</w:t>
      </w:r>
      <w:r w:rsidR="000A6DA7" w:rsidRPr="005A3CE1">
        <w:t>n to convince Porphyry of divination</w:t>
      </w:r>
      <w:r w:rsidR="0080033D">
        <w:t>.</w:t>
      </w:r>
      <w:r w:rsidR="00F47020" w:rsidRPr="009D7765">
        <w:t xml:space="preserve"> Moreover, </w:t>
      </w:r>
      <w:proofErr w:type="spellStart"/>
      <w:r w:rsidR="00F47020" w:rsidRPr="009D7765">
        <w:t>Addey</w:t>
      </w:r>
      <w:proofErr w:type="spellEnd"/>
      <w:r w:rsidR="00F47020" w:rsidRPr="009D7765">
        <w:t xml:space="preserve"> states that </w:t>
      </w:r>
      <w:r w:rsidR="00F47020" w:rsidRPr="009D7765">
        <w:rPr>
          <w:i/>
        </w:rPr>
        <w:t xml:space="preserve">De </w:t>
      </w:r>
      <w:proofErr w:type="spellStart"/>
      <w:r w:rsidR="00F47020" w:rsidRPr="009D7765">
        <w:rPr>
          <w:i/>
        </w:rPr>
        <w:t>Mysteriis</w:t>
      </w:r>
      <w:proofErr w:type="spellEnd"/>
      <w:r w:rsidR="00F47020" w:rsidRPr="009D7765">
        <w:t xml:space="preserve"> can be viewed as a ritual, in that it shows how divination can be carried out</w:t>
      </w:r>
      <w:r w:rsidR="00F47020" w:rsidRPr="000A6DA7">
        <w:t>.</w:t>
      </w:r>
      <w:r w:rsidR="00F47020" w:rsidRPr="000A6DA7">
        <w:rPr>
          <w:rStyle w:val="FootnoteReference"/>
        </w:rPr>
        <w:footnoteReference w:id="36"/>
      </w:r>
      <w:r w:rsidR="00F47020" w:rsidRPr="000A6DA7">
        <w:t xml:space="preserve"> </w:t>
      </w:r>
      <w:r w:rsidR="00F47020" w:rsidRPr="009D7765">
        <w:rPr>
          <w:lang w:val="en-US"/>
        </w:rPr>
        <w:t xml:space="preserve">From </w:t>
      </w:r>
      <w:r w:rsidR="005322C8">
        <w:rPr>
          <w:lang w:val="en-US"/>
        </w:rPr>
        <w:t>this</w:t>
      </w:r>
      <w:r w:rsidR="00F47020" w:rsidRPr="009D7765">
        <w:rPr>
          <w:lang w:val="en-US"/>
        </w:rPr>
        <w:t>, we can conclude that Iamblichus wrote his text in order to show how divination can and should be carried out</w:t>
      </w:r>
      <w:r w:rsidR="000A6DA7">
        <w:rPr>
          <w:lang w:val="en-US"/>
        </w:rPr>
        <w:t>:</w:t>
      </w:r>
      <w:r w:rsidR="00F47020" w:rsidRPr="009D7765">
        <w:rPr>
          <w:lang w:val="en-US"/>
        </w:rPr>
        <w:t xml:space="preserve"> </w:t>
      </w:r>
      <w:r w:rsidR="000A6DA7">
        <w:rPr>
          <w:lang w:val="en-US"/>
        </w:rPr>
        <w:t>i</w:t>
      </w:r>
      <w:r w:rsidR="00F47020" w:rsidRPr="009D7765">
        <w:rPr>
          <w:lang w:val="en-US"/>
        </w:rPr>
        <w:t xml:space="preserve">t is both a text for practitioners and </w:t>
      </w:r>
      <w:r w:rsidR="002B36F0">
        <w:rPr>
          <w:lang w:val="en-US"/>
        </w:rPr>
        <w:t xml:space="preserve">for </w:t>
      </w:r>
      <w:r w:rsidR="00F47020" w:rsidRPr="009D7765">
        <w:rPr>
          <w:lang w:val="en-US"/>
        </w:rPr>
        <w:t xml:space="preserve">those who are interested in </w:t>
      </w:r>
      <w:r w:rsidR="00A00241">
        <w:rPr>
          <w:lang w:val="en-US"/>
        </w:rPr>
        <w:t xml:space="preserve">the </w:t>
      </w:r>
      <w:r w:rsidR="00F47020" w:rsidRPr="009D7765">
        <w:rPr>
          <w:lang w:val="en-US"/>
        </w:rPr>
        <w:t>practice. As Porphyry seemed to already know the answers to the questions he was asking, it is possible to claim that the text is a means to correct the opinions of others</w:t>
      </w:r>
      <w:r w:rsidR="002079D2">
        <w:rPr>
          <w:lang w:val="en-US"/>
        </w:rPr>
        <w:t xml:space="preserve"> and Iamblichus does so in a way that </w:t>
      </w:r>
      <w:r w:rsidR="009C7EA0">
        <w:rPr>
          <w:lang w:val="en-US"/>
        </w:rPr>
        <w:t>achieves</w:t>
      </w:r>
      <w:r w:rsidR="002079D2">
        <w:rPr>
          <w:lang w:val="en-US"/>
        </w:rPr>
        <w:t xml:space="preserve"> this</w:t>
      </w:r>
      <w:r w:rsidR="00F47020" w:rsidRPr="009D7765">
        <w:rPr>
          <w:lang w:val="en-US"/>
        </w:rPr>
        <w:t>.</w:t>
      </w:r>
      <w:bookmarkStart w:id="6" w:name="_GoBack"/>
      <w:bookmarkEnd w:id="6"/>
    </w:p>
    <w:p w14:paraId="1D4ABDB4" w14:textId="77777777" w:rsidR="00D54DF9" w:rsidRDefault="00D54DF9" w:rsidP="00F47020">
      <w:pPr>
        <w:jc w:val="both"/>
        <w:rPr>
          <w:lang w:val="en-US"/>
        </w:rPr>
      </w:pPr>
    </w:p>
    <w:p w14:paraId="0C2266AA" w14:textId="77777777" w:rsidR="003B1554" w:rsidRDefault="003B1554" w:rsidP="00F47020">
      <w:pPr>
        <w:jc w:val="both"/>
        <w:rPr>
          <w:lang w:val="en-US"/>
        </w:rPr>
      </w:pPr>
    </w:p>
    <w:p w14:paraId="575C764F" w14:textId="77777777" w:rsidR="00D54DF9" w:rsidRDefault="00D54DF9" w:rsidP="00F47020">
      <w:pPr>
        <w:jc w:val="both"/>
        <w:rPr>
          <w:lang w:val="en-US"/>
        </w:rPr>
      </w:pPr>
    </w:p>
    <w:p w14:paraId="1C8A9E15" w14:textId="77777777" w:rsidR="00B918D8" w:rsidRDefault="00B918D8" w:rsidP="00F47020">
      <w:pPr>
        <w:jc w:val="both"/>
        <w:rPr>
          <w:lang w:val="en-US"/>
        </w:rPr>
      </w:pPr>
    </w:p>
    <w:p w14:paraId="4536D394" w14:textId="1485C3F4" w:rsidR="00F47020" w:rsidRPr="007E1D8F" w:rsidRDefault="007648E5" w:rsidP="00F47020">
      <w:pPr>
        <w:jc w:val="both"/>
        <w:rPr>
          <w:lang w:val="en-US"/>
        </w:rPr>
      </w:pPr>
      <w:r>
        <w:rPr>
          <w:lang w:val="en-US"/>
        </w:rPr>
        <w:t>Word count:</w:t>
      </w:r>
      <w:r w:rsidR="007E1D8F" w:rsidRPr="007E1D8F">
        <w:rPr>
          <w:lang w:val="en-US"/>
        </w:rPr>
        <w:t xml:space="preserve"> </w:t>
      </w:r>
      <w:r w:rsidR="002B36F0">
        <w:rPr>
          <w:lang w:val="en-US"/>
        </w:rPr>
        <w:t>2,005</w:t>
      </w:r>
    </w:p>
    <w:p w14:paraId="635FB259" w14:textId="77777777" w:rsidR="00F47020" w:rsidRDefault="00F47020" w:rsidP="00F47020">
      <w:pPr>
        <w:jc w:val="both"/>
        <w:rPr>
          <w:color w:val="46BB1E"/>
          <w:lang w:val="en-US"/>
        </w:rPr>
      </w:pPr>
    </w:p>
    <w:p w14:paraId="6949FB83" w14:textId="77777777" w:rsidR="00F47020" w:rsidRDefault="00F47020" w:rsidP="00F47020">
      <w:pPr>
        <w:jc w:val="both"/>
        <w:rPr>
          <w:color w:val="46BB1E"/>
          <w:lang w:val="en-US"/>
        </w:rPr>
      </w:pPr>
    </w:p>
    <w:p w14:paraId="5642C21B" w14:textId="77777777" w:rsidR="00F47020" w:rsidRPr="003B1554" w:rsidRDefault="00F47020" w:rsidP="00F47020">
      <w:pPr>
        <w:pStyle w:val="FootnoteText"/>
        <w:rPr>
          <w:b/>
          <w:u w:val="single"/>
        </w:rPr>
      </w:pPr>
      <w:r w:rsidRPr="003B1554">
        <w:rPr>
          <w:b/>
          <w:u w:val="single"/>
        </w:rPr>
        <w:t>Bibliography</w:t>
      </w:r>
    </w:p>
    <w:p w14:paraId="5A1D66C4" w14:textId="77777777" w:rsidR="00F47020" w:rsidRPr="003B1554" w:rsidRDefault="00F47020" w:rsidP="00F47020">
      <w:pPr>
        <w:pStyle w:val="FootnoteText"/>
        <w:rPr>
          <w:b/>
          <w:u w:val="single"/>
        </w:rPr>
      </w:pPr>
    </w:p>
    <w:p w14:paraId="34FC48B1" w14:textId="77777777" w:rsidR="00F47020" w:rsidRPr="003B1554" w:rsidRDefault="00F47020" w:rsidP="00F47020">
      <w:pPr>
        <w:pStyle w:val="FootnoteText"/>
        <w:rPr>
          <w:b/>
        </w:rPr>
      </w:pPr>
      <w:r w:rsidRPr="003B1554">
        <w:rPr>
          <w:b/>
        </w:rPr>
        <w:t>Source Text</w:t>
      </w:r>
    </w:p>
    <w:p w14:paraId="4D7D7FD3" w14:textId="011EC7EB" w:rsidR="00F47020" w:rsidRPr="003B1554" w:rsidRDefault="00064FE8" w:rsidP="004D37EF">
      <w:pPr>
        <w:pStyle w:val="FootnoteText"/>
        <w:numPr>
          <w:ilvl w:val="0"/>
          <w:numId w:val="28"/>
        </w:numPr>
      </w:pPr>
      <w:r w:rsidRPr="003B1554">
        <w:t xml:space="preserve">Iamblichus, </w:t>
      </w:r>
      <w:r w:rsidRPr="003B1554">
        <w:rPr>
          <w:i/>
        </w:rPr>
        <w:t xml:space="preserve">On the Mysteries (De </w:t>
      </w:r>
      <w:proofErr w:type="spellStart"/>
      <w:r w:rsidRPr="003B1554">
        <w:rPr>
          <w:i/>
        </w:rPr>
        <w:t>Mysteriis</w:t>
      </w:r>
      <w:proofErr w:type="spellEnd"/>
      <w:r w:rsidRPr="003B1554">
        <w:rPr>
          <w:i/>
        </w:rPr>
        <w:t xml:space="preserve">), </w:t>
      </w:r>
      <w:r w:rsidR="00F47020" w:rsidRPr="003B1554">
        <w:t xml:space="preserve">Clarke, Emma C., Dillon, John M., and </w:t>
      </w:r>
      <w:proofErr w:type="spellStart"/>
      <w:r w:rsidR="00F47020" w:rsidRPr="003B1554">
        <w:t>Hershbell</w:t>
      </w:r>
      <w:proofErr w:type="spellEnd"/>
      <w:r w:rsidR="00F47020" w:rsidRPr="003B1554">
        <w:t>, Jackson P</w:t>
      </w:r>
      <w:r w:rsidRPr="003B1554">
        <w:t xml:space="preserve"> (</w:t>
      </w:r>
      <w:proofErr w:type="spellStart"/>
      <w:proofErr w:type="gramStart"/>
      <w:r w:rsidRPr="003B1554">
        <w:t>eds</w:t>
      </w:r>
      <w:proofErr w:type="spellEnd"/>
      <w:proofErr w:type="gramEnd"/>
      <w:r w:rsidRPr="003B1554">
        <w:t>)</w:t>
      </w:r>
      <w:r w:rsidR="00F47020" w:rsidRPr="003B1554">
        <w:rPr>
          <w:i/>
        </w:rPr>
        <w:t>,</w:t>
      </w:r>
      <w:r w:rsidR="00F47020" w:rsidRPr="003B1554">
        <w:t xml:space="preserve"> (Atlanta: Society of Biblical Literature, 2003).</w:t>
      </w:r>
    </w:p>
    <w:p w14:paraId="629D8D1A" w14:textId="77777777" w:rsidR="00F47020" w:rsidRPr="003B1554" w:rsidRDefault="00F47020" w:rsidP="00F47020">
      <w:pPr>
        <w:pStyle w:val="FootnoteText"/>
      </w:pPr>
    </w:p>
    <w:p w14:paraId="513B1B46" w14:textId="77777777" w:rsidR="00F47020" w:rsidRPr="003B1554" w:rsidRDefault="00F47020" w:rsidP="00F47020">
      <w:pPr>
        <w:pStyle w:val="FootnoteText"/>
        <w:rPr>
          <w:b/>
        </w:rPr>
      </w:pPr>
      <w:r w:rsidRPr="003B1554">
        <w:rPr>
          <w:b/>
        </w:rPr>
        <w:t>Secondary Sources</w:t>
      </w:r>
    </w:p>
    <w:p w14:paraId="7245BC65" w14:textId="77777777" w:rsidR="0039575A" w:rsidRDefault="0039575A" w:rsidP="0039575A">
      <w:pPr>
        <w:pStyle w:val="ListParagraph"/>
        <w:numPr>
          <w:ilvl w:val="0"/>
          <w:numId w:val="27"/>
        </w:numPr>
        <w:rPr>
          <w:rStyle w:val="Strong"/>
          <w:b w:val="0"/>
        </w:rPr>
      </w:pPr>
      <w:proofErr w:type="spellStart"/>
      <w:r w:rsidRPr="004D37EF">
        <w:rPr>
          <w:rStyle w:val="Strong"/>
          <w:b w:val="0"/>
        </w:rPr>
        <w:t>Addey</w:t>
      </w:r>
      <w:proofErr w:type="spellEnd"/>
      <w:r w:rsidRPr="004D37EF">
        <w:rPr>
          <w:rStyle w:val="Strong"/>
          <w:b w:val="0"/>
        </w:rPr>
        <w:t xml:space="preserve">, Crystal, </w:t>
      </w:r>
      <w:r w:rsidRPr="00E176DF">
        <w:rPr>
          <w:rStyle w:val="Strong"/>
          <w:b w:val="0"/>
          <w:i/>
        </w:rPr>
        <w:t xml:space="preserve">Divination and Theurgy in </w:t>
      </w:r>
      <w:proofErr w:type="spellStart"/>
      <w:r w:rsidRPr="00E176DF">
        <w:rPr>
          <w:rStyle w:val="Strong"/>
          <w:b w:val="0"/>
          <w:i/>
        </w:rPr>
        <w:t>Neoplatonism</w:t>
      </w:r>
      <w:proofErr w:type="spellEnd"/>
      <w:r w:rsidRPr="00E176DF">
        <w:rPr>
          <w:rStyle w:val="Strong"/>
          <w:b w:val="0"/>
          <w:i/>
        </w:rPr>
        <w:t>: Oracles of the gods</w:t>
      </w:r>
      <w:r w:rsidRPr="004D37EF">
        <w:rPr>
          <w:rStyle w:val="Strong"/>
          <w:b w:val="0"/>
        </w:rPr>
        <w:t>,</w:t>
      </w:r>
      <w:r>
        <w:rPr>
          <w:rStyle w:val="Strong"/>
          <w:b w:val="0"/>
        </w:rPr>
        <w:t xml:space="preserve"> </w:t>
      </w:r>
      <w:r w:rsidRPr="004D37EF">
        <w:rPr>
          <w:rStyle w:val="Strong"/>
          <w:b w:val="0"/>
        </w:rPr>
        <w:t xml:space="preserve">(Farnham: </w:t>
      </w:r>
      <w:proofErr w:type="spellStart"/>
      <w:r w:rsidRPr="004D37EF">
        <w:rPr>
          <w:rStyle w:val="Strong"/>
          <w:b w:val="0"/>
        </w:rPr>
        <w:t>Ashgate</w:t>
      </w:r>
      <w:proofErr w:type="spellEnd"/>
      <w:r w:rsidRPr="004D37EF">
        <w:rPr>
          <w:rStyle w:val="Strong"/>
          <w:b w:val="0"/>
        </w:rPr>
        <w:t>, 2014). &lt;</w:t>
      </w:r>
      <w:hyperlink r:id="rId10" w:history="1">
        <w:r w:rsidRPr="004D37EF">
          <w:rPr>
            <w:rStyle w:val="Hyperlink"/>
            <w:color w:val="auto"/>
            <w:u w:val="none"/>
          </w:rPr>
          <w:t>https://www-dawsonera-com.ezproxy.uwtsd.ac.uk/readonline/9781409451532</w:t>
        </w:r>
      </w:hyperlink>
      <w:r w:rsidRPr="004D37EF">
        <w:rPr>
          <w:rStyle w:val="Strong"/>
          <w:b w:val="0"/>
        </w:rPr>
        <w:t>&gt; [accessed 29 May 2019]</w:t>
      </w:r>
    </w:p>
    <w:p w14:paraId="7859611B" w14:textId="77777777" w:rsidR="0039575A" w:rsidRPr="004D37EF" w:rsidRDefault="0039575A" w:rsidP="0039575A">
      <w:pPr>
        <w:pStyle w:val="ListParagraph"/>
        <w:rPr>
          <w:rStyle w:val="Strong"/>
          <w:b w:val="0"/>
        </w:rPr>
      </w:pPr>
    </w:p>
    <w:p w14:paraId="63923DCB" w14:textId="520DE8DA" w:rsidR="00F47020" w:rsidRPr="004D37EF" w:rsidRDefault="00F47020" w:rsidP="004D37EF">
      <w:pPr>
        <w:pStyle w:val="ListParagraph"/>
        <w:numPr>
          <w:ilvl w:val="0"/>
          <w:numId w:val="27"/>
        </w:numPr>
        <w:rPr>
          <w:rStyle w:val="Strong"/>
          <w:b w:val="0"/>
        </w:rPr>
      </w:pPr>
      <w:proofErr w:type="spellStart"/>
      <w:r w:rsidRPr="004D37EF">
        <w:rPr>
          <w:rStyle w:val="Strong"/>
          <w:b w:val="0"/>
        </w:rPr>
        <w:t>Addey</w:t>
      </w:r>
      <w:proofErr w:type="spellEnd"/>
      <w:r w:rsidR="0039575A">
        <w:rPr>
          <w:rStyle w:val="Strong"/>
          <w:b w:val="0"/>
        </w:rPr>
        <w:t xml:space="preserve">, Crystal, </w:t>
      </w:r>
      <w:r w:rsidRPr="00E176DF">
        <w:rPr>
          <w:rStyle w:val="Strong"/>
          <w:b w:val="0"/>
          <w:i/>
        </w:rPr>
        <w:t>Oracles, Dreams and Astrolo</w:t>
      </w:r>
      <w:r w:rsidR="0039575A" w:rsidRPr="00E176DF">
        <w:rPr>
          <w:rStyle w:val="Strong"/>
          <w:b w:val="0"/>
          <w:i/>
        </w:rPr>
        <w:t xml:space="preserve">gy in Iamblichus’ De </w:t>
      </w:r>
      <w:proofErr w:type="spellStart"/>
      <w:r w:rsidR="0039575A" w:rsidRPr="00E176DF">
        <w:rPr>
          <w:rStyle w:val="Strong"/>
          <w:b w:val="0"/>
          <w:i/>
        </w:rPr>
        <w:t>mysteriis</w:t>
      </w:r>
      <w:proofErr w:type="spellEnd"/>
      <w:r w:rsidR="0039575A">
        <w:rPr>
          <w:rStyle w:val="Strong"/>
          <w:b w:val="0"/>
        </w:rPr>
        <w:t>,</w:t>
      </w:r>
      <w:r w:rsidRPr="004D37EF">
        <w:rPr>
          <w:rStyle w:val="Strong"/>
          <w:b w:val="0"/>
        </w:rPr>
        <w:t xml:space="preserve"> in P. Curry and A. Voss (eds.) (2007), </w:t>
      </w:r>
      <w:r w:rsidRPr="00E176DF">
        <w:rPr>
          <w:rStyle w:val="Strong"/>
          <w:b w:val="0"/>
          <w:i/>
        </w:rPr>
        <w:t>Seeing with Different Eyes: Essays in Astrology and Divination</w:t>
      </w:r>
      <w:r w:rsidRPr="004D37EF">
        <w:rPr>
          <w:rStyle w:val="Strong"/>
          <w:b w:val="0"/>
        </w:rPr>
        <w:t>, (Cambridge: Cambridge Scholars Publishing, 2007), pp. 35-57.</w:t>
      </w:r>
      <w:r w:rsidR="00367FCA" w:rsidRPr="004D37EF">
        <w:rPr>
          <w:rStyle w:val="Strong"/>
          <w:b w:val="0"/>
        </w:rPr>
        <w:t xml:space="preserve"> </w:t>
      </w:r>
      <w:r w:rsidR="001422C1" w:rsidRPr="004D37EF">
        <w:rPr>
          <w:rStyle w:val="Strong"/>
          <w:b w:val="0"/>
        </w:rPr>
        <w:t>&lt;</w:t>
      </w:r>
      <w:hyperlink r:id="rId11" w:history="1">
        <w:r w:rsidR="001422C1" w:rsidRPr="004D37EF">
          <w:rPr>
            <w:rStyle w:val="Strong"/>
            <w:b w:val="0"/>
          </w:rPr>
          <w:t>https://moodle.uwtsd.ac.uk/pluginfile.php/251498/mod_resource/content/1/Oracles%2C%20Dreams%20and%20Astrology%20in%20Iamblichus%20On%20the%20Mysteries%20%28De%20mysteriis%29.pdf</w:t>
        </w:r>
      </w:hyperlink>
      <w:r w:rsidR="001422C1" w:rsidRPr="004D37EF">
        <w:rPr>
          <w:rStyle w:val="Strong"/>
          <w:b w:val="0"/>
        </w:rPr>
        <w:t>&gt;</w:t>
      </w:r>
      <w:r w:rsidR="009936A5" w:rsidRPr="004D37EF">
        <w:rPr>
          <w:rStyle w:val="Strong"/>
          <w:b w:val="0"/>
        </w:rPr>
        <w:t xml:space="preserve"> [accessed 21 May 2019]</w:t>
      </w:r>
    </w:p>
    <w:p w14:paraId="3C7659C4" w14:textId="77777777" w:rsidR="00F47020" w:rsidRPr="000D43CF" w:rsidRDefault="00F47020" w:rsidP="003B1554">
      <w:pPr>
        <w:rPr>
          <w:rStyle w:val="Strong"/>
          <w:b w:val="0"/>
        </w:rPr>
      </w:pPr>
    </w:p>
    <w:p w14:paraId="7CC9D5AF" w14:textId="7F9D1D47" w:rsidR="00F47020" w:rsidRPr="004D37EF" w:rsidRDefault="00F47020" w:rsidP="004D37EF">
      <w:pPr>
        <w:pStyle w:val="ListParagraph"/>
        <w:numPr>
          <w:ilvl w:val="0"/>
          <w:numId w:val="27"/>
        </w:numPr>
        <w:rPr>
          <w:rStyle w:val="Strong"/>
          <w:b w:val="0"/>
        </w:rPr>
      </w:pPr>
      <w:proofErr w:type="spellStart"/>
      <w:r w:rsidRPr="004D37EF">
        <w:rPr>
          <w:rStyle w:val="Strong"/>
          <w:b w:val="0"/>
        </w:rPr>
        <w:t>Athanassiadi</w:t>
      </w:r>
      <w:proofErr w:type="spellEnd"/>
      <w:r w:rsidRPr="004D37EF">
        <w:rPr>
          <w:rStyle w:val="Strong"/>
          <w:b w:val="0"/>
        </w:rPr>
        <w:t xml:space="preserve">, </w:t>
      </w:r>
      <w:proofErr w:type="spellStart"/>
      <w:r w:rsidRPr="004D37EF">
        <w:rPr>
          <w:rStyle w:val="Strong"/>
          <w:b w:val="0"/>
        </w:rPr>
        <w:t>Polymnia</w:t>
      </w:r>
      <w:proofErr w:type="spellEnd"/>
      <w:r w:rsidRPr="004D37EF">
        <w:rPr>
          <w:rStyle w:val="Strong"/>
          <w:b w:val="0"/>
        </w:rPr>
        <w:t xml:space="preserve">, </w:t>
      </w:r>
      <w:r w:rsidRPr="00E176DF">
        <w:rPr>
          <w:rStyle w:val="Strong"/>
          <w:b w:val="0"/>
          <w:i/>
        </w:rPr>
        <w:t>Dreams, Theurgy and Freelance Divination: The Testimony of Iamblichus</w:t>
      </w:r>
      <w:r w:rsidRPr="004D37EF">
        <w:rPr>
          <w:rStyle w:val="Strong"/>
          <w:b w:val="0"/>
        </w:rPr>
        <w:t>, (The Journal of Roman Studies 83, 1993), pp. 115-130.</w:t>
      </w:r>
      <w:r w:rsidR="00367FCA" w:rsidRPr="004D37EF">
        <w:rPr>
          <w:rStyle w:val="Strong"/>
          <w:b w:val="0"/>
        </w:rPr>
        <w:t xml:space="preserve"> </w:t>
      </w:r>
      <w:r w:rsidR="000D43CF" w:rsidRPr="004D37EF">
        <w:rPr>
          <w:rStyle w:val="Strong"/>
          <w:b w:val="0"/>
        </w:rPr>
        <w:t>&lt;</w:t>
      </w:r>
      <w:hyperlink r:id="rId12" w:history="1">
        <w:r w:rsidR="000D43CF" w:rsidRPr="004D37EF">
          <w:rPr>
            <w:rStyle w:val="Hyperlink"/>
            <w:color w:val="auto"/>
            <w:u w:val="none"/>
          </w:rPr>
          <w:t>https://www.jstor.org/stable/300982</w:t>
        </w:r>
      </w:hyperlink>
      <w:r w:rsidR="000D43CF" w:rsidRPr="004D37EF">
        <w:rPr>
          <w:rStyle w:val="Strong"/>
          <w:b w:val="0"/>
          <w:bCs w:val="0"/>
        </w:rPr>
        <w:t>&gt;</w:t>
      </w:r>
      <w:r w:rsidR="000D43CF" w:rsidRPr="004D37EF">
        <w:rPr>
          <w:rStyle w:val="Strong"/>
          <w:b w:val="0"/>
        </w:rPr>
        <w:t xml:space="preserve"> </w:t>
      </w:r>
      <w:r w:rsidR="009936A5" w:rsidRPr="004D37EF">
        <w:rPr>
          <w:rStyle w:val="Strong"/>
          <w:b w:val="0"/>
        </w:rPr>
        <w:t xml:space="preserve"> [accessed 21 May 2019]</w:t>
      </w:r>
    </w:p>
    <w:p w14:paraId="16A21C29" w14:textId="77777777" w:rsidR="003B1554" w:rsidRPr="000D43CF" w:rsidRDefault="003B1554" w:rsidP="003B1554">
      <w:pPr>
        <w:rPr>
          <w:rStyle w:val="Strong"/>
          <w:b w:val="0"/>
        </w:rPr>
      </w:pPr>
    </w:p>
    <w:p w14:paraId="30942D52" w14:textId="47EB4DF4" w:rsidR="00F47020" w:rsidRPr="004D37EF" w:rsidRDefault="00F47020" w:rsidP="004D37EF">
      <w:pPr>
        <w:pStyle w:val="ListParagraph"/>
        <w:numPr>
          <w:ilvl w:val="0"/>
          <w:numId w:val="27"/>
        </w:numPr>
        <w:rPr>
          <w:rStyle w:val="Strong"/>
          <w:b w:val="0"/>
        </w:rPr>
      </w:pPr>
      <w:r w:rsidRPr="004D37EF">
        <w:rPr>
          <w:rStyle w:val="Strong"/>
          <w:b w:val="0"/>
        </w:rPr>
        <w:t xml:space="preserve">Dillon, John, </w:t>
      </w:r>
      <w:proofErr w:type="gramStart"/>
      <w:r w:rsidRPr="00E176DF">
        <w:rPr>
          <w:rStyle w:val="Strong"/>
          <w:b w:val="0"/>
          <w:i/>
        </w:rPr>
        <w:t>Iamblichus</w:t>
      </w:r>
      <w:proofErr w:type="gramEnd"/>
      <w:r w:rsidRPr="00E176DF">
        <w:rPr>
          <w:rStyle w:val="Strong"/>
          <w:b w:val="0"/>
          <w:i/>
        </w:rPr>
        <w:t xml:space="preserve">: De </w:t>
      </w:r>
      <w:proofErr w:type="spellStart"/>
      <w:r w:rsidRPr="00E176DF">
        <w:rPr>
          <w:rStyle w:val="Strong"/>
          <w:b w:val="0"/>
          <w:i/>
        </w:rPr>
        <w:t>mysteriis</w:t>
      </w:r>
      <w:proofErr w:type="spellEnd"/>
      <w:r w:rsidRPr="00E176DF">
        <w:rPr>
          <w:rStyle w:val="Strong"/>
          <w:b w:val="0"/>
          <w:i/>
        </w:rPr>
        <w:t>. A Manifesto of the Miraculous </w:t>
      </w:r>
      <w:r w:rsidRPr="004D37EF">
        <w:rPr>
          <w:rStyle w:val="Strong"/>
          <w:b w:val="0"/>
        </w:rPr>
        <w:t>by E. C. Clarke, The Classical Review Vol. 54, No. 2 (Oct., 2004).</w:t>
      </w:r>
      <w:r w:rsidR="00EB471A" w:rsidRPr="004D37EF">
        <w:rPr>
          <w:rStyle w:val="Strong"/>
          <w:b w:val="0"/>
        </w:rPr>
        <w:t xml:space="preserve"> </w:t>
      </w:r>
      <w:proofErr w:type="gramStart"/>
      <w:r w:rsidR="00EB471A" w:rsidRPr="004D37EF">
        <w:rPr>
          <w:rStyle w:val="Strong"/>
          <w:b w:val="0"/>
        </w:rPr>
        <w:t>pp</w:t>
      </w:r>
      <w:proofErr w:type="gramEnd"/>
      <w:r w:rsidR="00EB471A" w:rsidRPr="004D37EF">
        <w:rPr>
          <w:rStyle w:val="Strong"/>
          <w:b w:val="0"/>
        </w:rPr>
        <w:t>. 349-351.</w:t>
      </w:r>
      <w:r w:rsidR="00367FCA" w:rsidRPr="004D37EF">
        <w:rPr>
          <w:rStyle w:val="Strong"/>
          <w:b w:val="0"/>
        </w:rPr>
        <w:t xml:space="preserve"> </w:t>
      </w:r>
      <w:r w:rsidR="000D43CF" w:rsidRPr="004D37EF">
        <w:rPr>
          <w:rStyle w:val="Strong"/>
          <w:b w:val="0"/>
        </w:rPr>
        <w:t>&lt;</w:t>
      </w:r>
      <w:hyperlink r:id="rId13" w:history="1">
        <w:r w:rsidR="000D43CF" w:rsidRPr="004D37EF">
          <w:rPr>
            <w:rStyle w:val="Hyperlink"/>
            <w:color w:val="auto"/>
            <w:u w:val="none"/>
          </w:rPr>
          <w:t>https://www.jstor.org/stable/3661664</w:t>
        </w:r>
      </w:hyperlink>
      <w:r w:rsidR="000D43CF" w:rsidRPr="004D37EF">
        <w:rPr>
          <w:rStyle w:val="Strong"/>
          <w:b w:val="0"/>
          <w:bCs w:val="0"/>
        </w:rPr>
        <w:t>&gt;</w:t>
      </w:r>
      <w:r w:rsidR="000D43CF" w:rsidRPr="004D37EF">
        <w:rPr>
          <w:rStyle w:val="Strong"/>
          <w:b w:val="0"/>
        </w:rPr>
        <w:t xml:space="preserve"> </w:t>
      </w:r>
      <w:r w:rsidR="009936A5" w:rsidRPr="004D37EF">
        <w:rPr>
          <w:rStyle w:val="Strong"/>
          <w:b w:val="0"/>
        </w:rPr>
        <w:t>[accessed 21 May 2019]</w:t>
      </w:r>
    </w:p>
    <w:p w14:paraId="4EFD0CDB" w14:textId="77777777" w:rsidR="003B1554" w:rsidRPr="003B1554" w:rsidRDefault="003B1554" w:rsidP="003B1554">
      <w:pPr>
        <w:rPr>
          <w:rStyle w:val="Strong"/>
          <w:b w:val="0"/>
        </w:rPr>
      </w:pPr>
    </w:p>
    <w:p w14:paraId="3F9B69AC" w14:textId="35C0005B" w:rsidR="00F47020" w:rsidRPr="004D37EF" w:rsidRDefault="00F47020" w:rsidP="004D37EF">
      <w:pPr>
        <w:pStyle w:val="ListParagraph"/>
        <w:numPr>
          <w:ilvl w:val="0"/>
          <w:numId w:val="27"/>
        </w:numPr>
        <w:rPr>
          <w:rStyle w:val="Strong"/>
          <w:b w:val="0"/>
        </w:rPr>
      </w:pPr>
      <w:r w:rsidRPr="004D37EF">
        <w:rPr>
          <w:rStyle w:val="Strong"/>
          <w:b w:val="0"/>
        </w:rPr>
        <w:t xml:space="preserve">Struck, Peter T., </w:t>
      </w:r>
      <w:r w:rsidRPr="00E176DF">
        <w:rPr>
          <w:rStyle w:val="Strong"/>
          <w:b w:val="0"/>
          <w:i/>
        </w:rPr>
        <w:t>Divine Power and Human Intuition</w:t>
      </w:r>
      <w:r w:rsidR="00E176DF">
        <w:rPr>
          <w:rStyle w:val="Strong"/>
          <w:b w:val="0"/>
          <w:i/>
        </w:rPr>
        <w:t>,</w:t>
      </w:r>
      <w:r w:rsidRPr="004D37EF">
        <w:rPr>
          <w:rStyle w:val="Strong"/>
          <w:b w:val="0"/>
        </w:rPr>
        <w:t xml:space="preserve"> in Anna </w:t>
      </w:r>
      <w:proofErr w:type="spellStart"/>
      <w:r w:rsidRPr="004D37EF">
        <w:rPr>
          <w:rStyle w:val="Strong"/>
          <w:b w:val="0"/>
        </w:rPr>
        <w:t>Marmodoro</w:t>
      </w:r>
      <w:proofErr w:type="spellEnd"/>
      <w:r w:rsidRPr="004D37EF">
        <w:rPr>
          <w:rStyle w:val="Strong"/>
          <w:b w:val="0"/>
        </w:rPr>
        <w:t xml:space="preserve"> and </w:t>
      </w:r>
      <w:proofErr w:type="spellStart"/>
      <w:r w:rsidRPr="004D37EF">
        <w:rPr>
          <w:rStyle w:val="Strong"/>
          <w:b w:val="0"/>
        </w:rPr>
        <w:t>Irini-Fotini</w:t>
      </w:r>
      <w:proofErr w:type="spellEnd"/>
      <w:r w:rsidRPr="004D37EF">
        <w:rPr>
          <w:rStyle w:val="Strong"/>
          <w:b w:val="0"/>
        </w:rPr>
        <w:t xml:space="preserve"> </w:t>
      </w:r>
      <w:proofErr w:type="spellStart"/>
      <w:r w:rsidRPr="004D37EF">
        <w:rPr>
          <w:rStyle w:val="Strong"/>
          <w:b w:val="0"/>
        </w:rPr>
        <w:t>Viltanioti</w:t>
      </w:r>
      <w:proofErr w:type="spellEnd"/>
      <w:r w:rsidRPr="004D37EF">
        <w:rPr>
          <w:rStyle w:val="Strong"/>
          <w:b w:val="0"/>
        </w:rPr>
        <w:t xml:space="preserve">, </w:t>
      </w:r>
      <w:r w:rsidRPr="00E176DF">
        <w:rPr>
          <w:rStyle w:val="Strong"/>
          <w:b w:val="0"/>
          <w:i/>
        </w:rPr>
        <w:t>Iamblichus on Divination: Divine Powers in Late Antiquity</w:t>
      </w:r>
      <w:r w:rsidRPr="004D37EF">
        <w:rPr>
          <w:rStyle w:val="Strong"/>
          <w:b w:val="0"/>
        </w:rPr>
        <w:t>, (Oxford University Press: 2017</w:t>
      </w:r>
      <w:r w:rsidR="00741603" w:rsidRPr="004D37EF">
        <w:rPr>
          <w:rStyle w:val="Strong"/>
          <w:b w:val="0"/>
        </w:rPr>
        <w:t xml:space="preserve">), </w:t>
      </w:r>
      <w:r w:rsidRPr="004D37EF">
        <w:rPr>
          <w:rStyle w:val="Strong"/>
          <w:b w:val="0"/>
        </w:rPr>
        <w:t>pp. 75-87.</w:t>
      </w:r>
      <w:r w:rsidR="00D14349" w:rsidRPr="004D37EF">
        <w:rPr>
          <w:rStyle w:val="Strong"/>
          <w:b w:val="0"/>
        </w:rPr>
        <w:t xml:space="preserve"> </w:t>
      </w:r>
      <w:r w:rsidR="004F5BA0" w:rsidRPr="004D37EF">
        <w:rPr>
          <w:rStyle w:val="Strong"/>
          <w:b w:val="0"/>
        </w:rPr>
        <w:t>&lt;</w:t>
      </w:r>
      <w:hyperlink r:id="rId14" w:history="1">
        <w:r w:rsidR="004F5BA0" w:rsidRPr="004D37EF">
          <w:rPr>
            <w:rStyle w:val="Strong"/>
            <w:b w:val="0"/>
          </w:rPr>
          <w:t>https://www-oxfordscholarship-com.ezproxy.uwtsd.ac.uk/view/10.1093/acprof:oso/9780198767206.001.0001/acprof-9780198767206-chapter-5</w:t>
        </w:r>
      </w:hyperlink>
      <w:r w:rsidR="004F5BA0" w:rsidRPr="004D37EF">
        <w:rPr>
          <w:rStyle w:val="Strong"/>
          <w:b w:val="0"/>
        </w:rPr>
        <w:t>&gt;</w:t>
      </w:r>
      <w:r w:rsidR="009936A5" w:rsidRPr="004D37EF">
        <w:rPr>
          <w:rStyle w:val="Strong"/>
          <w:b w:val="0"/>
        </w:rPr>
        <w:t xml:space="preserve"> [accessed 26 May 2019]</w:t>
      </w:r>
    </w:p>
    <w:p w14:paraId="4831BEE1" w14:textId="77777777" w:rsidR="00F47020" w:rsidRPr="003B1554" w:rsidRDefault="00F47020" w:rsidP="00F47020">
      <w:pPr>
        <w:jc w:val="both"/>
        <w:rPr>
          <w:rFonts w:ascii="Cambria" w:hAnsi="Cambria" w:cs="Times"/>
          <w:lang w:val="en-US"/>
        </w:rPr>
      </w:pPr>
    </w:p>
    <w:p w14:paraId="37749DF2" w14:textId="77777777" w:rsidR="00F47020" w:rsidRPr="003B1554" w:rsidRDefault="00F47020" w:rsidP="00FA07E9">
      <w:pPr>
        <w:pStyle w:val="NormalWeb"/>
        <w:spacing w:before="0" w:beforeAutospacing="0" w:after="0" w:afterAutospacing="0"/>
        <w:ind w:right="-334"/>
        <w:rPr>
          <w:rFonts w:ascii="Cambria" w:hAnsi="Cambria" w:cs="Tahoma"/>
          <w:bCs/>
          <w:color w:val="auto"/>
          <w:sz w:val="24"/>
          <w:szCs w:val="24"/>
        </w:rPr>
      </w:pPr>
    </w:p>
    <w:sectPr w:rsidR="00F47020" w:rsidRPr="003B1554" w:rsidSect="00B462B1">
      <w:footerReference w:type="default" r:id="rId15"/>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25E2D3" w14:textId="77777777" w:rsidR="00D14349" w:rsidRDefault="00D14349" w:rsidP="00AD5D5A">
      <w:r>
        <w:separator/>
      </w:r>
    </w:p>
  </w:endnote>
  <w:endnote w:type="continuationSeparator" w:id="0">
    <w:p w14:paraId="6395050F" w14:textId="77777777" w:rsidR="00D14349" w:rsidRDefault="00D14349"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287" w:usb1="00000000" w:usb2="00000000" w:usb3="00000000" w:csb0="0000009F" w:csb1="00000000"/>
  </w:font>
  <w:font w:name="Trebuchet MS">
    <w:panose1 w:val="020B0603020202020204"/>
    <w:charset w:val="00"/>
    <w:family w:val="auto"/>
    <w:pitch w:val="variable"/>
    <w:sig w:usb0="00000287" w:usb1="00000000" w:usb2="00000000" w:usb3="00000000" w:csb0="0000009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DC2078" w14:textId="77777777" w:rsidR="00D14349" w:rsidRPr="00337A70" w:rsidRDefault="00D14349">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14FCC9" w14:textId="77777777" w:rsidR="00D14349" w:rsidRDefault="00D14349" w:rsidP="00AD5D5A">
      <w:r>
        <w:separator/>
      </w:r>
    </w:p>
  </w:footnote>
  <w:footnote w:type="continuationSeparator" w:id="0">
    <w:p w14:paraId="1F681CE5" w14:textId="77777777" w:rsidR="00D14349" w:rsidRDefault="00D14349" w:rsidP="00AD5D5A">
      <w:r>
        <w:continuationSeparator/>
      </w:r>
    </w:p>
  </w:footnote>
  <w:footnote w:id="1">
    <w:p w14:paraId="14B7F9E6" w14:textId="5F0E5CE4" w:rsidR="00D14349" w:rsidRPr="003B1554" w:rsidRDefault="00D14349" w:rsidP="00F47020">
      <w:pPr>
        <w:pStyle w:val="FootnoteText"/>
        <w:rPr>
          <w:sz w:val="20"/>
          <w:szCs w:val="20"/>
        </w:rPr>
      </w:pPr>
      <w:r w:rsidRPr="003B1554">
        <w:rPr>
          <w:rStyle w:val="FootnoteReference"/>
          <w:sz w:val="20"/>
          <w:szCs w:val="20"/>
        </w:rPr>
        <w:footnoteRef/>
      </w:r>
      <w:r w:rsidRPr="003B1554">
        <w:rPr>
          <w:sz w:val="20"/>
          <w:szCs w:val="20"/>
        </w:rPr>
        <w:t xml:space="preserve"> Iamblichus, </w:t>
      </w:r>
      <w:r w:rsidRPr="003B1554">
        <w:rPr>
          <w:i/>
          <w:sz w:val="20"/>
          <w:szCs w:val="20"/>
        </w:rPr>
        <w:t xml:space="preserve">On the Mysteries (De </w:t>
      </w:r>
      <w:proofErr w:type="spellStart"/>
      <w:r w:rsidRPr="003B1554">
        <w:rPr>
          <w:i/>
          <w:sz w:val="20"/>
          <w:szCs w:val="20"/>
        </w:rPr>
        <w:t>Mysteriis</w:t>
      </w:r>
      <w:proofErr w:type="spellEnd"/>
      <w:r w:rsidRPr="003B1554">
        <w:rPr>
          <w:i/>
          <w:sz w:val="20"/>
          <w:szCs w:val="20"/>
        </w:rPr>
        <w:t>),</w:t>
      </w:r>
      <w:r w:rsidRPr="003B1554">
        <w:rPr>
          <w:sz w:val="20"/>
          <w:szCs w:val="20"/>
        </w:rPr>
        <w:t xml:space="preserve"> Emma C. Clarke, John M. Dillon, and Jackson P. </w:t>
      </w:r>
      <w:proofErr w:type="spellStart"/>
      <w:r w:rsidRPr="003B1554">
        <w:rPr>
          <w:sz w:val="20"/>
          <w:szCs w:val="20"/>
        </w:rPr>
        <w:t>Hershbell</w:t>
      </w:r>
      <w:proofErr w:type="spellEnd"/>
      <w:r w:rsidRPr="003B1554">
        <w:rPr>
          <w:sz w:val="20"/>
          <w:szCs w:val="20"/>
        </w:rPr>
        <w:t xml:space="preserve"> (eds.), (Atlanta: Society of Biblical Literature, 2003).</w:t>
      </w:r>
    </w:p>
  </w:footnote>
  <w:footnote w:id="2">
    <w:p w14:paraId="70FA9636" w14:textId="6972408A"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Clarke, Dillon, </w:t>
      </w:r>
      <w:proofErr w:type="spellStart"/>
      <w:r w:rsidRPr="003B1554">
        <w:rPr>
          <w:sz w:val="20"/>
          <w:szCs w:val="20"/>
          <w:lang w:val="en-US"/>
        </w:rPr>
        <w:t>Hershbell</w:t>
      </w:r>
      <w:proofErr w:type="spellEnd"/>
      <w:r w:rsidRPr="003B1554">
        <w:rPr>
          <w:sz w:val="20"/>
          <w:szCs w:val="20"/>
          <w:lang w:val="en-US"/>
        </w:rPr>
        <w:t xml:space="preserve">, introduction to </w:t>
      </w:r>
      <w:r w:rsidRPr="003B1554">
        <w:rPr>
          <w:i/>
          <w:sz w:val="20"/>
          <w:szCs w:val="20"/>
          <w:lang w:val="en-US"/>
        </w:rPr>
        <w:t>Iamblichus: On the Mysteries</w:t>
      </w:r>
      <w:r w:rsidRPr="003B1554">
        <w:rPr>
          <w:sz w:val="20"/>
          <w:szCs w:val="20"/>
          <w:lang w:val="en-US"/>
        </w:rPr>
        <w:t>, p. xi.</w:t>
      </w:r>
    </w:p>
  </w:footnote>
  <w:footnote w:id="3">
    <w:p w14:paraId="58619585" w14:textId="647983DD"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Clarke, Dillon, </w:t>
      </w:r>
      <w:proofErr w:type="spellStart"/>
      <w:r w:rsidRPr="003B1554">
        <w:rPr>
          <w:sz w:val="20"/>
          <w:szCs w:val="20"/>
          <w:lang w:val="en-US"/>
        </w:rPr>
        <w:t>Hershbell</w:t>
      </w:r>
      <w:proofErr w:type="spellEnd"/>
      <w:r w:rsidRPr="003B1554">
        <w:rPr>
          <w:sz w:val="20"/>
          <w:szCs w:val="20"/>
          <w:lang w:val="en-US"/>
        </w:rPr>
        <w:t xml:space="preserve">, introduction to </w:t>
      </w:r>
      <w:r w:rsidRPr="003B1554">
        <w:rPr>
          <w:i/>
          <w:sz w:val="20"/>
          <w:szCs w:val="20"/>
          <w:lang w:val="en-US"/>
        </w:rPr>
        <w:t>Iamblichus: On the Mysteries</w:t>
      </w:r>
      <w:r w:rsidRPr="003B1554">
        <w:rPr>
          <w:sz w:val="20"/>
          <w:szCs w:val="20"/>
          <w:lang w:val="en-US"/>
        </w:rPr>
        <w:t>, p. xix.</w:t>
      </w:r>
    </w:p>
  </w:footnote>
  <w:footnote w:id="4">
    <w:p w14:paraId="32B1EB8E" w14:textId="287099B9"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Clarke, Dillon, </w:t>
      </w:r>
      <w:proofErr w:type="spellStart"/>
      <w:r w:rsidRPr="003B1554">
        <w:rPr>
          <w:sz w:val="20"/>
          <w:szCs w:val="20"/>
          <w:lang w:val="en-US"/>
        </w:rPr>
        <w:t>Hershbell</w:t>
      </w:r>
      <w:proofErr w:type="spellEnd"/>
      <w:r w:rsidRPr="003B1554">
        <w:rPr>
          <w:sz w:val="20"/>
          <w:szCs w:val="20"/>
          <w:lang w:val="en-US"/>
        </w:rPr>
        <w:t xml:space="preserve">, introduction to </w:t>
      </w:r>
      <w:r w:rsidRPr="003B1554">
        <w:rPr>
          <w:i/>
          <w:sz w:val="20"/>
          <w:szCs w:val="20"/>
          <w:lang w:val="en-US"/>
        </w:rPr>
        <w:t>Iamblichus: On the Mysteries</w:t>
      </w:r>
      <w:r w:rsidRPr="003B1554">
        <w:rPr>
          <w:sz w:val="20"/>
          <w:szCs w:val="20"/>
          <w:lang w:val="en-US"/>
        </w:rPr>
        <w:t>, p. xx.</w:t>
      </w:r>
    </w:p>
  </w:footnote>
  <w:footnote w:id="5">
    <w:p w14:paraId="6EA67110" w14:textId="05013CCC"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Clarke, Dillon, </w:t>
      </w:r>
      <w:proofErr w:type="spellStart"/>
      <w:r w:rsidRPr="003B1554">
        <w:rPr>
          <w:sz w:val="20"/>
          <w:szCs w:val="20"/>
          <w:lang w:val="en-US"/>
        </w:rPr>
        <w:t>Hershbell</w:t>
      </w:r>
      <w:proofErr w:type="spellEnd"/>
      <w:r w:rsidRPr="003B1554">
        <w:rPr>
          <w:sz w:val="20"/>
          <w:szCs w:val="20"/>
          <w:lang w:val="en-US"/>
        </w:rPr>
        <w:t xml:space="preserve">, introduction to </w:t>
      </w:r>
      <w:r w:rsidRPr="003B1554">
        <w:rPr>
          <w:i/>
          <w:sz w:val="20"/>
          <w:szCs w:val="20"/>
          <w:lang w:val="en-US"/>
        </w:rPr>
        <w:t>Iamblichus: On the Mysteries</w:t>
      </w:r>
      <w:r w:rsidRPr="003B1554">
        <w:rPr>
          <w:sz w:val="20"/>
          <w:szCs w:val="20"/>
          <w:lang w:val="en-US"/>
        </w:rPr>
        <w:t>, p. xxvii.</w:t>
      </w:r>
    </w:p>
  </w:footnote>
  <w:footnote w:id="6">
    <w:p w14:paraId="024C61C9" w14:textId="00C25725"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Clarke, Dillon, </w:t>
      </w:r>
      <w:proofErr w:type="spellStart"/>
      <w:r w:rsidRPr="003B1554">
        <w:rPr>
          <w:sz w:val="20"/>
          <w:szCs w:val="20"/>
          <w:lang w:val="en-US"/>
        </w:rPr>
        <w:t>Hershbell</w:t>
      </w:r>
      <w:proofErr w:type="spellEnd"/>
      <w:r w:rsidRPr="003B1554">
        <w:rPr>
          <w:sz w:val="20"/>
          <w:szCs w:val="20"/>
          <w:lang w:val="en-US"/>
        </w:rPr>
        <w:t xml:space="preserve">, introduction to </w:t>
      </w:r>
      <w:r w:rsidRPr="003B1554">
        <w:rPr>
          <w:i/>
          <w:sz w:val="20"/>
          <w:szCs w:val="20"/>
          <w:lang w:val="en-US"/>
        </w:rPr>
        <w:t>Iamblichus: On the Mysteries</w:t>
      </w:r>
      <w:r w:rsidRPr="003B1554">
        <w:rPr>
          <w:sz w:val="20"/>
          <w:szCs w:val="20"/>
          <w:lang w:val="en-US"/>
        </w:rPr>
        <w:t>, p. xxviii.</w:t>
      </w:r>
    </w:p>
  </w:footnote>
  <w:footnote w:id="7">
    <w:p w14:paraId="47500FF2" w14:textId="6D6594FD" w:rsidR="00D14349" w:rsidRPr="003B1554" w:rsidRDefault="00D14349" w:rsidP="00F47020">
      <w:pPr>
        <w:pStyle w:val="FootnoteText"/>
        <w:rPr>
          <w:sz w:val="20"/>
          <w:szCs w:val="20"/>
        </w:rPr>
      </w:pPr>
      <w:r w:rsidRPr="003B1554">
        <w:rPr>
          <w:rStyle w:val="FootnoteReference"/>
          <w:sz w:val="20"/>
          <w:szCs w:val="20"/>
        </w:rPr>
        <w:footnoteRef/>
      </w:r>
      <w:r w:rsidRPr="003B1554">
        <w:rPr>
          <w:sz w:val="20"/>
          <w:szCs w:val="20"/>
        </w:rPr>
        <w:t xml:space="preserve"> Crystal </w:t>
      </w:r>
      <w:proofErr w:type="spellStart"/>
      <w:r w:rsidRPr="003B1554">
        <w:rPr>
          <w:sz w:val="20"/>
          <w:szCs w:val="20"/>
        </w:rPr>
        <w:t>Addey</w:t>
      </w:r>
      <w:proofErr w:type="spellEnd"/>
      <w:r w:rsidRPr="003B1554">
        <w:rPr>
          <w:sz w:val="20"/>
          <w:szCs w:val="20"/>
        </w:rPr>
        <w:t xml:space="preserve">, “Oracles, Dreams and Astrology in Iamblichus’ De </w:t>
      </w:r>
      <w:proofErr w:type="spellStart"/>
      <w:r w:rsidRPr="003B1554">
        <w:rPr>
          <w:sz w:val="20"/>
          <w:szCs w:val="20"/>
        </w:rPr>
        <w:t>mysteriis</w:t>
      </w:r>
      <w:proofErr w:type="spellEnd"/>
      <w:r w:rsidRPr="003B1554">
        <w:rPr>
          <w:sz w:val="20"/>
          <w:szCs w:val="20"/>
        </w:rPr>
        <w:t xml:space="preserve">,” in P. Curry and A. Voss (eds.) (2007), </w:t>
      </w:r>
      <w:r w:rsidRPr="003B1554">
        <w:rPr>
          <w:i/>
          <w:sz w:val="20"/>
          <w:szCs w:val="20"/>
        </w:rPr>
        <w:t>Seeing with Different Eyes: Essays in Astrology and Divination</w:t>
      </w:r>
      <w:r w:rsidRPr="003B1554">
        <w:rPr>
          <w:sz w:val="20"/>
          <w:szCs w:val="20"/>
        </w:rPr>
        <w:t>, (Cambridge: Cambridge Scholars Publishing, 2007), p. 36.</w:t>
      </w:r>
      <w:r w:rsidR="003B1554" w:rsidRPr="003B1554">
        <w:rPr>
          <w:sz w:val="20"/>
          <w:szCs w:val="20"/>
        </w:rPr>
        <w:t xml:space="preserve"> &lt;</w:t>
      </w:r>
      <w:hyperlink r:id="rId1" w:history="1">
        <w:r w:rsidR="003B1554" w:rsidRPr="003B1554">
          <w:rPr>
            <w:rFonts w:eastAsia="SimSun"/>
            <w:sz w:val="20"/>
            <w:szCs w:val="20"/>
            <w:lang w:eastAsia="zh-CN"/>
          </w:rPr>
          <w:t>https://moodle.uwtsd.ac.uk/pluginfile.php/251498/mod_resource/content/1/Oracles%2C%20Dreams%20and%20Astrology%20in%20Iamblichus%20On%20the%20Mysteries%20%28De%20mysteriis%29.pdf</w:t>
        </w:r>
      </w:hyperlink>
      <w:r w:rsidR="003B1554" w:rsidRPr="003B1554">
        <w:rPr>
          <w:rFonts w:eastAsia="SimSun"/>
          <w:sz w:val="20"/>
          <w:szCs w:val="20"/>
          <w:lang w:eastAsia="zh-CN"/>
        </w:rPr>
        <w:t>&gt;</w:t>
      </w:r>
      <w:r w:rsidR="00892B5B">
        <w:rPr>
          <w:rFonts w:eastAsia="SimSun"/>
          <w:sz w:val="20"/>
          <w:szCs w:val="20"/>
          <w:lang w:eastAsia="zh-CN"/>
        </w:rPr>
        <w:t xml:space="preserve"> [accessed 21 May 2019]</w:t>
      </w:r>
    </w:p>
  </w:footnote>
  <w:footnote w:id="8">
    <w:p w14:paraId="65808C08" w14:textId="563EAAAB"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Clarke, Dillon, </w:t>
      </w:r>
      <w:proofErr w:type="spellStart"/>
      <w:r w:rsidRPr="003B1554">
        <w:rPr>
          <w:sz w:val="20"/>
          <w:szCs w:val="20"/>
          <w:lang w:val="en-US"/>
        </w:rPr>
        <w:t>Hershbell</w:t>
      </w:r>
      <w:proofErr w:type="spellEnd"/>
      <w:r w:rsidRPr="003B1554">
        <w:rPr>
          <w:sz w:val="20"/>
          <w:szCs w:val="20"/>
          <w:lang w:val="en-US"/>
        </w:rPr>
        <w:t xml:space="preserve">, introduction to </w:t>
      </w:r>
      <w:r w:rsidRPr="003B1554">
        <w:rPr>
          <w:i/>
          <w:sz w:val="20"/>
          <w:szCs w:val="20"/>
          <w:lang w:val="en-US"/>
        </w:rPr>
        <w:t>Iamblichus: On the Mysteries</w:t>
      </w:r>
      <w:r w:rsidRPr="003B1554">
        <w:rPr>
          <w:sz w:val="20"/>
          <w:szCs w:val="20"/>
          <w:lang w:val="en-US"/>
        </w:rPr>
        <w:t>, p. xlviii.</w:t>
      </w:r>
    </w:p>
  </w:footnote>
  <w:footnote w:id="9">
    <w:p w14:paraId="0F890CF0" w14:textId="2864249B"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Clarke, Dillon, </w:t>
      </w:r>
      <w:proofErr w:type="spellStart"/>
      <w:r w:rsidRPr="003B1554">
        <w:rPr>
          <w:sz w:val="20"/>
          <w:szCs w:val="20"/>
          <w:lang w:val="en-US"/>
        </w:rPr>
        <w:t>Hershbell</w:t>
      </w:r>
      <w:proofErr w:type="spellEnd"/>
      <w:r w:rsidRPr="003B1554">
        <w:rPr>
          <w:sz w:val="20"/>
          <w:szCs w:val="20"/>
          <w:lang w:val="en-US"/>
        </w:rPr>
        <w:t xml:space="preserve">, introduction to </w:t>
      </w:r>
      <w:r w:rsidRPr="003B1554">
        <w:rPr>
          <w:i/>
          <w:sz w:val="20"/>
          <w:szCs w:val="20"/>
          <w:lang w:val="en-US"/>
        </w:rPr>
        <w:t>Iamblichus: On the Mysteries</w:t>
      </w:r>
      <w:r w:rsidRPr="003B1554">
        <w:rPr>
          <w:sz w:val="20"/>
          <w:szCs w:val="20"/>
          <w:lang w:val="en-US"/>
        </w:rPr>
        <w:t>, p. xxvii.</w:t>
      </w:r>
    </w:p>
  </w:footnote>
  <w:footnote w:id="10">
    <w:p w14:paraId="17C21A99" w14:textId="567A4C83" w:rsidR="00D14349" w:rsidRPr="00426110" w:rsidRDefault="00D14349" w:rsidP="00F47020">
      <w:pPr>
        <w:rPr>
          <w:rFonts w:ascii="Cambria" w:eastAsia="Times New Roman" w:hAnsi="Cambria"/>
          <w:sz w:val="20"/>
          <w:szCs w:val="20"/>
        </w:rPr>
      </w:pPr>
      <w:r w:rsidRPr="003B1554">
        <w:rPr>
          <w:rStyle w:val="FootnoteReference"/>
          <w:rFonts w:ascii="Cambria" w:hAnsi="Cambria"/>
          <w:sz w:val="20"/>
          <w:szCs w:val="20"/>
        </w:rPr>
        <w:footnoteRef/>
      </w:r>
      <w:r w:rsidRPr="003B1554">
        <w:rPr>
          <w:rFonts w:ascii="Cambria" w:hAnsi="Cambria"/>
          <w:sz w:val="20"/>
          <w:szCs w:val="20"/>
        </w:rPr>
        <w:t xml:space="preserve"> </w:t>
      </w:r>
      <w:proofErr w:type="spellStart"/>
      <w:r w:rsidRPr="003B1554">
        <w:rPr>
          <w:rFonts w:ascii="Cambria" w:hAnsi="Cambria"/>
          <w:sz w:val="20"/>
          <w:szCs w:val="20"/>
        </w:rPr>
        <w:t>Polymnia</w:t>
      </w:r>
      <w:proofErr w:type="spellEnd"/>
      <w:r w:rsidRPr="003B1554">
        <w:rPr>
          <w:rFonts w:ascii="Cambria" w:hAnsi="Cambria"/>
          <w:sz w:val="20"/>
          <w:szCs w:val="20"/>
        </w:rPr>
        <w:t xml:space="preserve"> </w:t>
      </w:r>
      <w:proofErr w:type="spellStart"/>
      <w:r w:rsidRPr="003B1554">
        <w:rPr>
          <w:rFonts w:ascii="Cambria" w:eastAsia="Times New Roman" w:hAnsi="Cambria"/>
          <w:sz w:val="20"/>
          <w:szCs w:val="20"/>
        </w:rPr>
        <w:t>Athanassiadi</w:t>
      </w:r>
      <w:proofErr w:type="spellEnd"/>
      <w:r w:rsidRPr="003B1554">
        <w:rPr>
          <w:rFonts w:ascii="Cambria" w:eastAsia="Times New Roman" w:hAnsi="Cambria"/>
          <w:sz w:val="20"/>
          <w:szCs w:val="20"/>
        </w:rPr>
        <w:t xml:space="preserve">, </w:t>
      </w:r>
      <w:r w:rsidRPr="003B1554">
        <w:rPr>
          <w:rFonts w:ascii="Cambria" w:eastAsia="Times New Roman" w:hAnsi="Cambria"/>
          <w:i/>
          <w:sz w:val="20"/>
          <w:szCs w:val="20"/>
        </w:rPr>
        <w:t>Dreams, Theurgy and Freelance Divination: The Testimony of Iamblichus</w:t>
      </w:r>
      <w:r w:rsidRPr="003B1554">
        <w:rPr>
          <w:rFonts w:ascii="Cambria" w:eastAsia="Times New Roman" w:hAnsi="Cambria"/>
          <w:sz w:val="20"/>
          <w:szCs w:val="20"/>
        </w:rPr>
        <w:t>, (The Journal of Roman Studies 83, 1993), p. 117.</w:t>
      </w:r>
      <w:r w:rsidR="003B1554" w:rsidRPr="003B1554">
        <w:rPr>
          <w:rFonts w:ascii="Cambria" w:eastAsia="Times New Roman" w:hAnsi="Cambria"/>
          <w:sz w:val="20"/>
          <w:szCs w:val="20"/>
        </w:rPr>
        <w:t xml:space="preserve"> </w:t>
      </w:r>
      <w:r w:rsidR="00426110">
        <w:rPr>
          <w:rFonts w:ascii="Cambria" w:eastAsia="Times New Roman" w:hAnsi="Cambria"/>
          <w:sz w:val="20"/>
          <w:szCs w:val="20"/>
        </w:rPr>
        <w:t>&lt;</w:t>
      </w:r>
      <w:hyperlink r:id="rId2" w:history="1">
        <w:r w:rsidR="00426110" w:rsidRPr="00426110">
          <w:rPr>
            <w:rStyle w:val="Hyperlink"/>
            <w:rFonts w:ascii="Cambria" w:hAnsi="Cambria" w:cs="Times"/>
            <w:color w:val="auto"/>
            <w:sz w:val="20"/>
            <w:szCs w:val="20"/>
            <w:u w:val="none"/>
            <w:lang w:val="en-US" w:eastAsia="en-US"/>
          </w:rPr>
          <w:t>https://www.jstor.org/stable/300982</w:t>
        </w:r>
      </w:hyperlink>
      <w:r w:rsidR="00426110" w:rsidRPr="00426110">
        <w:rPr>
          <w:rFonts w:ascii="Cambria" w:hAnsi="Cambria" w:cs="Times"/>
          <w:sz w:val="20"/>
          <w:szCs w:val="20"/>
          <w:lang w:val="en-US" w:eastAsia="en-US"/>
        </w:rPr>
        <w:t xml:space="preserve">&gt; </w:t>
      </w:r>
      <w:r w:rsidR="00892B5B">
        <w:rPr>
          <w:rFonts w:ascii="Cambria" w:hAnsi="Cambria" w:cs="Times"/>
          <w:sz w:val="20"/>
          <w:szCs w:val="20"/>
          <w:lang w:val="en-US" w:eastAsia="en-US"/>
        </w:rPr>
        <w:t>[accessed 21 May 2019]</w:t>
      </w:r>
    </w:p>
  </w:footnote>
  <w:footnote w:id="11">
    <w:p w14:paraId="0C831708" w14:textId="7C71E90E"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I.3, p. 11.</w:t>
      </w:r>
    </w:p>
  </w:footnote>
  <w:footnote w:id="12">
    <w:p w14:paraId="1C175145" w14:textId="2D27F18D"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I.3, p.</w:t>
      </w:r>
      <w:r w:rsidRPr="003B1554">
        <w:rPr>
          <w:sz w:val="20"/>
          <w:szCs w:val="20"/>
        </w:rPr>
        <w:t xml:space="preserve"> 13.</w:t>
      </w:r>
    </w:p>
  </w:footnote>
  <w:footnote w:id="13">
    <w:p w14:paraId="459582DB" w14:textId="2BC96E95" w:rsidR="00D14349" w:rsidRPr="003B1554" w:rsidRDefault="00D14349" w:rsidP="00F47020">
      <w:pPr>
        <w:rPr>
          <w:rFonts w:ascii="Cambria" w:eastAsia="Times New Roman" w:hAnsi="Cambria"/>
          <w:sz w:val="20"/>
          <w:szCs w:val="20"/>
        </w:rPr>
      </w:pPr>
      <w:r w:rsidRPr="003B1554">
        <w:rPr>
          <w:rStyle w:val="FootnoteReference"/>
          <w:rFonts w:ascii="Cambria" w:hAnsi="Cambria"/>
          <w:sz w:val="20"/>
          <w:szCs w:val="20"/>
        </w:rPr>
        <w:footnoteRef/>
      </w:r>
      <w:r w:rsidRPr="003B1554">
        <w:rPr>
          <w:rFonts w:ascii="Cambria" w:hAnsi="Cambria"/>
          <w:sz w:val="20"/>
          <w:szCs w:val="20"/>
        </w:rPr>
        <w:t xml:space="preserve"> </w:t>
      </w:r>
      <w:r w:rsidRPr="003B1554">
        <w:rPr>
          <w:rFonts w:ascii="Cambria" w:hAnsi="Cambria"/>
          <w:sz w:val="20"/>
          <w:szCs w:val="20"/>
          <w:lang w:val="en-US"/>
        </w:rPr>
        <w:t xml:space="preserve">John Dillon, </w:t>
      </w:r>
      <w:r w:rsidRPr="003B1554">
        <w:rPr>
          <w:rFonts w:ascii="Cambria" w:eastAsia="Times New Roman" w:hAnsi="Cambria" w:cs="Arial"/>
          <w:i/>
          <w:iCs/>
          <w:sz w:val="20"/>
          <w:szCs w:val="20"/>
          <w:shd w:val="clear" w:color="auto" w:fill="FFFFFF"/>
        </w:rPr>
        <w:t xml:space="preserve">Iamblichus: De </w:t>
      </w:r>
      <w:proofErr w:type="spellStart"/>
      <w:r w:rsidRPr="003B1554">
        <w:rPr>
          <w:rFonts w:ascii="Cambria" w:eastAsia="Times New Roman" w:hAnsi="Cambria" w:cs="Arial"/>
          <w:i/>
          <w:iCs/>
          <w:sz w:val="20"/>
          <w:szCs w:val="20"/>
          <w:shd w:val="clear" w:color="auto" w:fill="FFFFFF"/>
        </w:rPr>
        <w:t>mysteriis</w:t>
      </w:r>
      <w:proofErr w:type="spellEnd"/>
      <w:r w:rsidRPr="003B1554">
        <w:rPr>
          <w:rFonts w:ascii="Cambria" w:eastAsia="Times New Roman" w:hAnsi="Cambria" w:cs="Arial"/>
          <w:i/>
          <w:iCs/>
          <w:sz w:val="20"/>
          <w:szCs w:val="20"/>
          <w:shd w:val="clear" w:color="auto" w:fill="FFFFFF"/>
        </w:rPr>
        <w:t>. A Manifesto of the Miraculous</w:t>
      </w:r>
      <w:r w:rsidRPr="003B1554">
        <w:rPr>
          <w:rFonts w:ascii="Cambria" w:eastAsia="Times New Roman" w:hAnsi="Cambria" w:cs="Arial"/>
          <w:i/>
          <w:sz w:val="20"/>
          <w:szCs w:val="20"/>
          <w:shd w:val="clear" w:color="auto" w:fill="FFFFFF"/>
        </w:rPr>
        <w:t> </w:t>
      </w:r>
      <w:r w:rsidRPr="003B1554">
        <w:rPr>
          <w:rFonts w:ascii="Cambria" w:eastAsia="Times New Roman" w:hAnsi="Cambria" w:cs="Arial"/>
          <w:sz w:val="20"/>
          <w:szCs w:val="20"/>
          <w:shd w:val="clear" w:color="auto" w:fill="FFFFFF"/>
        </w:rPr>
        <w:t xml:space="preserve">by E. C. Clarke, </w:t>
      </w:r>
      <w:r w:rsidRPr="003B1554">
        <w:rPr>
          <w:rFonts w:ascii="Cambria" w:eastAsia="Times New Roman" w:hAnsi="Cambria" w:cs="Arial"/>
          <w:iCs/>
          <w:sz w:val="20"/>
          <w:szCs w:val="20"/>
        </w:rPr>
        <w:t>The Classical Review</w:t>
      </w:r>
      <w:r w:rsidRPr="003B1554">
        <w:rPr>
          <w:rFonts w:ascii="Cambria" w:eastAsia="Times New Roman" w:hAnsi="Cambria" w:cs="Arial"/>
          <w:sz w:val="20"/>
          <w:szCs w:val="20"/>
        </w:rPr>
        <w:t xml:space="preserve"> Vol. 54, No. 2 (Oct., 2004), </w:t>
      </w:r>
      <w:r w:rsidRPr="003B1554">
        <w:rPr>
          <w:rFonts w:ascii="Cambria" w:hAnsi="Cambria"/>
          <w:sz w:val="20"/>
          <w:szCs w:val="20"/>
          <w:lang w:val="en-US"/>
        </w:rPr>
        <w:t xml:space="preserve">p. </w:t>
      </w:r>
      <w:r w:rsidRPr="00565772">
        <w:rPr>
          <w:rFonts w:ascii="Cambria" w:hAnsi="Cambria"/>
          <w:sz w:val="20"/>
          <w:szCs w:val="20"/>
          <w:lang w:val="en-US"/>
        </w:rPr>
        <w:t>349.</w:t>
      </w:r>
      <w:r w:rsidR="003B1554" w:rsidRPr="00565772">
        <w:rPr>
          <w:rFonts w:ascii="Cambria" w:hAnsi="Cambria"/>
          <w:sz w:val="20"/>
          <w:szCs w:val="20"/>
          <w:lang w:val="en-US"/>
        </w:rPr>
        <w:t xml:space="preserve"> </w:t>
      </w:r>
      <w:r w:rsidR="00565772" w:rsidRPr="00565772">
        <w:rPr>
          <w:rFonts w:ascii="Cambria" w:hAnsi="Cambria"/>
          <w:sz w:val="20"/>
          <w:szCs w:val="20"/>
          <w:lang w:val="en-US"/>
        </w:rPr>
        <w:t>&lt;</w:t>
      </w:r>
      <w:hyperlink r:id="rId3" w:history="1">
        <w:r w:rsidR="00565772" w:rsidRPr="00565772">
          <w:rPr>
            <w:rStyle w:val="Hyperlink"/>
            <w:rFonts w:ascii="Cambria" w:hAnsi="Cambria"/>
            <w:color w:val="auto"/>
            <w:sz w:val="20"/>
            <w:szCs w:val="20"/>
            <w:u w:val="none"/>
            <w:lang w:val="en-US"/>
          </w:rPr>
          <w:t>https://www.jstor.org/stable/3661664</w:t>
        </w:r>
      </w:hyperlink>
      <w:r w:rsidR="00565772" w:rsidRPr="00565772">
        <w:rPr>
          <w:rFonts w:ascii="Cambria" w:hAnsi="Cambria"/>
          <w:sz w:val="20"/>
          <w:szCs w:val="20"/>
          <w:lang w:val="en-US"/>
        </w:rPr>
        <w:t>&gt;</w:t>
      </w:r>
      <w:r w:rsidR="00565772">
        <w:rPr>
          <w:rFonts w:ascii="Cambria" w:hAnsi="Cambria"/>
          <w:sz w:val="20"/>
          <w:szCs w:val="20"/>
          <w:lang w:val="en-US"/>
        </w:rPr>
        <w:t xml:space="preserve"> </w:t>
      </w:r>
      <w:r w:rsidR="00892B5B">
        <w:rPr>
          <w:rFonts w:ascii="Cambria" w:hAnsi="Cambria"/>
          <w:sz w:val="20"/>
          <w:szCs w:val="20"/>
          <w:lang w:val="en-US"/>
        </w:rPr>
        <w:t>[accessed 21 May 2019]</w:t>
      </w:r>
    </w:p>
  </w:footnote>
  <w:footnote w:id="14">
    <w:p w14:paraId="13C9EDA5" w14:textId="77777777" w:rsidR="00D14349" w:rsidRPr="003B1554" w:rsidRDefault="00D14349" w:rsidP="00F47020">
      <w:pPr>
        <w:pStyle w:val="FootnoteText"/>
        <w:rPr>
          <w:sz w:val="20"/>
          <w:szCs w:val="20"/>
        </w:rPr>
      </w:pPr>
      <w:r w:rsidRPr="003B1554">
        <w:rPr>
          <w:rStyle w:val="FootnoteReference"/>
          <w:sz w:val="20"/>
          <w:szCs w:val="20"/>
        </w:rPr>
        <w:footnoteRef/>
      </w:r>
      <w:r w:rsidRPr="003B1554">
        <w:rPr>
          <w:sz w:val="20"/>
          <w:szCs w:val="20"/>
        </w:rPr>
        <w:t xml:space="preserve"> Crystal </w:t>
      </w:r>
      <w:proofErr w:type="spellStart"/>
      <w:r w:rsidRPr="003B1554">
        <w:rPr>
          <w:sz w:val="20"/>
          <w:szCs w:val="20"/>
        </w:rPr>
        <w:t>Addey</w:t>
      </w:r>
      <w:proofErr w:type="spellEnd"/>
      <w:r w:rsidRPr="003B1554">
        <w:rPr>
          <w:sz w:val="20"/>
          <w:szCs w:val="20"/>
        </w:rPr>
        <w:t xml:space="preserve">, </w:t>
      </w:r>
      <w:r w:rsidRPr="003B1554">
        <w:rPr>
          <w:i/>
          <w:sz w:val="20"/>
          <w:szCs w:val="20"/>
        </w:rPr>
        <w:t xml:space="preserve">Divination and Theurgy in </w:t>
      </w:r>
      <w:proofErr w:type="spellStart"/>
      <w:r w:rsidRPr="003B1554">
        <w:rPr>
          <w:i/>
          <w:sz w:val="20"/>
          <w:szCs w:val="20"/>
        </w:rPr>
        <w:t>Neoplatonism</w:t>
      </w:r>
      <w:proofErr w:type="spellEnd"/>
      <w:r w:rsidRPr="003B1554">
        <w:rPr>
          <w:i/>
          <w:sz w:val="20"/>
          <w:szCs w:val="20"/>
        </w:rPr>
        <w:t>: Oracles of the gods</w:t>
      </w:r>
      <w:r w:rsidRPr="003B1554">
        <w:rPr>
          <w:sz w:val="20"/>
          <w:szCs w:val="20"/>
        </w:rPr>
        <w:t>,</w:t>
      </w:r>
    </w:p>
    <w:p w14:paraId="088C50A8" w14:textId="69A42145" w:rsidR="00565772" w:rsidRPr="00565772" w:rsidRDefault="00D14349" w:rsidP="00F47020">
      <w:pPr>
        <w:pStyle w:val="FootnoteText"/>
        <w:rPr>
          <w:sz w:val="20"/>
          <w:szCs w:val="20"/>
        </w:rPr>
      </w:pPr>
      <w:r w:rsidRPr="003B1554">
        <w:rPr>
          <w:sz w:val="20"/>
          <w:szCs w:val="20"/>
        </w:rPr>
        <w:t xml:space="preserve">(Farnham: </w:t>
      </w:r>
      <w:proofErr w:type="spellStart"/>
      <w:r w:rsidRPr="003B1554">
        <w:rPr>
          <w:sz w:val="20"/>
          <w:szCs w:val="20"/>
        </w:rPr>
        <w:t>Ashgate</w:t>
      </w:r>
      <w:proofErr w:type="spellEnd"/>
      <w:r w:rsidRPr="003B1554">
        <w:rPr>
          <w:sz w:val="20"/>
          <w:szCs w:val="20"/>
        </w:rPr>
        <w:t>, 2014), p. 128</w:t>
      </w:r>
      <w:r w:rsidRPr="00565772">
        <w:rPr>
          <w:sz w:val="20"/>
          <w:szCs w:val="20"/>
        </w:rPr>
        <w:t>.</w:t>
      </w:r>
      <w:r w:rsidR="003B1554" w:rsidRPr="00565772">
        <w:rPr>
          <w:sz w:val="20"/>
          <w:szCs w:val="20"/>
        </w:rPr>
        <w:t xml:space="preserve"> </w:t>
      </w:r>
      <w:r w:rsidR="00565772" w:rsidRPr="00565772">
        <w:rPr>
          <w:sz w:val="20"/>
          <w:szCs w:val="20"/>
        </w:rPr>
        <w:t>&lt;</w:t>
      </w:r>
      <w:hyperlink r:id="rId4" w:history="1">
        <w:r w:rsidR="00565772" w:rsidRPr="00565772">
          <w:rPr>
            <w:rStyle w:val="Hyperlink"/>
            <w:color w:val="auto"/>
            <w:sz w:val="20"/>
            <w:szCs w:val="20"/>
            <w:u w:val="none"/>
          </w:rPr>
          <w:t>https://www-dawsonera-com.ezproxy.uwtsd.ac.uk/readonline/9781409451532</w:t>
        </w:r>
      </w:hyperlink>
      <w:r w:rsidR="00565772" w:rsidRPr="00565772">
        <w:rPr>
          <w:sz w:val="20"/>
          <w:szCs w:val="20"/>
        </w:rPr>
        <w:t>&gt;</w:t>
      </w:r>
      <w:r w:rsidR="00892B5B">
        <w:rPr>
          <w:sz w:val="20"/>
          <w:szCs w:val="20"/>
        </w:rPr>
        <w:t xml:space="preserve"> [accessed 29 May 2019]</w:t>
      </w:r>
    </w:p>
  </w:footnote>
  <w:footnote w:id="15">
    <w:p w14:paraId="751177EE" w14:textId="77777777"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proofErr w:type="spellStart"/>
      <w:r w:rsidRPr="003B1554">
        <w:rPr>
          <w:sz w:val="20"/>
          <w:szCs w:val="20"/>
          <w:lang w:val="en-US"/>
        </w:rPr>
        <w:t>Addey</w:t>
      </w:r>
      <w:proofErr w:type="spellEnd"/>
      <w:r w:rsidRPr="003B1554">
        <w:rPr>
          <w:sz w:val="20"/>
          <w:szCs w:val="20"/>
          <w:lang w:val="en-US"/>
        </w:rPr>
        <w:t xml:space="preserve">, </w:t>
      </w:r>
      <w:r w:rsidRPr="003B1554">
        <w:rPr>
          <w:i/>
          <w:sz w:val="20"/>
          <w:szCs w:val="20"/>
        </w:rPr>
        <w:t xml:space="preserve">Oracles, Dreams and Astrology in Iamblichus’ De </w:t>
      </w:r>
      <w:proofErr w:type="spellStart"/>
      <w:r w:rsidRPr="003B1554">
        <w:rPr>
          <w:i/>
          <w:sz w:val="20"/>
          <w:szCs w:val="20"/>
        </w:rPr>
        <w:t>mysteriis</w:t>
      </w:r>
      <w:proofErr w:type="spellEnd"/>
      <w:r w:rsidRPr="003B1554">
        <w:rPr>
          <w:sz w:val="20"/>
          <w:szCs w:val="20"/>
          <w:lang w:val="en-US"/>
        </w:rPr>
        <w:t>, p. 36.</w:t>
      </w:r>
    </w:p>
  </w:footnote>
  <w:footnote w:id="16">
    <w:p w14:paraId="3A32DCE6" w14:textId="79920112"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proofErr w:type="gramStart"/>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III.16, p.159.</w:t>
      </w:r>
      <w:proofErr w:type="gramEnd"/>
    </w:p>
  </w:footnote>
  <w:footnote w:id="17">
    <w:p w14:paraId="4C512BB6" w14:textId="200D17F2"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proofErr w:type="spellStart"/>
      <w:r w:rsidRPr="003B1554">
        <w:rPr>
          <w:sz w:val="20"/>
          <w:szCs w:val="20"/>
          <w:lang w:val="en-US"/>
        </w:rPr>
        <w:t>Athanassiadi</w:t>
      </w:r>
      <w:proofErr w:type="spellEnd"/>
      <w:r w:rsidRPr="003B1554">
        <w:rPr>
          <w:sz w:val="20"/>
          <w:szCs w:val="20"/>
          <w:lang w:val="en-US"/>
        </w:rPr>
        <w:t xml:space="preserve">, </w:t>
      </w:r>
      <w:r w:rsidRPr="003B1554">
        <w:rPr>
          <w:rFonts w:eastAsia="Times New Roman"/>
          <w:i/>
          <w:sz w:val="20"/>
          <w:szCs w:val="20"/>
        </w:rPr>
        <w:t>Dreams, Theurgy and Freelance Divination: The Testimony of Iamblichus</w:t>
      </w:r>
      <w:r w:rsidRPr="003B1554">
        <w:rPr>
          <w:sz w:val="20"/>
          <w:szCs w:val="20"/>
          <w:lang w:val="en-US"/>
        </w:rPr>
        <w:t>, p. 120.</w:t>
      </w:r>
      <w:r w:rsidR="003B1554" w:rsidRPr="003B1554">
        <w:rPr>
          <w:sz w:val="20"/>
          <w:szCs w:val="20"/>
          <w:lang w:val="en-US"/>
        </w:rPr>
        <w:t xml:space="preserve"> </w:t>
      </w:r>
    </w:p>
  </w:footnote>
  <w:footnote w:id="18">
    <w:p w14:paraId="6106BBE2" w14:textId="77777777"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proofErr w:type="spellStart"/>
      <w:r w:rsidRPr="003B1554">
        <w:rPr>
          <w:sz w:val="20"/>
          <w:szCs w:val="20"/>
          <w:lang w:val="en-US"/>
        </w:rPr>
        <w:t>Athanassiadi</w:t>
      </w:r>
      <w:proofErr w:type="spellEnd"/>
      <w:r w:rsidRPr="003B1554">
        <w:rPr>
          <w:sz w:val="20"/>
          <w:szCs w:val="20"/>
          <w:lang w:val="en-US"/>
        </w:rPr>
        <w:t xml:space="preserve">, </w:t>
      </w:r>
      <w:r w:rsidRPr="003B1554">
        <w:rPr>
          <w:rFonts w:eastAsia="Times New Roman"/>
          <w:i/>
          <w:sz w:val="20"/>
          <w:szCs w:val="20"/>
        </w:rPr>
        <w:t>Dreams, Theurgy and Freelance Divination: The Testimony of Iamblichus</w:t>
      </w:r>
      <w:r w:rsidRPr="003B1554">
        <w:rPr>
          <w:sz w:val="20"/>
          <w:szCs w:val="20"/>
          <w:lang w:val="en-US"/>
        </w:rPr>
        <w:t>, p. 120.</w:t>
      </w:r>
    </w:p>
  </w:footnote>
  <w:footnote w:id="19">
    <w:p w14:paraId="5A62B3FA" w14:textId="5E181B8E"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III.5, p.</w:t>
      </w:r>
      <w:r w:rsidRPr="003B1554">
        <w:rPr>
          <w:sz w:val="20"/>
          <w:szCs w:val="20"/>
        </w:rPr>
        <w:t xml:space="preserve"> 131.</w:t>
      </w:r>
    </w:p>
  </w:footnote>
  <w:footnote w:id="20">
    <w:p w14:paraId="179F66B9" w14:textId="77777777"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proofErr w:type="spellStart"/>
      <w:r w:rsidRPr="003B1554">
        <w:rPr>
          <w:sz w:val="20"/>
          <w:szCs w:val="20"/>
          <w:lang w:val="en-US"/>
        </w:rPr>
        <w:t>Addey</w:t>
      </w:r>
      <w:proofErr w:type="spellEnd"/>
      <w:r w:rsidRPr="003B1554">
        <w:rPr>
          <w:sz w:val="20"/>
          <w:szCs w:val="20"/>
          <w:lang w:val="en-US"/>
        </w:rPr>
        <w:t xml:space="preserve">, </w:t>
      </w:r>
      <w:r w:rsidRPr="003B1554">
        <w:rPr>
          <w:i/>
          <w:sz w:val="20"/>
          <w:szCs w:val="20"/>
        </w:rPr>
        <w:t xml:space="preserve">Oracles, Dreams and Astrology in Iamblichus’ De </w:t>
      </w:r>
      <w:proofErr w:type="spellStart"/>
      <w:r w:rsidRPr="003B1554">
        <w:rPr>
          <w:i/>
          <w:sz w:val="20"/>
          <w:szCs w:val="20"/>
        </w:rPr>
        <w:t>mysteriis</w:t>
      </w:r>
      <w:proofErr w:type="spellEnd"/>
      <w:r w:rsidRPr="003B1554">
        <w:rPr>
          <w:sz w:val="20"/>
          <w:szCs w:val="20"/>
          <w:lang w:val="en-US"/>
        </w:rPr>
        <w:t>, p. 43.</w:t>
      </w:r>
    </w:p>
  </w:footnote>
  <w:footnote w:id="21">
    <w:p w14:paraId="59348612" w14:textId="77777777" w:rsidR="00D14349" w:rsidRPr="003B1554" w:rsidRDefault="00D14349" w:rsidP="00F47020">
      <w:pPr>
        <w:pStyle w:val="NoSpacing"/>
        <w:rPr>
          <w:rFonts w:cs="Times"/>
          <w:sz w:val="20"/>
          <w:szCs w:val="20"/>
          <w:lang w:val="en-US"/>
        </w:rPr>
      </w:pPr>
      <w:r w:rsidRPr="003B1554">
        <w:rPr>
          <w:rStyle w:val="FootnoteReference"/>
          <w:sz w:val="20"/>
          <w:szCs w:val="20"/>
        </w:rPr>
        <w:footnoteRef/>
      </w:r>
      <w:r w:rsidRPr="003B1554">
        <w:rPr>
          <w:sz w:val="20"/>
          <w:szCs w:val="20"/>
        </w:rPr>
        <w:t xml:space="preserve"> </w:t>
      </w:r>
      <w:proofErr w:type="spellStart"/>
      <w:r w:rsidRPr="003B1554">
        <w:rPr>
          <w:sz w:val="20"/>
          <w:szCs w:val="20"/>
        </w:rPr>
        <w:t>Addey</w:t>
      </w:r>
      <w:proofErr w:type="spellEnd"/>
      <w:r w:rsidRPr="003B1554">
        <w:rPr>
          <w:sz w:val="20"/>
          <w:szCs w:val="20"/>
        </w:rPr>
        <w:t xml:space="preserve">, </w:t>
      </w:r>
      <w:r w:rsidRPr="003B1554">
        <w:rPr>
          <w:i/>
          <w:sz w:val="20"/>
          <w:szCs w:val="20"/>
        </w:rPr>
        <w:t xml:space="preserve">Divination and Theurgy in </w:t>
      </w:r>
      <w:proofErr w:type="spellStart"/>
      <w:r w:rsidRPr="003B1554">
        <w:rPr>
          <w:i/>
          <w:sz w:val="20"/>
          <w:szCs w:val="20"/>
        </w:rPr>
        <w:t>Neoplatonism</w:t>
      </w:r>
      <w:proofErr w:type="spellEnd"/>
      <w:r w:rsidRPr="003B1554">
        <w:rPr>
          <w:sz w:val="20"/>
          <w:szCs w:val="20"/>
        </w:rPr>
        <w:t>, p. 242.</w:t>
      </w:r>
    </w:p>
  </w:footnote>
  <w:footnote w:id="22">
    <w:p w14:paraId="4F084997" w14:textId="77777777"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proofErr w:type="spellStart"/>
      <w:r w:rsidRPr="003B1554">
        <w:rPr>
          <w:sz w:val="20"/>
          <w:szCs w:val="20"/>
          <w:lang w:val="en-US"/>
        </w:rPr>
        <w:t>Athanassiadi</w:t>
      </w:r>
      <w:proofErr w:type="spellEnd"/>
      <w:r w:rsidRPr="003B1554">
        <w:rPr>
          <w:sz w:val="20"/>
          <w:szCs w:val="20"/>
          <w:lang w:val="en-US"/>
        </w:rPr>
        <w:t xml:space="preserve">, </w:t>
      </w:r>
      <w:r w:rsidRPr="003B1554">
        <w:rPr>
          <w:rFonts w:eastAsia="Times New Roman"/>
          <w:i/>
          <w:sz w:val="20"/>
          <w:szCs w:val="20"/>
        </w:rPr>
        <w:t>Dreams, Theurgy and Freelance Divination: The Testimony of Iamblichus</w:t>
      </w:r>
      <w:r w:rsidRPr="003B1554">
        <w:rPr>
          <w:sz w:val="20"/>
          <w:szCs w:val="20"/>
          <w:lang w:val="en-US"/>
        </w:rPr>
        <w:t>, p. 122.</w:t>
      </w:r>
    </w:p>
  </w:footnote>
  <w:footnote w:id="23">
    <w:p w14:paraId="0BFBF2A9" w14:textId="28F5BE49"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xml:space="preserve">, III.1, p. 119. </w:t>
      </w:r>
    </w:p>
  </w:footnote>
  <w:footnote w:id="24">
    <w:p w14:paraId="5B98F7D6" w14:textId="52C361B5"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xml:space="preserve">, </w:t>
      </w:r>
      <w:r w:rsidRPr="003B1554">
        <w:rPr>
          <w:i/>
          <w:sz w:val="20"/>
          <w:szCs w:val="20"/>
          <w:lang w:val="en-US"/>
        </w:rPr>
        <w:t>Iamblichus</w:t>
      </w:r>
      <w:r w:rsidRPr="003B1554">
        <w:rPr>
          <w:sz w:val="20"/>
          <w:szCs w:val="20"/>
          <w:lang w:val="en-US"/>
        </w:rPr>
        <w:t>, III.1, p. 119.</w:t>
      </w:r>
    </w:p>
  </w:footnote>
  <w:footnote w:id="25">
    <w:p w14:paraId="1668C0A9" w14:textId="7B37E75E"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III.12, p. 151.</w:t>
      </w:r>
    </w:p>
  </w:footnote>
  <w:footnote w:id="26">
    <w:p w14:paraId="4BB3C6CC" w14:textId="77777777"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proofErr w:type="spellStart"/>
      <w:r w:rsidRPr="003B1554">
        <w:rPr>
          <w:sz w:val="20"/>
          <w:szCs w:val="20"/>
          <w:lang w:val="en-US"/>
        </w:rPr>
        <w:t>Athanassiadi</w:t>
      </w:r>
      <w:proofErr w:type="spellEnd"/>
      <w:r w:rsidRPr="003B1554">
        <w:rPr>
          <w:sz w:val="20"/>
          <w:szCs w:val="20"/>
          <w:lang w:val="en-US"/>
        </w:rPr>
        <w:t xml:space="preserve">, </w:t>
      </w:r>
      <w:r w:rsidRPr="003B1554">
        <w:rPr>
          <w:rFonts w:eastAsia="Times New Roman"/>
          <w:i/>
          <w:sz w:val="20"/>
          <w:szCs w:val="20"/>
        </w:rPr>
        <w:t>Dreams, Theurgy and Freelance Divination: The Testimony of Iamblichus</w:t>
      </w:r>
      <w:r w:rsidRPr="003B1554">
        <w:rPr>
          <w:sz w:val="20"/>
          <w:szCs w:val="20"/>
          <w:lang w:val="en-US"/>
        </w:rPr>
        <w:t>, p. 119.</w:t>
      </w:r>
    </w:p>
  </w:footnote>
  <w:footnote w:id="27">
    <w:p w14:paraId="4ADE4AD0" w14:textId="2263FE88" w:rsidR="00D14349" w:rsidRPr="003B1554" w:rsidRDefault="00D14349" w:rsidP="00F47020">
      <w:pPr>
        <w:rPr>
          <w:rFonts w:ascii="Cambria" w:eastAsia="Times New Roman" w:hAnsi="Cambria"/>
          <w:sz w:val="20"/>
          <w:szCs w:val="20"/>
        </w:rPr>
      </w:pPr>
      <w:r w:rsidRPr="003B1554">
        <w:rPr>
          <w:rStyle w:val="FootnoteReference"/>
          <w:rFonts w:ascii="Cambria" w:hAnsi="Cambria"/>
          <w:sz w:val="20"/>
          <w:szCs w:val="20"/>
        </w:rPr>
        <w:footnoteRef/>
      </w:r>
      <w:r w:rsidRPr="003B1554">
        <w:rPr>
          <w:rFonts w:ascii="Cambria" w:hAnsi="Cambria"/>
          <w:sz w:val="20"/>
          <w:szCs w:val="20"/>
        </w:rPr>
        <w:t xml:space="preserve"> Peter T. Struck, </w:t>
      </w:r>
      <w:r w:rsidRPr="003B1554">
        <w:rPr>
          <w:rFonts w:ascii="Cambria" w:eastAsia="Times New Roman" w:hAnsi="Cambria"/>
          <w:i/>
          <w:sz w:val="20"/>
          <w:szCs w:val="20"/>
        </w:rPr>
        <w:t>Divine Power and Human Intuition</w:t>
      </w:r>
      <w:r w:rsidRPr="003B1554">
        <w:rPr>
          <w:rFonts w:ascii="Cambria" w:eastAsia="Times New Roman" w:hAnsi="Cambria"/>
          <w:sz w:val="20"/>
          <w:szCs w:val="20"/>
        </w:rPr>
        <w:t xml:space="preserve"> in Anna </w:t>
      </w:r>
      <w:proofErr w:type="spellStart"/>
      <w:r w:rsidRPr="003B1554">
        <w:rPr>
          <w:rFonts w:ascii="Cambria" w:eastAsia="Times New Roman" w:hAnsi="Cambria"/>
          <w:sz w:val="20"/>
          <w:szCs w:val="20"/>
        </w:rPr>
        <w:t>Marmodoro</w:t>
      </w:r>
      <w:proofErr w:type="spellEnd"/>
      <w:r w:rsidRPr="003B1554">
        <w:rPr>
          <w:rFonts w:ascii="Cambria" w:eastAsia="Times New Roman" w:hAnsi="Cambria"/>
          <w:sz w:val="20"/>
          <w:szCs w:val="20"/>
        </w:rPr>
        <w:t xml:space="preserve"> and </w:t>
      </w:r>
      <w:proofErr w:type="spellStart"/>
      <w:r w:rsidRPr="003B1554">
        <w:rPr>
          <w:rFonts w:ascii="Cambria" w:eastAsia="Times New Roman" w:hAnsi="Cambria"/>
          <w:sz w:val="20"/>
          <w:szCs w:val="20"/>
        </w:rPr>
        <w:t>Irini-Fotini</w:t>
      </w:r>
      <w:proofErr w:type="spellEnd"/>
      <w:r w:rsidRPr="003B1554">
        <w:rPr>
          <w:rFonts w:ascii="Cambria" w:eastAsia="Times New Roman" w:hAnsi="Cambria"/>
          <w:sz w:val="20"/>
          <w:szCs w:val="20"/>
        </w:rPr>
        <w:t xml:space="preserve"> </w:t>
      </w:r>
      <w:proofErr w:type="spellStart"/>
      <w:r w:rsidRPr="003B1554">
        <w:rPr>
          <w:rFonts w:ascii="Cambria" w:eastAsia="Times New Roman" w:hAnsi="Cambria"/>
          <w:sz w:val="20"/>
          <w:szCs w:val="20"/>
        </w:rPr>
        <w:t>Viltanioti</w:t>
      </w:r>
      <w:proofErr w:type="spellEnd"/>
      <w:r w:rsidRPr="003B1554">
        <w:rPr>
          <w:rFonts w:ascii="Cambria" w:eastAsia="Times New Roman" w:hAnsi="Cambria"/>
          <w:sz w:val="20"/>
          <w:szCs w:val="20"/>
        </w:rPr>
        <w:t xml:space="preserve">, </w:t>
      </w:r>
      <w:r w:rsidRPr="003B1554">
        <w:rPr>
          <w:rFonts w:ascii="Cambria" w:eastAsia="Times New Roman" w:hAnsi="Cambria"/>
          <w:i/>
          <w:sz w:val="20"/>
          <w:szCs w:val="20"/>
        </w:rPr>
        <w:t>Iamblichus on Divination</w:t>
      </w:r>
      <w:r w:rsidRPr="003B1554">
        <w:rPr>
          <w:rFonts w:ascii="Cambria" w:eastAsia="Times New Roman" w:hAnsi="Cambria"/>
          <w:sz w:val="20"/>
          <w:szCs w:val="20"/>
        </w:rPr>
        <w:t xml:space="preserve">: </w:t>
      </w:r>
      <w:r w:rsidRPr="003B1554">
        <w:rPr>
          <w:rFonts w:ascii="Cambria" w:eastAsia="Times New Roman" w:hAnsi="Cambria"/>
          <w:i/>
          <w:sz w:val="20"/>
          <w:szCs w:val="20"/>
        </w:rPr>
        <w:t>Divine Powers in Late Antiquity</w:t>
      </w:r>
      <w:r w:rsidRPr="003B1554">
        <w:rPr>
          <w:rFonts w:ascii="Cambria" w:eastAsia="Times New Roman" w:hAnsi="Cambria"/>
          <w:sz w:val="20"/>
          <w:szCs w:val="20"/>
        </w:rPr>
        <w:t>, (Oxford University Press: 2017), p. 80.</w:t>
      </w:r>
      <w:r w:rsidR="003B1554" w:rsidRPr="003B1554">
        <w:rPr>
          <w:rFonts w:ascii="Cambria" w:eastAsia="Times New Roman" w:hAnsi="Cambria"/>
          <w:sz w:val="20"/>
          <w:szCs w:val="20"/>
        </w:rPr>
        <w:t xml:space="preserve"> </w:t>
      </w:r>
      <w:r w:rsidR="003B1554" w:rsidRPr="003B1554">
        <w:rPr>
          <w:rFonts w:ascii="Cambria" w:hAnsi="Cambria"/>
          <w:sz w:val="20"/>
          <w:szCs w:val="20"/>
        </w:rPr>
        <w:t>&lt;</w:t>
      </w:r>
      <w:hyperlink r:id="rId5" w:history="1">
        <w:r w:rsidR="003B1554" w:rsidRPr="003B1554">
          <w:rPr>
            <w:rFonts w:ascii="Cambria" w:hAnsi="Cambria"/>
            <w:sz w:val="20"/>
            <w:szCs w:val="20"/>
          </w:rPr>
          <w:t>https://www-oxfordscholarship-com.ezproxy.uwtsd.ac.uk/view/10.1093/acprof:oso/9780198767206.001.0001/acprof-9780198767206-chapter-5</w:t>
        </w:r>
      </w:hyperlink>
      <w:r w:rsidR="003B1554" w:rsidRPr="003B1554">
        <w:rPr>
          <w:rFonts w:ascii="Cambria" w:hAnsi="Cambria"/>
          <w:sz w:val="20"/>
          <w:szCs w:val="20"/>
        </w:rPr>
        <w:t>&gt;</w:t>
      </w:r>
      <w:r w:rsidR="00892B5B">
        <w:rPr>
          <w:rFonts w:ascii="Cambria" w:hAnsi="Cambria"/>
          <w:sz w:val="20"/>
          <w:szCs w:val="20"/>
        </w:rPr>
        <w:t xml:space="preserve"> [accessed 26 May 2019]</w:t>
      </w:r>
    </w:p>
  </w:footnote>
  <w:footnote w:id="28">
    <w:p w14:paraId="4CE8EB13" w14:textId="77777777"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Dillon, </w:t>
      </w:r>
      <w:r w:rsidRPr="003B1554">
        <w:rPr>
          <w:rFonts w:eastAsia="Times New Roman" w:cs="Arial"/>
          <w:i/>
          <w:iCs/>
          <w:sz w:val="20"/>
          <w:szCs w:val="20"/>
          <w:shd w:val="clear" w:color="auto" w:fill="FFFFFF"/>
        </w:rPr>
        <w:t xml:space="preserve">Iamblichus: De </w:t>
      </w:r>
      <w:proofErr w:type="spellStart"/>
      <w:r w:rsidRPr="003B1554">
        <w:rPr>
          <w:rFonts w:eastAsia="Times New Roman" w:cs="Arial"/>
          <w:i/>
          <w:iCs/>
          <w:sz w:val="20"/>
          <w:szCs w:val="20"/>
          <w:shd w:val="clear" w:color="auto" w:fill="FFFFFF"/>
        </w:rPr>
        <w:t>mysteriis</w:t>
      </w:r>
      <w:proofErr w:type="spellEnd"/>
      <w:r w:rsidRPr="003B1554">
        <w:rPr>
          <w:rFonts w:eastAsia="Times New Roman" w:cs="Arial"/>
          <w:i/>
          <w:iCs/>
          <w:sz w:val="20"/>
          <w:szCs w:val="20"/>
          <w:shd w:val="clear" w:color="auto" w:fill="FFFFFF"/>
        </w:rPr>
        <w:t>. A Manifesto of the Miraculous</w:t>
      </w:r>
      <w:r w:rsidRPr="003B1554">
        <w:rPr>
          <w:sz w:val="20"/>
          <w:szCs w:val="20"/>
          <w:lang w:val="en-US"/>
        </w:rPr>
        <w:t>, p. 350.</w:t>
      </w:r>
    </w:p>
  </w:footnote>
  <w:footnote w:id="29">
    <w:p w14:paraId="1E8F05C1" w14:textId="1D4540B4"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lang w:val="en-US"/>
        </w:rPr>
        <w:t xml:space="preserve"> 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III.11, p.</w:t>
      </w:r>
      <w:r w:rsidRPr="003B1554">
        <w:rPr>
          <w:sz w:val="20"/>
          <w:szCs w:val="20"/>
        </w:rPr>
        <w:t xml:space="preserve"> 145.</w:t>
      </w:r>
    </w:p>
  </w:footnote>
  <w:footnote w:id="30">
    <w:p w14:paraId="6FDC8C63" w14:textId="54FD8788"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III.11, p.</w:t>
      </w:r>
      <w:r w:rsidRPr="003B1554">
        <w:rPr>
          <w:sz w:val="20"/>
          <w:szCs w:val="20"/>
        </w:rPr>
        <w:t xml:space="preserve"> 145.</w:t>
      </w:r>
    </w:p>
  </w:footnote>
  <w:footnote w:id="31">
    <w:p w14:paraId="7B02928B" w14:textId="4A07BFD3"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III.11, p.</w:t>
      </w:r>
      <w:r w:rsidRPr="003B1554">
        <w:rPr>
          <w:sz w:val="20"/>
          <w:szCs w:val="20"/>
        </w:rPr>
        <w:t xml:space="preserve"> 147.</w:t>
      </w:r>
    </w:p>
  </w:footnote>
  <w:footnote w:id="32">
    <w:p w14:paraId="2CBCE3F2" w14:textId="4F39FD48"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III.11, p. 147.</w:t>
      </w:r>
    </w:p>
  </w:footnote>
  <w:footnote w:id="33">
    <w:p w14:paraId="658181B8" w14:textId="4E8F86C1"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r w:rsidRPr="003B1554">
        <w:rPr>
          <w:sz w:val="20"/>
          <w:szCs w:val="20"/>
          <w:lang w:val="en-US"/>
        </w:rPr>
        <w:t xml:space="preserve">Iamblichus, </w:t>
      </w:r>
      <w:r w:rsidRPr="003B1554">
        <w:rPr>
          <w:i/>
          <w:sz w:val="20"/>
          <w:szCs w:val="20"/>
          <w:lang w:val="en-US"/>
        </w:rPr>
        <w:t xml:space="preserve">On the Mysteries (De </w:t>
      </w:r>
      <w:proofErr w:type="spellStart"/>
      <w:r w:rsidRPr="003B1554">
        <w:rPr>
          <w:i/>
          <w:sz w:val="20"/>
          <w:szCs w:val="20"/>
          <w:lang w:val="en-US"/>
        </w:rPr>
        <w:t>Mysteriis</w:t>
      </w:r>
      <w:proofErr w:type="spellEnd"/>
      <w:r w:rsidRPr="003B1554">
        <w:rPr>
          <w:i/>
          <w:sz w:val="20"/>
          <w:szCs w:val="20"/>
          <w:lang w:val="en-US"/>
        </w:rPr>
        <w:t>)</w:t>
      </w:r>
      <w:r w:rsidRPr="003B1554">
        <w:rPr>
          <w:sz w:val="20"/>
          <w:szCs w:val="20"/>
          <w:lang w:val="en-US"/>
        </w:rPr>
        <w:t xml:space="preserve">, trans. by Clarke, Dillon, </w:t>
      </w:r>
      <w:proofErr w:type="spellStart"/>
      <w:r w:rsidRPr="003B1554">
        <w:rPr>
          <w:sz w:val="20"/>
          <w:szCs w:val="20"/>
          <w:lang w:val="en-US"/>
        </w:rPr>
        <w:t>Hershbell</w:t>
      </w:r>
      <w:proofErr w:type="spellEnd"/>
      <w:r w:rsidRPr="003B1554">
        <w:rPr>
          <w:sz w:val="20"/>
          <w:szCs w:val="20"/>
          <w:lang w:val="en-US"/>
        </w:rPr>
        <w:t>, III.2, p. 121.</w:t>
      </w:r>
    </w:p>
  </w:footnote>
  <w:footnote w:id="34">
    <w:p w14:paraId="345A62A3" w14:textId="77777777" w:rsidR="00D14349" w:rsidRPr="003B1554" w:rsidRDefault="00D14349" w:rsidP="00F47020">
      <w:pPr>
        <w:rPr>
          <w:rFonts w:ascii="Cambria" w:eastAsia="Times New Roman" w:hAnsi="Cambria"/>
          <w:sz w:val="20"/>
          <w:szCs w:val="20"/>
        </w:rPr>
      </w:pPr>
      <w:r w:rsidRPr="003B1554">
        <w:rPr>
          <w:rStyle w:val="FootnoteReference"/>
          <w:rFonts w:ascii="Cambria" w:hAnsi="Cambria"/>
          <w:sz w:val="20"/>
          <w:szCs w:val="20"/>
        </w:rPr>
        <w:footnoteRef/>
      </w:r>
      <w:r w:rsidRPr="003B1554">
        <w:rPr>
          <w:rFonts w:ascii="Cambria" w:hAnsi="Cambria"/>
          <w:sz w:val="20"/>
          <w:szCs w:val="20"/>
        </w:rPr>
        <w:t xml:space="preserve"> </w:t>
      </w:r>
      <w:proofErr w:type="spellStart"/>
      <w:r w:rsidRPr="003B1554">
        <w:rPr>
          <w:rFonts w:ascii="Cambria" w:hAnsi="Cambria"/>
          <w:sz w:val="20"/>
          <w:szCs w:val="20"/>
          <w:lang w:val="en-US"/>
        </w:rPr>
        <w:t>Addey</w:t>
      </w:r>
      <w:proofErr w:type="spellEnd"/>
      <w:r w:rsidRPr="003B1554">
        <w:rPr>
          <w:rFonts w:ascii="Cambria" w:hAnsi="Cambria"/>
          <w:sz w:val="20"/>
          <w:szCs w:val="20"/>
          <w:lang w:val="en-US"/>
        </w:rPr>
        <w:t xml:space="preserve">, </w:t>
      </w:r>
      <w:r w:rsidRPr="003B1554">
        <w:rPr>
          <w:rFonts w:ascii="Cambria" w:hAnsi="Cambria"/>
          <w:i/>
          <w:sz w:val="20"/>
          <w:szCs w:val="20"/>
        </w:rPr>
        <w:t xml:space="preserve">Divination and Theurgy in </w:t>
      </w:r>
      <w:proofErr w:type="spellStart"/>
      <w:r w:rsidRPr="003B1554">
        <w:rPr>
          <w:rFonts w:ascii="Cambria" w:hAnsi="Cambria"/>
          <w:i/>
          <w:sz w:val="20"/>
          <w:szCs w:val="20"/>
        </w:rPr>
        <w:t>Neoplatonism</w:t>
      </w:r>
      <w:proofErr w:type="spellEnd"/>
      <w:r w:rsidRPr="003B1554">
        <w:rPr>
          <w:rFonts w:ascii="Cambria" w:eastAsia="Times New Roman" w:hAnsi="Cambria"/>
          <w:sz w:val="20"/>
          <w:szCs w:val="20"/>
        </w:rPr>
        <w:t xml:space="preserve">, </w:t>
      </w:r>
      <w:r w:rsidRPr="003B1554">
        <w:rPr>
          <w:rFonts w:ascii="Cambria" w:hAnsi="Cambria"/>
          <w:sz w:val="20"/>
          <w:szCs w:val="20"/>
          <w:lang w:val="en-US"/>
        </w:rPr>
        <w:t>p. 262.</w:t>
      </w:r>
    </w:p>
  </w:footnote>
  <w:footnote w:id="35">
    <w:p w14:paraId="0A86C52F" w14:textId="77777777"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proofErr w:type="spellStart"/>
      <w:r w:rsidRPr="003B1554">
        <w:rPr>
          <w:sz w:val="20"/>
          <w:szCs w:val="20"/>
          <w:lang w:val="en-US"/>
        </w:rPr>
        <w:t>Addey</w:t>
      </w:r>
      <w:proofErr w:type="spellEnd"/>
      <w:r w:rsidRPr="003B1554">
        <w:rPr>
          <w:sz w:val="20"/>
          <w:szCs w:val="20"/>
          <w:lang w:val="en-US"/>
        </w:rPr>
        <w:t xml:space="preserve">, </w:t>
      </w:r>
      <w:r w:rsidRPr="003B1554">
        <w:rPr>
          <w:i/>
          <w:sz w:val="20"/>
          <w:szCs w:val="20"/>
        </w:rPr>
        <w:t xml:space="preserve">Divination and Theurgy in </w:t>
      </w:r>
      <w:proofErr w:type="spellStart"/>
      <w:r w:rsidRPr="003B1554">
        <w:rPr>
          <w:i/>
          <w:sz w:val="20"/>
          <w:szCs w:val="20"/>
        </w:rPr>
        <w:t>Neoplatonism</w:t>
      </w:r>
      <w:proofErr w:type="spellEnd"/>
      <w:r w:rsidRPr="003B1554">
        <w:rPr>
          <w:rFonts w:eastAsia="Times New Roman"/>
          <w:sz w:val="20"/>
          <w:szCs w:val="20"/>
        </w:rPr>
        <w:t xml:space="preserve">, </w:t>
      </w:r>
      <w:r w:rsidRPr="003B1554">
        <w:rPr>
          <w:sz w:val="20"/>
          <w:szCs w:val="20"/>
          <w:lang w:val="en-US"/>
        </w:rPr>
        <w:t>p. 263.</w:t>
      </w:r>
    </w:p>
  </w:footnote>
  <w:footnote w:id="36">
    <w:p w14:paraId="6F4757DD" w14:textId="1169A584" w:rsidR="00D14349" w:rsidRPr="003B1554" w:rsidRDefault="00D14349" w:rsidP="00F47020">
      <w:pPr>
        <w:pStyle w:val="FootnoteText"/>
        <w:rPr>
          <w:sz w:val="20"/>
          <w:szCs w:val="20"/>
          <w:lang w:val="en-US"/>
        </w:rPr>
      </w:pPr>
      <w:r w:rsidRPr="003B1554">
        <w:rPr>
          <w:rStyle w:val="FootnoteReference"/>
          <w:sz w:val="20"/>
          <w:szCs w:val="20"/>
        </w:rPr>
        <w:footnoteRef/>
      </w:r>
      <w:r w:rsidRPr="003B1554">
        <w:rPr>
          <w:sz w:val="20"/>
          <w:szCs w:val="20"/>
        </w:rPr>
        <w:t xml:space="preserve"> </w:t>
      </w:r>
      <w:proofErr w:type="spellStart"/>
      <w:r w:rsidRPr="003B1554">
        <w:rPr>
          <w:sz w:val="20"/>
          <w:szCs w:val="20"/>
          <w:lang w:val="en-US"/>
        </w:rPr>
        <w:t>Addey</w:t>
      </w:r>
      <w:proofErr w:type="spellEnd"/>
      <w:r w:rsidRPr="003B1554">
        <w:rPr>
          <w:sz w:val="20"/>
          <w:szCs w:val="20"/>
          <w:lang w:val="en-US"/>
        </w:rPr>
        <w:t xml:space="preserve">, </w:t>
      </w:r>
      <w:r w:rsidRPr="003B1554">
        <w:rPr>
          <w:i/>
          <w:sz w:val="20"/>
          <w:szCs w:val="20"/>
        </w:rPr>
        <w:t xml:space="preserve">Oracles, Dreams and Astrology in Iamblichus’ De </w:t>
      </w:r>
      <w:proofErr w:type="spellStart"/>
      <w:r w:rsidRPr="003B1554">
        <w:rPr>
          <w:i/>
          <w:sz w:val="20"/>
          <w:szCs w:val="20"/>
        </w:rPr>
        <w:t>mysteriis</w:t>
      </w:r>
      <w:proofErr w:type="spellEnd"/>
      <w:r w:rsidRPr="003B1554">
        <w:rPr>
          <w:sz w:val="20"/>
          <w:szCs w:val="20"/>
          <w:lang w:val="en-US"/>
        </w:rPr>
        <w:t>, p. 55.</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1894601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FFFFFFFF"/>
    <w:lvl w:ilvl="0">
      <w:numFmt w:val="decimal"/>
      <w:lvlText w:val="*"/>
      <w:lvlJc w:val="left"/>
    </w:lvl>
  </w:abstractNum>
  <w:abstractNum w:abstractNumId="2">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4505122C"/>
    <w:multiLevelType w:val="hybridMultilevel"/>
    <w:tmpl w:val="BF328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nsid w:val="5A9A16B6"/>
    <w:multiLevelType w:val="hybridMultilevel"/>
    <w:tmpl w:val="1396B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1"/>
  </w:num>
  <w:num w:numId="2">
    <w:abstractNumId w:val="23"/>
  </w:num>
  <w:num w:numId="3">
    <w:abstractNumId w:val="10"/>
  </w:num>
  <w:num w:numId="4">
    <w:abstractNumId w:val="7"/>
  </w:num>
  <w:num w:numId="5">
    <w:abstractNumId w:val="3"/>
  </w:num>
  <w:num w:numId="6">
    <w:abstractNumId w:val="5"/>
  </w:num>
  <w:num w:numId="7">
    <w:abstractNumId w:val="15"/>
  </w:num>
  <w:num w:numId="8">
    <w:abstractNumId w:val="24"/>
  </w:num>
  <w:num w:numId="9">
    <w:abstractNumId w:val="26"/>
  </w:num>
  <w:num w:numId="10">
    <w:abstractNumId w:val="6"/>
  </w:num>
  <w:num w:numId="11">
    <w:abstractNumId w:val="22"/>
  </w:num>
  <w:num w:numId="12">
    <w:abstractNumId w:val="25"/>
  </w:num>
  <w:num w:numId="13">
    <w:abstractNumId w:val="13"/>
  </w:num>
  <w:num w:numId="14">
    <w:abstractNumId w:val="16"/>
  </w:num>
  <w:num w:numId="15">
    <w:abstractNumId w:val="18"/>
  </w:num>
  <w:num w:numId="16">
    <w:abstractNumId w:val="1"/>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1"/>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4"/>
  </w:num>
  <w:num w:numId="20">
    <w:abstractNumId w:val="20"/>
  </w:num>
  <w:num w:numId="21">
    <w:abstractNumId w:val="4"/>
  </w:num>
  <w:num w:numId="22">
    <w:abstractNumId w:val="8"/>
  </w:num>
  <w:num w:numId="23">
    <w:abstractNumId w:val="17"/>
  </w:num>
  <w:num w:numId="24">
    <w:abstractNumId w:val="9"/>
  </w:num>
  <w:num w:numId="25">
    <w:abstractNumId w:val="2"/>
  </w:num>
  <w:num w:numId="26">
    <w:abstractNumId w:val="0"/>
  </w:num>
  <w:num w:numId="27">
    <w:abstractNumId w:val="12"/>
  </w:num>
  <w:num w:numId="2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185F"/>
    <w:rsid w:val="00001C3B"/>
    <w:rsid w:val="00013545"/>
    <w:rsid w:val="00013D65"/>
    <w:rsid w:val="00022345"/>
    <w:rsid w:val="00026363"/>
    <w:rsid w:val="000275E2"/>
    <w:rsid w:val="000307FB"/>
    <w:rsid w:val="00043549"/>
    <w:rsid w:val="00045824"/>
    <w:rsid w:val="00046A16"/>
    <w:rsid w:val="00047074"/>
    <w:rsid w:val="00053CE3"/>
    <w:rsid w:val="00056972"/>
    <w:rsid w:val="00064FE8"/>
    <w:rsid w:val="00067012"/>
    <w:rsid w:val="00076A0B"/>
    <w:rsid w:val="00081FAB"/>
    <w:rsid w:val="00083DE8"/>
    <w:rsid w:val="000854DF"/>
    <w:rsid w:val="00096655"/>
    <w:rsid w:val="000A6D49"/>
    <w:rsid w:val="000A6DA7"/>
    <w:rsid w:val="000B5C18"/>
    <w:rsid w:val="000D1491"/>
    <w:rsid w:val="000D43CF"/>
    <w:rsid w:val="000E3682"/>
    <w:rsid w:val="000E3751"/>
    <w:rsid w:val="000E6A3A"/>
    <w:rsid w:val="000F1DE6"/>
    <w:rsid w:val="000F6873"/>
    <w:rsid w:val="0010199D"/>
    <w:rsid w:val="001070F2"/>
    <w:rsid w:val="00111283"/>
    <w:rsid w:val="0011161A"/>
    <w:rsid w:val="00137F64"/>
    <w:rsid w:val="001422C1"/>
    <w:rsid w:val="001434CC"/>
    <w:rsid w:val="00165047"/>
    <w:rsid w:val="00172497"/>
    <w:rsid w:val="00184D5F"/>
    <w:rsid w:val="001863B6"/>
    <w:rsid w:val="001900EC"/>
    <w:rsid w:val="001903A5"/>
    <w:rsid w:val="001A31E4"/>
    <w:rsid w:val="001A44D2"/>
    <w:rsid w:val="001B2BDF"/>
    <w:rsid w:val="001B633A"/>
    <w:rsid w:val="001C0B52"/>
    <w:rsid w:val="001C4B2D"/>
    <w:rsid w:val="001E0E06"/>
    <w:rsid w:val="001E0EF1"/>
    <w:rsid w:val="001E272B"/>
    <w:rsid w:val="001F4CE1"/>
    <w:rsid w:val="00205AB5"/>
    <w:rsid w:val="002079D2"/>
    <w:rsid w:val="002132DC"/>
    <w:rsid w:val="00215420"/>
    <w:rsid w:val="00215431"/>
    <w:rsid w:val="00216211"/>
    <w:rsid w:val="00222984"/>
    <w:rsid w:val="0022446F"/>
    <w:rsid w:val="00224B95"/>
    <w:rsid w:val="00225DA8"/>
    <w:rsid w:val="00230F35"/>
    <w:rsid w:val="0023619D"/>
    <w:rsid w:val="0025530E"/>
    <w:rsid w:val="00256984"/>
    <w:rsid w:val="002715FA"/>
    <w:rsid w:val="00276002"/>
    <w:rsid w:val="00277421"/>
    <w:rsid w:val="00283991"/>
    <w:rsid w:val="00290783"/>
    <w:rsid w:val="002A17C5"/>
    <w:rsid w:val="002A4954"/>
    <w:rsid w:val="002A6B47"/>
    <w:rsid w:val="002B36F0"/>
    <w:rsid w:val="002C1630"/>
    <w:rsid w:val="002C34DE"/>
    <w:rsid w:val="002C55E9"/>
    <w:rsid w:val="002D2692"/>
    <w:rsid w:val="002D2A04"/>
    <w:rsid w:val="002E2BA0"/>
    <w:rsid w:val="002E67CE"/>
    <w:rsid w:val="002F1475"/>
    <w:rsid w:val="002F467C"/>
    <w:rsid w:val="002F495C"/>
    <w:rsid w:val="00301F2C"/>
    <w:rsid w:val="00305185"/>
    <w:rsid w:val="00305664"/>
    <w:rsid w:val="00307B22"/>
    <w:rsid w:val="003200BD"/>
    <w:rsid w:val="00322F62"/>
    <w:rsid w:val="00326631"/>
    <w:rsid w:val="00331C8E"/>
    <w:rsid w:val="00337A70"/>
    <w:rsid w:val="00341D2F"/>
    <w:rsid w:val="00343266"/>
    <w:rsid w:val="00346FCC"/>
    <w:rsid w:val="00350A1A"/>
    <w:rsid w:val="00351F4B"/>
    <w:rsid w:val="0035429B"/>
    <w:rsid w:val="00361047"/>
    <w:rsid w:val="00367FCA"/>
    <w:rsid w:val="0038342D"/>
    <w:rsid w:val="0039575A"/>
    <w:rsid w:val="003B1554"/>
    <w:rsid w:val="003B21DE"/>
    <w:rsid w:val="003B38BD"/>
    <w:rsid w:val="003B4109"/>
    <w:rsid w:val="003C3F4F"/>
    <w:rsid w:val="003C6605"/>
    <w:rsid w:val="003C7F6F"/>
    <w:rsid w:val="003D6255"/>
    <w:rsid w:val="003E08F3"/>
    <w:rsid w:val="003E7D92"/>
    <w:rsid w:val="003F0AD2"/>
    <w:rsid w:val="003F737B"/>
    <w:rsid w:val="0040732D"/>
    <w:rsid w:val="00422F64"/>
    <w:rsid w:val="004250DD"/>
    <w:rsid w:val="00426110"/>
    <w:rsid w:val="00433433"/>
    <w:rsid w:val="0043758C"/>
    <w:rsid w:val="0044129B"/>
    <w:rsid w:val="00447497"/>
    <w:rsid w:val="0045621D"/>
    <w:rsid w:val="00460A5C"/>
    <w:rsid w:val="004627BA"/>
    <w:rsid w:val="00466948"/>
    <w:rsid w:val="00471C9C"/>
    <w:rsid w:val="004724D6"/>
    <w:rsid w:val="00475C78"/>
    <w:rsid w:val="004A024B"/>
    <w:rsid w:val="004A0E62"/>
    <w:rsid w:val="004A4D31"/>
    <w:rsid w:val="004B38FA"/>
    <w:rsid w:val="004B73BA"/>
    <w:rsid w:val="004C04E0"/>
    <w:rsid w:val="004C79CE"/>
    <w:rsid w:val="004D1B22"/>
    <w:rsid w:val="004D37EF"/>
    <w:rsid w:val="004F5BA0"/>
    <w:rsid w:val="005052FE"/>
    <w:rsid w:val="0051538F"/>
    <w:rsid w:val="00521E0F"/>
    <w:rsid w:val="00526AF8"/>
    <w:rsid w:val="00530A76"/>
    <w:rsid w:val="00531109"/>
    <w:rsid w:val="005322C8"/>
    <w:rsid w:val="00537B4C"/>
    <w:rsid w:val="005429EF"/>
    <w:rsid w:val="00550327"/>
    <w:rsid w:val="0055055C"/>
    <w:rsid w:val="00561B9F"/>
    <w:rsid w:val="005627D4"/>
    <w:rsid w:val="0056365D"/>
    <w:rsid w:val="00565772"/>
    <w:rsid w:val="00575615"/>
    <w:rsid w:val="0058726A"/>
    <w:rsid w:val="00590E9A"/>
    <w:rsid w:val="005942E9"/>
    <w:rsid w:val="005A3CE1"/>
    <w:rsid w:val="005A4E9D"/>
    <w:rsid w:val="005B3481"/>
    <w:rsid w:val="005C5EDC"/>
    <w:rsid w:val="005C6560"/>
    <w:rsid w:val="005F6E29"/>
    <w:rsid w:val="00607D86"/>
    <w:rsid w:val="00610318"/>
    <w:rsid w:val="00630786"/>
    <w:rsid w:val="00632937"/>
    <w:rsid w:val="006367FD"/>
    <w:rsid w:val="006417A7"/>
    <w:rsid w:val="0064350C"/>
    <w:rsid w:val="0065654E"/>
    <w:rsid w:val="00662A40"/>
    <w:rsid w:val="00665C65"/>
    <w:rsid w:val="006805EC"/>
    <w:rsid w:val="00691819"/>
    <w:rsid w:val="00693C4D"/>
    <w:rsid w:val="00696972"/>
    <w:rsid w:val="006A205D"/>
    <w:rsid w:val="006A65E9"/>
    <w:rsid w:val="006B211F"/>
    <w:rsid w:val="006C0A3A"/>
    <w:rsid w:val="006C5E96"/>
    <w:rsid w:val="006D1B9C"/>
    <w:rsid w:val="006E4F24"/>
    <w:rsid w:val="006F7503"/>
    <w:rsid w:val="007071C3"/>
    <w:rsid w:val="00714720"/>
    <w:rsid w:val="00730908"/>
    <w:rsid w:val="00741603"/>
    <w:rsid w:val="00744ACE"/>
    <w:rsid w:val="00751BE2"/>
    <w:rsid w:val="00760BA3"/>
    <w:rsid w:val="00762134"/>
    <w:rsid w:val="007648E5"/>
    <w:rsid w:val="00765417"/>
    <w:rsid w:val="00767E68"/>
    <w:rsid w:val="00770733"/>
    <w:rsid w:val="00773D0E"/>
    <w:rsid w:val="00780E04"/>
    <w:rsid w:val="00783E7B"/>
    <w:rsid w:val="00790E2F"/>
    <w:rsid w:val="007A0116"/>
    <w:rsid w:val="007A1D1D"/>
    <w:rsid w:val="007A5476"/>
    <w:rsid w:val="007B721A"/>
    <w:rsid w:val="007C098A"/>
    <w:rsid w:val="007C0E13"/>
    <w:rsid w:val="007C5BCC"/>
    <w:rsid w:val="007C6F33"/>
    <w:rsid w:val="007D523F"/>
    <w:rsid w:val="007D7715"/>
    <w:rsid w:val="007E1D8F"/>
    <w:rsid w:val="007E20E3"/>
    <w:rsid w:val="0080033D"/>
    <w:rsid w:val="00806026"/>
    <w:rsid w:val="00813F81"/>
    <w:rsid w:val="00822D8E"/>
    <w:rsid w:val="00823895"/>
    <w:rsid w:val="0083442E"/>
    <w:rsid w:val="00840B95"/>
    <w:rsid w:val="0084272E"/>
    <w:rsid w:val="00843248"/>
    <w:rsid w:val="00843DE9"/>
    <w:rsid w:val="0084498C"/>
    <w:rsid w:val="008524F4"/>
    <w:rsid w:val="008538DE"/>
    <w:rsid w:val="00860711"/>
    <w:rsid w:val="00864E6A"/>
    <w:rsid w:val="00881E9C"/>
    <w:rsid w:val="008862A1"/>
    <w:rsid w:val="00892B5B"/>
    <w:rsid w:val="0089447F"/>
    <w:rsid w:val="008A4DCC"/>
    <w:rsid w:val="008B0ED1"/>
    <w:rsid w:val="008B265D"/>
    <w:rsid w:val="008B3A97"/>
    <w:rsid w:val="008C5A10"/>
    <w:rsid w:val="008D03F0"/>
    <w:rsid w:val="008D674F"/>
    <w:rsid w:val="008E525C"/>
    <w:rsid w:val="008E56A8"/>
    <w:rsid w:val="008E5997"/>
    <w:rsid w:val="00900C08"/>
    <w:rsid w:val="00901157"/>
    <w:rsid w:val="00914769"/>
    <w:rsid w:val="00925ED9"/>
    <w:rsid w:val="00927168"/>
    <w:rsid w:val="00927C17"/>
    <w:rsid w:val="009311BE"/>
    <w:rsid w:val="009344BB"/>
    <w:rsid w:val="00944DFD"/>
    <w:rsid w:val="009468A6"/>
    <w:rsid w:val="00952382"/>
    <w:rsid w:val="00963B31"/>
    <w:rsid w:val="00965E47"/>
    <w:rsid w:val="00973B44"/>
    <w:rsid w:val="00975FCD"/>
    <w:rsid w:val="009801D3"/>
    <w:rsid w:val="00984B4E"/>
    <w:rsid w:val="00985D76"/>
    <w:rsid w:val="00987816"/>
    <w:rsid w:val="0099293C"/>
    <w:rsid w:val="009936A5"/>
    <w:rsid w:val="00995DA3"/>
    <w:rsid w:val="009A0657"/>
    <w:rsid w:val="009A3D0A"/>
    <w:rsid w:val="009A576F"/>
    <w:rsid w:val="009A6B8A"/>
    <w:rsid w:val="009B2D10"/>
    <w:rsid w:val="009C01A3"/>
    <w:rsid w:val="009C1A08"/>
    <w:rsid w:val="009C396A"/>
    <w:rsid w:val="009C7EA0"/>
    <w:rsid w:val="009D0E1E"/>
    <w:rsid w:val="009E7213"/>
    <w:rsid w:val="009F2623"/>
    <w:rsid w:val="00A00241"/>
    <w:rsid w:val="00A02C62"/>
    <w:rsid w:val="00A03E8A"/>
    <w:rsid w:val="00A06B94"/>
    <w:rsid w:val="00A2073F"/>
    <w:rsid w:val="00A26F64"/>
    <w:rsid w:val="00A303FE"/>
    <w:rsid w:val="00A41032"/>
    <w:rsid w:val="00A41AF9"/>
    <w:rsid w:val="00A47092"/>
    <w:rsid w:val="00A507E4"/>
    <w:rsid w:val="00A62E68"/>
    <w:rsid w:val="00A67634"/>
    <w:rsid w:val="00A716C1"/>
    <w:rsid w:val="00A745B6"/>
    <w:rsid w:val="00A74FD5"/>
    <w:rsid w:val="00A779AC"/>
    <w:rsid w:val="00A8797D"/>
    <w:rsid w:val="00A955C3"/>
    <w:rsid w:val="00A972E4"/>
    <w:rsid w:val="00A9744A"/>
    <w:rsid w:val="00AA05F1"/>
    <w:rsid w:val="00AA1B29"/>
    <w:rsid w:val="00AB1138"/>
    <w:rsid w:val="00AC36E3"/>
    <w:rsid w:val="00AC6213"/>
    <w:rsid w:val="00AC7DCC"/>
    <w:rsid w:val="00AD5D5A"/>
    <w:rsid w:val="00AE27D3"/>
    <w:rsid w:val="00AE3217"/>
    <w:rsid w:val="00B11E29"/>
    <w:rsid w:val="00B34964"/>
    <w:rsid w:val="00B34EAF"/>
    <w:rsid w:val="00B36F4A"/>
    <w:rsid w:val="00B42501"/>
    <w:rsid w:val="00B45FEF"/>
    <w:rsid w:val="00B462B1"/>
    <w:rsid w:val="00B56E7B"/>
    <w:rsid w:val="00B63C80"/>
    <w:rsid w:val="00B64DA9"/>
    <w:rsid w:val="00B72F46"/>
    <w:rsid w:val="00B81E5D"/>
    <w:rsid w:val="00B918D8"/>
    <w:rsid w:val="00B96983"/>
    <w:rsid w:val="00B9724B"/>
    <w:rsid w:val="00BA3A34"/>
    <w:rsid w:val="00BC17F1"/>
    <w:rsid w:val="00BE338D"/>
    <w:rsid w:val="00BE7B7A"/>
    <w:rsid w:val="00BF22DC"/>
    <w:rsid w:val="00BF2470"/>
    <w:rsid w:val="00BF3D29"/>
    <w:rsid w:val="00BF6291"/>
    <w:rsid w:val="00C03E6C"/>
    <w:rsid w:val="00C129C7"/>
    <w:rsid w:val="00C22A88"/>
    <w:rsid w:val="00C50D70"/>
    <w:rsid w:val="00C65E7F"/>
    <w:rsid w:val="00C81518"/>
    <w:rsid w:val="00C82483"/>
    <w:rsid w:val="00C839C4"/>
    <w:rsid w:val="00C86616"/>
    <w:rsid w:val="00C90302"/>
    <w:rsid w:val="00C93CD4"/>
    <w:rsid w:val="00CA11E8"/>
    <w:rsid w:val="00CA5DAD"/>
    <w:rsid w:val="00CA7880"/>
    <w:rsid w:val="00CB5E37"/>
    <w:rsid w:val="00CC2773"/>
    <w:rsid w:val="00CC52A3"/>
    <w:rsid w:val="00CE1A61"/>
    <w:rsid w:val="00CE3B79"/>
    <w:rsid w:val="00D00BDC"/>
    <w:rsid w:val="00D0754F"/>
    <w:rsid w:val="00D14349"/>
    <w:rsid w:val="00D15F4F"/>
    <w:rsid w:val="00D3145E"/>
    <w:rsid w:val="00D31EE1"/>
    <w:rsid w:val="00D328AB"/>
    <w:rsid w:val="00D429CC"/>
    <w:rsid w:val="00D459DC"/>
    <w:rsid w:val="00D5466C"/>
    <w:rsid w:val="00D54DF9"/>
    <w:rsid w:val="00D55212"/>
    <w:rsid w:val="00D55D89"/>
    <w:rsid w:val="00D56EFA"/>
    <w:rsid w:val="00D63F14"/>
    <w:rsid w:val="00D67BF8"/>
    <w:rsid w:val="00D8483D"/>
    <w:rsid w:val="00DA3217"/>
    <w:rsid w:val="00DA3E0F"/>
    <w:rsid w:val="00DB185F"/>
    <w:rsid w:val="00DB43BB"/>
    <w:rsid w:val="00DD363B"/>
    <w:rsid w:val="00DE54B1"/>
    <w:rsid w:val="00DF01BE"/>
    <w:rsid w:val="00E07E6A"/>
    <w:rsid w:val="00E14D2E"/>
    <w:rsid w:val="00E176DF"/>
    <w:rsid w:val="00E24C68"/>
    <w:rsid w:val="00E25B05"/>
    <w:rsid w:val="00E313E9"/>
    <w:rsid w:val="00E3766D"/>
    <w:rsid w:val="00E46441"/>
    <w:rsid w:val="00E502BA"/>
    <w:rsid w:val="00E57529"/>
    <w:rsid w:val="00E67719"/>
    <w:rsid w:val="00E84F5D"/>
    <w:rsid w:val="00EA1EA6"/>
    <w:rsid w:val="00EB471A"/>
    <w:rsid w:val="00EC7546"/>
    <w:rsid w:val="00F1661E"/>
    <w:rsid w:val="00F2453C"/>
    <w:rsid w:val="00F346BE"/>
    <w:rsid w:val="00F47020"/>
    <w:rsid w:val="00F56A7E"/>
    <w:rsid w:val="00F62732"/>
    <w:rsid w:val="00F66A4A"/>
    <w:rsid w:val="00F73533"/>
    <w:rsid w:val="00F74D8E"/>
    <w:rsid w:val="00F75EB5"/>
    <w:rsid w:val="00F92552"/>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0745795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Note Level 1" w:semiHidden="1" w:uiPriority="99"/>
    <w:lsdException w:name="Note Level 2" w:uiPriority="1" w:qFormat="1"/>
    <w:lsdException w:name="Note Level 3" w:uiPriority="60"/>
    <w:lsdException w:name="Note Level 4" w:uiPriority="61"/>
    <w:lsdException w:name="Note Level 5" w:uiPriority="62"/>
    <w:lsdException w:name="Note Level 6" w:uiPriority="63"/>
    <w:lsdException w:name="Note Level 7" w:uiPriority="64"/>
    <w:lsdException w:name="Note Level 8" w:uiPriority="65"/>
    <w:lsdException w:name="Note Level 9" w:uiPriority="66"/>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semiHidden="1"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semiHidden="1" w:uiPriority="37" w:unhideWhenUsed="1"/>
    <w:lsdException w:name="Colorful Shading Accent 6" w:semiHidden="1" w:uiPriority="39" w:unhideWhenUsed="1"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NoSpacing">
    <w:name w:val="No Spacing"/>
    <w:uiPriority w:val="1"/>
    <w:qFormat/>
    <w:rsid w:val="00F47020"/>
    <w:rPr>
      <w:rFonts w:ascii="Cambria" w:eastAsia="ＭＳ 明朝" w:hAnsi="Cambria"/>
      <w:sz w:val="24"/>
      <w:szCs w:val="24"/>
    </w:rPr>
  </w:style>
  <w:style w:type="paragraph" w:styleId="FootnoteText">
    <w:name w:val="footnote text"/>
    <w:basedOn w:val="Normal"/>
    <w:link w:val="FootnoteTextChar"/>
    <w:uiPriority w:val="99"/>
    <w:unhideWhenUsed/>
    <w:rsid w:val="00F47020"/>
    <w:rPr>
      <w:rFonts w:ascii="Cambria" w:eastAsia="ＭＳ 明朝" w:hAnsi="Cambria"/>
      <w:lang w:eastAsia="en-US"/>
    </w:rPr>
  </w:style>
  <w:style w:type="character" w:customStyle="1" w:styleId="FootnoteTextChar">
    <w:name w:val="Footnote Text Char"/>
    <w:basedOn w:val="DefaultParagraphFont"/>
    <w:link w:val="FootnoteText"/>
    <w:uiPriority w:val="99"/>
    <w:rsid w:val="00F47020"/>
    <w:rPr>
      <w:rFonts w:ascii="Cambria" w:eastAsia="ＭＳ 明朝" w:hAnsi="Cambria"/>
      <w:sz w:val="24"/>
      <w:szCs w:val="24"/>
    </w:rPr>
  </w:style>
  <w:style w:type="character" w:styleId="FootnoteReference">
    <w:name w:val="footnote reference"/>
    <w:uiPriority w:val="99"/>
    <w:unhideWhenUsed/>
    <w:rsid w:val="00F47020"/>
    <w:rPr>
      <w:vertAlign w:val="superscript"/>
    </w:rPr>
  </w:style>
  <w:style w:type="character" w:styleId="Hyperlink">
    <w:name w:val="Hyperlink"/>
    <w:basedOn w:val="DefaultParagraphFont"/>
    <w:uiPriority w:val="99"/>
    <w:unhideWhenUsed/>
    <w:rsid w:val="00367FCA"/>
    <w:rPr>
      <w:color w:val="0000FF"/>
      <w:u w:val="single"/>
    </w:rPr>
  </w:style>
  <w:style w:type="character" w:styleId="Strong">
    <w:name w:val="Strong"/>
    <w:basedOn w:val="DefaultParagraphFont"/>
    <w:qFormat/>
    <w:rsid w:val="003B1554"/>
    <w:rPr>
      <w:b/>
      <w:bCs/>
    </w:rPr>
  </w:style>
  <w:style w:type="paragraph" w:styleId="ListParagraph">
    <w:name w:val="List Paragraph"/>
    <w:basedOn w:val="Normal"/>
    <w:uiPriority w:val="72"/>
    <w:rsid w:val="004D37EF"/>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Note Level 1" w:semiHidden="1" w:uiPriority="99"/>
    <w:lsdException w:name="Note Level 2" w:uiPriority="1" w:qFormat="1"/>
    <w:lsdException w:name="Note Level 3" w:uiPriority="60"/>
    <w:lsdException w:name="Note Level 4" w:uiPriority="61"/>
    <w:lsdException w:name="Note Level 5" w:uiPriority="62"/>
    <w:lsdException w:name="Note Level 6" w:uiPriority="63"/>
    <w:lsdException w:name="Note Level 7" w:uiPriority="64"/>
    <w:lsdException w:name="Note Level 8" w:uiPriority="65"/>
    <w:lsdException w:name="Note Level 9" w:uiPriority="66"/>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semiHidden="1"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semiHidden="1" w:uiPriority="37" w:unhideWhenUsed="1"/>
    <w:lsdException w:name="Colorful Shading Accent 6" w:semiHidden="1" w:uiPriority="39" w:unhideWhenUsed="1"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NoSpacing">
    <w:name w:val="No Spacing"/>
    <w:uiPriority w:val="1"/>
    <w:qFormat/>
    <w:rsid w:val="00F47020"/>
    <w:rPr>
      <w:rFonts w:ascii="Cambria" w:eastAsia="ＭＳ 明朝" w:hAnsi="Cambria"/>
      <w:sz w:val="24"/>
      <w:szCs w:val="24"/>
    </w:rPr>
  </w:style>
  <w:style w:type="paragraph" w:styleId="FootnoteText">
    <w:name w:val="footnote text"/>
    <w:basedOn w:val="Normal"/>
    <w:link w:val="FootnoteTextChar"/>
    <w:uiPriority w:val="99"/>
    <w:unhideWhenUsed/>
    <w:rsid w:val="00F47020"/>
    <w:rPr>
      <w:rFonts w:ascii="Cambria" w:eastAsia="ＭＳ 明朝" w:hAnsi="Cambria"/>
      <w:lang w:eastAsia="en-US"/>
    </w:rPr>
  </w:style>
  <w:style w:type="character" w:customStyle="1" w:styleId="FootnoteTextChar">
    <w:name w:val="Footnote Text Char"/>
    <w:basedOn w:val="DefaultParagraphFont"/>
    <w:link w:val="FootnoteText"/>
    <w:uiPriority w:val="99"/>
    <w:rsid w:val="00F47020"/>
    <w:rPr>
      <w:rFonts w:ascii="Cambria" w:eastAsia="ＭＳ 明朝" w:hAnsi="Cambria"/>
      <w:sz w:val="24"/>
      <w:szCs w:val="24"/>
    </w:rPr>
  </w:style>
  <w:style w:type="character" w:styleId="FootnoteReference">
    <w:name w:val="footnote reference"/>
    <w:uiPriority w:val="99"/>
    <w:unhideWhenUsed/>
    <w:rsid w:val="00F47020"/>
    <w:rPr>
      <w:vertAlign w:val="superscript"/>
    </w:rPr>
  </w:style>
  <w:style w:type="character" w:styleId="Hyperlink">
    <w:name w:val="Hyperlink"/>
    <w:basedOn w:val="DefaultParagraphFont"/>
    <w:uiPriority w:val="99"/>
    <w:unhideWhenUsed/>
    <w:rsid w:val="00367FCA"/>
    <w:rPr>
      <w:color w:val="0000FF"/>
      <w:u w:val="single"/>
    </w:rPr>
  </w:style>
  <w:style w:type="character" w:styleId="Strong">
    <w:name w:val="Strong"/>
    <w:basedOn w:val="DefaultParagraphFont"/>
    <w:qFormat/>
    <w:rsid w:val="003B1554"/>
    <w:rPr>
      <w:b/>
      <w:bCs/>
    </w:rPr>
  </w:style>
  <w:style w:type="paragraph" w:styleId="ListParagraph">
    <w:name w:val="List Paragraph"/>
    <w:basedOn w:val="Normal"/>
    <w:uiPriority w:val="72"/>
    <w:rsid w:val="004D37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3417492">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33918497">
      <w:bodyDiv w:val="1"/>
      <w:marLeft w:val="0"/>
      <w:marRight w:val="0"/>
      <w:marTop w:val="0"/>
      <w:marBottom w:val="0"/>
      <w:divBdr>
        <w:top w:val="none" w:sz="0" w:space="0" w:color="auto"/>
        <w:left w:val="none" w:sz="0" w:space="0" w:color="auto"/>
        <w:bottom w:val="none" w:sz="0" w:space="0" w:color="auto"/>
        <w:right w:val="none" w:sz="0" w:space="0" w:color="auto"/>
      </w:divBdr>
    </w:div>
    <w:div w:id="2035687325">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moodle.uwtsd.ac.uk/pluginfile.php/251498/mod_resource/content/1/Oracles%2C%20Dreams%20and%20Astrology%20in%20Iamblichus%20On%20the%20Mysteries%20%28De%20mysteriis%29.pdf" TargetMode="External"/><Relationship Id="rId12" Type="http://schemas.openxmlformats.org/officeDocument/2006/relationships/hyperlink" Target="https://www.jstor.org/stable/300982" TargetMode="External"/><Relationship Id="rId13" Type="http://schemas.openxmlformats.org/officeDocument/2006/relationships/hyperlink" Target="https://www.jstor.org/stable/3661664" TargetMode="External"/><Relationship Id="rId14" Type="http://schemas.openxmlformats.org/officeDocument/2006/relationships/hyperlink" Target="https://www-oxfordscholarship-com.ezproxy.uwtsd.ac.uk/view/10.1093/acprof:oso/9780198767206.001.0001/acprof-9780198767206-chapter-5" TargetMode="Externa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hyperlink" Target="https://www-dawsonera-com.ezproxy.uwtsd.ac.uk/readonline/9781409451532"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3661664" TargetMode="External"/><Relationship Id="rId4" Type="http://schemas.openxmlformats.org/officeDocument/2006/relationships/hyperlink" Target="https://www-dawsonera-com.ezproxy.uwtsd.ac.uk/readonline/9781409451532" TargetMode="External"/><Relationship Id="rId5" Type="http://schemas.openxmlformats.org/officeDocument/2006/relationships/hyperlink" Target="https://www-oxfordscholarship-com.ezproxy.uwtsd.ac.uk/view/10.1093/acprof:oso/9780198767206.001.0001/acprof-9780198767206-chapter-5" TargetMode="External"/><Relationship Id="rId1" Type="http://schemas.openxmlformats.org/officeDocument/2006/relationships/hyperlink" Target="https://moodle.uwtsd.ac.uk/pluginfile.php/251498/mod_resource/content/1/Oracles%2C%20Dreams%20and%20Astrology%20in%20Iamblichus%20On%20the%20Mysteries%20%28De%20mysteriis%29.pdf" TargetMode="External"/><Relationship Id="rId2" Type="http://schemas.openxmlformats.org/officeDocument/2006/relationships/hyperlink" Target="https://www.jstor.org/stable/3009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407804-8C8E-9A42-A26E-D4FC59DD8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7</Pages>
  <Words>2357</Words>
  <Characters>13436</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15762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Megan John</cp:lastModifiedBy>
  <cp:revision>168</cp:revision>
  <cp:lastPrinted>2019-06-16T10:05:00Z</cp:lastPrinted>
  <dcterms:created xsi:type="dcterms:W3CDTF">2019-06-10T09:15:00Z</dcterms:created>
  <dcterms:modified xsi:type="dcterms:W3CDTF">2019-06-16T17:30:00Z</dcterms:modified>
</cp:coreProperties>
</file>