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rPr>
          <w:u w:val="single"/>
        </w:rPr>
      </w:pPr>
      <w:r w:rsidDel="00000000" w:rsidR="00000000" w:rsidRPr="00000000">
        <w:rPr>
          <w:u w:val="single"/>
          <w:rtl w:val="0"/>
        </w:rPr>
        <w:t xml:space="preserve">How does Chaucer reflect contemporary social disruptions in The Nun's Priest’s  tale and The Pardoner’s Tale and why?</w:t>
      </w:r>
    </w:p>
    <w:p w:rsidR="00000000" w:rsidDel="00000000" w:rsidP="00000000" w:rsidRDefault="00000000" w:rsidRPr="00000000" w14:paraId="00000001">
      <w:pPr>
        <w:spacing w:line="480" w:lineRule="auto"/>
        <w:contextualSpacing w:val="0"/>
        <w:rPr/>
      </w:pPr>
      <w:r w:rsidDel="00000000" w:rsidR="00000000" w:rsidRPr="00000000">
        <w:rPr>
          <w:rtl w:val="0"/>
        </w:rPr>
      </w:r>
    </w:p>
    <w:p w:rsidR="00000000" w:rsidDel="00000000" w:rsidP="00000000" w:rsidRDefault="00000000" w:rsidRPr="00000000" w14:paraId="00000002">
      <w:pPr>
        <w:spacing w:line="480" w:lineRule="auto"/>
        <w:contextualSpacing w:val="0"/>
        <w:rPr/>
      </w:pPr>
      <w:r w:rsidDel="00000000" w:rsidR="00000000" w:rsidRPr="00000000">
        <w:rPr>
          <w:rtl w:val="0"/>
        </w:rPr>
        <w:t xml:space="preserve">Geoffrey Chaucer lived during a great time of social disruption during the Medieval period. This is because not only did he live though the plague or Black Death but he would have also witnessed the Rising of 1381 in London. This essay is going to examine how the Nun’s Priest’s Tale and The Pardoner’s tale reflect the Black Death and the rising as well as the effects of such events on Chaucer’s contemporary society. Firstly we shall compare Chaucer’s representation of the rising to his contemporaries such as John Gower. After which we are going to look into how Chaucer shows social inequality through the way in which he portrays Peasant class and compares them to the aristocracy. We will also consider the religious element of the plague shown in the Pardoner's Tale because they believed that the plague was sent to punish men. Finally we shall examine why Chaucer set the Pardoner’s Tale during the plague and how successfully he portrays Medieval society at this time through the tale.</w:t>
      </w:r>
    </w:p>
    <w:p w:rsidR="00000000" w:rsidDel="00000000" w:rsidP="00000000" w:rsidRDefault="00000000" w:rsidRPr="00000000" w14:paraId="00000003">
      <w:pPr>
        <w:spacing w:line="480" w:lineRule="auto"/>
        <w:contextualSpacing w:val="0"/>
        <w:rPr/>
      </w:pPr>
      <w:r w:rsidDel="00000000" w:rsidR="00000000" w:rsidRPr="00000000">
        <w:rPr>
          <w:rtl w:val="0"/>
        </w:rPr>
      </w:r>
    </w:p>
    <w:p w:rsidR="00000000" w:rsidDel="00000000" w:rsidP="00000000" w:rsidRDefault="00000000" w:rsidRPr="00000000" w14:paraId="00000004">
      <w:pPr>
        <w:spacing w:line="480" w:lineRule="auto"/>
        <w:contextualSpacing w:val="0"/>
        <w:rPr/>
      </w:pPr>
      <w:r w:rsidDel="00000000" w:rsidR="00000000" w:rsidRPr="00000000">
        <w:rPr>
          <w:rtl w:val="0"/>
        </w:rPr>
        <w:t xml:space="preserve">The 1381 Rising was frequently referred to as the Peasants Revolt even though many people involved were not Peasant’s.</w:t>
      </w:r>
      <w:r w:rsidDel="00000000" w:rsidR="00000000" w:rsidRPr="00000000">
        <w:rPr>
          <w:vertAlign w:val="superscript"/>
        </w:rPr>
        <w:footnoteReference w:customMarkFollows="0" w:id="0"/>
      </w:r>
      <w:r w:rsidDel="00000000" w:rsidR="00000000" w:rsidRPr="00000000">
        <w:rPr>
          <w:rtl w:val="0"/>
        </w:rPr>
        <w:t xml:space="preserve"> As Barr writes “ the Social composition of the rebels compromised significant number of artisans and tradesmen”</w:t>
      </w:r>
      <w:r w:rsidDel="00000000" w:rsidR="00000000" w:rsidRPr="00000000">
        <w:rPr>
          <w:vertAlign w:val="superscript"/>
        </w:rPr>
        <w:footnoteReference w:customMarkFollows="0" w:id="1"/>
      </w:r>
      <w:r w:rsidDel="00000000" w:rsidR="00000000" w:rsidRPr="00000000">
        <w:rPr>
          <w:rtl w:val="0"/>
        </w:rPr>
        <w:t xml:space="preserve"> even some people from the “lower gentry”.</w:t>
      </w:r>
      <w:r w:rsidDel="00000000" w:rsidR="00000000" w:rsidRPr="00000000">
        <w:rPr>
          <w:vertAlign w:val="superscript"/>
        </w:rPr>
        <w:footnoteReference w:customMarkFollows="0" w:id="2"/>
      </w:r>
      <w:r w:rsidDel="00000000" w:rsidR="00000000" w:rsidRPr="00000000">
        <w:rPr>
          <w:rtl w:val="0"/>
        </w:rPr>
        <w:t xml:space="preserve"> The reason for this common misconception about the 1381 Rising was that the rebels were “characterized by the Chroniclers as “peasants” and “rustics””.</w:t>
      </w:r>
      <w:r w:rsidDel="00000000" w:rsidR="00000000" w:rsidRPr="00000000">
        <w:rPr>
          <w:vertAlign w:val="superscript"/>
        </w:rPr>
        <w:footnoteReference w:customMarkFollows="0" w:id="3"/>
      </w:r>
      <w:r w:rsidDel="00000000" w:rsidR="00000000" w:rsidRPr="00000000">
        <w:rPr>
          <w:rtl w:val="0"/>
        </w:rPr>
        <w:t xml:space="preserve"> This is because Gower call’s them “rustici”</w:t>
      </w:r>
      <w:r w:rsidDel="00000000" w:rsidR="00000000" w:rsidRPr="00000000">
        <w:rPr>
          <w:vertAlign w:val="superscript"/>
        </w:rPr>
        <w:footnoteReference w:customMarkFollows="0" w:id="4"/>
      </w:r>
      <w:r w:rsidDel="00000000" w:rsidR="00000000" w:rsidRPr="00000000">
        <w:rPr>
          <w:rtl w:val="0"/>
        </w:rPr>
        <w:t xml:space="preserve"> whilst Walsingham in his account refers to them as “bondes”</w:t>
      </w:r>
      <w:r w:rsidDel="00000000" w:rsidR="00000000" w:rsidRPr="00000000">
        <w:rPr>
          <w:vertAlign w:val="superscript"/>
        </w:rPr>
        <w:footnoteReference w:customMarkFollows="0" w:id="5"/>
      </w:r>
      <w:r w:rsidDel="00000000" w:rsidR="00000000" w:rsidRPr="00000000">
        <w:rPr>
          <w:rtl w:val="0"/>
        </w:rPr>
        <w:t xml:space="preserve"> and “the most abject of Peasants”.</w:t>
      </w:r>
      <w:r w:rsidDel="00000000" w:rsidR="00000000" w:rsidRPr="00000000">
        <w:rPr>
          <w:vertAlign w:val="superscript"/>
        </w:rPr>
        <w:footnoteReference w:customMarkFollows="0" w:id="6"/>
      </w:r>
      <w:r w:rsidDel="00000000" w:rsidR="00000000" w:rsidRPr="00000000">
        <w:rPr>
          <w:rtl w:val="0"/>
        </w:rPr>
        <w:t xml:space="preserve"> The reason writers like Gower and Walsingham portrayed the rebels as Peasants was because they did not want to be associated with the rebels and they were trying to “put as much social distance as possible between themselves and those who took part in the revolt”.</w:t>
      </w:r>
      <w:r w:rsidDel="00000000" w:rsidR="00000000" w:rsidRPr="00000000">
        <w:rPr>
          <w:vertAlign w:val="superscript"/>
        </w:rPr>
        <w:footnoteReference w:customMarkFollows="0" w:id="7"/>
      </w:r>
      <w:r w:rsidDel="00000000" w:rsidR="00000000" w:rsidRPr="00000000">
        <w:rPr>
          <w:rtl w:val="0"/>
        </w:rPr>
        <w:t xml:space="preserve"> </w:t>
      </w:r>
    </w:p>
    <w:p w:rsidR="00000000" w:rsidDel="00000000" w:rsidP="00000000" w:rsidRDefault="00000000" w:rsidRPr="00000000" w14:paraId="00000005">
      <w:pPr>
        <w:spacing w:line="480" w:lineRule="auto"/>
        <w:contextualSpacing w:val="0"/>
        <w:rPr/>
      </w:pPr>
      <w:r w:rsidDel="00000000" w:rsidR="00000000" w:rsidRPr="00000000">
        <w:rPr>
          <w:rtl w:val="0"/>
        </w:rPr>
      </w:r>
    </w:p>
    <w:p w:rsidR="00000000" w:rsidDel="00000000" w:rsidP="00000000" w:rsidRDefault="00000000" w:rsidRPr="00000000" w14:paraId="00000006">
      <w:pPr>
        <w:spacing w:line="480" w:lineRule="auto"/>
        <w:contextualSpacing w:val="0"/>
        <w:rPr/>
      </w:pPr>
      <w:r w:rsidDel="00000000" w:rsidR="00000000" w:rsidRPr="00000000">
        <w:rPr>
          <w:rtl w:val="0"/>
        </w:rPr>
        <w:t xml:space="preserve">There is only one reference to the Rising in Chaucer which is during the chase scene where the Peasants are chasing the fox. The chase is reminiscent of the rising because it “aesthetically mirrors the mayhem of the revolt”.</w:t>
      </w:r>
      <w:r w:rsidDel="00000000" w:rsidR="00000000" w:rsidRPr="00000000">
        <w:rPr>
          <w:vertAlign w:val="superscript"/>
        </w:rPr>
        <w:footnoteReference w:customMarkFollows="0" w:id="8"/>
      </w:r>
      <w:r w:rsidDel="00000000" w:rsidR="00000000" w:rsidRPr="00000000">
        <w:rPr>
          <w:rtl w:val="0"/>
        </w:rPr>
        <w:t xml:space="preserve"> This can be shown through the similarities in the description of the chase and the representation of the Rebels in other contemporary accounts such as John Gowers Vox Clamantis. </w:t>
      </w:r>
      <w:r w:rsidDel="00000000" w:rsidR="00000000" w:rsidRPr="00000000">
        <w:rPr>
          <w:vertAlign w:val="superscript"/>
        </w:rPr>
        <w:footnoteReference w:customMarkFollows="0" w:id="9"/>
      </w:r>
      <w:r w:rsidDel="00000000" w:rsidR="00000000" w:rsidRPr="00000000">
        <w:rPr>
          <w:rtl w:val="0"/>
        </w:rPr>
        <w:t xml:space="preserve"> Barr writes that “the noise, unruliness mayhem and animal behaviour”</w:t>
      </w:r>
      <w:r w:rsidDel="00000000" w:rsidR="00000000" w:rsidRPr="00000000">
        <w:rPr>
          <w:vertAlign w:val="superscript"/>
        </w:rPr>
        <w:footnoteReference w:customMarkFollows="0" w:id="10"/>
      </w:r>
      <w:r w:rsidDel="00000000" w:rsidR="00000000" w:rsidRPr="00000000">
        <w:rPr>
          <w:rtl w:val="0"/>
        </w:rPr>
        <w:t xml:space="preserve">, characterized other contemporary treatments of the Rising.</w:t>
      </w:r>
      <w:r w:rsidDel="00000000" w:rsidR="00000000" w:rsidRPr="00000000">
        <w:rPr>
          <w:vertAlign w:val="superscript"/>
        </w:rPr>
        <w:footnoteReference w:customMarkFollows="0" w:id="11"/>
      </w:r>
      <w:r w:rsidDel="00000000" w:rsidR="00000000" w:rsidRPr="00000000">
        <w:rPr>
          <w:rtl w:val="0"/>
        </w:rPr>
        <w:t xml:space="preserve"> The same can be seen in the passage where the Peasants are chasing the fox in the The Nun’s Priest’s Tale “The shoutyng of the men and wommen eeke”</w:t>
      </w:r>
      <w:r w:rsidDel="00000000" w:rsidR="00000000" w:rsidRPr="00000000">
        <w:rPr>
          <w:vertAlign w:val="superscript"/>
        </w:rPr>
        <w:footnoteReference w:customMarkFollows="0" w:id="12"/>
      </w:r>
      <w:r w:rsidDel="00000000" w:rsidR="00000000" w:rsidRPr="00000000">
        <w:rPr>
          <w:rtl w:val="0"/>
        </w:rPr>
        <w:t xml:space="preserve">, “So hydous was the noyse”</w:t>
      </w:r>
      <w:r w:rsidDel="00000000" w:rsidR="00000000" w:rsidRPr="00000000">
        <w:rPr>
          <w:vertAlign w:val="superscript"/>
        </w:rPr>
        <w:footnoteReference w:customMarkFollows="0" w:id="13"/>
      </w:r>
      <w:r w:rsidDel="00000000" w:rsidR="00000000" w:rsidRPr="00000000">
        <w:rPr>
          <w:rtl w:val="0"/>
        </w:rPr>
        <w:t xml:space="preserve">, “They yolleden as feendes doon in helle”.</w:t>
      </w:r>
      <w:r w:rsidDel="00000000" w:rsidR="00000000" w:rsidRPr="00000000">
        <w:rPr>
          <w:vertAlign w:val="superscript"/>
        </w:rPr>
        <w:footnoteReference w:customMarkFollows="0" w:id="14"/>
      </w:r>
      <w:r w:rsidDel="00000000" w:rsidR="00000000" w:rsidRPr="00000000">
        <w:rPr>
          <w:rtl w:val="0"/>
        </w:rPr>
        <w:t xml:space="preserve"> Chaucer makes the reference to the Rising even clearer when he refers to Jack and Straw, and the killing of the Flemish “Jakke Straw and his meynee/ Ne made nevere shoutes half so shrile/ Whan that they wolden any Flemyng Kille”</w:t>
      </w:r>
      <w:r w:rsidDel="00000000" w:rsidR="00000000" w:rsidRPr="00000000">
        <w:rPr>
          <w:vertAlign w:val="superscript"/>
        </w:rPr>
        <w:footnoteReference w:customMarkFollows="0" w:id="15"/>
      </w:r>
      <w:r w:rsidDel="00000000" w:rsidR="00000000" w:rsidRPr="00000000">
        <w:rPr>
          <w:rtl w:val="0"/>
        </w:rPr>
        <w:t xml:space="preserve"> </w:t>
      </w:r>
    </w:p>
    <w:p w:rsidR="00000000" w:rsidDel="00000000" w:rsidP="00000000" w:rsidRDefault="00000000" w:rsidRPr="00000000" w14:paraId="00000007">
      <w:pPr>
        <w:spacing w:line="480" w:lineRule="auto"/>
        <w:contextualSpacing w:val="0"/>
        <w:rPr/>
      </w:pPr>
      <w:r w:rsidDel="00000000" w:rsidR="00000000" w:rsidRPr="00000000">
        <w:rPr>
          <w:rtl w:val="0"/>
        </w:rPr>
      </w:r>
    </w:p>
    <w:p w:rsidR="00000000" w:rsidDel="00000000" w:rsidP="00000000" w:rsidRDefault="00000000" w:rsidRPr="00000000" w14:paraId="00000008">
      <w:pPr>
        <w:spacing w:line="480" w:lineRule="auto"/>
        <w:contextualSpacing w:val="0"/>
        <w:rPr/>
      </w:pPr>
      <w:r w:rsidDel="00000000" w:rsidR="00000000" w:rsidRPr="00000000">
        <w:rPr>
          <w:rtl w:val="0"/>
        </w:rPr>
        <w:t xml:space="preserve">Airdar writes that Chaucer may have been “criticising John Gower’s use of the beast fable in Vox Clamantis to dehumanize the rebels of 1381”.</w:t>
      </w:r>
      <w:r w:rsidDel="00000000" w:rsidR="00000000" w:rsidRPr="00000000">
        <w:rPr>
          <w:vertAlign w:val="superscript"/>
        </w:rPr>
        <w:footnoteReference w:customMarkFollows="0" w:id="16"/>
      </w:r>
      <w:r w:rsidDel="00000000" w:rsidR="00000000" w:rsidRPr="00000000">
        <w:rPr>
          <w:rtl w:val="0"/>
        </w:rPr>
        <w:t xml:space="preserve"> This can be shown through the way in which the chase scene is similar to scenes of bestial chaos in the Knight's tale when Palamon and Arcite are fighting.</w:t>
      </w:r>
      <w:r w:rsidDel="00000000" w:rsidR="00000000" w:rsidRPr="00000000">
        <w:rPr>
          <w:vertAlign w:val="superscript"/>
        </w:rPr>
        <w:footnoteReference w:customMarkFollows="0" w:id="17"/>
      </w:r>
      <w:r w:rsidDel="00000000" w:rsidR="00000000" w:rsidRPr="00000000">
        <w:rPr>
          <w:rtl w:val="0"/>
        </w:rPr>
        <w:t xml:space="preserve"> Whereas in the Knight's tale Palamon and Arcite are being likened to wild beasts whereas  in The Nun’s Priest’s Tale the animals are intermingled with the Peasants during the chase scene “Ran cow and calfe, and eek the verray hogges”.</w:t>
      </w:r>
      <w:r w:rsidDel="00000000" w:rsidR="00000000" w:rsidRPr="00000000">
        <w:rPr>
          <w:vertAlign w:val="superscript"/>
        </w:rPr>
        <w:footnoteReference w:customMarkFollows="0" w:id="18"/>
      </w:r>
      <w:r w:rsidDel="00000000" w:rsidR="00000000" w:rsidRPr="00000000">
        <w:rPr>
          <w:rtl w:val="0"/>
        </w:rPr>
        <w:t xml:space="preserve">  One of the main differences between Chaucer’s account of the rising and other accounts was that Chaucers Canterbury Tales were not written in Latin or French but the Vernacular.</w:t>
      </w:r>
      <w:r w:rsidDel="00000000" w:rsidR="00000000" w:rsidRPr="00000000">
        <w:rPr>
          <w:vertAlign w:val="superscript"/>
        </w:rPr>
        <w:footnoteReference w:customMarkFollows="0" w:id="19"/>
      </w:r>
      <w:r w:rsidDel="00000000" w:rsidR="00000000" w:rsidRPr="00000000">
        <w:rPr>
          <w:rtl w:val="0"/>
        </w:rPr>
        <w:t xml:space="preserve"> This meant that Chaucer did not “obtain the same kind of narrative distance from the rebels”</w:t>
      </w:r>
      <w:r w:rsidDel="00000000" w:rsidR="00000000" w:rsidRPr="00000000">
        <w:rPr>
          <w:vertAlign w:val="superscript"/>
        </w:rPr>
        <w:footnoteReference w:customMarkFollows="0" w:id="20"/>
      </w:r>
      <w:r w:rsidDel="00000000" w:rsidR="00000000" w:rsidRPr="00000000">
        <w:rPr>
          <w:rtl w:val="0"/>
        </w:rPr>
        <w:t xml:space="preserve"> which might have made Chaucer's account more relatable.</w:t>
      </w:r>
    </w:p>
    <w:p w:rsidR="00000000" w:rsidDel="00000000" w:rsidP="00000000" w:rsidRDefault="00000000" w:rsidRPr="00000000" w14:paraId="00000009">
      <w:pPr>
        <w:spacing w:line="480" w:lineRule="auto"/>
        <w:contextualSpacing w:val="0"/>
        <w:rPr/>
      </w:pPr>
      <w:r w:rsidDel="00000000" w:rsidR="00000000" w:rsidRPr="00000000">
        <w:rPr>
          <w:rtl w:val="0"/>
        </w:rPr>
      </w:r>
    </w:p>
    <w:p w:rsidR="00000000" w:rsidDel="00000000" w:rsidP="00000000" w:rsidRDefault="00000000" w:rsidRPr="00000000" w14:paraId="0000000A">
      <w:pPr>
        <w:spacing w:line="480" w:lineRule="auto"/>
        <w:contextualSpacing w:val="0"/>
        <w:rPr/>
      </w:pPr>
      <w:r w:rsidDel="00000000" w:rsidR="00000000" w:rsidRPr="00000000">
        <w:rPr>
          <w:rtl w:val="0"/>
        </w:rPr>
        <w:t xml:space="preserve">Chaucer shows the class inequality between the Peasant and aristocratic class in the Nun’s Priest’s Tale through his description of the widow at the beginning of the tale. One of the ways in which this can be shown is through the difference in the description of the “povre wydwe”</w:t>
      </w:r>
      <w:r w:rsidDel="00000000" w:rsidR="00000000" w:rsidRPr="00000000">
        <w:rPr>
          <w:vertAlign w:val="superscript"/>
        </w:rPr>
        <w:footnoteReference w:customMarkFollows="0" w:id="21"/>
      </w:r>
      <w:r w:rsidDel="00000000" w:rsidR="00000000" w:rsidRPr="00000000">
        <w:rPr>
          <w:rtl w:val="0"/>
        </w:rPr>
        <w:t xml:space="preserve"> and the Prioress. Whilst the Prioress’ description is about everything that she does have the Widow is described through what she doesn't.</w:t>
      </w:r>
      <w:r w:rsidDel="00000000" w:rsidR="00000000" w:rsidRPr="00000000">
        <w:rPr>
          <w:vertAlign w:val="superscript"/>
        </w:rPr>
        <w:footnoteReference w:customMarkFollows="0" w:id="22"/>
      </w:r>
      <w:r w:rsidDel="00000000" w:rsidR="00000000" w:rsidRPr="00000000">
        <w:rPr>
          <w:rtl w:val="0"/>
        </w:rPr>
        <w:t xml:space="preserve"> The Prioress “leet no morsel from hir lippes falle”</w:t>
      </w:r>
      <w:r w:rsidDel="00000000" w:rsidR="00000000" w:rsidRPr="00000000">
        <w:rPr>
          <w:vertAlign w:val="superscript"/>
        </w:rPr>
        <w:footnoteReference w:customMarkFollows="0" w:id="23"/>
      </w:r>
      <w:r w:rsidDel="00000000" w:rsidR="00000000" w:rsidRPr="00000000">
        <w:rPr>
          <w:rtl w:val="0"/>
        </w:rPr>
        <w:t xml:space="preserve"> and “Wel koude she carie a morsel”</w:t>
      </w:r>
      <w:r w:rsidDel="00000000" w:rsidR="00000000" w:rsidRPr="00000000">
        <w:rPr>
          <w:vertAlign w:val="superscript"/>
        </w:rPr>
        <w:footnoteReference w:customMarkFollows="0" w:id="24"/>
      </w:r>
      <w:r w:rsidDel="00000000" w:rsidR="00000000" w:rsidRPr="00000000">
        <w:rPr>
          <w:rtl w:val="0"/>
        </w:rPr>
        <w:t xml:space="preserve">. Whereas with the poor widow “No deyntee morsel passed thurgh hir throte”.</w:t>
      </w:r>
      <w:r w:rsidDel="00000000" w:rsidR="00000000" w:rsidRPr="00000000">
        <w:rPr>
          <w:vertAlign w:val="superscript"/>
        </w:rPr>
        <w:footnoteReference w:customMarkFollows="0" w:id="25"/>
      </w:r>
      <w:r w:rsidDel="00000000" w:rsidR="00000000" w:rsidRPr="00000000">
        <w:rPr>
          <w:rtl w:val="0"/>
        </w:rPr>
        <w:t xml:space="preserve"> This direct comparison between the diet of the Prioress and Widow shows the social inequalities of the time which is shown yet again by the way that the Widow eats “broun breed”</w:t>
      </w:r>
      <w:r w:rsidDel="00000000" w:rsidR="00000000" w:rsidRPr="00000000">
        <w:rPr>
          <w:vertAlign w:val="superscript"/>
        </w:rPr>
        <w:footnoteReference w:customMarkFollows="0" w:id="26"/>
      </w:r>
      <w:r w:rsidDel="00000000" w:rsidR="00000000" w:rsidRPr="00000000">
        <w:rPr>
          <w:rtl w:val="0"/>
        </w:rPr>
        <w:t xml:space="preserve"> whereas the Prioress gives white bread to her dogs.</w:t>
      </w:r>
      <w:r w:rsidDel="00000000" w:rsidR="00000000" w:rsidRPr="00000000">
        <w:rPr>
          <w:vertAlign w:val="superscript"/>
        </w:rPr>
        <w:footnoteReference w:customMarkFollows="0" w:id="27"/>
      </w:r>
      <w:r w:rsidDel="00000000" w:rsidR="00000000" w:rsidRPr="00000000">
        <w:rPr>
          <w:rtl w:val="0"/>
        </w:rPr>
        <w:t xml:space="preserve"> Fehrenbacher writes that the widow is the “idealization of honest and contended poverty”</w:t>
      </w:r>
      <w:r w:rsidDel="00000000" w:rsidR="00000000" w:rsidRPr="00000000">
        <w:rPr>
          <w:vertAlign w:val="superscript"/>
        </w:rPr>
        <w:footnoteReference w:customMarkFollows="0" w:id="28"/>
      </w:r>
      <w:r w:rsidDel="00000000" w:rsidR="00000000" w:rsidRPr="00000000">
        <w:rPr>
          <w:rtl w:val="0"/>
        </w:rPr>
        <w:t xml:space="preserve"> because although she was poor “In pacience ladde a ful symple lyf”.</w:t>
      </w:r>
      <w:r w:rsidDel="00000000" w:rsidR="00000000" w:rsidRPr="00000000">
        <w:rPr>
          <w:vertAlign w:val="superscript"/>
        </w:rPr>
        <w:footnoteReference w:customMarkFollows="0" w:id="29"/>
      </w:r>
      <w:r w:rsidDel="00000000" w:rsidR="00000000" w:rsidRPr="00000000">
        <w:rPr>
          <w:rtl w:val="0"/>
        </w:rPr>
        <w:t xml:space="preserve"> This suggests that even though she was poor she may still have been happy. The description of the Prioress who is described as being greedy compared to the widow who lives a frugal life could point out not only show the class inequality but might also be criticizing the church because the Prioress is living a life of luxury.</w:t>
      </w:r>
    </w:p>
    <w:p w:rsidR="00000000" w:rsidDel="00000000" w:rsidP="00000000" w:rsidRDefault="00000000" w:rsidRPr="00000000" w14:paraId="0000000B">
      <w:pPr>
        <w:spacing w:line="480" w:lineRule="auto"/>
        <w:contextualSpacing w:val="0"/>
        <w:rPr/>
      </w:pPr>
      <w:r w:rsidDel="00000000" w:rsidR="00000000" w:rsidRPr="00000000">
        <w:rPr>
          <w:rtl w:val="0"/>
        </w:rPr>
      </w:r>
    </w:p>
    <w:p w:rsidR="00000000" w:rsidDel="00000000" w:rsidP="00000000" w:rsidRDefault="00000000" w:rsidRPr="00000000" w14:paraId="0000000C">
      <w:pPr>
        <w:spacing w:line="480" w:lineRule="auto"/>
        <w:contextualSpacing w:val="0"/>
        <w:rPr/>
      </w:pPr>
      <w:r w:rsidDel="00000000" w:rsidR="00000000" w:rsidRPr="00000000">
        <w:rPr>
          <w:rtl w:val="0"/>
        </w:rPr>
        <w:t xml:space="preserve">It is also possible to compare the widow to her chickens most notably Chaunticleer. Chaunticleer who was one of the Widows chickens is described as being very flamboyant and colorful “His coomb was redder than the fyn”</w:t>
      </w:r>
      <w:r w:rsidDel="00000000" w:rsidR="00000000" w:rsidRPr="00000000">
        <w:rPr>
          <w:vertAlign w:val="superscript"/>
        </w:rPr>
        <w:footnoteReference w:customMarkFollows="0" w:id="30"/>
      </w:r>
      <w:r w:rsidDel="00000000" w:rsidR="00000000" w:rsidRPr="00000000">
        <w:rPr>
          <w:rtl w:val="0"/>
        </w:rPr>
        <w:t xml:space="preserve"> and also “lyk the burned gold was his colour”.</w:t>
      </w:r>
      <w:r w:rsidDel="00000000" w:rsidR="00000000" w:rsidRPr="00000000">
        <w:rPr>
          <w:vertAlign w:val="superscript"/>
        </w:rPr>
        <w:footnoteReference w:customMarkFollows="0" w:id="31"/>
      </w:r>
      <w:r w:rsidDel="00000000" w:rsidR="00000000" w:rsidRPr="00000000">
        <w:rPr>
          <w:rtl w:val="0"/>
        </w:rPr>
        <w:t xml:space="preserve"> The description of Chaunticleer portrays him as being aristocratic because of all the bright colours and also only the aristocracy could wear red during the Medieval period. Fehrenbacher writes that the difference between the description of the Widow and Chaunitcleer  provides a “stark contrast between the drab world of the widow and the brilliant apparition of Chaunticleer”.</w:t>
      </w:r>
      <w:r w:rsidDel="00000000" w:rsidR="00000000" w:rsidRPr="00000000">
        <w:rPr>
          <w:vertAlign w:val="superscript"/>
        </w:rPr>
        <w:footnoteReference w:customMarkFollows="0" w:id="32"/>
      </w:r>
      <w:r w:rsidDel="00000000" w:rsidR="00000000" w:rsidRPr="00000000">
        <w:rPr>
          <w:rtl w:val="0"/>
        </w:rPr>
        <w:t xml:space="preserve"> The way in which Chaunticleer is portrayed by Chaucer makes him seem a member of the aristocracy and the Peasant class this is because the Chickens are “peasant property who are also figured as members of the aristocracy”.</w:t>
      </w:r>
      <w:r w:rsidDel="00000000" w:rsidR="00000000" w:rsidRPr="00000000">
        <w:rPr>
          <w:vertAlign w:val="superscript"/>
        </w:rPr>
        <w:footnoteReference w:customMarkFollows="0" w:id="33"/>
      </w:r>
      <w:r w:rsidDel="00000000" w:rsidR="00000000" w:rsidRPr="00000000">
        <w:rPr>
          <w:rtl w:val="0"/>
        </w:rPr>
        <w:t xml:space="preserve">  Comparing the description of the Widow to the Prioress and Chanticleer shows that there was great class inequality during Chaucer's time which may have helped to lead to the Rising of 1381.</w:t>
      </w:r>
    </w:p>
    <w:p w:rsidR="00000000" w:rsidDel="00000000" w:rsidP="00000000" w:rsidRDefault="00000000" w:rsidRPr="00000000" w14:paraId="0000000D">
      <w:pPr>
        <w:spacing w:line="480" w:lineRule="auto"/>
        <w:contextualSpacing w:val="0"/>
        <w:rPr/>
      </w:pPr>
      <w:r w:rsidDel="00000000" w:rsidR="00000000" w:rsidRPr="00000000">
        <w:rPr>
          <w:rtl w:val="0"/>
        </w:rPr>
      </w:r>
    </w:p>
    <w:p w:rsidR="00000000" w:rsidDel="00000000" w:rsidP="00000000" w:rsidRDefault="00000000" w:rsidRPr="00000000" w14:paraId="0000000E">
      <w:pPr>
        <w:spacing w:line="480" w:lineRule="auto"/>
        <w:contextualSpacing w:val="0"/>
        <w:rPr/>
      </w:pPr>
      <w:r w:rsidDel="00000000" w:rsidR="00000000" w:rsidRPr="00000000">
        <w:rPr>
          <w:rtl w:val="0"/>
        </w:rPr>
        <w:t xml:space="preserve">The description of the widow at the beginning of The Nun’s Priest’s Tale makes it possible to view the passage where the peasants are chasing the fox in a different way. Both the chicken Chanticleer and the fox are “fashioned as members of the aristocracy”</w:t>
      </w:r>
      <w:r w:rsidDel="00000000" w:rsidR="00000000" w:rsidRPr="00000000">
        <w:rPr>
          <w:vertAlign w:val="superscript"/>
        </w:rPr>
        <w:footnoteReference w:customMarkFollows="0" w:id="34"/>
      </w:r>
      <w:r w:rsidDel="00000000" w:rsidR="00000000" w:rsidRPr="00000000">
        <w:rPr>
          <w:rtl w:val="0"/>
        </w:rPr>
        <w:t xml:space="preserve">, because of the chaos at the end of the tale could “signal the anarchy of that social upheaval reminiscent of the slaughterous actions of the 1381 rebels”.</w:t>
      </w:r>
      <w:r w:rsidDel="00000000" w:rsidR="00000000" w:rsidRPr="00000000">
        <w:rPr>
          <w:vertAlign w:val="superscript"/>
        </w:rPr>
        <w:footnoteReference w:customMarkFollows="0" w:id="35"/>
      </w:r>
      <w:r w:rsidDel="00000000" w:rsidR="00000000" w:rsidRPr="00000000">
        <w:rPr>
          <w:rtl w:val="0"/>
        </w:rPr>
        <w:t xml:space="preserve"> However it is pointed out at the beginning of the tale how little the Widow has “Thre large sowes hadde she, and namo/ Three keen, and eek a sheep”.</w:t>
      </w:r>
      <w:r w:rsidDel="00000000" w:rsidR="00000000" w:rsidRPr="00000000">
        <w:rPr>
          <w:vertAlign w:val="superscript"/>
        </w:rPr>
        <w:footnoteReference w:customMarkFollows="0" w:id="36"/>
      </w:r>
      <w:r w:rsidDel="00000000" w:rsidR="00000000" w:rsidRPr="00000000">
        <w:rPr>
          <w:rtl w:val="0"/>
        </w:rPr>
        <w:t xml:space="preserve"> The fact that the widow had so little the chase is both an “unruly event and a legitimate act to restore rightful ownership”.</w:t>
      </w:r>
      <w:r w:rsidDel="00000000" w:rsidR="00000000" w:rsidRPr="00000000">
        <w:rPr>
          <w:vertAlign w:val="superscript"/>
        </w:rPr>
        <w:footnoteReference w:customMarkFollows="0" w:id="37"/>
      </w:r>
      <w:r w:rsidDel="00000000" w:rsidR="00000000" w:rsidRPr="00000000">
        <w:rPr>
          <w:rtl w:val="0"/>
        </w:rPr>
        <w:t xml:space="preserve"> Suddenly the chase of the fox becomes the account of a poor woman “taking desperate measures to recapture a vital means of food production”.</w:t>
      </w:r>
      <w:r w:rsidDel="00000000" w:rsidR="00000000" w:rsidRPr="00000000">
        <w:rPr>
          <w:vertAlign w:val="superscript"/>
        </w:rPr>
        <w:footnoteReference w:customMarkFollows="0" w:id="38"/>
      </w:r>
      <w:r w:rsidDel="00000000" w:rsidR="00000000" w:rsidRPr="00000000">
        <w:rPr>
          <w:rtl w:val="0"/>
        </w:rPr>
        <w:t xml:space="preserve"> Chaucer putting in the description of the widow at the beginning of the tale and the comparison between the Widow makes the passage where the peasants chase the fox “a legitimate act to restore rightful ownership”</w:t>
      </w:r>
      <w:r w:rsidDel="00000000" w:rsidR="00000000" w:rsidRPr="00000000">
        <w:rPr>
          <w:vertAlign w:val="superscript"/>
        </w:rPr>
        <w:footnoteReference w:customMarkFollows="0" w:id="39"/>
      </w:r>
      <w:r w:rsidDel="00000000" w:rsidR="00000000" w:rsidRPr="00000000">
        <w:rPr>
          <w:rtl w:val="0"/>
        </w:rPr>
        <w:t xml:space="preserve"> rather than a scene of “bestial chaos”.</w:t>
      </w:r>
      <w:r w:rsidDel="00000000" w:rsidR="00000000" w:rsidRPr="00000000">
        <w:rPr>
          <w:vertAlign w:val="superscript"/>
        </w:rPr>
        <w:footnoteReference w:customMarkFollows="0" w:id="40"/>
      </w:r>
      <w:r w:rsidDel="00000000" w:rsidR="00000000" w:rsidRPr="00000000">
        <w:rPr>
          <w:rtl w:val="0"/>
        </w:rPr>
        <w:t xml:space="preserve"> By doing this Chaucer might have been able to make the Peasants more relatable and he may have created less distance between himself and the rebels of the 1381 Rising.</w:t>
      </w:r>
    </w:p>
    <w:p w:rsidR="00000000" w:rsidDel="00000000" w:rsidP="00000000" w:rsidRDefault="00000000" w:rsidRPr="00000000" w14:paraId="0000000F">
      <w:pPr>
        <w:spacing w:line="480" w:lineRule="auto"/>
        <w:contextualSpacing w:val="0"/>
        <w:rPr/>
      </w:pPr>
      <w:r w:rsidDel="00000000" w:rsidR="00000000" w:rsidRPr="00000000">
        <w:rPr>
          <w:rtl w:val="0"/>
        </w:rPr>
      </w:r>
    </w:p>
    <w:p w:rsidR="00000000" w:rsidDel="00000000" w:rsidP="00000000" w:rsidRDefault="00000000" w:rsidRPr="00000000" w14:paraId="00000010">
      <w:pPr>
        <w:spacing w:line="480" w:lineRule="auto"/>
        <w:contextualSpacing w:val="0"/>
        <w:rPr/>
      </w:pPr>
      <w:r w:rsidDel="00000000" w:rsidR="00000000" w:rsidRPr="00000000">
        <w:rPr>
          <w:rtl w:val="0"/>
        </w:rPr>
        <w:t xml:space="preserve">The Pardoner in Medieval society was a part of the church. The Pardoner’s Tale is set during the plague. In Chaucer’s time they were not aware that the plague was caused by rats and fleas so they came up with their own reasons the most common of which was that the plague was a punishment from god. This can be shown through the way in which the church responded to the plague. The Archbishop of York stated that the plague “surely must be caused by the sins of men”</w:t>
      </w:r>
      <w:r w:rsidDel="00000000" w:rsidR="00000000" w:rsidRPr="00000000">
        <w:rPr>
          <w:vertAlign w:val="superscript"/>
        </w:rPr>
        <w:footnoteReference w:customMarkFollows="0" w:id="41"/>
      </w:r>
      <w:r w:rsidDel="00000000" w:rsidR="00000000" w:rsidRPr="00000000">
        <w:rPr>
          <w:rtl w:val="0"/>
        </w:rPr>
        <w:t xml:space="preserve"> and the Bishop of Winchester thought that man had “justly provoked the Divine wrath”.</w:t>
      </w:r>
      <w:r w:rsidDel="00000000" w:rsidR="00000000" w:rsidRPr="00000000">
        <w:rPr>
          <w:vertAlign w:val="superscript"/>
        </w:rPr>
        <w:footnoteReference w:customMarkFollows="0" w:id="42"/>
      </w:r>
      <w:r w:rsidDel="00000000" w:rsidR="00000000" w:rsidRPr="00000000">
        <w:rPr>
          <w:rtl w:val="0"/>
        </w:rPr>
        <w:t xml:space="preserve">The reason that people in Medieval society might have thought the plague was a punishment from god was because they might have been comparing it with Noah and the flood because so many people were dying.</w:t>
      </w:r>
      <w:r w:rsidDel="00000000" w:rsidR="00000000" w:rsidRPr="00000000">
        <w:rPr>
          <w:vertAlign w:val="superscript"/>
        </w:rPr>
        <w:footnoteReference w:customMarkFollows="0" w:id="43"/>
      </w:r>
      <w:r w:rsidDel="00000000" w:rsidR="00000000" w:rsidRPr="00000000">
        <w:rPr>
          <w:rtl w:val="0"/>
        </w:rPr>
        <w:t xml:space="preserve"> This may have been the reason why there was a religious element to the Pardoner’s Tale. As many people believed that plague was caused by mens sins it is only fitting that the three men in the tale are rioters. The rioters are seeking to kill death “sleen this false traytor deeth”</w:t>
      </w:r>
      <w:r w:rsidDel="00000000" w:rsidR="00000000" w:rsidRPr="00000000">
        <w:rPr>
          <w:vertAlign w:val="superscript"/>
        </w:rPr>
        <w:footnoteReference w:customMarkFollows="0" w:id="44"/>
      </w:r>
      <w:r w:rsidDel="00000000" w:rsidR="00000000" w:rsidRPr="00000000">
        <w:rPr>
          <w:rtl w:val="0"/>
        </w:rPr>
        <w:t xml:space="preserve"> this is reminiscent of christ preparing to meet death by dying on the cross but the rioters “instead of preparing to meet death they rashly go in search of it with the most blasphemous of purposes”.</w:t>
      </w:r>
      <w:r w:rsidDel="00000000" w:rsidR="00000000" w:rsidRPr="00000000">
        <w:rPr>
          <w:vertAlign w:val="superscript"/>
        </w:rPr>
        <w:footnoteReference w:customMarkFollows="0" w:id="45"/>
      </w:r>
      <w:r w:rsidDel="00000000" w:rsidR="00000000" w:rsidRPr="00000000">
        <w:rPr>
          <w:rtl w:val="0"/>
        </w:rPr>
        <w:t xml:space="preserve"> Instead of preparing to die for mens sins the rioters are trying to kill death itself. Hatcher comments on the similarity to christ by writing “this plan parodies Christ’s redemptive act: his was self sacrificial whereas thiers is murderous”.</w:t>
      </w:r>
      <w:r w:rsidDel="00000000" w:rsidR="00000000" w:rsidRPr="00000000">
        <w:rPr>
          <w:vertAlign w:val="superscript"/>
        </w:rPr>
        <w:footnoteReference w:customMarkFollows="0" w:id="46"/>
      </w:r>
      <w:r w:rsidDel="00000000" w:rsidR="00000000" w:rsidRPr="00000000">
        <w:rPr>
          <w:rtl w:val="0"/>
        </w:rPr>
        <w:t xml:space="preserve">  If this one similarity to the bible was enough the three rioters also parody “ the mutuality of the divine trinity”</w:t>
      </w:r>
      <w:r w:rsidDel="00000000" w:rsidR="00000000" w:rsidRPr="00000000">
        <w:rPr>
          <w:vertAlign w:val="superscript"/>
        </w:rPr>
        <w:footnoteReference w:customMarkFollows="0" w:id="47"/>
      </w:r>
      <w:r w:rsidDel="00000000" w:rsidR="00000000" w:rsidRPr="00000000">
        <w:rPr>
          <w:rtl w:val="0"/>
        </w:rPr>
        <w:t xml:space="preserve"> through the way that they vow “to lyve and dyen ech of hem for oother”.</w:t>
      </w:r>
      <w:r w:rsidDel="00000000" w:rsidR="00000000" w:rsidRPr="00000000">
        <w:rPr>
          <w:vertAlign w:val="superscript"/>
        </w:rPr>
        <w:footnoteReference w:customMarkFollows="0" w:id="48"/>
      </w:r>
      <w:r w:rsidDel="00000000" w:rsidR="00000000" w:rsidRPr="00000000">
        <w:rPr>
          <w:rtl w:val="0"/>
        </w:rPr>
        <w:t xml:space="preserve"> Unlike the divine trinity however the three rioters were trying to kill death which no mortal men would have been able to do.  The final way in which the rioters sin other than just drinking and murder the rioters also swear in god’s name during the tale “avow to goddes digne bones”.</w:t>
      </w:r>
      <w:r w:rsidDel="00000000" w:rsidR="00000000" w:rsidRPr="00000000">
        <w:rPr>
          <w:vertAlign w:val="superscript"/>
        </w:rPr>
        <w:footnoteReference w:customMarkFollows="0" w:id="49"/>
      </w:r>
      <w:r w:rsidDel="00000000" w:rsidR="00000000" w:rsidRPr="00000000">
        <w:rPr>
          <w:rtl w:val="0"/>
        </w:rPr>
        <w:t xml:space="preserve"> This makes me believe that if in Medieval society people really did believe that the plague was a punishment from god that it is people like the rioters who society would have thought were responsible for the plague because they have sinned greatly by attempting to kill death and people in Chaucer’s society might have thought that it was god's decision when someone should die and not their own.</w:t>
      </w:r>
    </w:p>
    <w:p w:rsidR="00000000" w:rsidDel="00000000" w:rsidP="00000000" w:rsidRDefault="00000000" w:rsidRPr="00000000" w14:paraId="00000011">
      <w:pPr>
        <w:spacing w:line="480" w:lineRule="auto"/>
        <w:contextualSpacing w:val="0"/>
        <w:rPr/>
      </w:pPr>
      <w:r w:rsidDel="00000000" w:rsidR="00000000" w:rsidRPr="00000000">
        <w:rPr>
          <w:rtl w:val="0"/>
        </w:rPr>
      </w:r>
    </w:p>
    <w:p w:rsidR="00000000" w:rsidDel="00000000" w:rsidP="00000000" w:rsidRDefault="00000000" w:rsidRPr="00000000" w14:paraId="00000012">
      <w:pPr>
        <w:spacing w:line="480" w:lineRule="auto"/>
        <w:contextualSpacing w:val="0"/>
        <w:rPr/>
      </w:pPr>
      <w:r w:rsidDel="00000000" w:rsidR="00000000" w:rsidRPr="00000000">
        <w:rPr>
          <w:rtl w:val="0"/>
        </w:rPr>
        <w:t xml:space="preserve">Chaucer having set the Pardoner’s Tale during the plague might have made the Pardoner’s Tale more relatable to Chaucer’s audience. This is because most of Chaucer’s contemporary audience would have lived through the plague as well as most of the pilgrims in Chaucer’s tale.</w:t>
      </w:r>
      <w:r w:rsidDel="00000000" w:rsidR="00000000" w:rsidRPr="00000000">
        <w:rPr>
          <w:vertAlign w:val="superscript"/>
        </w:rPr>
        <w:footnoteReference w:customMarkFollows="0" w:id="50"/>
      </w:r>
      <w:r w:rsidDel="00000000" w:rsidR="00000000" w:rsidRPr="00000000">
        <w:rPr>
          <w:rtl w:val="0"/>
        </w:rPr>
        <w:t xml:space="preserve"> Chaucer makes it clear that the Pardoner’s Tale is set during the plague when he writes “He hath a thousand slayn this pestilence</w:t>
      </w:r>
      <w:r w:rsidDel="00000000" w:rsidR="00000000" w:rsidRPr="00000000">
        <w:rPr>
          <w:vertAlign w:val="superscript"/>
        </w:rPr>
        <w:footnoteReference w:customMarkFollows="0" w:id="51"/>
      </w:r>
      <w:r w:rsidDel="00000000" w:rsidR="00000000" w:rsidRPr="00000000">
        <w:rPr>
          <w:rtl w:val="0"/>
        </w:rPr>
        <w:t xml:space="preserve"> and also “Ther cam a privee men clepeth Deeth/ That in this contree al the peple sleeth”.</w:t>
      </w:r>
      <w:r w:rsidDel="00000000" w:rsidR="00000000" w:rsidRPr="00000000">
        <w:rPr>
          <w:vertAlign w:val="superscript"/>
        </w:rPr>
        <w:footnoteReference w:customMarkFollows="0" w:id="52"/>
      </w:r>
      <w:r w:rsidDel="00000000" w:rsidR="00000000" w:rsidRPr="00000000">
        <w:rPr>
          <w:rtl w:val="0"/>
        </w:rPr>
        <w:t xml:space="preserve"> The fact that the three rioters were attempting to “sleen this false traytor deeth”</w:t>
      </w:r>
      <w:r w:rsidDel="00000000" w:rsidR="00000000" w:rsidRPr="00000000">
        <w:rPr>
          <w:vertAlign w:val="superscript"/>
        </w:rPr>
        <w:footnoteReference w:customMarkFollows="0" w:id="53"/>
      </w:r>
      <w:r w:rsidDel="00000000" w:rsidR="00000000" w:rsidRPr="00000000">
        <w:rPr>
          <w:rtl w:val="0"/>
        </w:rPr>
        <w:t xml:space="preserve"> can seem almost absurd but the “plague was a palpable reality in Chaucer’s time”</w:t>
      </w:r>
      <w:r w:rsidDel="00000000" w:rsidR="00000000" w:rsidRPr="00000000">
        <w:rPr>
          <w:vertAlign w:val="superscript"/>
        </w:rPr>
        <w:footnoteReference w:customMarkFollows="0" w:id="54"/>
      </w:r>
      <w:r w:rsidDel="00000000" w:rsidR="00000000" w:rsidRPr="00000000">
        <w:rPr>
          <w:rtl w:val="0"/>
        </w:rPr>
        <w:t xml:space="preserve"> so the plague provided the motivation for the rioters to destroy death.</w:t>
      </w:r>
      <w:r w:rsidDel="00000000" w:rsidR="00000000" w:rsidRPr="00000000">
        <w:rPr>
          <w:vertAlign w:val="superscript"/>
        </w:rPr>
        <w:footnoteReference w:customMarkFollows="0" w:id="55"/>
      </w:r>
      <w:r w:rsidDel="00000000" w:rsidR="00000000" w:rsidRPr="00000000">
        <w:rPr>
          <w:rtl w:val="0"/>
        </w:rPr>
        <w:t xml:space="preserve"> Not only this but the tale being set in the plague also explains why the rioters “were set hemin a taverne to drynke”.</w:t>
      </w:r>
      <w:r w:rsidDel="00000000" w:rsidR="00000000" w:rsidRPr="00000000">
        <w:rPr>
          <w:vertAlign w:val="superscript"/>
        </w:rPr>
        <w:footnoteReference w:customMarkFollows="0" w:id="56"/>
      </w:r>
      <w:r w:rsidDel="00000000" w:rsidR="00000000" w:rsidRPr="00000000">
        <w:rPr>
          <w:rtl w:val="0"/>
        </w:rPr>
        <w:t xml:space="preserve"> There are accounts that state this was normal behaviour during the plague. Boccacio writes that “day and night they went from one town to another drinking and carousing unrestrainedly”.</w:t>
      </w:r>
      <w:r w:rsidDel="00000000" w:rsidR="00000000" w:rsidRPr="00000000">
        <w:rPr>
          <w:vertAlign w:val="superscript"/>
        </w:rPr>
        <w:footnoteReference w:customMarkFollows="0" w:id="57"/>
      </w:r>
      <w:r w:rsidDel="00000000" w:rsidR="00000000" w:rsidRPr="00000000">
        <w:rPr>
          <w:rtl w:val="0"/>
        </w:rPr>
        <w:t xml:space="preserve"> Also William of Dene writes “the entire population or the greater part of it has become even more depraved more prone to every kind of vice and sinfulness” about post plague London. According to Beidler this behaviour was completely normal “a response that would have been all too familiar in regions where the plague had struck” and as the plague “hath slayn this yeer”</w:t>
      </w:r>
      <w:r w:rsidDel="00000000" w:rsidR="00000000" w:rsidRPr="00000000">
        <w:rPr>
          <w:vertAlign w:val="superscript"/>
        </w:rPr>
        <w:footnoteReference w:customMarkFollows="0" w:id="58"/>
      </w:r>
      <w:r w:rsidDel="00000000" w:rsidR="00000000" w:rsidRPr="00000000">
        <w:rPr>
          <w:rtl w:val="0"/>
        </w:rPr>
        <w:t xml:space="preserve"> “bothe men and womman , child, and hyne, and age” within a nearby village, this reaction was probably perfectly normal. The fact that the Pardoner's Tale is set in a tavern suggests if anything that “Chaucer was a realist for such behaviour was apparently common”.</w:t>
      </w:r>
      <w:r w:rsidDel="00000000" w:rsidR="00000000" w:rsidRPr="00000000">
        <w:rPr>
          <w:vertAlign w:val="superscript"/>
        </w:rPr>
        <w:footnoteReference w:customMarkFollows="0" w:id="59"/>
      </w:r>
      <w:r w:rsidDel="00000000" w:rsidR="00000000" w:rsidRPr="00000000">
        <w:rPr>
          <w:rtl w:val="0"/>
        </w:rPr>
        <w:t xml:space="preserve"> This shows that Chaucer reflects the behaviour of post plague of Medieval Europe through the way in which he has the characters of the three rioters behave in the Pardoner’s Tale. </w:t>
      </w:r>
    </w:p>
    <w:p w:rsidR="00000000" w:rsidDel="00000000" w:rsidP="00000000" w:rsidRDefault="00000000" w:rsidRPr="00000000" w14:paraId="00000013">
      <w:pPr>
        <w:spacing w:line="480" w:lineRule="auto"/>
        <w:contextualSpacing w:val="0"/>
        <w:rPr/>
      </w:pPr>
      <w:r w:rsidDel="00000000" w:rsidR="00000000" w:rsidRPr="00000000">
        <w:rPr>
          <w:rtl w:val="0"/>
        </w:rPr>
      </w:r>
    </w:p>
    <w:p w:rsidR="00000000" w:rsidDel="00000000" w:rsidP="00000000" w:rsidRDefault="00000000" w:rsidRPr="00000000" w14:paraId="00000014">
      <w:pPr>
        <w:spacing w:line="480" w:lineRule="auto"/>
        <w:contextualSpacing w:val="0"/>
        <w:rPr/>
      </w:pPr>
      <w:r w:rsidDel="00000000" w:rsidR="00000000" w:rsidRPr="00000000">
        <w:rPr>
          <w:rtl w:val="0"/>
        </w:rPr>
        <w:t xml:space="preserve">As pointed out earlier on in this essay the Pardoner was part of the church and the Medieval church in particular thought that the plague was caused by sin. The reason why the Pardoner told his tale may have been to warn people away from sinning like the rioters in the tale. But it seems from the end of his tale that the Pardoner only told this tale to get people's money, because he said if the pilgrims gave him their money to “mekley receyveth my pardoun”</w:t>
      </w:r>
      <w:r w:rsidDel="00000000" w:rsidR="00000000" w:rsidRPr="00000000">
        <w:rPr>
          <w:vertAlign w:val="superscript"/>
        </w:rPr>
        <w:footnoteReference w:customMarkFollows="0" w:id="60"/>
      </w:r>
      <w:r w:rsidDel="00000000" w:rsidR="00000000" w:rsidRPr="00000000">
        <w:rPr>
          <w:rtl w:val="0"/>
        </w:rPr>
        <w:t xml:space="preserve"> for their sins. But he can only forgive people's sins if they “offren, alwey newe and newe/ Nobels or pens, whiche that be goode and trewe.”</w:t>
      </w:r>
      <w:r w:rsidDel="00000000" w:rsidR="00000000" w:rsidRPr="00000000">
        <w:rPr>
          <w:vertAlign w:val="superscript"/>
        </w:rPr>
        <w:footnoteReference w:customMarkFollows="0" w:id="61"/>
      </w:r>
      <w:r w:rsidDel="00000000" w:rsidR="00000000" w:rsidRPr="00000000">
        <w:rPr>
          <w:rtl w:val="0"/>
        </w:rPr>
        <w:t xml:space="preserve"> This shows that the Pardoner may have only told them this tale to scare the Pilgrim’s into giving the Pardoner their money. This is because the Pardoner claims the Rioters died from greed so by giving the Pardoner their money they are saving themselves from Hell.</w:t>
      </w:r>
      <w:r w:rsidDel="00000000" w:rsidR="00000000" w:rsidRPr="00000000">
        <w:rPr>
          <w:vertAlign w:val="superscript"/>
        </w:rPr>
        <w:footnoteReference w:customMarkFollows="0" w:id="62"/>
      </w:r>
      <w:r w:rsidDel="00000000" w:rsidR="00000000" w:rsidRPr="00000000">
        <w:rPr>
          <w:rtl w:val="0"/>
        </w:rPr>
        <w:t xml:space="preserve"> But from the Pardoner saying all this he is being hypocritical because he is greedy himself which can be seen from the Pardoner’s Prologue. This can be shown when the Pardoner states that he will “have moneie, wolle, chese, and whete”</w:t>
      </w:r>
      <w:r w:rsidDel="00000000" w:rsidR="00000000" w:rsidRPr="00000000">
        <w:rPr>
          <w:vertAlign w:val="superscript"/>
        </w:rPr>
        <w:footnoteReference w:customMarkFollows="0" w:id="63"/>
      </w:r>
      <w:r w:rsidDel="00000000" w:rsidR="00000000" w:rsidRPr="00000000">
        <w:rPr>
          <w:rtl w:val="0"/>
        </w:rPr>
        <w:t xml:space="preserve">, from “the povreste wydwe in a village/ Al sholde hir children sterve for famyne”.</w:t>
      </w:r>
      <w:r w:rsidDel="00000000" w:rsidR="00000000" w:rsidRPr="00000000">
        <w:rPr>
          <w:vertAlign w:val="superscript"/>
        </w:rPr>
        <w:footnoteReference w:customMarkFollows="0" w:id="64"/>
      </w:r>
      <w:r w:rsidDel="00000000" w:rsidR="00000000" w:rsidRPr="00000000">
        <w:rPr>
          <w:rtl w:val="0"/>
        </w:rPr>
        <w:t xml:space="preserve"> This not only show’s the Pardoner’s greed but it is also reminiscent of the poor widow from the Nun’s Priest’s Tale. As pointed out Medieval society thought that the plague was a punishment for mens sin’s and Chaucer may have agreed that “those who were most sinful and repentant would be it’s most likely victim’s”</w:t>
      </w:r>
      <w:r w:rsidDel="00000000" w:rsidR="00000000" w:rsidRPr="00000000">
        <w:rPr>
          <w:vertAlign w:val="superscript"/>
        </w:rPr>
        <w:footnoteReference w:customMarkFollows="0" w:id="65"/>
      </w:r>
      <w:r w:rsidDel="00000000" w:rsidR="00000000" w:rsidRPr="00000000">
        <w:rPr>
          <w:rtl w:val="0"/>
        </w:rPr>
        <w:t xml:space="preserve"> which would have meant that Chaucer might have thought that the Pardoner would have been part of the reason for the plague like the rioters. </w:t>
      </w:r>
    </w:p>
    <w:p w:rsidR="00000000" w:rsidDel="00000000" w:rsidP="00000000" w:rsidRDefault="00000000" w:rsidRPr="00000000" w14:paraId="00000015">
      <w:pPr>
        <w:spacing w:line="480" w:lineRule="auto"/>
        <w:contextualSpacing w:val="0"/>
        <w:rPr/>
      </w:pPr>
      <w:r w:rsidDel="00000000" w:rsidR="00000000" w:rsidRPr="00000000">
        <w:rPr>
          <w:rtl w:val="0"/>
        </w:rPr>
      </w:r>
    </w:p>
    <w:p w:rsidR="00000000" w:rsidDel="00000000" w:rsidP="00000000" w:rsidRDefault="00000000" w:rsidRPr="00000000" w14:paraId="00000016">
      <w:pPr>
        <w:spacing w:line="480" w:lineRule="auto"/>
        <w:contextualSpacing w:val="0"/>
        <w:rPr/>
      </w:pPr>
      <w:r w:rsidDel="00000000" w:rsidR="00000000" w:rsidRPr="00000000">
        <w:rPr>
          <w:rtl w:val="0"/>
        </w:rPr>
        <w:t xml:space="preserve">To conclude I believe that Chaucer does reflect contemporary social disruptions in the two tales. He reflects class change through his portrayal of the Widow in the Nun’s Priest’s Tale and comparing her to the aristocratic characters of Chanticleer the chicken and the Prioress from the General Prologue. As well as this he comments on the Rising of 1381 by mentioning “Jacke Straw and his meynee”,</w:t>
      </w:r>
      <w:r w:rsidDel="00000000" w:rsidR="00000000" w:rsidRPr="00000000">
        <w:rPr>
          <w:vertAlign w:val="superscript"/>
        </w:rPr>
        <w:footnoteReference w:customMarkFollows="0" w:id="66"/>
      </w:r>
      <w:r w:rsidDel="00000000" w:rsidR="00000000" w:rsidRPr="00000000">
        <w:rPr>
          <w:rtl w:val="0"/>
        </w:rPr>
        <w:t xml:space="preserve"> and even possibly commenting on the other chroniclers versions of the events of the 1381 rising’s. I also find it interesting how Chaucer reflects the effects of the plague on Medieval society but setting the Pardoner’s Tale during the plague. Finally the way in which Chaucer portrays the Pardoner as greedy and hypocritical could be Chaucer commenting on the corruptness of the Church in Chaucer's contemporary society.</w:t>
      </w:r>
    </w:p>
    <w:p w:rsidR="00000000" w:rsidDel="00000000" w:rsidP="00000000" w:rsidRDefault="00000000" w:rsidRPr="00000000" w14:paraId="00000017">
      <w:pPr>
        <w:spacing w:line="480" w:lineRule="auto"/>
        <w:contextualSpacing w:val="0"/>
        <w:rPr/>
      </w:pPr>
      <w:r w:rsidDel="00000000" w:rsidR="00000000" w:rsidRPr="00000000">
        <w:rPr>
          <w:rtl w:val="0"/>
        </w:rPr>
      </w:r>
    </w:p>
    <w:p w:rsidR="00000000" w:rsidDel="00000000" w:rsidP="00000000" w:rsidRDefault="00000000" w:rsidRPr="00000000" w14:paraId="00000018">
      <w:pPr>
        <w:spacing w:line="480" w:lineRule="auto"/>
        <w:contextualSpacing w:val="0"/>
        <w:rPr/>
      </w:pPr>
      <w:r w:rsidDel="00000000" w:rsidR="00000000" w:rsidRPr="00000000">
        <w:rPr>
          <w:rtl w:val="0"/>
        </w:rPr>
      </w:r>
    </w:p>
    <w:p w:rsidR="00000000" w:rsidDel="00000000" w:rsidP="00000000" w:rsidRDefault="00000000" w:rsidRPr="00000000" w14:paraId="00000019">
      <w:pPr>
        <w:spacing w:line="480" w:lineRule="auto"/>
        <w:contextualSpacing w:val="0"/>
        <w:rPr/>
      </w:pPr>
      <w:r w:rsidDel="00000000" w:rsidR="00000000" w:rsidRPr="00000000">
        <w:rPr>
          <w:rtl w:val="0"/>
        </w:rPr>
      </w:r>
    </w:p>
    <w:p w:rsidR="00000000" w:rsidDel="00000000" w:rsidP="00000000" w:rsidRDefault="00000000" w:rsidRPr="00000000" w14:paraId="0000001A">
      <w:pPr>
        <w:spacing w:line="480" w:lineRule="auto"/>
        <w:contextualSpacing w:val="0"/>
        <w:rPr/>
      </w:pPr>
      <w:r w:rsidDel="00000000" w:rsidR="00000000" w:rsidRPr="00000000">
        <w:rPr>
          <w:rtl w:val="0"/>
        </w:rPr>
      </w:r>
    </w:p>
    <w:p w:rsidR="00000000" w:rsidDel="00000000" w:rsidP="00000000" w:rsidRDefault="00000000" w:rsidRPr="00000000" w14:paraId="0000001B">
      <w:pPr>
        <w:spacing w:line="480" w:lineRule="auto"/>
        <w:contextualSpacing w:val="0"/>
        <w:rPr/>
      </w:pPr>
      <w:r w:rsidDel="00000000" w:rsidR="00000000" w:rsidRPr="00000000">
        <w:rPr>
          <w:rtl w:val="0"/>
        </w:rPr>
      </w:r>
    </w:p>
    <w:p w:rsidR="00000000" w:rsidDel="00000000" w:rsidP="00000000" w:rsidRDefault="00000000" w:rsidRPr="00000000" w14:paraId="0000001C">
      <w:pPr>
        <w:spacing w:line="480" w:lineRule="auto"/>
        <w:contextualSpacing w:val="0"/>
        <w:rPr/>
      </w:pPr>
      <w:r w:rsidDel="00000000" w:rsidR="00000000" w:rsidRPr="00000000">
        <w:rPr>
          <w:rtl w:val="0"/>
        </w:rPr>
      </w:r>
    </w:p>
    <w:p w:rsidR="00000000" w:rsidDel="00000000" w:rsidP="00000000" w:rsidRDefault="00000000" w:rsidRPr="00000000" w14:paraId="0000001D">
      <w:pPr>
        <w:spacing w:line="480" w:lineRule="auto"/>
        <w:contextualSpacing w:val="0"/>
        <w:rPr/>
      </w:pPr>
      <w:r w:rsidDel="00000000" w:rsidR="00000000" w:rsidRPr="00000000">
        <w:rPr>
          <w:rtl w:val="0"/>
        </w:rPr>
      </w:r>
    </w:p>
    <w:p w:rsidR="00000000" w:rsidDel="00000000" w:rsidP="00000000" w:rsidRDefault="00000000" w:rsidRPr="00000000" w14:paraId="0000001E">
      <w:pPr>
        <w:spacing w:line="480" w:lineRule="auto"/>
        <w:contextualSpacing w:val="0"/>
        <w:rPr/>
      </w:pPr>
      <w:r w:rsidDel="00000000" w:rsidR="00000000" w:rsidRPr="00000000">
        <w:rPr>
          <w:rtl w:val="0"/>
        </w:rPr>
      </w:r>
    </w:p>
    <w:p w:rsidR="00000000" w:rsidDel="00000000" w:rsidP="00000000" w:rsidRDefault="00000000" w:rsidRPr="00000000" w14:paraId="0000001F">
      <w:pPr>
        <w:spacing w:line="480" w:lineRule="auto"/>
        <w:contextualSpacing w:val="0"/>
        <w:rPr/>
      </w:pPr>
      <w:r w:rsidDel="00000000" w:rsidR="00000000" w:rsidRPr="00000000">
        <w:rPr>
          <w:rtl w:val="0"/>
        </w:rPr>
      </w:r>
    </w:p>
    <w:p w:rsidR="00000000" w:rsidDel="00000000" w:rsidP="00000000" w:rsidRDefault="00000000" w:rsidRPr="00000000" w14:paraId="00000020">
      <w:pPr>
        <w:spacing w:line="480" w:lineRule="auto"/>
        <w:contextualSpacing w:val="0"/>
        <w:rPr/>
      </w:pPr>
      <w:r w:rsidDel="00000000" w:rsidR="00000000" w:rsidRPr="00000000">
        <w:rPr>
          <w:rtl w:val="0"/>
        </w:rPr>
      </w:r>
    </w:p>
    <w:p w:rsidR="00000000" w:rsidDel="00000000" w:rsidP="00000000" w:rsidRDefault="00000000" w:rsidRPr="00000000" w14:paraId="00000021">
      <w:pPr>
        <w:spacing w:line="480" w:lineRule="auto"/>
        <w:contextualSpacing w:val="0"/>
        <w:rPr/>
      </w:pPr>
      <w:r w:rsidDel="00000000" w:rsidR="00000000" w:rsidRPr="00000000">
        <w:rPr>
          <w:rtl w:val="0"/>
        </w:rPr>
      </w:r>
    </w:p>
    <w:p w:rsidR="00000000" w:rsidDel="00000000" w:rsidP="00000000" w:rsidRDefault="00000000" w:rsidRPr="00000000" w14:paraId="00000022">
      <w:pPr>
        <w:spacing w:line="480" w:lineRule="auto"/>
        <w:contextualSpacing w:val="0"/>
        <w:rPr/>
      </w:pPr>
      <w:r w:rsidDel="00000000" w:rsidR="00000000" w:rsidRPr="00000000">
        <w:rPr>
          <w:rtl w:val="0"/>
        </w:rPr>
      </w:r>
    </w:p>
    <w:p w:rsidR="00000000" w:rsidDel="00000000" w:rsidP="00000000" w:rsidRDefault="00000000" w:rsidRPr="00000000" w14:paraId="00000023">
      <w:pPr>
        <w:spacing w:line="480" w:lineRule="auto"/>
        <w:contextualSpacing w:val="0"/>
        <w:rPr/>
      </w:pPr>
      <w:r w:rsidDel="00000000" w:rsidR="00000000" w:rsidRPr="00000000">
        <w:rPr>
          <w:rtl w:val="0"/>
        </w:rPr>
      </w:r>
    </w:p>
    <w:p w:rsidR="00000000" w:rsidDel="00000000" w:rsidP="00000000" w:rsidRDefault="00000000" w:rsidRPr="00000000" w14:paraId="00000024">
      <w:pPr>
        <w:spacing w:line="480" w:lineRule="auto"/>
        <w:contextualSpacing w:val="0"/>
        <w:rPr/>
      </w:pPr>
      <w:r w:rsidDel="00000000" w:rsidR="00000000" w:rsidRPr="00000000">
        <w:rPr>
          <w:rtl w:val="0"/>
        </w:rPr>
      </w:r>
    </w:p>
    <w:p w:rsidR="00000000" w:rsidDel="00000000" w:rsidP="00000000" w:rsidRDefault="00000000" w:rsidRPr="00000000" w14:paraId="00000025">
      <w:pPr>
        <w:spacing w:line="480" w:lineRule="auto"/>
        <w:contextualSpacing w:val="0"/>
        <w:rPr/>
      </w:pPr>
      <w:r w:rsidDel="00000000" w:rsidR="00000000" w:rsidRPr="00000000">
        <w:rPr>
          <w:rtl w:val="0"/>
        </w:rPr>
      </w:r>
    </w:p>
    <w:p w:rsidR="00000000" w:rsidDel="00000000" w:rsidP="00000000" w:rsidRDefault="00000000" w:rsidRPr="00000000" w14:paraId="00000026">
      <w:pPr>
        <w:spacing w:line="480" w:lineRule="auto"/>
        <w:contextualSpacing w:val="0"/>
        <w:rPr/>
      </w:pPr>
      <w:r w:rsidDel="00000000" w:rsidR="00000000" w:rsidRPr="00000000">
        <w:rPr>
          <w:rtl w:val="0"/>
        </w:rPr>
      </w:r>
    </w:p>
    <w:p w:rsidR="00000000" w:rsidDel="00000000" w:rsidP="00000000" w:rsidRDefault="00000000" w:rsidRPr="00000000" w14:paraId="00000027">
      <w:pPr>
        <w:spacing w:line="480" w:lineRule="auto"/>
        <w:contextualSpacing w:val="0"/>
        <w:rPr/>
      </w:pPr>
      <w:r w:rsidDel="00000000" w:rsidR="00000000" w:rsidRPr="00000000">
        <w:rPr>
          <w:rtl w:val="0"/>
        </w:rPr>
        <w:t xml:space="preserve">Bibliography</w:t>
      </w:r>
    </w:p>
    <w:p w:rsidR="00000000" w:rsidDel="00000000" w:rsidP="00000000" w:rsidRDefault="00000000" w:rsidRPr="00000000" w14:paraId="00000028">
      <w:pPr>
        <w:spacing w:line="480" w:lineRule="auto"/>
        <w:contextualSpacing w:val="0"/>
        <w:rPr/>
      </w:pPr>
      <w:r w:rsidDel="00000000" w:rsidR="00000000" w:rsidRPr="00000000">
        <w:rPr>
          <w:rtl w:val="0"/>
        </w:rPr>
        <w:t xml:space="preserve">Chaucer, </w:t>
      </w:r>
      <w:r w:rsidDel="00000000" w:rsidR="00000000" w:rsidRPr="00000000">
        <w:rPr>
          <w:i w:val="1"/>
          <w:rtl w:val="0"/>
        </w:rPr>
        <w:t xml:space="preserve">Riverside Chaucer.</w:t>
      </w:r>
      <w:r w:rsidDel="00000000" w:rsidR="00000000" w:rsidRPr="00000000">
        <w:rPr>
          <w:rtl w:val="0"/>
        </w:rPr>
        <w:t xml:space="preserve"> 1987. Oxford: Oxford University Press</w:t>
      </w:r>
    </w:p>
    <w:p w:rsidR="00000000" w:rsidDel="00000000" w:rsidP="00000000" w:rsidRDefault="00000000" w:rsidRPr="00000000" w14:paraId="00000029">
      <w:pPr>
        <w:spacing w:line="480" w:lineRule="auto"/>
        <w:contextualSpacing w:val="0"/>
        <w:rPr/>
      </w:pPr>
      <w:r w:rsidDel="00000000" w:rsidR="00000000" w:rsidRPr="00000000">
        <w:rPr>
          <w:rtl w:val="0"/>
        </w:rPr>
        <w:t xml:space="preserve">Helen Barr, 2001, </w:t>
      </w:r>
      <w:r w:rsidDel="00000000" w:rsidR="00000000" w:rsidRPr="00000000">
        <w:rPr>
          <w:i w:val="1"/>
          <w:rtl w:val="0"/>
        </w:rPr>
        <w:t xml:space="preserve">Socioliterary Practice in Late Medieval England: From pig to man and man to pig; The 1381 Uprisings in Chaucer’s The Nun’s Priest’s Tale.</w:t>
      </w:r>
      <w:r w:rsidDel="00000000" w:rsidR="00000000" w:rsidRPr="00000000">
        <w:rPr>
          <w:rtl w:val="0"/>
        </w:rPr>
        <w:t xml:space="preserve"> Oxford: Oxford University Press</w:t>
      </w:r>
    </w:p>
    <w:p w:rsidR="00000000" w:rsidDel="00000000" w:rsidP="00000000" w:rsidRDefault="00000000" w:rsidRPr="00000000" w14:paraId="0000002A">
      <w:pPr>
        <w:spacing w:line="480" w:lineRule="auto"/>
        <w:contextualSpacing w:val="0"/>
        <w:rPr/>
      </w:pPr>
      <w:r w:rsidDel="00000000" w:rsidR="00000000" w:rsidRPr="00000000">
        <w:rPr>
          <w:rtl w:val="0"/>
        </w:rPr>
        <w:t xml:space="preserve">Adair. J. ‘Radical “Noyse” in Chaucer’s </w:t>
      </w:r>
      <w:r w:rsidDel="00000000" w:rsidR="00000000" w:rsidRPr="00000000">
        <w:rPr>
          <w:i w:val="1"/>
          <w:rtl w:val="0"/>
        </w:rPr>
        <w:t xml:space="preserve">Nun’s Priest’s Tale, </w:t>
      </w:r>
      <w:r w:rsidDel="00000000" w:rsidR="00000000" w:rsidRPr="00000000">
        <w:rPr>
          <w:rtl w:val="0"/>
        </w:rPr>
        <w:t xml:space="preserve">Academia.Edu </w:t>
      </w:r>
      <w:hyperlink r:id="rId7">
        <w:r w:rsidDel="00000000" w:rsidR="00000000" w:rsidRPr="00000000">
          <w:rPr>
            <w:color w:val="1155cc"/>
            <w:u w:val="single"/>
            <w:rtl w:val="0"/>
          </w:rPr>
          <w:t xml:space="preserve">http://www.academia.edu/2109585/Radical_Noyse_in_Chaucers_Nuns_Priestss_Tale</w:t>
        </w:r>
      </w:hyperlink>
      <w:r w:rsidDel="00000000" w:rsidR="00000000" w:rsidRPr="00000000">
        <w:rPr>
          <w:rtl w:val="0"/>
        </w:rPr>
      </w:r>
    </w:p>
    <w:p w:rsidR="00000000" w:rsidDel="00000000" w:rsidP="00000000" w:rsidRDefault="00000000" w:rsidRPr="00000000" w14:paraId="0000002B">
      <w:pPr>
        <w:spacing w:line="480" w:lineRule="auto"/>
        <w:contextualSpacing w:val="0"/>
        <w:rPr/>
      </w:pPr>
      <w:r w:rsidDel="00000000" w:rsidR="00000000" w:rsidRPr="00000000">
        <w:rPr>
          <w:rtl w:val="0"/>
        </w:rPr>
        <w:t xml:space="preserve">Haines,R.M. 1976. ‘Fortune Nature and Grace in Fragment C’,</w:t>
      </w:r>
      <w:r w:rsidDel="00000000" w:rsidR="00000000" w:rsidRPr="00000000">
        <w:rPr>
          <w:i w:val="1"/>
          <w:rtl w:val="0"/>
        </w:rPr>
        <w:t xml:space="preserve">The</w:t>
      </w:r>
      <w:r w:rsidDel="00000000" w:rsidR="00000000" w:rsidRPr="00000000">
        <w:rPr>
          <w:rtl w:val="0"/>
        </w:rPr>
        <w:t xml:space="preserve"> </w:t>
      </w:r>
      <w:r w:rsidDel="00000000" w:rsidR="00000000" w:rsidRPr="00000000">
        <w:rPr>
          <w:i w:val="1"/>
          <w:rtl w:val="0"/>
        </w:rPr>
        <w:t xml:space="preserve">Chaucer Review, </w:t>
      </w:r>
      <w:r w:rsidDel="00000000" w:rsidR="00000000" w:rsidRPr="00000000">
        <w:rPr>
          <w:rtl w:val="0"/>
        </w:rPr>
        <w:t xml:space="preserve">Vol. 10, No. 3, 222-230</w:t>
      </w:r>
    </w:p>
    <w:p w:rsidR="00000000" w:rsidDel="00000000" w:rsidP="00000000" w:rsidRDefault="00000000" w:rsidRPr="00000000" w14:paraId="0000002C">
      <w:pPr>
        <w:spacing w:line="480" w:lineRule="auto"/>
        <w:contextualSpacing w:val="0"/>
        <w:rPr/>
      </w:pPr>
      <w:r w:rsidDel="00000000" w:rsidR="00000000" w:rsidRPr="00000000">
        <w:rPr>
          <w:rtl w:val="0"/>
        </w:rPr>
        <w:t xml:space="preserve">Beidler,P.G. 1981. ‘Noah and the old man in the </w:t>
      </w:r>
      <w:r w:rsidDel="00000000" w:rsidR="00000000" w:rsidRPr="00000000">
        <w:rPr>
          <w:i w:val="1"/>
          <w:rtl w:val="0"/>
        </w:rPr>
        <w:t xml:space="preserve">Pardoner’s Tale</w:t>
      </w:r>
      <w:r w:rsidDel="00000000" w:rsidR="00000000" w:rsidRPr="00000000">
        <w:rPr>
          <w:rtl w:val="0"/>
        </w:rPr>
        <w:t xml:space="preserve">’,</w:t>
      </w:r>
      <w:r w:rsidDel="00000000" w:rsidR="00000000" w:rsidRPr="00000000">
        <w:rPr>
          <w:i w:val="1"/>
          <w:rtl w:val="0"/>
        </w:rPr>
        <w:t xml:space="preserve">The</w:t>
      </w:r>
      <w:r w:rsidDel="00000000" w:rsidR="00000000" w:rsidRPr="00000000">
        <w:rPr>
          <w:rtl w:val="0"/>
        </w:rPr>
        <w:t xml:space="preserve"> </w:t>
      </w:r>
      <w:r w:rsidDel="00000000" w:rsidR="00000000" w:rsidRPr="00000000">
        <w:rPr>
          <w:i w:val="1"/>
          <w:rtl w:val="0"/>
        </w:rPr>
        <w:t xml:space="preserve">Chaucer Review</w:t>
      </w:r>
      <w:r w:rsidDel="00000000" w:rsidR="00000000" w:rsidRPr="00000000">
        <w:rPr>
          <w:rtl w:val="0"/>
        </w:rPr>
        <w:t xml:space="preserve">, Vol.15, No.3, pg 250-254</w:t>
      </w:r>
    </w:p>
    <w:p w:rsidR="00000000" w:rsidDel="00000000" w:rsidP="00000000" w:rsidRDefault="00000000" w:rsidRPr="00000000" w14:paraId="0000002D">
      <w:pPr>
        <w:spacing w:line="480" w:lineRule="auto"/>
        <w:contextualSpacing w:val="0"/>
        <w:rPr/>
      </w:pPr>
      <w:r w:rsidDel="00000000" w:rsidR="00000000" w:rsidRPr="00000000">
        <w:rPr>
          <w:rtl w:val="0"/>
        </w:rPr>
        <w:t xml:space="preserve">Fehrenbacher,R.W. 1994. ‘A Yeerd Enclosed al Aboute: Literature and History in the “Nun’s Priest’s Tale”’,</w:t>
      </w:r>
      <w:r w:rsidDel="00000000" w:rsidR="00000000" w:rsidRPr="00000000">
        <w:rPr>
          <w:i w:val="1"/>
          <w:rtl w:val="0"/>
        </w:rPr>
        <w:t xml:space="preserve">The</w:t>
      </w:r>
      <w:r w:rsidDel="00000000" w:rsidR="00000000" w:rsidRPr="00000000">
        <w:rPr>
          <w:rtl w:val="0"/>
        </w:rPr>
        <w:t xml:space="preserve"> </w:t>
      </w:r>
      <w:r w:rsidDel="00000000" w:rsidR="00000000" w:rsidRPr="00000000">
        <w:rPr>
          <w:i w:val="1"/>
          <w:rtl w:val="0"/>
        </w:rPr>
        <w:t xml:space="preserve">Chaucer Review, </w:t>
      </w:r>
      <w:r w:rsidDel="00000000" w:rsidR="00000000" w:rsidRPr="00000000">
        <w:rPr>
          <w:rtl w:val="0"/>
        </w:rPr>
        <w:t xml:space="preserve">Vol. 29, No.2, pg 134-148</w:t>
      </w:r>
    </w:p>
    <w:p w:rsidR="00000000" w:rsidDel="00000000" w:rsidP="00000000" w:rsidRDefault="00000000" w:rsidRPr="00000000" w14:paraId="0000002E">
      <w:pPr>
        <w:spacing w:line="480" w:lineRule="auto"/>
        <w:contextualSpacing w:val="0"/>
        <w:rPr/>
      </w:pPr>
      <w:r w:rsidDel="00000000" w:rsidR="00000000" w:rsidRPr="00000000">
        <w:rPr>
          <w:rtl w:val="0"/>
        </w:rPr>
        <w:t xml:space="preserve">Hatcher,E.R. 1975. ‘Life without Death: The Old Man in Chaucer’s “</w:t>
      </w:r>
      <w:r w:rsidDel="00000000" w:rsidR="00000000" w:rsidRPr="00000000">
        <w:rPr>
          <w:i w:val="1"/>
          <w:rtl w:val="0"/>
        </w:rPr>
        <w:t xml:space="preserve">Pardoner’s Tale”’,The Chaucer Review, </w:t>
      </w:r>
      <w:r w:rsidDel="00000000" w:rsidR="00000000" w:rsidRPr="00000000">
        <w:rPr>
          <w:rtl w:val="0"/>
        </w:rPr>
        <w:t xml:space="preserve">Vol.9, No.3, pg. 246-252</w:t>
      </w:r>
    </w:p>
    <w:p w:rsidR="00000000" w:rsidDel="00000000" w:rsidP="00000000" w:rsidRDefault="00000000" w:rsidRPr="00000000" w14:paraId="0000002F">
      <w:pPr>
        <w:spacing w:line="480" w:lineRule="auto"/>
        <w:contextualSpacing w:val="0"/>
        <w:rPr>
          <w:i w:val="1"/>
        </w:rPr>
      </w:pPr>
      <w:r w:rsidDel="00000000" w:rsidR="00000000" w:rsidRPr="00000000">
        <w:rPr>
          <w:rtl w:val="0"/>
        </w:rPr>
        <w:t xml:space="preserve">Beidler,P.G. 1982. “The Plague and Chaucer’s Pardoner”,  </w:t>
      </w:r>
      <w:r w:rsidDel="00000000" w:rsidR="00000000" w:rsidRPr="00000000">
        <w:rPr>
          <w:i w:val="1"/>
          <w:rtl w:val="0"/>
        </w:rPr>
        <w:t xml:space="preserve">The Chaucer review, </w:t>
      </w:r>
      <w:r w:rsidDel="00000000" w:rsidR="00000000" w:rsidRPr="00000000">
        <w:rPr>
          <w:rtl w:val="0"/>
        </w:rPr>
        <w:t xml:space="preserve">Vol. 16, No.3 Pg 257-269 </w:t>
      </w:r>
      <w:r w:rsidDel="00000000" w:rsidR="00000000" w:rsidRPr="00000000">
        <w:rPr>
          <w:rtl w:val="0"/>
        </w:rPr>
      </w:r>
    </w:p>
    <w:p w:rsidR="00000000" w:rsidDel="00000000" w:rsidP="00000000" w:rsidRDefault="00000000" w:rsidRPr="00000000" w14:paraId="00000030">
      <w:pPr>
        <w:spacing w:line="480" w:lineRule="auto"/>
        <w:contextualSpacing w:val="0"/>
        <w:rPr/>
      </w:pPr>
      <w:r w:rsidDel="00000000" w:rsidR="00000000" w:rsidRPr="00000000">
        <w:rPr>
          <w:rtl w:val="0"/>
        </w:rPr>
      </w:r>
    </w:p>
    <w:p w:rsidR="00000000" w:rsidDel="00000000" w:rsidP="00000000" w:rsidRDefault="00000000" w:rsidRPr="00000000" w14:paraId="00000031">
      <w:pPr>
        <w:spacing w:line="480" w:lineRule="auto"/>
        <w:contextualSpacing w:val="0"/>
        <w:rPr/>
      </w:pPr>
      <w:r w:rsidDel="00000000" w:rsidR="00000000" w:rsidRPr="00000000">
        <w:rPr>
          <w:rtl w:val="0"/>
        </w:rPr>
        <w:t xml:space="preserve"> </w:t>
      </w:r>
    </w:p>
    <w:p w:rsidR="00000000" w:rsidDel="00000000" w:rsidP="00000000" w:rsidRDefault="00000000" w:rsidRPr="00000000" w14:paraId="00000032">
      <w:pPr>
        <w:spacing w:line="480" w:lineRule="auto"/>
        <w:contextualSpacing w:val="0"/>
        <w:rPr/>
      </w:pPr>
      <w:r w:rsidDel="00000000" w:rsidR="00000000" w:rsidRPr="00000000">
        <w:rPr>
          <w:rtl w:val="0"/>
        </w:rPr>
      </w:r>
    </w:p>
    <w:p w:rsidR="00000000" w:rsidDel="00000000" w:rsidP="00000000" w:rsidRDefault="00000000" w:rsidRPr="00000000" w14:paraId="00000033">
      <w:pPr>
        <w:spacing w:line="480" w:lineRule="auto"/>
        <w:contextualSpacing w:val="0"/>
        <w:rPr/>
      </w:pPr>
      <w:r w:rsidDel="00000000" w:rsidR="00000000" w:rsidRPr="00000000">
        <w:rPr>
          <w:rtl w:val="0"/>
        </w:rPr>
      </w:r>
    </w:p>
    <w:p w:rsidR="00000000" w:rsidDel="00000000" w:rsidP="00000000" w:rsidRDefault="00000000" w:rsidRPr="00000000" w14:paraId="00000034">
      <w:pPr>
        <w:spacing w:line="480" w:lineRule="auto"/>
        <w:contextualSpacing w:val="0"/>
        <w:rPr/>
      </w:pPr>
      <w:r w:rsidDel="00000000" w:rsidR="00000000" w:rsidRPr="00000000">
        <w:rPr>
          <w:rtl w:val="0"/>
        </w:rPr>
        <w:t xml:space="preserve"> </w:t>
      </w:r>
    </w:p>
    <w:p w:rsidR="00000000" w:rsidDel="00000000" w:rsidP="00000000" w:rsidRDefault="00000000" w:rsidRPr="00000000" w14:paraId="00000035">
      <w:pPr>
        <w:spacing w:line="480" w:lineRule="auto"/>
        <w:contextualSpacing w:val="0"/>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w:t>
      </w:r>
    </w:p>
  </w:footnote>
  <w:footnote w:id="1">
    <w:p w:rsidR="00000000" w:rsidDel="00000000" w:rsidP="00000000" w:rsidRDefault="00000000" w:rsidRPr="00000000" w14:paraId="0000003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w:t>
      </w:r>
    </w:p>
  </w:footnote>
  <w:footnote w:id="2">
    <w:p w:rsidR="00000000" w:rsidDel="00000000" w:rsidP="00000000" w:rsidRDefault="00000000" w:rsidRPr="00000000" w14:paraId="0000003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 2. </w:t>
      </w:r>
    </w:p>
  </w:footnote>
  <w:footnote w:id="3">
    <w:p w:rsidR="00000000" w:rsidDel="00000000" w:rsidP="00000000" w:rsidRDefault="00000000" w:rsidRPr="00000000" w14:paraId="0000003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 </w:t>
      </w:r>
    </w:p>
  </w:footnote>
  <w:footnote w:id="4">
    <w:p w:rsidR="00000000" w:rsidDel="00000000" w:rsidP="00000000" w:rsidRDefault="00000000" w:rsidRPr="00000000" w14:paraId="0000003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w:t>
      </w:r>
    </w:p>
  </w:footnote>
  <w:footnote w:id="5">
    <w:p w:rsidR="00000000" w:rsidDel="00000000" w:rsidP="00000000" w:rsidRDefault="00000000" w:rsidRPr="00000000" w14:paraId="0000003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w:t>
      </w:r>
    </w:p>
  </w:footnote>
  <w:footnote w:id="6">
    <w:p w:rsidR="00000000" w:rsidDel="00000000" w:rsidP="00000000" w:rsidRDefault="00000000" w:rsidRPr="00000000" w14:paraId="0000003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w:t>
      </w:r>
    </w:p>
  </w:footnote>
  <w:footnote w:id="7">
    <w:p w:rsidR="00000000" w:rsidDel="00000000" w:rsidP="00000000" w:rsidRDefault="00000000" w:rsidRPr="00000000" w14:paraId="0000003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 </w:t>
      </w:r>
    </w:p>
  </w:footnote>
  <w:footnote w:id="8">
    <w:p w:rsidR="00000000" w:rsidDel="00000000" w:rsidP="00000000" w:rsidRDefault="00000000" w:rsidRPr="00000000" w14:paraId="0000003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Airdar, Pg.4</w:t>
      </w:r>
    </w:p>
  </w:footnote>
  <w:footnote w:id="9">
    <w:p w:rsidR="00000000" w:rsidDel="00000000" w:rsidP="00000000" w:rsidRDefault="00000000" w:rsidRPr="00000000" w14:paraId="0000003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 </w:t>
      </w:r>
    </w:p>
  </w:footnote>
  <w:footnote w:id="10">
    <w:p w:rsidR="00000000" w:rsidDel="00000000" w:rsidP="00000000" w:rsidRDefault="00000000" w:rsidRPr="00000000" w14:paraId="0000004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 </w:t>
      </w:r>
    </w:p>
  </w:footnote>
  <w:footnote w:id="11">
    <w:p w:rsidR="00000000" w:rsidDel="00000000" w:rsidP="00000000" w:rsidRDefault="00000000" w:rsidRPr="00000000" w14:paraId="0000004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Pg.2</w:t>
      </w:r>
    </w:p>
  </w:footnote>
  <w:footnote w:id="12">
    <w:p w:rsidR="00000000" w:rsidDel="00000000" w:rsidP="00000000" w:rsidRDefault="00000000" w:rsidRPr="00000000" w14:paraId="0000004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Tale,3387</w:t>
      </w:r>
    </w:p>
  </w:footnote>
  <w:footnote w:id="13">
    <w:p w:rsidR="00000000" w:rsidDel="00000000" w:rsidP="00000000" w:rsidRDefault="00000000" w:rsidRPr="00000000" w14:paraId="0000004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3393</w:t>
      </w:r>
    </w:p>
  </w:footnote>
  <w:footnote w:id="14">
    <w:p w:rsidR="00000000" w:rsidDel="00000000" w:rsidP="00000000" w:rsidRDefault="00000000" w:rsidRPr="00000000" w14:paraId="0000004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3389</w:t>
      </w:r>
    </w:p>
  </w:footnote>
  <w:footnote w:id="16">
    <w:p w:rsidR="00000000" w:rsidDel="00000000" w:rsidP="00000000" w:rsidRDefault="00000000" w:rsidRPr="00000000" w14:paraId="0000004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Airdar Pg.4</w:t>
      </w:r>
    </w:p>
  </w:footnote>
  <w:footnote w:id="15">
    <w:p w:rsidR="00000000" w:rsidDel="00000000" w:rsidP="00000000" w:rsidRDefault="00000000" w:rsidRPr="00000000" w14:paraId="0000004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3394-6</w:t>
      </w:r>
    </w:p>
  </w:footnote>
  <w:footnote w:id="17">
    <w:p w:rsidR="00000000" w:rsidDel="00000000" w:rsidP="00000000" w:rsidRDefault="00000000" w:rsidRPr="00000000" w14:paraId="0000004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Knight’s Tale, 1656-9</w:t>
      </w:r>
    </w:p>
  </w:footnote>
  <w:footnote w:id="18">
    <w:p w:rsidR="00000000" w:rsidDel="00000000" w:rsidP="00000000" w:rsidRDefault="00000000" w:rsidRPr="00000000" w14:paraId="0000004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3385</w:t>
      </w:r>
    </w:p>
  </w:footnote>
  <w:footnote w:id="19">
    <w:p w:rsidR="00000000" w:rsidDel="00000000" w:rsidP="00000000" w:rsidRDefault="00000000" w:rsidRPr="00000000" w14:paraId="0000004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 8</w:t>
      </w:r>
    </w:p>
  </w:footnote>
  <w:footnote w:id="20">
    <w:p w:rsidR="00000000" w:rsidDel="00000000" w:rsidP="00000000" w:rsidRDefault="00000000" w:rsidRPr="00000000" w14:paraId="0000004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 8</w:t>
      </w:r>
    </w:p>
  </w:footnote>
  <w:footnote w:id="21">
    <w:p w:rsidR="00000000" w:rsidDel="00000000" w:rsidP="00000000" w:rsidRDefault="00000000" w:rsidRPr="00000000" w14:paraId="0000004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2820</w:t>
      </w:r>
    </w:p>
  </w:footnote>
  <w:footnote w:id="23">
    <w:p w:rsidR="00000000" w:rsidDel="00000000" w:rsidP="00000000" w:rsidRDefault="00000000" w:rsidRPr="00000000" w14:paraId="0000004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General Prologue, 129</w:t>
      </w:r>
    </w:p>
  </w:footnote>
  <w:footnote w:id="24">
    <w:p w:rsidR="00000000" w:rsidDel="00000000" w:rsidP="00000000" w:rsidRDefault="00000000" w:rsidRPr="00000000" w14:paraId="0000004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General Prologue, 131</w:t>
      </w:r>
    </w:p>
  </w:footnote>
  <w:footnote w:id="25">
    <w:p w:rsidR="00000000" w:rsidDel="00000000" w:rsidP="00000000" w:rsidRDefault="00000000" w:rsidRPr="00000000" w14:paraId="0000004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2835</w:t>
      </w:r>
    </w:p>
  </w:footnote>
  <w:footnote w:id="22">
    <w:p w:rsidR="00000000" w:rsidDel="00000000" w:rsidP="00000000" w:rsidRDefault="00000000" w:rsidRPr="00000000" w14:paraId="0000004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 10</w:t>
      </w:r>
    </w:p>
  </w:footnote>
  <w:footnote w:id="26">
    <w:p w:rsidR="00000000" w:rsidDel="00000000" w:rsidP="00000000" w:rsidRDefault="00000000" w:rsidRPr="00000000" w14:paraId="0000005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2842</w:t>
      </w:r>
    </w:p>
  </w:footnote>
  <w:footnote w:id="27">
    <w:p w:rsidR="00000000" w:rsidDel="00000000" w:rsidP="00000000" w:rsidRDefault="00000000" w:rsidRPr="00000000" w14:paraId="0000005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General Prologue, 145-6</w:t>
      </w:r>
    </w:p>
  </w:footnote>
  <w:footnote w:id="28">
    <w:p w:rsidR="00000000" w:rsidDel="00000000" w:rsidP="00000000" w:rsidRDefault="00000000" w:rsidRPr="00000000" w14:paraId="0000005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Fehrenbacher , Pg.138:1994</w:t>
      </w:r>
    </w:p>
  </w:footnote>
  <w:footnote w:id="29">
    <w:p w:rsidR="00000000" w:rsidDel="00000000" w:rsidP="00000000" w:rsidRDefault="00000000" w:rsidRPr="00000000" w14:paraId="0000005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2826</w:t>
      </w:r>
    </w:p>
  </w:footnote>
  <w:footnote w:id="30">
    <w:p w:rsidR="00000000" w:rsidDel="00000000" w:rsidP="00000000" w:rsidRDefault="00000000" w:rsidRPr="00000000" w14:paraId="0000005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2859</w:t>
      </w:r>
    </w:p>
  </w:footnote>
  <w:footnote w:id="31">
    <w:p w:rsidR="00000000" w:rsidDel="00000000" w:rsidP="00000000" w:rsidRDefault="00000000" w:rsidRPr="00000000" w14:paraId="0000005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2864</w:t>
      </w:r>
    </w:p>
  </w:footnote>
  <w:footnote w:id="32">
    <w:p w:rsidR="00000000" w:rsidDel="00000000" w:rsidP="00000000" w:rsidRDefault="00000000" w:rsidRPr="00000000" w14:paraId="0000005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Fehrenbacher, Pg. 140: 1994 </w:t>
      </w:r>
    </w:p>
  </w:footnote>
  <w:footnote w:id="33">
    <w:p w:rsidR="00000000" w:rsidDel="00000000" w:rsidP="00000000" w:rsidRDefault="00000000" w:rsidRPr="00000000" w14:paraId="0000005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Pg.12</w:t>
      </w:r>
    </w:p>
  </w:footnote>
  <w:footnote w:id="34">
    <w:p w:rsidR="00000000" w:rsidDel="00000000" w:rsidP="00000000" w:rsidRDefault="00000000" w:rsidRPr="00000000" w14:paraId="0000005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Pg.14</w:t>
      </w:r>
    </w:p>
  </w:footnote>
  <w:footnote w:id="35">
    <w:p w:rsidR="00000000" w:rsidDel="00000000" w:rsidP="00000000" w:rsidRDefault="00000000" w:rsidRPr="00000000" w14:paraId="0000005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Pg.14  </w:t>
      </w:r>
    </w:p>
  </w:footnote>
  <w:footnote w:id="36">
    <w:p w:rsidR="00000000" w:rsidDel="00000000" w:rsidP="00000000" w:rsidRDefault="00000000" w:rsidRPr="00000000" w14:paraId="0000005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2830-1</w:t>
      </w:r>
    </w:p>
  </w:footnote>
  <w:footnote w:id="37">
    <w:p w:rsidR="00000000" w:rsidDel="00000000" w:rsidP="00000000" w:rsidRDefault="00000000" w:rsidRPr="00000000" w14:paraId="0000005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Pg.14 </w:t>
      </w:r>
    </w:p>
  </w:footnote>
  <w:footnote w:id="38">
    <w:p w:rsidR="00000000" w:rsidDel="00000000" w:rsidP="00000000" w:rsidRDefault="00000000" w:rsidRPr="00000000" w14:paraId="0000005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 14</w:t>
      </w:r>
    </w:p>
  </w:footnote>
  <w:footnote w:id="39">
    <w:p w:rsidR="00000000" w:rsidDel="00000000" w:rsidP="00000000" w:rsidRDefault="00000000" w:rsidRPr="00000000" w14:paraId="0000005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 14</w:t>
      </w:r>
    </w:p>
  </w:footnote>
  <w:footnote w:id="40">
    <w:p w:rsidR="00000000" w:rsidDel="00000000" w:rsidP="00000000" w:rsidRDefault="00000000" w:rsidRPr="00000000" w14:paraId="0000005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 Pg. 13</w:t>
      </w:r>
    </w:p>
  </w:footnote>
  <w:footnote w:id="41">
    <w:p w:rsidR="00000000" w:rsidDel="00000000" w:rsidP="00000000" w:rsidRDefault="00000000" w:rsidRPr="00000000" w14:paraId="0000005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251: 1981</w:t>
      </w:r>
    </w:p>
  </w:footnote>
  <w:footnote w:id="42">
    <w:p w:rsidR="00000000" w:rsidDel="00000000" w:rsidP="00000000" w:rsidRDefault="00000000" w:rsidRPr="00000000" w14:paraId="0000006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251: 1981 </w:t>
      </w:r>
    </w:p>
  </w:footnote>
  <w:footnote w:id="43">
    <w:p w:rsidR="00000000" w:rsidDel="00000000" w:rsidP="00000000" w:rsidRDefault="00000000" w:rsidRPr="00000000" w14:paraId="0000006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251: 1981 </w:t>
      </w:r>
    </w:p>
  </w:footnote>
  <w:footnote w:id="45">
    <w:p w:rsidR="00000000" w:rsidDel="00000000" w:rsidP="00000000" w:rsidRDefault="00000000" w:rsidRPr="00000000" w14:paraId="0000006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Haines, Pg 229: 1976</w:t>
      </w:r>
    </w:p>
  </w:footnote>
  <w:footnote w:id="46">
    <w:p w:rsidR="00000000" w:rsidDel="00000000" w:rsidP="00000000" w:rsidRDefault="00000000" w:rsidRPr="00000000" w14:paraId="0000006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Hatcher, Pg 247: 1975</w:t>
      </w:r>
    </w:p>
  </w:footnote>
  <w:footnote w:id="44">
    <w:p w:rsidR="00000000" w:rsidDel="00000000" w:rsidP="00000000" w:rsidRDefault="00000000" w:rsidRPr="00000000" w14:paraId="0000006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699</w:t>
      </w:r>
    </w:p>
  </w:footnote>
  <w:footnote w:id="47">
    <w:p w:rsidR="00000000" w:rsidDel="00000000" w:rsidP="00000000" w:rsidRDefault="00000000" w:rsidRPr="00000000" w14:paraId="0000006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Hatcher, Pg 247: 1975 </w:t>
      </w:r>
    </w:p>
  </w:footnote>
  <w:footnote w:id="48">
    <w:p w:rsidR="00000000" w:rsidDel="00000000" w:rsidP="00000000" w:rsidRDefault="00000000" w:rsidRPr="00000000" w14:paraId="0000006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703</w:t>
      </w:r>
    </w:p>
  </w:footnote>
  <w:footnote w:id="49">
    <w:p w:rsidR="00000000" w:rsidDel="00000000" w:rsidP="00000000" w:rsidRDefault="00000000" w:rsidRPr="00000000" w14:paraId="0000006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695</w:t>
      </w:r>
    </w:p>
  </w:footnote>
  <w:footnote w:id="50">
    <w:p w:rsidR="00000000" w:rsidDel="00000000" w:rsidP="00000000" w:rsidRDefault="00000000" w:rsidRPr="00000000" w14:paraId="0000006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Biedler Pg. 257: 1982</w:t>
      </w:r>
    </w:p>
  </w:footnote>
  <w:footnote w:id="51">
    <w:p w:rsidR="00000000" w:rsidDel="00000000" w:rsidP="00000000" w:rsidRDefault="00000000" w:rsidRPr="00000000" w14:paraId="0000006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679</w:t>
      </w:r>
    </w:p>
  </w:footnote>
  <w:footnote w:id="52">
    <w:p w:rsidR="00000000" w:rsidDel="00000000" w:rsidP="00000000" w:rsidRDefault="00000000" w:rsidRPr="00000000" w14:paraId="0000006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675-6</w:t>
      </w:r>
    </w:p>
  </w:footnote>
  <w:footnote w:id="53">
    <w:p w:rsidR="00000000" w:rsidDel="00000000" w:rsidP="00000000" w:rsidRDefault="00000000" w:rsidRPr="00000000" w14:paraId="0000006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699</w:t>
      </w:r>
    </w:p>
  </w:footnote>
  <w:footnote w:id="54">
    <w:p w:rsidR="00000000" w:rsidDel="00000000" w:rsidP="00000000" w:rsidRDefault="00000000" w:rsidRPr="00000000" w14:paraId="0000006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251:1981</w:t>
      </w:r>
    </w:p>
  </w:footnote>
  <w:footnote w:id="55">
    <w:p w:rsidR="00000000" w:rsidDel="00000000" w:rsidP="00000000" w:rsidRDefault="00000000" w:rsidRPr="00000000" w14:paraId="0000006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257: 1982</w:t>
      </w:r>
    </w:p>
  </w:footnote>
  <w:footnote w:id="56">
    <w:p w:rsidR="00000000" w:rsidDel="00000000" w:rsidP="00000000" w:rsidRDefault="00000000" w:rsidRPr="00000000" w14:paraId="0000006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663</w:t>
      </w:r>
    </w:p>
  </w:footnote>
  <w:footnote w:id="57">
    <w:p w:rsidR="00000000" w:rsidDel="00000000" w:rsidP="00000000" w:rsidRDefault="00000000" w:rsidRPr="00000000" w14:paraId="0000006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258: 1982 </w:t>
      </w:r>
    </w:p>
  </w:footnote>
  <w:footnote w:id="58">
    <w:p w:rsidR="00000000" w:rsidDel="00000000" w:rsidP="00000000" w:rsidRDefault="00000000" w:rsidRPr="00000000" w14:paraId="0000007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686</w:t>
      </w:r>
    </w:p>
  </w:footnote>
  <w:footnote w:id="59">
    <w:p w:rsidR="00000000" w:rsidDel="00000000" w:rsidP="00000000" w:rsidRDefault="00000000" w:rsidRPr="00000000" w14:paraId="0000007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259: 1982</w:t>
      </w:r>
    </w:p>
  </w:footnote>
  <w:footnote w:id="60">
    <w:p w:rsidR="00000000" w:rsidDel="00000000" w:rsidP="00000000" w:rsidRDefault="00000000" w:rsidRPr="00000000" w14:paraId="0000007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926</w:t>
      </w:r>
    </w:p>
  </w:footnote>
  <w:footnote w:id="61">
    <w:p w:rsidR="00000000" w:rsidDel="00000000" w:rsidP="00000000" w:rsidRDefault="00000000" w:rsidRPr="00000000" w14:paraId="0000007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Pardoner’s Tale, 929-30</w:t>
      </w:r>
    </w:p>
  </w:footnote>
  <w:footnote w:id="62">
    <w:p w:rsidR="00000000" w:rsidDel="00000000" w:rsidP="00000000" w:rsidRDefault="00000000" w:rsidRPr="00000000" w14:paraId="0000007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261: 1982</w:t>
      </w:r>
    </w:p>
  </w:footnote>
  <w:footnote w:id="63">
    <w:p w:rsidR="00000000" w:rsidDel="00000000" w:rsidP="00000000" w:rsidRDefault="00000000" w:rsidRPr="00000000" w14:paraId="0000007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Pardoner’s Prologue, 448</w:t>
      </w:r>
    </w:p>
  </w:footnote>
  <w:footnote w:id="64">
    <w:p w:rsidR="00000000" w:rsidDel="00000000" w:rsidP="00000000" w:rsidRDefault="00000000" w:rsidRPr="00000000" w14:paraId="0000007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Chaucer,Pardoner’s Prologue, 450-1</w:t>
      </w:r>
    </w:p>
  </w:footnote>
  <w:footnote w:id="65">
    <w:p w:rsidR="00000000" w:rsidDel="00000000" w:rsidP="00000000" w:rsidRDefault="00000000" w:rsidRPr="00000000" w14:paraId="0000007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Beidler, Pg. 262: 1982</w:t>
      </w:r>
    </w:p>
  </w:footnote>
  <w:footnote w:id="66">
    <w:p w:rsidR="00000000" w:rsidDel="00000000" w:rsidP="00000000" w:rsidRDefault="00000000" w:rsidRPr="00000000" w14:paraId="0000007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Chaucer, The Nun’s Priest’s Tale, 3394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www.academia.edu/2109585/Radical_Noyse_in_Chaucers_Nuns_Priestss_T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