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b w:val="1"/>
          <w:bCs w:val="1"/>
          <w:rtl w:val="0"/>
        </w:rPr>
        <w:t xml:space="preserve">Programme: BA (Hons) Leadership and Management Skills for the Workplace</w:t>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Module: Strategic Management for Business</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Module code: LCLM 6001</w:t>
      </w:r>
    </w:p>
    <w:p w:rsidR="00000000" w:rsidDel="00000000" w:rsidP="00000000" w:rsidRDefault="00000000" w:rsidRPr="00000000" w14:paraId="00000007">
      <w:pPr>
        <w:jc w:val="center"/>
        <w:rPr>
          <w:b w:val="1"/>
          <w:bCs w:val="1"/>
        </w:rPr>
      </w:pPr>
      <w:r w:rsidDel="00000000" w:rsidR="00000000" w:rsidRPr="00000000">
        <w:rPr>
          <w:b w:val="1"/>
          <w:bCs w:val="1"/>
          <w:rtl w:val="0"/>
        </w:rPr>
        <w:t xml:space="preserve">Module leaders : Yohan Mendis and Dr Faizu Edu</w:t>
      </w:r>
    </w:p>
    <w:p w:rsidR="00000000" w:rsidDel="00000000" w:rsidP="00000000" w:rsidRDefault="00000000" w:rsidRPr="00000000" w14:paraId="00000008">
      <w:pPr>
        <w:jc w:val="center"/>
        <w:rPr>
          <w:b w:val="1"/>
          <w:bCs w:val="1"/>
        </w:rPr>
      </w:pPr>
      <w:r w:rsidDel="00000000" w:rsidR="00000000" w:rsidRPr="00000000">
        <w:rPr>
          <w:b w:val="1"/>
          <w:bCs w:val="1"/>
          <w:rtl w:val="0"/>
        </w:rPr>
        <w:t xml:space="preserve">Assignment Title: Individual Report</w:t>
      </w:r>
    </w:p>
    <w:p w:rsidR="00000000" w:rsidDel="00000000" w:rsidP="00000000" w:rsidRDefault="00000000" w:rsidRPr="00000000" w14:paraId="00000009">
      <w:pPr>
        <w:jc w:val="center"/>
        <w:rPr>
          <w:b w:val="1"/>
          <w:bCs w:val="1"/>
        </w:rPr>
      </w:pPr>
      <w:r w:rsidDel="00000000" w:rsidR="00000000" w:rsidRPr="00000000">
        <w:rPr>
          <w:b w:val="1"/>
          <w:bCs w:val="1"/>
          <w:rtl w:val="0"/>
        </w:rPr>
        <w:t xml:space="preserve">Student Name:Mihai Hariton</w:t>
      </w:r>
    </w:p>
    <w:p w:rsidR="00000000" w:rsidDel="00000000" w:rsidP="00000000" w:rsidRDefault="00000000" w:rsidRPr="00000000" w14:paraId="0000000A">
      <w:pPr>
        <w:jc w:val="center"/>
        <w:rPr/>
      </w:pPr>
      <w:r w:rsidDel="00000000" w:rsidR="00000000" w:rsidRPr="00000000">
        <w:rPr>
          <w:b w:val="1"/>
          <w:bCs w:val="1"/>
          <w:rtl w:val="0"/>
        </w:rPr>
        <w:t xml:space="preserve">Student ID:2238783</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jc w:val="center"/>
        <w:rPr>
          <w:b w:val="1"/>
          <w:bCs w:val="1"/>
        </w:rPr>
      </w:pPr>
      <w:r w:rsidDel="00000000" w:rsidR="00000000" w:rsidRPr="00000000">
        <w:rPr>
          <w:b w:val="1"/>
          <w:bCs w:val="1"/>
          <w:rtl w:val="0"/>
        </w:rPr>
        <w:t xml:space="preserve">Executive Summary</w:t>
      </w:r>
    </w:p>
    <w:p w:rsidR="00000000" w:rsidDel="00000000" w:rsidP="00000000" w:rsidRDefault="00000000" w:rsidRPr="00000000" w14:paraId="00000010">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This report analyses Vodafone UK's strategic position after the merger with Three UK and proposes an appropriate growth path to help the company improve its long-term competitiveness. Internal competitive analysis through SWOT and Porter's Five Forces shows that Vodafone has a competitive edge, is investing heavily in 5G technology, and has the digital skills to take advantage of the market; however, it is also facing challenges such as stiff competition and integration risks. The report suggests that the Ansoff Matrix and Porter's Generic Strategies indicate that a product development approach with differentiation is recommended, emphasizing AI-powered services, cloud-based solutions, cybersecurity, Internet of Things (IoT) solutions, and improved customer experiences. The report also provides details on stakeholder engagement, actions for implementation and performance monitoring, using key performance indicators (KPIs) to assist in successful implementation and long-term growth.</w:t>
      </w:r>
    </w:p>
    <w:p w:rsidR="00000000" w:rsidDel="00000000" w:rsidP="00000000" w:rsidRDefault="00000000" w:rsidRPr="00000000" w14:paraId="00000011">
      <w:pPr>
        <w:rPr>
          <w:rFonts w:ascii="Geist Fallback" w:cs="Geist Fallback" w:eastAsia="Geist Fallback" w:hAnsi="Geist Fallback"/>
          <w:sz w:val="23"/>
          <w:szCs w:val="23"/>
        </w:rPr>
      </w:pPr>
      <w:r w:rsidDel="00000000" w:rsidR="00000000" w:rsidRPr="00000000">
        <w:rPr>
          <w:rtl w:val="0"/>
        </w:rPr>
      </w:r>
    </w:p>
    <w:p w:rsidR="00000000" w:rsidDel="00000000" w:rsidP="00000000" w:rsidRDefault="00000000" w:rsidRPr="00000000" w14:paraId="00000012">
      <w:pPr>
        <w:spacing w:after="160" w:line="259" w:lineRule="auto"/>
        <w:jc w:val="left"/>
        <w:rPr>
          <w:rFonts w:ascii="Geist Fallback" w:cs="Geist Fallback" w:eastAsia="Geist Fallback" w:hAnsi="Geist Fallback"/>
          <w:sz w:val="23"/>
          <w:szCs w:val="23"/>
        </w:rPr>
      </w:pPr>
      <w:r w:rsidDel="00000000" w:rsidR="00000000" w:rsidRPr="00000000">
        <w:br w:type="page"/>
      </w: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t xml:space="preserve">Table of Contents</w:t>
      </w:r>
    </w:p>
    <w:sdt>
      <w:sdtPr>
        <w:id w:val="1918858211"/>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7b4h20191fd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tab/>
              <w:t xml:space="preserve">Introduction to Vodafone</w:t>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2mlfdr3v2n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tab/>
              <w:t xml:space="preserve">Evaluation of current market situation</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t6pxeham66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tab/>
              <w:t xml:space="preserve">SWOT Analysis</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0vergwvlu6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tab/>
              <w:t xml:space="preserve">Porter Five Force</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0nq0u40kxw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tab/>
              <w:t xml:space="preserve">Strategic Growth Options and Proposed Strategy</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usjhdykktd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w:t>
              <w:tab/>
              <w:t xml:space="preserve">Ansoff Matrix</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u0wod41zfk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w:t>
              <w:tab/>
              <w:t xml:space="preserve">Porter's Generic Strategies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vdouydyps8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tab/>
            </w:r>
          </w:hyperlink>
          <w:r w:rsidDel="00000000" w:rsidR="00000000" w:rsidRPr="00000000">
            <w:fldChar w:fldCharType="begin"/>
            <w:instrText xml:space="preserve"> PAGEREF _fvdouydyps89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yellow"/>
              <w:u w:val="none"/>
              <w:vertAlign w:val="baseline"/>
              <w:rtl w:val="0"/>
            </w:rPr>
            <w:t xml:space="preserve">Strategy evaluation 450</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mmxdqyffyq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tab/>
              <w:t xml:space="preserve">Stakeholder Analysis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x0mdrpgsil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tab/>
              <w:t xml:space="preserve">Implementation and monitoring</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fa3oi9i1s7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tab/>
              <w:t xml:space="preserve">Conclusion</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ljr9lg8ktd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w:t>
              <w:tab/>
              <w:t xml:space="preserve">References</w:t>
              <w:tab/>
              <w:t xml:space="preserve">12</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1"/>
        <w:numPr>
          <w:ilvl w:val="0"/>
          <w:numId w:val="1"/>
        </w:numPr>
        <w:ind w:left="432" w:hanging="432"/>
        <w:rPr/>
      </w:pPr>
      <w:bookmarkStart w:colFirst="0" w:colLast="0" w:name="_7b4h20191fd4" w:id="0"/>
      <w:bookmarkEnd w:id="0"/>
      <w:r w:rsidDel="00000000" w:rsidR="00000000" w:rsidRPr="00000000">
        <w:rPr>
          <w:rtl w:val="0"/>
        </w:rPr>
        <w:t xml:space="preserve">Introduction to Vodafone </w:t>
      </w:r>
    </w:p>
    <w:p w:rsidR="00000000" w:rsidDel="00000000" w:rsidP="00000000" w:rsidRDefault="00000000" w:rsidRPr="00000000" w14:paraId="00000024">
      <w:pPr>
        <w:rPr/>
      </w:pPr>
      <w:r w:rsidDel="00000000" w:rsidR="00000000" w:rsidRPr="00000000">
        <w:rPr>
          <w:rtl w:val="0"/>
        </w:rPr>
        <w:t xml:space="preserve">Vodafone is one of the world's largest telecommunications operators, offering mobile, fixed broadband, Internet of Things (IoT), cloud, security, digital financial services and business communication solutions in Europe and Africa. It is one of the world's largest digital connectivity providers, serving some 279 million mobile customers, 18 million fixed-line, 244 million IoT connections and more than 5 million business customers (Vodafone, 2026). Vodafone's commitment to investing in new technologies like 5G, cloud, AI and digital infrastructure is designed to drive digital transformation and to deliver long-term value to customers, businesses and society.</w:t>
      </w:r>
    </w:p>
    <w:p w:rsidR="00000000" w:rsidDel="00000000" w:rsidP="00000000" w:rsidRDefault="00000000" w:rsidRPr="00000000" w14:paraId="00000025">
      <w:pPr>
        <w:rPr/>
      </w:pPr>
      <w:r w:rsidDel="00000000" w:rsidR="00000000" w:rsidRPr="00000000">
        <w:rPr>
          <w:rFonts w:ascii="Geist Fallback" w:cs="Geist Fallback" w:eastAsia="Geist Fallback" w:hAnsi="Geist Fallback"/>
          <w:sz w:val="23"/>
          <w:szCs w:val="23"/>
          <w:rtl w:val="0"/>
        </w:rPr>
        <w:t xml:space="preserve">Vodafone's vision is to connect everyone, providing innovative, secure and reliable connectivity solutions to help women, businesses and communities around the world. It will aim to become a best Telecommunications Company, driving the future of connectivity in its markets of operation through innovation, operational excellence and sustainable growth (Vodafone, 2026a). The core values of the organisation are Customer-centric, Simplicity, Innovation, Sustainability, Integrity, and Inclusion. It is dedicated to increasing digital access, lowering carbon emissions, safeguarding customer trust, and supporting responsible business practices, which all align with these values (Vodafone, 2026a).</w:t>
      </w:r>
      <w:r w:rsidDel="00000000" w:rsidR="00000000" w:rsidRPr="00000000">
        <w:rPr>
          <w:rtl w:val="0"/>
        </w:rPr>
      </w:r>
    </w:p>
    <w:p w:rsidR="00000000" w:rsidDel="00000000" w:rsidP="00000000" w:rsidRDefault="00000000" w:rsidRPr="00000000" w14:paraId="00000026">
      <w:pPr>
        <w:pStyle w:val="Heading1"/>
        <w:numPr>
          <w:ilvl w:val="0"/>
          <w:numId w:val="1"/>
        </w:numPr>
        <w:ind w:left="432" w:hanging="432"/>
        <w:rPr/>
      </w:pPr>
      <w:bookmarkStart w:colFirst="0" w:colLast="0" w:name="_32mlfdr3v2n5" w:id="1"/>
      <w:bookmarkEnd w:id="1"/>
      <w:r w:rsidDel="00000000" w:rsidR="00000000" w:rsidRPr="00000000">
        <w:rPr>
          <w:rtl w:val="0"/>
        </w:rPr>
        <w:t xml:space="preserve">Evaluation of current market situation </w:t>
      </w:r>
    </w:p>
    <w:p w:rsidR="00000000" w:rsidDel="00000000" w:rsidP="00000000" w:rsidRDefault="00000000" w:rsidRPr="00000000" w14:paraId="00000027">
      <w:pPr>
        <w:pStyle w:val="Heading2"/>
        <w:numPr>
          <w:ilvl w:val="1"/>
          <w:numId w:val="1"/>
        </w:numPr>
        <w:ind w:left="576" w:hanging="576"/>
        <w:rPr/>
      </w:pPr>
      <w:bookmarkStart w:colFirst="0" w:colLast="0" w:name="_7t6pxeham66z" w:id="2"/>
      <w:bookmarkEnd w:id="2"/>
      <w:r w:rsidDel="00000000" w:rsidR="00000000" w:rsidRPr="00000000">
        <w:rPr>
          <w:rtl w:val="0"/>
        </w:rPr>
        <w:t xml:space="preserve">SWOT Analysis </w:t>
      </w:r>
    </w:p>
    <w:p w:rsidR="00000000" w:rsidDel="00000000" w:rsidP="00000000" w:rsidRDefault="00000000" w:rsidRPr="00000000" w14:paraId="00000028">
      <w:pPr>
        <w:rPr>
          <w:b w:val="1"/>
          <w:bCs w:val="1"/>
        </w:rPr>
      </w:pPr>
      <w:r w:rsidDel="00000000" w:rsidR="00000000" w:rsidRPr="00000000">
        <w:rPr>
          <w:b w:val="1"/>
          <w:bCs w:val="1"/>
          <w:rtl w:val="0"/>
        </w:rPr>
        <w:t xml:space="preserve">Strengths</w:t>
      </w:r>
    </w:p>
    <w:p w:rsidR="00000000" w:rsidDel="00000000" w:rsidP="00000000" w:rsidRDefault="00000000" w:rsidRPr="00000000" w14:paraId="00000029">
      <w:pPr>
        <w:rPr/>
      </w:pPr>
      <w:r w:rsidDel="00000000" w:rsidR="00000000" w:rsidRPr="00000000">
        <w:rPr>
          <w:rtl w:val="0"/>
        </w:rPr>
        <w:t xml:space="preserve">Vodafone UK has a number of strategic assets which aid its competitive position in the telecoms sector. The 2025 deal with Three UK has formed VodafoneThree, which is the largest mobile network operator in the UK with around 27 million customers. An enlarged customer base allows for economies of scale, more market penetration and more negotiation with suppliers (Vodafone, 2026b). It has also pledged to spend £11 billion during the next decade on building the UK's best independent 5G network, giving it its own long-term technological edge (Vodafone, 2026c). In addition, Vodafone has a diversified portfolio of products, ranging from mobile services, broadband, cloud computing, cyber security, IoT, AI, and digital financial services to enterprise communication solutions, and thereby lessened its dependency of a single revenue stream. Innovation is further bolstered by strategic partnerships with technology giants including Google and Microsoft, and its robust sustainability efforts and pledge to renewable energy drive positive corporate reputation and expectations around environmental stewardship in its operations (Vodafone, 2026).</w:t>
      </w:r>
    </w:p>
    <w:p w:rsidR="00000000" w:rsidDel="00000000" w:rsidP="00000000" w:rsidRDefault="00000000" w:rsidRPr="00000000" w14:paraId="0000002A">
      <w:pPr>
        <w:rPr>
          <w:b w:val="1"/>
          <w:bCs w:val="1"/>
        </w:rPr>
      </w:pPr>
      <w:r w:rsidDel="00000000" w:rsidR="00000000" w:rsidRPr="00000000">
        <w:rPr>
          <w:b w:val="1"/>
          <w:bCs w:val="1"/>
          <w:rtl w:val="0"/>
        </w:rPr>
        <w:t xml:space="preserve">Weaknesses</w:t>
      </w:r>
    </w:p>
    <w:p w:rsidR="00000000" w:rsidDel="00000000" w:rsidP="00000000" w:rsidRDefault="00000000" w:rsidRPr="00000000" w14:paraId="0000002B">
      <w:pPr>
        <w:rPr/>
      </w:pPr>
      <w:r w:rsidDel="00000000" w:rsidR="00000000" w:rsidRPr="00000000">
        <w:rPr>
          <w:rtl w:val="0"/>
        </w:rPr>
        <w:t xml:space="preserve">However, Vodafone has some internal issues. The Vodafone and Three UK merger is not just about network and IT system integration, but also about cultural, organisational and network consolidation. These integration activities may cause a temporary delay in the expected cost synergy and also impact the operations. Further, the company has invested heavily in network infrastructure and digital transformation, which will demand substantial capital expenditure, putting pressure on the short-term profitability and financial performance. Vodafone has also faced issues with customer service in previous years, and it is clear that they need to make continuous improvements in this area in order to be competitive.</w:t>
      </w:r>
    </w:p>
    <w:p w:rsidR="00000000" w:rsidDel="00000000" w:rsidP="00000000" w:rsidRDefault="00000000" w:rsidRPr="00000000" w14:paraId="0000002C">
      <w:pPr>
        <w:rPr>
          <w:b w:val="1"/>
          <w:bCs w:val="1"/>
        </w:rPr>
      </w:pPr>
      <w:r w:rsidDel="00000000" w:rsidR="00000000" w:rsidRPr="00000000">
        <w:rPr>
          <w:b w:val="1"/>
          <w:bCs w:val="1"/>
          <w:rtl w:val="0"/>
        </w:rPr>
        <w:t xml:space="preserve">Opportunities</w:t>
      </w:r>
    </w:p>
    <w:p w:rsidR="00000000" w:rsidDel="00000000" w:rsidP="00000000" w:rsidRDefault="00000000" w:rsidRPr="00000000" w14:paraId="0000002D">
      <w:pPr>
        <w:rPr/>
      </w:pPr>
      <w:r w:rsidDel="00000000" w:rsidR="00000000" w:rsidRPr="00000000">
        <w:rPr>
          <w:rtl w:val="0"/>
        </w:rPr>
        <w:t xml:space="preserve">Vodafone sees many opportunities for growth in the telecom industry's current transformation. There is a great potential to grow enterprise and consumer markets with increasing demand for 5G connectivity, cloud computing, cybersecurity, artificial intelligence and IoT services (Attaran, 2023). The Vodafone Three merger provides the advantage of greater network coverage, higher data speeds, better consumer experience, and greater operational efficiencies by sharing infrastructure. As digital transformation spreads across industries, so do the needs for Vodafone's business offerings such as cloud, unified communications, and IoT solutions. </w:t>
      </w:r>
    </w:p>
    <w:p w:rsidR="00000000" w:rsidDel="00000000" w:rsidP="00000000" w:rsidRDefault="00000000" w:rsidRPr="00000000" w14:paraId="0000002E">
      <w:pPr>
        <w:rPr>
          <w:b w:val="1"/>
          <w:bCs w:val="1"/>
        </w:rPr>
      </w:pPr>
      <w:r w:rsidDel="00000000" w:rsidR="00000000" w:rsidRPr="00000000">
        <w:rPr>
          <w:b w:val="1"/>
          <w:bCs w:val="1"/>
          <w:rtl w:val="0"/>
        </w:rPr>
        <w:t xml:space="preserve">Threats</w:t>
      </w:r>
    </w:p>
    <w:p w:rsidR="00000000" w:rsidDel="00000000" w:rsidP="00000000" w:rsidRDefault="00000000" w:rsidRPr="00000000" w14:paraId="0000002F">
      <w:pPr>
        <w:rPr/>
      </w:pPr>
      <w:r w:rsidDel="00000000" w:rsidR="00000000" w:rsidRPr="00000000">
        <w:rPr>
          <w:rtl w:val="0"/>
        </w:rPr>
        <w:t xml:space="preserve">There are also some external risks that may impact the future performance of Vodafone. Pricing and service innovation is fierce competition in the UK telecommunications market, with formidable competitors like BT/EE, Virgin Media O2, Sky Mobile and several Mobile Virtual Network Operators (MVNOs) up for scraps (Vodafone, 2026c). Furthermore, there is potential for further regulation by Ofcom and the Competition and Markets Authority (CMA) on pricing, spectrum allocation, and future consolidation. Lastly, with the rise of cybersecurity challenges, data privacy issues, and customer demands, continuous investment in digital security becomes essential to ensure customer trust and safeguard Vodafone's reputation. </w:t>
      </w:r>
    </w:p>
    <w:p w:rsidR="00000000" w:rsidDel="00000000" w:rsidP="00000000" w:rsidRDefault="00000000" w:rsidRPr="00000000" w14:paraId="00000030">
      <w:pPr>
        <w:pStyle w:val="Heading2"/>
        <w:numPr>
          <w:ilvl w:val="1"/>
          <w:numId w:val="1"/>
        </w:numPr>
        <w:ind w:left="576" w:hanging="576"/>
        <w:rPr/>
      </w:pPr>
      <w:bookmarkStart w:colFirst="0" w:colLast="0" w:name="_m0vergwvlu6u" w:id="3"/>
      <w:bookmarkEnd w:id="3"/>
      <w:r w:rsidDel="00000000" w:rsidR="00000000" w:rsidRPr="00000000">
        <w:rPr>
          <w:rtl w:val="0"/>
        </w:rPr>
        <w:t xml:space="preserve">Porter Five Force </w:t>
      </w:r>
    </w:p>
    <w:p w:rsidR="00000000" w:rsidDel="00000000" w:rsidP="00000000" w:rsidRDefault="00000000" w:rsidRPr="00000000" w14:paraId="00000031">
      <w:pPr>
        <w:rPr/>
      </w:pPr>
      <w:r w:rsidDel="00000000" w:rsidR="00000000" w:rsidRPr="00000000">
        <w:rPr>
          <w:rtl w:val="0"/>
        </w:rPr>
        <w:t xml:space="preserve">Porter's five forces model is a useful analysis for looking at the competitive forces affecting the UK telecommunications sector, and Vodafone's external environment after it was split into VodafoneOne and VodafoneThree.</w:t>
      </w:r>
    </w:p>
    <w:p w:rsidR="00000000" w:rsidDel="00000000" w:rsidP="00000000" w:rsidRDefault="00000000" w:rsidRPr="00000000" w14:paraId="00000032">
      <w:pPr>
        <w:rPr>
          <w:b w:val="1"/>
          <w:bCs w:val="1"/>
        </w:rPr>
      </w:pPr>
      <w:r w:rsidDel="00000000" w:rsidR="00000000" w:rsidRPr="00000000">
        <w:rPr>
          <w:b w:val="1"/>
          <w:bCs w:val="1"/>
          <w:rtl w:val="0"/>
        </w:rPr>
        <w:t xml:space="preserve">Threat of New Entrants – Low</w:t>
      </w:r>
    </w:p>
    <w:p w:rsidR="00000000" w:rsidDel="00000000" w:rsidP="00000000" w:rsidRDefault="00000000" w:rsidRPr="00000000" w14:paraId="00000033">
      <w:pPr>
        <w:rPr/>
      </w:pPr>
      <w:r w:rsidDel="00000000" w:rsidR="00000000" w:rsidRPr="00000000">
        <w:rPr>
          <w:rtl w:val="0"/>
        </w:rPr>
        <w:t xml:space="preserve">The threat from new entrants is also relatively low because the mobile telecommunications industry is very capital intensive and the rollout of a nationwide infrastructure with spectrum licences and meeting the extensive regulatory requirements is a significant challenge. Secondly, the presence of well-known brands, customer bases, and network coverage provide advantages for established operators, making it difficult for new competitors to enter the market (Belhaiza, 2025). Mobile Virtual Network Operators (MVNOs) like Giffgaff, Tesco Mobile and Lycamobile can join the market with fewer barriers – they lease network capacity, but they don't always have to own it so there is less competitive threat than ownership by a major company.</w:t>
      </w:r>
    </w:p>
    <w:p w:rsidR="00000000" w:rsidDel="00000000" w:rsidP="00000000" w:rsidRDefault="00000000" w:rsidRPr="00000000" w14:paraId="00000034">
      <w:pPr>
        <w:rPr>
          <w:b w:val="1"/>
          <w:bCs w:val="1"/>
        </w:rPr>
      </w:pPr>
      <w:r w:rsidDel="00000000" w:rsidR="00000000" w:rsidRPr="00000000">
        <w:rPr>
          <w:b w:val="1"/>
          <w:bCs w:val="1"/>
          <w:rtl w:val="0"/>
        </w:rPr>
        <w:t xml:space="preserve">Bargaining Power of Suppliers – Moderate</w:t>
      </w:r>
    </w:p>
    <w:p w:rsidR="00000000" w:rsidDel="00000000" w:rsidP="00000000" w:rsidRDefault="00000000" w:rsidRPr="00000000" w14:paraId="00000035">
      <w:pPr>
        <w:rPr/>
      </w:pPr>
      <w:r w:rsidDel="00000000" w:rsidR="00000000" w:rsidRPr="00000000">
        <w:rPr>
          <w:rtl w:val="0"/>
        </w:rPr>
        <w:t xml:space="preserve">Vodafone's supplier power is moderate, as it relies on a fairly small number of global technology vendors for network equipment, software, semiconductors and cloud infrastructure. Suppliers like Ericsson, Nokia and the cloud service providers have specific technology skills and Vodafone has limited ability to quickly change suppliers. However, Vodafone has a global size and buying power which makes it easier to enter into good long-term contracts and diversify its supplier relationships, thereby limiting supplier influence (Gov UK, 2025). Vodafone's strategic alliance with Google and Microsoft further enhances its technological strength and reduces reliance on any single provider.</w:t>
      </w:r>
    </w:p>
    <w:p w:rsidR="00000000" w:rsidDel="00000000" w:rsidP="00000000" w:rsidRDefault="00000000" w:rsidRPr="00000000" w14:paraId="00000036">
      <w:pPr>
        <w:rPr>
          <w:b w:val="1"/>
          <w:bCs w:val="1"/>
        </w:rPr>
      </w:pPr>
      <w:r w:rsidDel="00000000" w:rsidR="00000000" w:rsidRPr="00000000">
        <w:rPr>
          <w:b w:val="1"/>
          <w:bCs w:val="1"/>
          <w:rtl w:val="0"/>
        </w:rPr>
        <w:t xml:space="preserve">Bargaining Power of Buyers – High</w:t>
      </w:r>
    </w:p>
    <w:p w:rsidR="00000000" w:rsidDel="00000000" w:rsidP="00000000" w:rsidRDefault="00000000" w:rsidRPr="00000000" w14:paraId="00000037">
      <w:pPr>
        <w:rPr/>
      </w:pPr>
      <w:r w:rsidDel="00000000" w:rsidR="00000000" w:rsidRPr="00000000">
        <w:rPr>
          <w:rtl w:val="0"/>
        </w:rPr>
        <w:t xml:space="preserve">The UK telecoms market is very competitive and gives customers bargaining power. Online comparison platforms and the portability of mobile numbers allow consumers to make comparisons regarding price, data packages, network quality and customer service, and it is relatively easy to switch providers with minimal inconvenience (Basaure et al. 2020). Customers have more options available, such as Virgin Media O2, Sky Mobile, BT/EE and several MVNOs, making it even more competitive and offering customers more choices. Vodafone is therefore constantly striving to increase the quality of its services, maintain competitive pricing, strengthen customer experience, and deliver value-added services like cloud storage, cybersecurity, and digital entertainment to ensure customer retention and minimise churn.</w:t>
      </w:r>
    </w:p>
    <w:p w:rsidR="00000000" w:rsidDel="00000000" w:rsidP="00000000" w:rsidRDefault="00000000" w:rsidRPr="00000000" w14:paraId="00000038">
      <w:pPr>
        <w:rPr>
          <w:b w:val="1"/>
          <w:bCs w:val="1"/>
        </w:rPr>
      </w:pPr>
      <w:r w:rsidDel="00000000" w:rsidR="00000000" w:rsidRPr="00000000">
        <w:rPr>
          <w:b w:val="1"/>
          <w:bCs w:val="1"/>
          <w:rtl w:val="0"/>
        </w:rPr>
        <w:t xml:space="preserve">Threat of Substitute Products or Services – Moderate</w:t>
      </w:r>
    </w:p>
    <w:p w:rsidR="00000000" w:rsidDel="00000000" w:rsidP="00000000" w:rsidRDefault="00000000" w:rsidRPr="00000000" w14:paraId="00000039">
      <w:pPr>
        <w:rPr/>
      </w:pPr>
      <w:r w:rsidDel="00000000" w:rsidR="00000000" w:rsidRPr="00000000">
        <w:rPr>
          <w:rtl w:val="0"/>
        </w:rPr>
        <w:t xml:space="preserve">The threat from substitution is moderate due to the fact that traditional mobile communication services are now increasingly being outcompeted by internet-based applications like WhatsApp, Microsoft Teams, Zoom, FaceTime and Telegram that allow free messaging and voice or video calling through broadband connections. Further, more fibre broadband and wi-fi connectivity lowers the need for traditional mobile voice services (Ashok and Hallur, 2024). However, Vodafone's ongoing investments in 5G, IoT, cloud services, cyber security, and enterprise connectivity provide an opportunity to diversify the business away from traditional telecom services and buffer the impact of substitutions with integrated digital solutions (Vodafone, 2026d).</w:t>
      </w:r>
    </w:p>
    <w:p w:rsidR="00000000" w:rsidDel="00000000" w:rsidP="00000000" w:rsidRDefault="00000000" w:rsidRPr="00000000" w14:paraId="0000003A">
      <w:pPr>
        <w:rPr>
          <w:b w:val="1"/>
          <w:bCs w:val="1"/>
        </w:rPr>
      </w:pPr>
      <w:r w:rsidDel="00000000" w:rsidR="00000000" w:rsidRPr="00000000">
        <w:rPr>
          <w:b w:val="1"/>
          <w:bCs w:val="1"/>
          <w:rtl w:val="0"/>
        </w:rPr>
        <w:t xml:space="preserve">Competitive Rivalry – Very High</w:t>
      </w:r>
    </w:p>
    <w:p w:rsidR="00000000" w:rsidDel="00000000" w:rsidP="00000000" w:rsidRDefault="00000000" w:rsidRPr="00000000" w14:paraId="0000003B">
      <w:pPr>
        <w:rPr/>
      </w:pPr>
      <w:r w:rsidDel="00000000" w:rsidR="00000000" w:rsidRPr="00000000">
        <w:rPr>
          <w:rtl w:val="0"/>
        </w:rPr>
        <w:t xml:space="preserve">Competition in the UK telecoms industry is very fierce. VodafoneThree faces stiff competition from other market leaders such as Odido, Telstra, Telus, Kpn, Swisscom, Tigo, which is why it is always offering discounting, promotion and investing in network quality (Similar Web, 2026). Technology is evolving so quickly that operators have to spend huge amounts of money on 5G, AI, cloud, cyber security and digital transformation if they want to stay competitive. After the completion of the Vodafone-Three merger, competition will become more driven by network quality, service innovation, customer experience, and enterprise digital solution, instead of price.</w:t>
      </w:r>
    </w:p>
    <w:p w:rsidR="00000000" w:rsidDel="00000000" w:rsidP="00000000" w:rsidRDefault="00000000" w:rsidRPr="00000000" w14:paraId="0000003C">
      <w:pPr>
        <w:pStyle w:val="Heading1"/>
        <w:numPr>
          <w:ilvl w:val="0"/>
          <w:numId w:val="1"/>
        </w:numPr>
        <w:ind w:left="432" w:hanging="432"/>
        <w:rPr/>
      </w:pPr>
      <w:bookmarkStart w:colFirst="0" w:colLast="0" w:name="_m0nq0u40kxw0" w:id="4"/>
      <w:bookmarkEnd w:id="4"/>
      <w:r w:rsidDel="00000000" w:rsidR="00000000" w:rsidRPr="00000000">
        <w:rPr>
          <w:rtl w:val="0"/>
        </w:rPr>
        <w:t xml:space="preserve">Strategic Growth Options and Proposed Strategy </w:t>
      </w:r>
    </w:p>
    <w:p w:rsidR="00000000" w:rsidDel="00000000" w:rsidP="00000000" w:rsidRDefault="00000000" w:rsidRPr="00000000" w14:paraId="0000003D">
      <w:pPr>
        <w:rPr/>
      </w:pPr>
      <w:r w:rsidDel="00000000" w:rsidR="00000000" w:rsidRPr="00000000">
        <w:rPr>
          <w:rFonts w:ascii="Geist Fallback" w:cs="Geist Fallback" w:eastAsia="Geist Fallback" w:hAnsi="Geist Fallback"/>
          <w:sz w:val="23"/>
          <w:szCs w:val="23"/>
          <w:rtl w:val="0"/>
        </w:rPr>
        <w:t xml:space="preserve">VodafoneThree is now in a strong position to consolidate its market leadership after its successful Three UK merger. The Ansoff Matrix and Porter's Generic Strategies are strategic management frameworks that can be used to assess the future growth options available to Vodafone and to determine the most appropriate strategy</w:t>
      </w:r>
      <w:r w:rsidDel="00000000" w:rsidR="00000000" w:rsidRPr="00000000">
        <w:rPr>
          <w:rtl w:val="0"/>
        </w:rPr>
        <w:t xml:space="preserve">.</w:t>
      </w:r>
    </w:p>
    <w:p w:rsidR="00000000" w:rsidDel="00000000" w:rsidP="00000000" w:rsidRDefault="00000000" w:rsidRPr="00000000" w14:paraId="0000003E">
      <w:pPr>
        <w:pStyle w:val="Heading2"/>
        <w:numPr>
          <w:ilvl w:val="1"/>
          <w:numId w:val="1"/>
        </w:numPr>
        <w:ind w:left="576" w:hanging="576"/>
        <w:rPr/>
      </w:pPr>
      <w:bookmarkStart w:colFirst="0" w:colLast="0" w:name="_tusjhdykktdj" w:id="5"/>
      <w:bookmarkEnd w:id="5"/>
      <w:r w:rsidDel="00000000" w:rsidR="00000000" w:rsidRPr="00000000">
        <w:rPr>
          <w:rtl w:val="0"/>
        </w:rPr>
        <w:t xml:space="preserve">Ansoff Matrix</w:t>
      </w:r>
    </w:p>
    <w:p w:rsidR="00000000" w:rsidDel="00000000" w:rsidP="00000000" w:rsidRDefault="00000000" w:rsidRPr="00000000" w14:paraId="0000003F">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As mentioned by Antoniou and Park (2025), the Ansoff Matrix (Ansoff, 1957) is a strategic planning tool which offer 4 options for growth: market penetration, market development, product development, and diversification. There are varying degrees of risk and investment that each option entails.</w:t>
      </w:r>
    </w:p>
    <w:p w:rsidR="00000000" w:rsidDel="00000000" w:rsidP="00000000" w:rsidRDefault="00000000" w:rsidRPr="00000000" w14:paraId="00000040">
      <w:pPr>
        <w:jc w:val="center"/>
        <w:rPr/>
      </w:pPr>
      <w:r w:rsidDel="00000000" w:rsidR="00000000" w:rsidRPr="00000000">
        <w:rPr>
          <w:rtl w:val="0"/>
        </w:rPr>
        <w:t xml:space="preserve"> </w:t>
      </w:r>
      <w:r w:rsidDel="00000000" w:rsidR="00000000" w:rsidRPr="00000000">
        <w:rPr/>
        <w:drawing>
          <wp:inline distB="0" distT="0" distL="0" distR="0">
            <wp:extent cx="3381375" cy="31146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81375" cy="3114675"/>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1: Ansoff Matrix</w:t>
      </w:r>
    </w:p>
    <w:p w:rsidR="00000000" w:rsidDel="00000000" w:rsidP="00000000" w:rsidRDefault="00000000" w:rsidRPr="00000000" w14:paraId="00000042">
      <w:pPr>
        <w:jc w:val="center"/>
        <w:rPr/>
      </w:pPr>
      <w:r w:rsidDel="00000000" w:rsidR="00000000" w:rsidRPr="00000000">
        <w:rPr>
          <w:rtl w:val="0"/>
        </w:rPr>
        <w:t xml:space="preserve">(Antoniou and Park, 2025)</w:t>
      </w:r>
    </w:p>
    <w:p w:rsidR="00000000" w:rsidDel="00000000" w:rsidP="00000000" w:rsidRDefault="00000000" w:rsidRPr="00000000" w14:paraId="00000043">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Market penetration deals with market share growth in current market with existing products (Antoniou and Park, 2025). Vodafone can sustain its customer base from rival companies by working on improving network quality, offering competitive pricing, improving customer loyalty programmes, and enhancing digital customer experience. </w:t>
      </w:r>
    </w:p>
    <w:p w:rsidR="00000000" w:rsidDel="00000000" w:rsidP="00000000" w:rsidRDefault="00000000" w:rsidRPr="00000000" w14:paraId="00000044">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Market development involves introducing existing services into new geographical or customer markets (Ferreira and de Sá, 2024). Vodafone could increase its rural footprint with the deployment of more 5G connections or by investing in new industries that demand high-speed digital connectivity. </w:t>
      </w:r>
    </w:p>
    <w:p w:rsidR="00000000" w:rsidDel="00000000" w:rsidP="00000000" w:rsidRDefault="00000000" w:rsidRPr="00000000" w14:paraId="00000045">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Product development is a process where new products or services are launched into the existing markets (Ferreira and de Sá, 2024). Vodafone has good potential to grow value-added services like artificial intelligence (AI) based customer support, cloud, cyber security solutions, Internet of Things (IoT) platform, smart home, digital healthcare connectivity, and enterprise digital transformation services. </w:t>
      </w:r>
    </w:p>
    <w:p w:rsidR="00000000" w:rsidDel="00000000" w:rsidP="00000000" w:rsidRDefault="00000000" w:rsidRPr="00000000" w14:paraId="00000046">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Diversification means entering in entirely new markets, with new products, and involves the highest amount of strategic risk (Ferreira and de Sá, 2024). While Vodafone has tried digital financial services in Africa with M-Pesa, the company might not yet have the resources and investment potential to venture into other sectors in the UK if it is not related to the telecom industry. </w:t>
      </w:r>
    </w:p>
    <w:p w:rsidR="00000000" w:rsidDel="00000000" w:rsidP="00000000" w:rsidRDefault="00000000" w:rsidRPr="00000000" w14:paraId="00000047">
      <w:pPr>
        <w:rPr/>
      </w:pPr>
      <w:r w:rsidDel="00000000" w:rsidR="00000000" w:rsidRPr="00000000">
        <w:rPr>
          <w:rFonts w:ascii="Geist Fallback" w:cs="Geist Fallback" w:eastAsia="Geist Fallback" w:hAnsi="Geist Fallback"/>
          <w:sz w:val="23"/>
          <w:szCs w:val="23"/>
          <w:rtl w:val="0"/>
        </w:rPr>
        <w:t xml:space="preserve">Among these choices, product development provides the greatest strategic alignment and leverage through its ability to leverage Vodafone's technology expertise, customer base and digital infrastructure, whilst also providing new revenue opportunities that have lower risk for the company compared to diversification</w:t>
      </w:r>
      <w:r w:rsidDel="00000000" w:rsidR="00000000" w:rsidRPr="00000000">
        <w:rPr>
          <w:rtl w:val="0"/>
        </w:rPr>
        <w:t xml:space="preserve">.</w:t>
      </w:r>
    </w:p>
    <w:p w:rsidR="00000000" w:rsidDel="00000000" w:rsidP="00000000" w:rsidRDefault="00000000" w:rsidRPr="00000000" w14:paraId="00000048">
      <w:pPr>
        <w:pStyle w:val="Heading2"/>
        <w:numPr>
          <w:ilvl w:val="1"/>
          <w:numId w:val="1"/>
        </w:numPr>
        <w:ind w:left="576" w:hanging="576"/>
        <w:rPr/>
      </w:pPr>
      <w:bookmarkStart w:colFirst="0" w:colLast="0" w:name="_wu0wod41zfku" w:id="6"/>
      <w:bookmarkEnd w:id="6"/>
      <w:r w:rsidDel="00000000" w:rsidR="00000000" w:rsidRPr="00000000">
        <w:rPr>
          <w:rtl w:val="0"/>
        </w:rPr>
        <w:t xml:space="preserve">Porter's Generic Strategies</w:t>
      </w:r>
    </w:p>
    <w:p w:rsidR="00000000" w:rsidDel="00000000" w:rsidP="00000000" w:rsidRDefault="00000000" w:rsidRPr="00000000" w14:paraId="00000049">
      <w:pPr>
        <w:rPr/>
      </w:pPr>
      <w:r w:rsidDel="00000000" w:rsidR="00000000" w:rsidRPr="00000000">
        <w:rPr>
          <w:rFonts w:ascii="Geist Fallback" w:cs="Geist Fallback" w:eastAsia="Geist Fallback" w:hAnsi="Geist Fallback"/>
          <w:sz w:val="23"/>
          <w:szCs w:val="23"/>
          <w:rtl w:val="0"/>
        </w:rPr>
        <w:t xml:space="preserve">Based on Porter's (1985) Generic Strategies, an organisation gains competitive advantage by offering customers low prices (cost leadership), differentiating its product or service from the competition (differentiation) or focusing on a specific niche of the market (focus) </w:t>
      </w:r>
      <w:r w:rsidDel="00000000" w:rsidR="00000000" w:rsidRPr="00000000">
        <w:rPr>
          <w:rtl w:val="0"/>
        </w:rPr>
        <w:t xml:space="preserve">(Islami et al. 2020).</w:t>
      </w:r>
    </w:p>
    <w:p w:rsidR="00000000" w:rsidDel="00000000" w:rsidP="00000000" w:rsidRDefault="00000000" w:rsidRPr="00000000" w14:paraId="0000004A">
      <w:pPr>
        <w:keepNext w:val="1"/>
        <w:jc w:val="center"/>
        <w:rPr/>
      </w:pPr>
      <w:r w:rsidDel="00000000" w:rsidR="00000000" w:rsidRPr="00000000">
        <w:rPr/>
        <w:drawing>
          <wp:inline distB="0" distT="0" distL="0" distR="0">
            <wp:extent cx="3533775" cy="35052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533775" cy="35052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2: Porter's Generic Strategies</w:t>
      </w:r>
    </w:p>
    <w:p w:rsidR="00000000" w:rsidDel="00000000" w:rsidP="00000000" w:rsidRDefault="00000000" w:rsidRPr="00000000" w14:paraId="0000004C">
      <w:pPr>
        <w:jc w:val="center"/>
        <w:rPr/>
      </w:pPr>
      <w:r w:rsidDel="00000000" w:rsidR="00000000" w:rsidRPr="00000000">
        <w:rPr>
          <w:rtl w:val="0"/>
        </w:rPr>
        <w:t xml:space="preserve">(Islami et al. 2020)</w:t>
      </w:r>
    </w:p>
    <w:p w:rsidR="00000000" w:rsidDel="00000000" w:rsidP="00000000" w:rsidRDefault="00000000" w:rsidRPr="00000000" w14:paraId="0000004D">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Cost-leadership is a strategy aimed at being the industry's lowest-cost provider. The synergies of the merger are expected to bring significant operational efficiencies, but being market leader by price alone would make profits lower and could lead to price wars with others such as BT/EE and Virgin Media O2. </w:t>
      </w:r>
    </w:p>
    <w:p w:rsidR="00000000" w:rsidDel="00000000" w:rsidP="00000000" w:rsidRDefault="00000000" w:rsidRPr="00000000" w14:paraId="0000004E">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The focus strategy is based on targeting specific customer segments or niche markets (Islami et al. 2020). Vodafone already has solutions designed for the enterprise market, but sticking to niche markets may not allow it to expand its base of consumer and business customers. </w:t>
      </w:r>
    </w:p>
    <w:p w:rsidR="00000000" w:rsidDel="00000000" w:rsidP="00000000" w:rsidRDefault="00000000" w:rsidRPr="00000000" w14:paraId="0000004F">
      <w:pPr>
        <w:rPr>
          <w:rFonts w:ascii="Geist Fallback" w:cs="Geist Fallback" w:eastAsia="Geist Fallback" w:hAnsi="Geist Fallback"/>
          <w:sz w:val="23"/>
          <w:szCs w:val="23"/>
        </w:rPr>
      </w:pPr>
      <w:r w:rsidDel="00000000" w:rsidR="00000000" w:rsidRPr="00000000">
        <w:rPr>
          <w:rFonts w:ascii="Geist Fallback" w:cs="Geist Fallback" w:eastAsia="Geist Fallback" w:hAnsi="Geist Fallback"/>
          <w:sz w:val="23"/>
          <w:szCs w:val="23"/>
          <w:rtl w:val="0"/>
        </w:rPr>
        <w:t xml:space="preserve">A differentiation strategy provides competitive advantage by providing a product, experience, innovation, and high quality service that is unique, and that customers value. Vodafone's significant focus on standalone 5G, collaborations with Google and Microsoft, strong IoT, cloud services and cyber security and AI capabilities create solid opportunities for differentiation. Vodafone can offer higher value on non-pricing attributes such as reliability of networks, integration of digital services, customer customisation of services, and innovative enterprise solutions, rather than by purely competing on pricing. </w:t>
      </w:r>
    </w:p>
    <w:p w:rsidR="00000000" w:rsidDel="00000000" w:rsidP="00000000" w:rsidRDefault="00000000" w:rsidRPr="00000000" w14:paraId="00000050">
      <w:pPr>
        <w:rPr>
          <w:rFonts w:ascii="Geist Fallback" w:cs="Geist Fallback" w:eastAsia="Geist Fallback" w:hAnsi="Geist Fallback"/>
          <w:b w:val="1"/>
          <w:bCs w:val="1"/>
          <w:sz w:val="23"/>
          <w:szCs w:val="23"/>
        </w:rPr>
      </w:pPr>
      <w:r w:rsidDel="00000000" w:rsidR="00000000" w:rsidRPr="00000000">
        <w:rPr>
          <w:rFonts w:ascii="Geist Fallback" w:cs="Geist Fallback" w:eastAsia="Geist Fallback" w:hAnsi="Geist Fallback"/>
          <w:b w:val="1"/>
          <w:bCs w:val="1"/>
          <w:sz w:val="23"/>
          <w:szCs w:val="23"/>
          <w:rtl w:val="0"/>
        </w:rPr>
        <w:t xml:space="preserve">Recommended Strategy: Product Development through Differentiation. </w:t>
      </w:r>
    </w:p>
    <w:p w:rsidR="00000000" w:rsidDel="00000000" w:rsidP="00000000" w:rsidRDefault="00000000" w:rsidRPr="00000000" w14:paraId="00000051">
      <w:pPr>
        <w:rPr/>
      </w:pPr>
      <w:r w:rsidDel="00000000" w:rsidR="00000000" w:rsidRPr="00000000">
        <w:rPr>
          <w:rFonts w:ascii="Geist Fallback" w:cs="Geist Fallback" w:eastAsia="Geist Fallback" w:hAnsi="Geist Fallback"/>
          <w:sz w:val="23"/>
          <w:szCs w:val="23"/>
          <w:rtl w:val="0"/>
        </w:rPr>
        <w:t xml:space="preserve">Considering the above evaluation, this report recommends that Vodafone use a Product Development strategy with the help of a Differentiation strategy. In particular, Vodafone should build an ecosystem that integrates the new 5G technology with artificial intelligence powered customer services, cloud computing, cyber security, IoT products and platforms, and smart business applications, for both consumers and enterprises. This is in line with Vodafone's vision of connecting everyone, with a more intelligent digital service that enhances life and business beyond the traditional telecommunications sector.</w:t>
      </w:r>
      <w:r w:rsidDel="00000000" w:rsidR="00000000" w:rsidRPr="00000000">
        <w:rPr>
          <w:rtl w:val="0"/>
        </w:rPr>
        <w:t xml:space="preserve">..</w:t>
      </w:r>
    </w:p>
    <w:p w:rsidR="00000000" w:rsidDel="00000000" w:rsidP="00000000" w:rsidRDefault="00000000" w:rsidRPr="00000000" w14:paraId="00000052">
      <w:pPr>
        <w:pStyle w:val="Heading1"/>
        <w:numPr>
          <w:ilvl w:val="0"/>
          <w:numId w:val="1"/>
        </w:numPr>
        <w:ind w:left="432" w:hanging="432"/>
        <w:rPr/>
      </w:pPr>
      <w:bookmarkStart w:colFirst="0" w:colLast="0" w:name="_fvdouydyps89" w:id="7"/>
      <w:bookmarkEnd w:id="7"/>
      <w:r w:rsidDel="00000000" w:rsidR="00000000" w:rsidRPr="00000000">
        <w:rPr>
          <w:highlight w:val="yellow"/>
          <w:rtl w:val="0"/>
        </w:rPr>
        <w:t xml:space="preserve">Strategy evaluation 450</w:t>
      </w:r>
      <w:r w:rsidDel="00000000" w:rsidR="00000000" w:rsidRPr="00000000">
        <w:rPr>
          <w:rtl w:val="0"/>
        </w:rPr>
      </w:r>
    </w:p>
    <w:p w:rsidR="00000000" w:rsidDel="00000000" w:rsidP="00000000" w:rsidRDefault="00000000" w:rsidRPr="00000000" w14:paraId="00000053">
      <w:pPr>
        <w:pStyle w:val="Heading2"/>
        <w:numPr>
          <w:ilvl w:val="1"/>
          <w:numId w:val="1"/>
        </w:numPr>
        <w:ind w:left="576" w:hanging="576"/>
        <w:rPr/>
      </w:pPr>
      <w:r w:rsidDel="00000000" w:rsidR="00000000" w:rsidRPr="00000000">
        <w:rPr>
          <w:rtl w:val="0"/>
        </w:rPr>
        <w:t xml:space="preserve">Suitability</w:t>
      </w:r>
    </w:p>
    <w:p w:rsidR="00000000" w:rsidDel="00000000" w:rsidP="00000000" w:rsidRDefault="00000000" w:rsidRPr="00000000" w14:paraId="00000054">
      <w:pPr>
        <w:rPr/>
      </w:pPr>
      <w:r w:rsidDel="00000000" w:rsidR="00000000" w:rsidRPr="00000000">
        <w:rPr>
          <w:rtl w:val="0"/>
        </w:rPr>
        <w:t xml:space="preserve">The conclusion of SWOT analysis on opportunities and challenges of the industry and earlier SWOT analysis well supports the proposed strategy and making it even more suitable to be introduced (Thuyen, 2023). By scaling its AI-powered services, cloud, cybersecurity offerings and IoT and advanced 5G solutions, Vodafone will be able to meet the growing demand for digital connectivity while also building its competitive edge. The strategy also helps to tackle external competition, which BT/EE and Virgin Media O2 are keen to beat down hard, by offering more service variety instead of price competition. In addition, it leverages Vodafone's existing strengths: the VodafoneThree merger, having around 27 million customers, and an announced investment in its standalone 5G infrastructure of £11bn, as well as strategic alliances with Google and Microsoft. These are helping Vodafone to cascade its mission, “Connect everyone,” and its vision," Co-Innovating to be the best-in-class telecommunications provider by sustainable growth. (Vodafone, 2025)” Therefore, it is clearly a good strategic fit with the long-term goals of Vodafone..</w:t>
      </w:r>
    </w:p>
    <w:p w:rsidR="00000000" w:rsidDel="00000000" w:rsidP="00000000" w:rsidRDefault="00000000" w:rsidRPr="00000000" w14:paraId="00000055">
      <w:pPr>
        <w:pStyle w:val="Heading2"/>
        <w:numPr>
          <w:ilvl w:val="1"/>
          <w:numId w:val="1"/>
        </w:numPr>
        <w:ind w:left="576" w:hanging="576"/>
        <w:rPr/>
      </w:pPr>
      <w:r w:rsidDel="00000000" w:rsidR="00000000" w:rsidRPr="00000000">
        <w:rPr>
          <w:rtl w:val="0"/>
        </w:rPr>
        <w:t xml:space="preserve">Feasibility</w:t>
      </w:r>
    </w:p>
    <w:p w:rsidR="00000000" w:rsidDel="00000000" w:rsidP="00000000" w:rsidRDefault="00000000" w:rsidRPr="00000000" w14:paraId="00000056">
      <w:pPr>
        <w:rPr/>
      </w:pPr>
      <w:r w:rsidDel="00000000" w:rsidR="00000000" w:rsidRPr="00000000">
        <w:rPr>
          <w:rtl w:val="0"/>
        </w:rPr>
        <w:t xml:space="preserve">The business strategy is feasible because financial, operational and technological resources are needed to implement it which are available with Vodafone (Pradhan and Subhashree, 2024). In terms of investment, growth in AI and cloud and cyber security will be funded by merger synergies valued at c£700million per year, and ongoing investment in network infrastructure. Vodafone already has an enterprise business rolled out, staff trained and has digital solutions in place, making it an easy sell to be viewed as an established player when handing over the product (Vodafone, 2023). Technologically, with the company still rolling out standalone 5G and also leveraging on its cloud, AI and IoT, they are well consolidated to implement. The potential for integration issues, high investments costs and cyber security problems can be overcome with effective project management, implementation in stages and ongoing investment in cyber security.</w:t>
      </w:r>
    </w:p>
    <w:p w:rsidR="00000000" w:rsidDel="00000000" w:rsidP="00000000" w:rsidRDefault="00000000" w:rsidRPr="00000000" w14:paraId="00000057">
      <w:pPr>
        <w:pStyle w:val="Heading2"/>
        <w:numPr>
          <w:ilvl w:val="1"/>
          <w:numId w:val="1"/>
        </w:numPr>
        <w:ind w:left="576" w:hanging="576"/>
        <w:rPr/>
      </w:pPr>
      <w:r w:rsidDel="00000000" w:rsidR="00000000" w:rsidRPr="00000000">
        <w:rPr>
          <w:rtl w:val="0"/>
        </w:rPr>
        <w:t xml:space="preserve">Acceptability</w:t>
      </w:r>
    </w:p>
    <w:p w:rsidR="00000000" w:rsidDel="00000000" w:rsidP="00000000" w:rsidRDefault="00000000" w:rsidRPr="00000000" w14:paraId="00000058">
      <w:pPr>
        <w:rPr/>
      </w:pPr>
      <w:r w:rsidDel="00000000" w:rsidR="00000000" w:rsidRPr="00000000">
        <w:rPr>
          <w:rtl w:val="0"/>
        </w:rPr>
        <w:t xml:space="preserve">The strategy can be well accepted by the stakeholders. Shareholders should gain diversified revenue diversification, enhanced competitiveness and increased resulting long-term profits (Sakhawat and Kashif, 2025). Enhanced 5G connectivity and fresh digital services, complimented by a superior user experience, are likely to be valued by customers; employees will benefit from digital skills upgrades and career development opportunities. The plan is also likely to be welcomed by regulators, as it plays its part in promoting UK's digital infrastructure, innovation and growth. This assessment is based on the assumption that the VodafoneThree integration and £11Bn investment programme are completed. Overall, the SFA assessment demonstrates that the strategy is appropriate, practical, and desirable for in support of and fulfilling the sustainable long-term growth of Vodafone.</w:t>
      </w:r>
    </w:p>
    <w:p w:rsidR="00000000" w:rsidDel="00000000" w:rsidP="00000000" w:rsidRDefault="00000000" w:rsidRPr="00000000" w14:paraId="00000059">
      <w:pPr>
        <w:keepNext w:val="1"/>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Table 1: SFA Summary (Source: Author)</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4"/>
        <w:gridCol w:w="1256"/>
        <w:gridCol w:w="6560"/>
        <w:tblGridChange w:id="0">
          <w:tblGrid>
            <w:gridCol w:w="1534"/>
            <w:gridCol w:w="1256"/>
            <w:gridCol w:w="6560"/>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A">
            <w:pPr>
              <w:rPr/>
            </w:pPr>
            <w:r w:rsidDel="00000000" w:rsidR="00000000" w:rsidRPr="00000000">
              <w:rPr>
                <w:rtl w:val="0"/>
              </w:rPr>
              <w:t xml:space="preserve">SFA Criterion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B">
            <w:pPr>
              <w:rPr/>
            </w:pPr>
            <w:r w:rsidDel="00000000" w:rsidR="00000000" w:rsidRPr="00000000">
              <w:rPr>
                <w:rtl w:val="0"/>
              </w:rPr>
              <w:t xml:space="preserve">Evaluation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C">
            <w:pPr>
              <w:rPr/>
            </w:pPr>
            <w:r w:rsidDel="00000000" w:rsidR="00000000" w:rsidRPr="00000000">
              <w:rPr>
                <w:rtl w:val="0"/>
              </w:rPr>
              <w:t xml:space="preserve">Justification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D">
            <w:pPr>
              <w:rPr/>
            </w:pPr>
            <w:r w:rsidDel="00000000" w:rsidR="00000000" w:rsidRPr="00000000">
              <w:rPr>
                <w:rtl w:val="0"/>
              </w:rPr>
              <w:t xml:space="preserve">Suitability</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E">
            <w:pPr>
              <w:rPr/>
            </w:pPr>
            <w:r w:rsidDel="00000000" w:rsidR="00000000" w:rsidRPr="00000000">
              <w:rPr>
                <w:rtl w:val="0"/>
              </w:rPr>
              <w:t xml:space="preserve">High</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F">
            <w:pPr>
              <w:rPr/>
            </w:pPr>
            <w:r w:rsidDel="00000000" w:rsidR="00000000" w:rsidRPr="00000000">
              <w:rPr>
                <w:rtl w:val="0"/>
              </w:rPr>
              <w:t xml:space="preserve">Fits SWOT analysis, market opportunities, the Vodafone's strengths and future business goals.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0">
            <w:pPr>
              <w:rPr/>
            </w:pPr>
            <w:r w:rsidDel="00000000" w:rsidR="00000000" w:rsidRPr="00000000">
              <w:rPr>
                <w:rtl w:val="0"/>
              </w:rPr>
              <w:t xml:space="preserve">Feasibility</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1">
            <w:pPr>
              <w:rPr/>
            </w:pPr>
            <w:r w:rsidDel="00000000" w:rsidR="00000000" w:rsidRPr="00000000">
              <w:rPr>
                <w:rtl w:val="0"/>
              </w:rPr>
              <w:t xml:space="preserve">High</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2">
            <w:pPr>
              <w:rPr/>
            </w:pPr>
            <w:r w:rsidDel="00000000" w:rsidR="00000000" w:rsidRPr="00000000">
              <w:rPr>
                <w:rtl w:val="0"/>
              </w:rPr>
              <w:t xml:space="preserve">With low risk of implementation and availability of financial resources, merge synergies and existing technological and infrastructure assets.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3">
            <w:pPr>
              <w:rPr/>
            </w:pPr>
            <w:r w:rsidDel="00000000" w:rsidR="00000000" w:rsidRPr="00000000">
              <w:rPr>
                <w:rtl w:val="0"/>
              </w:rPr>
              <w:t xml:space="preserve">Acceptability</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4">
            <w:pPr>
              <w:rPr/>
            </w:pPr>
            <w:r w:rsidDel="00000000" w:rsidR="00000000" w:rsidRPr="00000000">
              <w:rPr>
                <w:rtl w:val="0"/>
              </w:rPr>
              <w:t xml:space="preserve">High</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5">
            <w:pPr>
              <w:keepNext w:val="1"/>
              <w:rPr/>
            </w:pPr>
            <w:r w:rsidDel="00000000" w:rsidR="00000000" w:rsidRPr="00000000">
              <w:rPr>
                <w:rtl w:val="0"/>
              </w:rPr>
              <w:t xml:space="preserve">Generates and maximizes long-term value for shareholders, customers, employees and regulators compared to costs of investment and integration in the short term.</w:t>
            </w:r>
          </w:p>
        </w:tc>
      </w:tr>
    </w:tbl>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pStyle w:val="Heading1"/>
        <w:numPr>
          <w:ilvl w:val="0"/>
          <w:numId w:val="1"/>
        </w:numPr>
        <w:ind w:left="432" w:hanging="432"/>
        <w:rPr/>
      </w:pPr>
      <w:bookmarkStart w:colFirst="0" w:colLast="0" w:name="_9mmxdqyffyqz" w:id="8"/>
      <w:bookmarkEnd w:id="8"/>
      <w:r w:rsidDel="00000000" w:rsidR="00000000" w:rsidRPr="00000000">
        <w:rPr>
          <w:rtl w:val="0"/>
        </w:rPr>
        <w:t xml:space="preserve">Stakeholder Analysis</w:t>
      </w:r>
    </w:p>
    <w:p w:rsidR="00000000" w:rsidDel="00000000" w:rsidP="00000000" w:rsidRDefault="00000000" w:rsidRPr="00000000" w14:paraId="00000068">
      <w:pPr>
        <w:rPr/>
      </w:pPr>
      <w:r w:rsidDel="00000000" w:rsidR="00000000" w:rsidRPr="00000000">
        <w:rPr>
          <w:rtl w:val="0"/>
        </w:rPr>
        <w:t xml:space="preserve">The Stakeholder Theory was introduced by Freeman (1984), which emphasizes that organizations should strive to value all stakeholders instead of only shareholders (Goyal, 2022). Effective stakeholder management will be key to the successful delivery and sustainability of Vodafone's recommended product development (differentiation strategy). Another useful tool for prioritising stakeholders is Mendelow's Matrix which classifies them based on their levels of power and interest (Mints and Kamyshnykova, 2021). This includes shareholders, the board of directors, senior management and regulatory bodies like Ofcom. </w:t>
      </w:r>
    </w:p>
    <w:tbl>
      <w:tblPr>
        <w:tblStyle w:val="Table2"/>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5163"/>
        <w:gridCol w:w="869"/>
        <w:gridCol w:w="1016"/>
        <w:gridCol w:w="2302"/>
        <w:tblGridChange w:id="0">
          <w:tblGrid>
            <w:gridCol w:w="5163"/>
            <w:gridCol w:w="869"/>
            <w:gridCol w:w="1016"/>
            <w:gridCol w:w="2302"/>
          </w:tblGrid>
        </w:tblGridChange>
      </w:tblGrid>
      <w:tr>
        <w:trPr>
          <w:cantSplit w:val="0"/>
          <w:tblHeader w:val="0"/>
        </w:trPr>
        <w:tc>
          <w:tcPr/>
          <w:p w:rsidR="00000000" w:rsidDel="00000000" w:rsidP="00000000" w:rsidRDefault="00000000" w:rsidRPr="00000000" w14:paraId="00000069">
            <w:pPr>
              <w:rPr/>
            </w:pPr>
            <w:r w:rsidDel="00000000" w:rsidR="00000000" w:rsidRPr="00000000">
              <w:rPr>
                <w:rtl w:val="0"/>
              </w:rPr>
              <w:t xml:space="preserve">Stakeholder Group</w:t>
            </w:r>
          </w:p>
        </w:tc>
        <w:tc>
          <w:tcPr/>
          <w:p w:rsidR="00000000" w:rsidDel="00000000" w:rsidP="00000000" w:rsidRDefault="00000000" w:rsidRPr="00000000" w14:paraId="0000006A">
            <w:pPr>
              <w:rPr/>
            </w:pPr>
            <w:r w:rsidDel="00000000" w:rsidR="00000000" w:rsidRPr="00000000">
              <w:rPr>
                <w:rtl w:val="0"/>
              </w:rPr>
              <w:t xml:space="preserve">Power</w:t>
            </w:r>
          </w:p>
        </w:tc>
        <w:tc>
          <w:tcPr/>
          <w:p w:rsidR="00000000" w:rsidDel="00000000" w:rsidP="00000000" w:rsidRDefault="00000000" w:rsidRPr="00000000" w14:paraId="0000006B">
            <w:pPr>
              <w:rPr/>
            </w:pPr>
            <w:r w:rsidDel="00000000" w:rsidR="00000000" w:rsidRPr="00000000">
              <w:rPr>
                <w:rtl w:val="0"/>
              </w:rPr>
              <w:t xml:space="preserve">Interest</w:t>
            </w:r>
          </w:p>
        </w:tc>
        <w:tc>
          <w:tcPr/>
          <w:p w:rsidR="00000000" w:rsidDel="00000000" w:rsidP="00000000" w:rsidRDefault="00000000" w:rsidRPr="00000000" w14:paraId="0000006C">
            <w:pPr>
              <w:rPr/>
            </w:pPr>
            <w:r w:rsidDel="00000000" w:rsidR="00000000" w:rsidRPr="00000000">
              <w:rPr>
                <w:rtl w:val="0"/>
              </w:rPr>
              <w:t xml:space="preserve">Mendelow Category</w:t>
            </w:r>
          </w:p>
        </w:tc>
      </w:tr>
      <w:tr>
        <w:trPr>
          <w:cantSplit w:val="0"/>
          <w:tblHeader w:val="0"/>
        </w:trPr>
        <w:tc>
          <w:tcPr/>
          <w:p w:rsidR="00000000" w:rsidDel="00000000" w:rsidP="00000000" w:rsidRDefault="00000000" w:rsidRPr="00000000" w14:paraId="0000006D">
            <w:pPr>
              <w:rPr/>
            </w:pPr>
            <w:r w:rsidDel="00000000" w:rsidR="00000000" w:rsidRPr="00000000">
              <w:rPr>
                <w:rtl w:val="0"/>
              </w:rPr>
              <w:t xml:space="preserve">Board of Directors</w:t>
            </w:r>
          </w:p>
        </w:tc>
        <w:tc>
          <w:tcPr/>
          <w:p w:rsidR="00000000" w:rsidDel="00000000" w:rsidP="00000000" w:rsidRDefault="00000000" w:rsidRPr="00000000" w14:paraId="0000006E">
            <w:pPr>
              <w:rPr/>
            </w:pPr>
            <w:r w:rsidDel="00000000" w:rsidR="00000000" w:rsidRPr="00000000">
              <w:rPr>
                <w:rtl w:val="0"/>
              </w:rPr>
              <w:t xml:space="preserve">High</w:t>
            </w:r>
          </w:p>
        </w:tc>
        <w:tc>
          <w:tcPr/>
          <w:p w:rsidR="00000000" w:rsidDel="00000000" w:rsidP="00000000" w:rsidRDefault="00000000" w:rsidRPr="00000000" w14:paraId="0000006F">
            <w:pPr>
              <w:rPr/>
            </w:pPr>
            <w:r w:rsidDel="00000000" w:rsidR="00000000" w:rsidRPr="00000000">
              <w:rPr>
                <w:rtl w:val="0"/>
              </w:rPr>
              <w:t xml:space="preserve">High</w:t>
            </w:r>
          </w:p>
        </w:tc>
        <w:tc>
          <w:tcPr/>
          <w:p w:rsidR="00000000" w:rsidDel="00000000" w:rsidP="00000000" w:rsidRDefault="00000000" w:rsidRPr="00000000" w14:paraId="00000070">
            <w:pPr>
              <w:rPr/>
            </w:pPr>
            <w:r w:rsidDel="00000000" w:rsidR="00000000" w:rsidRPr="00000000">
              <w:rPr>
                <w:rtl w:val="0"/>
              </w:rPr>
              <w:t xml:space="preserve">Manage Closely</w:t>
            </w:r>
          </w:p>
        </w:tc>
      </w:tr>
      <w:tr>
        <w:trPr>
          <w:cantSplit w:val="0"/>
          <w:tblHeader w:val="0"/>
        </w:trPr>
        <w:tc>
          <w:tcPr/>
          <w:p w:rsidR="00000000" w:rsidDel="00000000" w:rsidP="00000000" w:rsidRDefault="00000000" w:rsidRPr="00000000" w14:paraId="00000071">
            <w:pPr>
              <w:rPr/>
            </w:pPr>
            <w:r w:rsidDel="00000000" w:rsidR="00000000" w:rsidRPr="00000000">
              <w:rPr>
                <w:rtl w:val="0"/>
              </w:rPr>
              <w:t xml:space="preserve">Shareholders/Investors</w:t>
            </w:r>
          </w:p>
        </w:tc>
        <w:tc>
          <w:tcPr/>
          <w:p w:rsidR="00000000" w:rsidDel="00000000" w:rsidP="00000000" w:rsidRDefault="00000000" w:rsidRPr="00000000" w14:paraId="00000072">
            <w:pPr>
              <w:rPr/>
            </w:pPr>
            <w:r w:rsidDel="00000000" w:rsidR="00000000" w:rsidRPr="00000000">
              <w:rPr>
                <w:rtl w:val="0"/>
              </w:rPr>
              <w:t xml:space="preserve">High</w:t>
            </w:r>
          </w:p>
        </w:tc>
        <w:tc>
          <w:tcPr/>
          <w:p w:rsidR="00000000" w:rsidDel="00000000" w:rsidP="00000000" w:rsidRDefault="00000000" w:rsidRPr="00000000" w14:paraId="00000073">
            <w:pPr>
              <w:rPr/>
            </w:pPr>
            <w:r w:rsidDel="00000000" w:rsidR="00000000" w:rsidRPr="00000000">
              <w:rPr>
                <w:rtl w:val="0"/>
              </w:rPr>
              <w:t xml:space="preserve">High</w:t>
            </w:r>
          </w:p>
        </w:tc>
        <w:tc>
          <w:tcPr/>
          <w:p w:rsidR="00000000" w:rsidDel="00000000" w:rsidP="00000000" w:rsidRDefault="00000000" w:rsidRPr="00000000" w14:paraId="00000074">
            <w:pPr>
              <w:rPr/>
            </w:pPr>
            <w:r w:rsidDel="00000000" w:rsidR="00000000" w:rsidRPr="00000000">
              <w:rPr>
                <w:rtl w:val="0"/>
              </w:rPr>
              <w:t xml:space="preserve">Manage Closely</w:t>
            </w:r>
          </w:p>
        </w:tc>
      </w:tr>
      <w:tr>
        <w:trPr>
          <w:cantSplit w:val="0"/>
          <w:tblHeader w:val="0"/>
        </w:trPr>
        <w:tc>
          <w:tcPr/>
          <w:p w:rsidR="00000000" w:rsidDel="00000000" w:rsidP="00000000" w:rsidRDefault="00000000" w:rsidRPr="00000000" w14:paraId="00000075">
            <w:pPr>
              <w:rPr/>
            </w:pPr>
            <w:r w:rsidDel="00000000" w:rsidR="00000000" w:rsidRPr="00000000">
              <w:rPr>
                <w:rtl w:val="0"/>
              </w:rPr>
              <w:t xml:space="preserve">Ofcom and Government Regulators</w:t>
            </w:r>
          </w:p>
        </w:tc>
        <w:tc>
          <w:tcPr/>
          <w:p w:rsidR="00000000" w:rsidDel="00000000" w:rsidP="00000000" w:rsidRDefault="00000000" w:rsidRPr="00000000" w14:paraId="00000076">
            <w:pPr>
              <w:rPr/>
            </w:pPr>
            <w:r w:rsidDel="00000000" w:rsidR="00000000" w:rsidRPr="00000000">
              <w:rPr>
                <w:rtl w:val="0"/>
              </w:rPr>
              <w:t xml:space="preserve">High</w:t>
            </w:r>
          </w:p>
        </w:tc>
        <w:tc>
          <w:tcPr/>
          <w:p w:rsidR="00000000" w:rsidDel="00000000" w:rsidP="00000000" w:rsidRDefault="00000000" w:rsidRPr="00000000" w14:paraId="00000077">
            <w:pPr>
              <w:rPr/>
            </w:pPr>
            <w:r w:rsidDel="00000000" w:rsidR="00000000" w:rsidRPr="00000000">
              <w:rPr>
                <w:rtl w:val="0"/>
              </w:rPr>
              <w:t xml:space="preserve">High</w:t>
            </w:r>
          </w:p>
        </w:tc>
        <w:tc>
          <w:tcPr/>
          <w:p w:rsidR="00000000" w:rsidDel="00000000" w:rsidP="00000000" w:rsidRDefault="00000000" w:rsidRPr="00000000" w14:paraId="00000078">
            <w:pPr>
              <w:rPr/>
            </w:pPr>
            <w:r w:rsidDel="00000000" w:rsidR="00000000" w:rsidRPr="00000000">
              <w:rPr>
                <w:rtl w:val="0"/>
              </w:rPr>
              <w:t xml:space="preserve">Manage Closely</w:t>
            </w:r>
          </w:p>
        </w:tc>
      </w:tr>
      <w:tr>
        <w:trPr>
          <w:cantSplit w:val="0"/>
          <w:tblHeader w:val="0"/>
        </w:trPr>
        <w:tc>
          <w:tcPr/>
          <w:p w:rsidR="00000000" w:rsidDel="00000000" w:rsidP="00000000" w:rsidRDefault="00000000" w:rsidRPr="00000000" w14:paraId="00000079">
            <w:pPr>
              <w:rPr/>
            </w:pPr>
            <w:r w:rsidDel="00000000" w:rsidR="00000000" w:rsidRPr="00000000">
              <w:rPr>
                <w:rtl w:val="0"/>
              </w:rPr>
              <w:t xml:space="preserve">Customers (Consumers &amp; Businesses)</w:t>
            </w:r>
          </w:p>
        </w:tc>
        <w:tc>
          <w:tcPr/>
          <w:p w:rsidR="00000000" w:rsidDel="00000000" w:rsidP="00000000" w:rsidRDefault="00000000" w:rsidRPr="00000000" w14:paraId="0000007A">
            <w:pPr>
              <w:rPr/>
            </w:pPr>
            <w:r w:rsidDel="00000000" w:rsidR="00000000" w:rsidRPr="00000000">
              <w:rPr>
                <w:rtl w:val="0"/>
              </w:rPr>
              <w:t xml:space="preserve">Low</w:t>
            </w:r>
          </w:p>
        </w:tc>
        <w:tc>
          <w:tcPr/>
          <w:p w:rsidR="00000000" w:rsidDel="00000000" w:rsidP="00000000" w:rsidRDefault="00000000" w:rsidRPr="00000000" w14:paraId="0000007B">
            <w:pPr>
              <w:rPr/>
            </w:pPr>
            <w:r w:rsidDel="00000000" w:rsidR="00000000" w:rsidRPr="00000000">
              <w:rPr>
                <w:rtl w:val="0"/>
              </w:rPr>
              <w:t xml:space="preserve">High</w:t>
            </w:r>
          </w:p>
        </w:tc>
        <w:tc>
          <w:tcPr/>
          <w:p w:rsidR="00000000" w:rsidDel="00000000" w:rsidP="00000000" w:rsidRDefault="00000000" w:rsidRPr="00000000" w14:paraId="0000007C">
            <w:pPr>
              <w:rPr/>
            </w:pPr>
            <w:r w:rsidDel="00000000" w:rsidR="00000000" w:rsidRPr="00000000">
              <w:rPr>
                <w:rtl w:val="0"/>
              </w:rPr>
              <w:t xml:space="preserve">Keep Informed</w:t>
            </w:r>
          </w:p>
        </w:tc>
      </w:tr>
      <w:tr>
        <w:trPr>
          <w:cantSplit w:val="0"/>
          <w:tblHeader w:val="0"/>
        </w:trPr>
        <w:tc>
          <w:tcPr/>
          <w:p w:rsidR="00000000" w:rsidDel="00000000" w:rsidP="00000000" w:rsidRDefault="00000000" w:rsidRPr="00000000" w14:paraId="0000007D">
            <w:pPr>
              <w:rPr/>
            </w:pPr>
            <w:r w:rsidDel="00000000" w:rsidR="00000000" w:rsidRPr="00000000">
              <w:rPr>
                <w:rtl w:val="0"/>
              </w:rPr>
              <w:t xml:space="preserve">Employees</w:t>
            </w:r>
          </w:p>
        </w:tc>
        <w:tc>
          <w:tcPr/>
          <w:p w:rsidR="00000000" w:rsidDel="00000000" w:rsidP="00000000" w:rsidRDefault="00000000" w:rsidRPr="00000000" w14:paraId="0000007E">
            <w:pPr>
              <w:rPr/>
            </w:pPr>
            <w:r w:rsidDel="00000000" w:rsidR="00000000" w:rsidRPr="00000000">
              <w:rPr>
                <w:rtl w:val="0"/>
              </w:rPr>
              <w:t xml:space="preserve">Low</w:t>
            </w:r>
          </w:p>
        </w:tc>
        <w:tc>
          <w:tcPr/>
          <w:p w:rsidR="00000000" w:rsidDel="00000000" w:rsidP="00000000" w:rsidRDefault="00000000" w:rsidRPr="00000000" w14:paraId="0000007F">
            <w:pPr>
              <w:rPr/>
            </w:pPr>
            <w:r w:rsidDel="00000000" w:rsidR="00000000" w:rsidRPr="00000000">
              <w:rPr>
                <w:rtl w:val="0"/>
              </w:rPr>
              <w:t xml:space="preserve">High</w:t>
            </w:r>
          </w:p>
        </w:tc>
        <w:tc>
          <w:tcPr/>
          <w:p w:rsidR="00000000" w:rsidDel="00000000" w:rsidP="00000000" w:rsidRDefault="00000000" w:rsidRPr="00000000" w14:paraId="00000080">
            <w:pPr>
              <w:rPr/>
            </w:pPr>
            <w:r w:rsidDel="00000000" w:rsidR="00000000" w:rsidRPr="00000000">
              <w:rPr>
                <w:rtl w:val="0"/>
              </w:rPr>
              <w:t xml:space="preserve">Keep Informed</w:t>
            </w:r>
          </w:p>
        </w:tc>
      </w:tr>
      <w:tr>
        <w:trPr>
          <w:cantSplit w:val="0"/>
          <w:tblHeader w:val="0"/>
        </w:trPr>
        <w:tc>
          <w:tcPr/>
          <w:p w:rsidR="00000000" w:rsidDel="00000000" w:rsidP="00000000" w:rsidRDefault="00000000" w:rsidRPr="00000000" w14:paraId="00000081">
            <w:pPr>
              <w:rPr/>
            </w:pPr>
            <w:r w:rsidDel="00000000" w:rsidR="00000000" w:rsidRPr="00000000">
              <w:rPr>
                <w:rtl w:val="0"/>
              </w:rPr>
              <w:t xml:space="preserve">Technology Partners (Google, Microsoft, Network Suppliers)</w:t>
            </w:r>
          </w:p>
        </w:tc>
        <w:tc>
          <w:tcPr/>
          <w:p w:rsidR="00000000" w:rsidDel="00000000" w:rsidP="00000000" w:rsidRDefault="00000000" w:rsidRPr="00000000" w14:paraId="00000082">
            <w:pPr>
              <w:rPr/>
            </w:pPr>
            <w:r w:rsidDel="00000000" w:rsidR="00000000" w:rsidRPr="00000000">
              <w:rPr>
                <w:rtl w:val="0"/>
              </w:rPr>
              <w:t xml:space="preserve">High</w:t>
            </w:r>
          </w:p>
        </w:tc>
        <w:tc>
          <w:tcPr/>
          <w:p w:rsidR="00000000" w:rsidDel="00000000" w:rsidP="00000000" w:rsidRDefault="00000000" w:rsidRPr="00000000" w14:paraId="00000083">
            <w:pPr>
              <w:rPr/>
            </w:pPr>
            <w:r w:rsidDel="00000000" w:rsidR="00000000" w:rsidRPr="00000000">
              <w:rPr>
                <w:rtl w:val="0"/>
              </w:rPr>
              <w:t xml:space="preserve">Low</w:t>
            </w:r>
          </w:p>
        </w:tc>
        <w:tc>
          <w:tcPr/>
          <w:p w:rsidR="00000000" w:rsidDel="00000000" w:rsidP="00000000" w:rsidRDefault="00000000" w:rsidRPr="00000000" w14:paraId="00000084">
            <w:pPr>
              <w:rPr/>
            </w:pPr>
            <w:r w:rsidDel="00000000" w:rsidR="00000000" w:rsidRPr="00000000">
              <w:rPr>
                <w:rtl w:val="0"/>
              </w:rPr>
              <w:t xml:space="preserve">Keep Satisfied</w:t>
            </w:r>
          </w:p>
        </w:tc>
      </w:tr>
      <w:tr>
        <w:trPr>
          <w:cantSplit w:val="0"/>
          <w:tblHeader w:val="0"/>
        </w:trPr>
        <w:tc>
          <w:tcPr/>
          <w:p w:rsidR="00000000" w:rsidDel="00000000" w:rsidP="00000000" w:rsidRDefault="00000000" w:rsidRPr="00000000" w14:paraId="00000085">
            <w:pPr>
              <w:rPr/>
            </w:pPr>
            <w:r w:rsidDel="00000000" w:rsidR="00000000" w:rsidRPr="00000000">
              <w:rPr>
                <w:rtl w:val="0"/>
              </w:rPr>
              <w:t xml:space="preserve">Local Communities</w:t>
            </w:r>
          </w:p>
        </w:tc>
        <w:tc>
          <w:tcPr/>
          <w:p w:rsidR="00000000" w:rsidDel="00000000" w:rsidP="00000000" w:rsidRDefault="00000000" w:rsidRPr="00000000" w14:paraId="00000086">
            <w:pPr>
              <w:rPr/>
            </w:pPr>
            <w:r w:rsidDel="00000000" w:rsidR="00000000" w:rsidRPr="00000000">
              <w:rPr>
                <w:rtl w:val="0"/>
              </w:rPr>
              <w:t xml:space="preserve">Low</w:t>
            </w:r>
          </w:p>
        </w:tc>
        <w:tc>
          <w:tcPr/>
          <w:p w:rsidR="00000000" w:rsidDel="00000000" w:rsidP="00000000" w:rsidRDefault="00000000" w:rsidRPr="00000000" w14:paraId="00000087">
            <w:pPr>
              <w:rPr/>
            </w:pPr>
            <w:r w:rsidDel="00000000" w:rsidR="00000000" w:rsidRPr="00000000">
              <w:rPr>
                <w:rtl w:val="0"/>
              </w:rPr>
              <w:t xml:space="preserve">Low</w:t>
            </w:r>
          </w:p>
        </w:tc>
        <w:tc>
          <w:tcPr/>
          <w:p w:rsidR="00000000" w:rsidDel="00000000" w:rsidP="00000000" w:rsidRDefault="00000000" w:rsidRPr="00000000" w14:paraId="00000088">
            <w:pPr>
              <w:rPr/>
            </w:pPr>
            <w:r w:rsidDel="00000000" w:rsidR="00000000" w:rsidRPr="00000000">
              <w:rPr>
                <w:rtl w:val="0"/>
              </w:rPr>
              <w:t xml:space="preserve">Monitor (Minimum Effort)</w:t>
            </w:r>
          </w:p>
        </w:tc>
      </w:tr>
      <w:tr>
        <w:trPr>
          <w:cantSplit w:val="0"/>
          <w:tblHeader w:val="0"/>
        </w:trPr>
        <w:tc>
          <w:tcPr/>
          <w:p w:rsidR="00000000" w:rsidDel="00000000" w:rsidP="00000000" w:rsidRDefault="00000000" w:rsidRPr="00000000" w14:paraId="00000089">
            <w:pPr>
              <w:rPr/>
            </w:pPr>
            <w:r w:rsidDel="00000000" w:rsidR="00000000" w:rsidRPr="00000000">
              <w:rPr>
                <w:rtl w:val="0"/>
              </w:rPr>
              <w:t xml:space="preserve">Media</w:t>
            </w:r>
          </w:p>
        </w:tc>
        <w:tc>
          <w:tcPr/>
          <w:p w:rsidR="00000000" w:rsidDel="00000000" w:rsidP="00000000" w:rsidRDefault="00000000" w:rsidRPr="00000000" w14:paraId="0000008A">
            <w:pPr>
              <w:rPr/>
            </w:pPr>
            <w:r w:rsidDel="00000000" w:rsidR="00000000" w:rsidRPr="00000000">
              <w:rPr>
                <w:rtl w:val="0"/>
              </w:rPr>
              <w:t xml:space="preserve">Low</w:t>
            </w:r>
          </w:p>
        </w:tc>
        <w:tc>
          <w:tcPr/>
          <w:p w:rsidR="00000000" w:rsidDel="00000000" w:rsidP="00000000" w:rsidRDefault="00000000" w:rsidRPr="00000000" w14:paraId="0000008B">
            <w:pPr>
              <w:rPr/>
            </w:pPr>
            <w:r w:rsidDel="00000000" w:rsidR="00000000" w:rsidRPr="00000000">
              <w:rPr>
                <w:rtl w:val="0"/>
              </w:rPr>
              <w:t xml:space="preserve">Low</w:t>
            </w:r>
          </w:p>
        </w:tc>
        <w:tc>
          <w:tcPr/>
          <w:p w:rsidR="00000000" w:rsidDel="00000000" w:rsidP="00000000" w:rsidRDefault="00000000" w:rsidRPr="00000000" w14:paraId="0000008C">
            <w:pPr>
              <w:rPr/>
            </w:pPr>
            <w:r w:rsidDel="00000000" w:rsidR="00000000" w:rsidRPr="00000000">
              <w:rPr>
                <w:rtl w:val="0"/>
              </w:rPr>
              <w:t xml:space="preserve">Monitor (Minimum Effort)</w:t>
            </w:r>
          </w:p>
        </w:tc>
      </w:tr>
    </w:tbl>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pStyle w:val="Heading1"/>
        <w:numPr>
          <w:ilvl w:val="0"/>
          <w:numId w:val="1"/>
        </w:numPr>
        <w:ind w:left="432" w:hanging="432"/>
        <w:rPr/>
      </w:pPr>
      <w:bookmarkStart w:colFirst="0" w:colLast="0" w:name="_2x0mdrpgsilg" w:id="9"/>
      <w:bookmarkEnd w:id="9"/>
      <w:r w:rsidDel="00000000" w:rsidR="00000000" w:rsidRPr="00000000">
        <w:rPr>
          <w:rtl w:val="0"/>
        </w:rPr>
        <w:t xml:space="preserve">Implementation and monitoring </w:t>
      </w:r>
    </w:p>
    <w:p w:rsidR="00000000" w:rsidDel="00000000" w:rsidP="00000000" w:rsidRDefault="00000000" w:rsidRPr="00000000" w14:paraId="0000008F">
      <w:pPr>
        <w:rPr/>
      </w:pPr>
      <w:r w:rsidDel="00000000" w:rsidR="00000000" w:rsidRPr="00000000">
        <w:rPr>
          <w:rFonts w:ascii="Geist Fallback" w:cs="Geist Fallback" w:eastAsia="Geist Fallback" w:hAnsi="Geist Fallback"/>
          <w:sz w:val="23"/>
          <w:szCs w:val="23"/>
          <w:rtl w:val="0"/>
        </w:rPr>
        <w:t xml:space="preserve">Continuous monitoring using Key Performance Indicators (KPIs) will help to assess progress, detect performance gaps and take corrective action if needed to achieve the successful implementation of the proposed product development through differentiation strategy.</w:t>
      </w:r>
      <w:r w:rsidDel="00000000" w:rsidR="00000000" w:rsidRPr="00000000">
        <w:rPr>
          <w:rtl w:val="0"/>
        </w:rPr>
      </w:r>
    </w:p>
    <w:p w:rsidR="00000000" w:rsidDel="00000000" w:rsidP="00000000" w:rsidRDefault="00000000" w:rsidRPr="00000000" w14:paraId="00000090">
      <w:pPr>
        <w:rPr>
          <w:b w:val="1"/>
          <w:bCs w:val="1"/>
        </w:rPr>
      </w:pPr>
      <w:r w:rsidDel="00000000" w:rsidR="00000000" w:rsidRPr="00000000">
        <w:rPr>
          <w:b w:val="1"/>
          <w:bCs w:val="1"/>
          <w:rtl w:val="0"/>
        </w:rPr>
        <w:t xml:space="preserve">Implementation Plan </w:t>
      </w:r>
    </w:p>
    <w:tbl>
      <w:tblPr>
        <w:tblStyle w:val="Table3"/>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2059"/>
        <w:gridCol w:w="3508"/>
        <w:gridCol w:w="1844"/>
        <w:gridCol w:w="1939"/>
        <w:tblGridChange w:id="0">
          <w:tblGrid>
            <w:gridCol w:w="2059"/>
            <w:gridCol w:w="3508"/>
            <w:gridCol w:w="1844"/>
            <w:gridCol w:w="1939"/>
          </w:tblGrid>
        </w:tblGridChange>
      </w:tblGrid>
      <w:tr>
        <w:trPr>
          <w:cantSplit w:val="0"/>
          <w:tblHeader w:val="0"/>
        </w:trPr>
        <w:tc>
          <w:tcPr/>
          <w:p w:rsidR="00000000" w:rsidDel="00000000" w:rsidP="00000000" w:rsidRDefault="00000000" w:rsidRPr="00000000" w14:paraId="00000091">
            <w:pPr>
              <w:spacing w:after="0" w:lineRule="auto"/>
              <w:jc w:val="center"/>
              <w:rPr/>
            </w:pPr>
            <w:r w:rsidDel="00000000" w:rsidR="00000000" w:rsidRPr="00000000">
              <w:rPr>
                <w:rtl w:val="0"/>
              </w:rPr>
              <w:t xml:space="preserve">Strategic Objective</w:t>
            </w:r>
          </w:p>
        </w:tc>
        <w:tc>
          <w:tcPr/>
          <w:p w:rsidR="00000000" w:rsidDel="00000000" w:rsidP="00000000" w:rsidRDefault="00000000" w:rsidRPr="00000000" w14:paraId="00000092">
            <w:pPr>
              <w:spacing w:after="0" w:lineRule="auto"/>
              <w:jc w:val="center"/>
              <w:rPr/>
            </w:pPr>
            <w:r w:rsidDel="00000000" w:rsidR="00000000" w:rsidRPr="00000000">
              <w:rPr>
                <w:rtl w:val="0"/>
              </w:rPr>
              <w:t xml:space="preserve">Key Actions</w:t>
            </w:r>
          </w:p>
        </w:tc>
        <w:tc>
          <w:tcPr/>
          <w:p w:rsidR="00000000" w:rsidDel="00000000" w:rsidP="00000000" w:rsidRDefault="00000000" w:rsidRPr="00000000" w14:paraId="00000093">
            <w:pPr>
              <w:spacing w:after="0" w:lineRule="auto"/>
              <w:jc w:val="center"/>
              <w:rPr/>
            </w:pPr>
            <w:r w:rsidDel="00000000" w:rsidR="00000000" w:rsidRPr="00000000">
              <w:rPr>
                <w:rtl w:val="0"/>
              </w:rPr>
              <w:t xml:space="preserve">Responsible Department</w:t>
            </w:r>
          </w:p>
        </w:tc>
        <w:tc>
          <w:tcPr/>
          <w:p w:rsidR="00000000" w:rsidDel="00000000" w:rsidP="00000000" w:rsidRDefault="00000000" w:rsidRPr="00000000" w14:paraId="00000094">
            <w:pPr>
              <w:spacing w:after="0" w:lineRule="auto"/>
              <w:jc w:val="center"/>
              <w:rPr/>
            </w:pPr>
            <w:r w:rsidDel="00000000" w:rsidR="00000000" w:rsidRPr="00000000">
              <w:rPr>
                <w:rtl w:val="0"/>
              </w:rPr>
              <w:t xml:space="preserve">Timeframe</w:t>
            </w:r>
          </w:p>
        </w:tc>
      </w:tr>
      <w:tr>
        <w:trPr>
          <w:cantSplit w:val="0"/>
          <w:tblHeader w:val="0"/>
        </w:trPr>
        <w:tc>
          <w:tcPr/>
          <w:p w:rsidR="00000000" w:rsidDel="00000000" w:rsidP="00000000" w:rsidRDefault="00000000" w:rsidRPr="00000000" w14:paraId="00000095">
            <w:pPr>
              <w:spacing w:after="0" w:lineRule="auto"/>
              <w:jc w:val="left"/>
              <w:rPr/>
            </w:pPr>
            <w:r w:rsidDel="00000000" w:rsidR="00000000" w:rsidRPr="00000000">
              <w:rPr>
                <w:rtl w:val="0"/>
              </w:rPr>
              <w:t xml:space="preserve">Develop AI-enabled digital services</w:t>
            </w:r>
          </w:p>
        </w:tc>
        <w:tc>
          <w:tcPr/>
          <w:p w:rsidR="00000000" w:rsidDel="00000000" w:rsidP="00000000" w:rsidRDefault="00000000" w:rsidRPr="00000000" w14:paraId="00000096">
            <w:pPr>
              <w:spacing w:after="0" w:lineRule="auto"/>
              <w:jc w:val="left"/>
              <w:rPr/>
            </w:pPr>
            <w:r w:rsidDel="00000000" w:rsidR="00000000" w:rsidRPr="00000000">
              <w:rPr>
                <w:rtl w:val="0"/>
              </w:rPr>
              <w:t xml:space="preserve">Design and launch AI-powered customer support, personalised digital services, and smart applications.</w:t>
            </w:r>
          </w:p>
        </w:tc>
        <w:tc>
          <w:tcPr/>
          <w:p w:rsidR="00000000" w:rsidDel="00000000" w:rsidP="00000000" w:rsidRDefault="00000000" w:rsidRPr="00000000" w14:paraId="00000097">
            <w:pPr>
              <w:spacing w:after="0" w:lineRule="auto"/>
              <w:jc w:val="left"/>
              <w:rPr/>
            </w:pPr>
            <w:r w:rsidDel="00000000" w:rsidR="00000000" w:rsidRPr="00000000">
              <w:rPr>
                <w:rtl w:val="0"/>
              </w:rPr>
              <w:t xml:space="preserve">Digital Innovation &amp; IT</w:t>
            </w:r>
          </w:p>
        </w:tc>
        <w:tc>
          <w:tcPr/>
          <w:p w:rsidR="00000000" w:rsidDel="00000000" w:rsidP="00000000" w:rsidRDefault="00000000" w:rsidRPr="00000000" w14:paraId="00000098">
            <w:pPr>
              <w:spacing w:after="0" w:lineRule="auto"/>
              <w:jc w:val="left"/>
              <w:rPr/>
            </w:pPr>
            <w:r w:rsidDel="00000000" w:rsidR="00000000" w:rsidRPr="00000000">
              <w:rPr>
                <w:rtl w:val="0"/>
              </w:rPr>
              <w:t xml:space="preserve">0–6 months</w:t>
            </w:r>
          </w:p>
        </w:tc>
      </w:tr>
      <w:tr>
        <w:trPr>
          <w:cantSplit w:val="0"/>
          <w:tblHeader w:val="0"/>
        </w:trPr>
        <w:tc>
          <w:tcPr/>
          <w:p w:rsidR="00000000" w:rsidDel="00000000" w:rsidP="00000000" w:rsidRDefault="00000000" w:rsidRPr="00000000" w14:paraId="00000099">
            <w:pPr>
              <w:spacing w:after="0" w:lineRule="auto"/>
              <w:jc w:val="left"/>
              <w:rPr/>
            </w:pPr>
            <w:r w:rsidDel="00000000" w:rsidR="00000000" w:rsidRPr="00000000">
              <w:rPr>
                <w:rtl w:val="0"/>
              </w:rPr>
              <w:t xml:space="preserve">Expand enterprise digital solutions</w:t>
            </w:r>
          </w:p>
        </w:tc>
        <w:tc>
          <w:tcPr/>
          <w:p w:rsidR="00000000" w:rsidDel="00000000" w:rsidP="00000000" w:rsidRDefault="00000000" w:rsidRPr="00000000" w14:paraId="0000009A">
            <w:pPr>
              <w:spacing w:after="0" w:lineRule="auto"/>
              <w:jc w:val="left"/>
              <w:rPr/>
            </w:pPr>
            <w:r w:rsidDel="00000000" w:rsidR="00000000" w:rsidRPr="00000000">
              <w:rPr>
                <w:rtl w:val="0"/>
              </w:rPr>
              <w:t xml:space="preserve">Introduce enhanced cloud, cybersecurity, IoT, and unified communication services for business customers.</w:t>
            </w:r>
          </w:p>
        </w:tc>
        <w:tc>
          <w:tcPr/>
          <w:p w:rsidR="00000000" w:rsidDel="00000000" w:rsidP="00000000" w:rsidRDefault="00000000" w:rsidRPr="00000000" w14:paraId="0000009B">
            <w:pPr>
              <w:spacing w:after="0" w:lineRule="auto"/>
              <w:jc w:val="left"/>
              <w:rPr/>
            </w:pPr>
            <w:r w:rsidDel="00000000" w:rsidR="00000000" w:rsidRPr="00000000">
              <w:rPr>
                <w:rtl w:val="0"/>
              </w:rPr>
              <w:t xml:space="preserve">Vodafone Business Division</w:t>
            </w:r>
          </w:p>
        </w:tc>
        <w:tc>
          <w:tcPr/>
          <w:p w:rsidR="00000000" w:rsidDel="00000000" w:rsidP="00000000" w:rsidRDefault="00000000" w:rsidRPr="00000000" w14:paraId="0000009C">
            <w:pPr>
              <w:spacing w:after="0" w:lineRule="auto"/>
              <w:jc w:val="left"/>
              <w:rPr/>
            </w:pPr>
            <w:r w:rsidDel="00000000" w:rsidR="00000000" w:rsidRPr="00000000">
              <w:rPr>
                <w:rtl w:val="0"/>
              </w:rPr>
              <w:t xml:space="preserve">6–12 months</w:t>
            </w:r>
          </w:p>
        </w:tc>
      </w:tr>
      <w:tr>
        <w:trPr>
          <w:cantSplit w:val="0"/>
          <w:tblHeader w:val="0"/>
        </w:trPr>
        <w:tc>
          <w:tcPr/>
          <w:p w:rsidR="00000000" w:rsidDel="00000000" w:rsidP="00000000" w:rsidRDefault="00000000" w:rsidRPr="00000000" w14:paraId="0000009D">
            <w:pPr>
              <w:spacing w:after="0" w:lineRule="auto"/>
              <w:jc w:val="left"/>
              <w:rPr/>
            </w:pPr>
            <w:r w:rsidDel="00000000" w:rsidR="00000000" w:rsidRPr="00000000">
              <w:rPr>
                <w:rtl w:val="0"/>
              </w:rPr>
              <w:t xml:space="preserve">Strengthen 5G infrastructure</w:t>
            </w:r>
          </w:p>
        </w:tc>
        <w:tc>
          <w:tcPr/>
          <w:p w:rsidR="00000000" w:rsidDel="00000000" w:rsidP="00000000" w:rsidRDefault="00000000" w:rsidRPr="00000000" w14:paraId="0000009E">
            <w:pPr>
              <w:spacing w:after="0" w:lineRule="auto"/>
              <w:jc w:val="left"/>
              <w:rPr/>
            </w:pPr>
            <w:r w:rsidDel="00000000" w:rsidR="00000000" w:rsidRPr="00000000">
              <w:rPr>
                <w:rtl w:val="0"/>
              </w:rPr>
              <w:t xml:space="preserve">Continue investment in standalone 5G network expansion to improve speed, reliability, and nationwide coverage.</w:t>
            </w:r>
          </w:p>
        </w:tc>
        <w:tc>
          <w:tcPr/>
          <w:p w:rsidR="00000000" w:rsidDel="00000000" w:rsidP="00000000" w:rsidRDefault="00000000" w:rsidRPr="00000000" w14:paraId="0000009F">
            <w:pPr>
              <w:spacing w:after="0" w:lineRule="auto"/>
              <w:jc w:val="left"/>
              <w:rPr/>
            </w:pPr>
            <w:r w:rsidDel="00000000" w:rsidR="00000000" w:rsidRPr="00000000">
              <w:rPr>
                <w:rtl w:val="0"/>
              </w:rPr>
              <w:t xml:space="preserve">Network Operations</w:t>
            </w:r>
          </w:p>
        </w:tc>
        <w:tc>
          <w:tcPr/>
          <w:p w:rsidR="00000000" w:rsidDel="00000000" w:rsidP="00000000" w:rsidRDefault="00000000" w:rsidRPr="00000000" w14:paraId="000000A0">
            <w:pPr>
              <w:spacing w:after="0" w:lineRule="auto"/>
              <w:jc w:val="left"/>
              <w:rPr/>
            </w:pPr>
            <w:r w:rsidDel="00000000" w:rsidR="00000000" w:rsidRPr="00000000">
              <w:rPr>
                <w:rtl w:val="0"/>
              </w:rPr>
              <w:t xml:space="preserve">12–24 months</w:t>
            </w:r>
          </w:p>
        </w:tc>
      </w:tr>
      <w:tr>
        <w:trPr>
          <w:cantSplit w:val="0"/>
          <w:tblHeader w:val="0"/>
        </w:trPr>
        <w:tc>
          <w:tcPr/>
          <w:p w:rsidR="00000000" w:rsidDel="00000000" w:rsidP="00000000" w:rsidRDefault="00000000" w:rsidRPr="00000000" w14:paraId="000000A1">
            <w:pPr>
              <w:spacing w:after="0" w:lineRule="auto"/>
              <w:jc w:val="left"/>
              <w:rPr/>
            </w:pPr>
            <w:r w:rsidDel="00000000" w:rsidR="00000000" w:rsidRPr="00000000">
              <w:rPr>
                <w:rtl w:val="0"/>
              </w:rPr>
              <w:t xml:space="preserve">Improve employee capabilities</w:t>
            </w:r>
          </w:p>
        </w:tc>
        <w:tc>
          <w:tcPr/>
          <w:p w:rsidR="00000000" w:rsidDel="00000000" w:rsidP="00000000" w:rsidRDefault="00000000" w:rsidRPr="00000000" w14:paraId="000000A2">
            <w:pPr>
              <w:spacing w:after="0" w:lineRule="auto"/>
              <w:jc w:val="left"/>
              <w:rPr/>
            </w:pPr>
            <w:r w:rsidDel="00000000" w:rsidR="00000000" w:rsidRPr="00000000">
              <w:rPr>
                <w:rtl w:val="0"/>
              </w:rPr>
              <w:t xml:space="preserve">Deliver training programmes on AI technologies, cybersecurity, digital products, and customer service excellence.</w:t>
            </w:r>
          </w:p>
        </w:tc>
        <w:tc>
          <w:tcPr/>
          <w:p w:rsidR="00000000" w:rsidDel="00000000" w:rsidP="00000000" w:rsidRDefault="00000000" w:rsidRPr="00000000" w14:paraId="000000A3">
            <w:pPr>
              <w:spacing w:after="0" w:lineRule="auto"/>
              <w:jc w:val="left"/>
              <w:rPr/>
            </w:pPr>
            <w:r w:rsidDel="00000000" w:rsidR="00000000" w:rsidRPr="00000000">
              <w:rPr>
                <w:rtl w:val="0"/>
              </w:rPr>
              <w:t xml:space="preserve">Human Resources</w:t>
            </w:r>
          </w:p>
        </w:tc>
        <w:tc>
          <w:tcPr/>
          <w:p w:rsidR="00000000" w:rsidDel="00000000" w:rsidP="00000000" w:rsidRDefault="00000000" w:rsidRPr="00000000" w14:paraId="000000A4">
            <w:pPr>
              <w:spacing w:after="0" w:lineRule="auto"/>
              <w:jc w:val="left"/>
              <w:rPr/>
            </w:pPr>
            <w:r w:rsidDel="00000000" w:rsidR="00000000" w:rsidRPr="00000000">
              <w:rPr>
                <w:rtl w:val="0"/>
              </w:rPr>
              <w:t xml:space="preserve">Throughout implementation</w:t>
            </w:r>
          </w:p>
        </w:tc>
      </w:tr>
      <w:tr>
        <w:trPr>
          <w:cantSplit w:val="0"/>
          <w:tblHeader w:val="0"/>
        </w:trPr>
        <w:tc>
          <w:tcPr/>
          <w:p w:rsidR="00000000" w:rsidDel="00000000" w:rsidP="00000000" w:rsidRDefault="00000000" w:rsidRPr="00000000" w14:paraId="000000A5">
            <w:pPr>
              <w:spacing w:after="0" w:lineRule="auto"/>
              <w:jc w:val="left"/>
              <w:rPr/>
            </w:pPr>
            <w:r w:rsidDel="00000000" w:rsidR="00000000" w:rsidRPr="00000000">
              <w:rPr>
                <w:rtl w:val="0"/>
              </w:rPr>
              <w:t xml:space="preserve">Enhance customer engagement</w:t>
            </w:r>
          </w:p>
        </w:tc>
        <w:tc>
          <w:tcPr/>
          <w:p w:rsidR="00000000" w:rsidDel="00000000" w:rsidP="00000000" w:rsidRDefault="00000000" w:rsidRPr="00000000" w14:paraId="000000A6">
            <w:pPr>
              <w:spacing w:after="0" w:lineRule="auto"/>
              <w:jc w:val="left"/>
              <w:rPr/>
            </w:pPr>
            <w:r w:rsidDel="00000000" w:rsidR="00000000" w:rsidRPr="00000000">
              <w:rPr>
                <w:rtl w:val="0"/>
              </w:rPr>
              <w:t xml:space="preserve">Launch digital marketing campaigns, loyalty programmes, and customer education initiatives to promote new services.</w:t>
            </w:r>
          </w:p>
        </w:tc>
        <w:tc>
          <w:tcPr/>
          <w:p w:rsidR="00000000" w:rsidDel="00000000" w:rsidP="00000000" w:rsidRDefault="00000000" w:rsidRPr="00000000" w14:paraId="000000A7">
            <w:pPr>
              <w:spacing w:after="0" w:lineRule="auto"/>
              <w:jc w:val="left"/>
              <w:rPr/>
            </w:pPr>
            <w:r w:rsidDel="00000000" w:rsidR="00000000" w:rsidRPr="00000000">
              <w:rPr>
                <w:rtl w:val="0"/>
              </w:rPr>
              <w:t xml:space="preserve">Marketing &amp; Customer Experience</w:t>
            </w:r>
          </w:p>
        </w:tc>
        <w:tc>
          <w:tcPr/>
          <w:p w:rsidR="00000000" w:rsidDel="00000000" w:rsidP="00000000" w:rsidRDefault="00000000" w:rsidRPr="00000000" w14:paraId="000000A8">
            <w:pPr>
              <w:spacing w:after="0" w:lineRule="auto"/>
              <w:jc w:val="left"/>
              <w:rPr/>
            </w:pPr>
            <w:r w:rsidDel="00000000" w:rsidR="00000000" w:rsidRPr="00000000">
              <w:rPr>
                <w:rtl w:val="0"/>
              </w:rPr>
              <w:t xml:space="preserve">6–18 months</w:t>
            </w:r>
          </w:p>
        </w:tc>
      </w:tr>
    </w:tbl>
    <w:p w:rsidR="00000000" w:rsidDel="00000000" w:rsidP="00000000" w:rsidRDefault="00000000" w:rsidRPr="00000000" w14:paraId="000000A9">
      <w:pPr>
        <w:rPr>
          <w:b w:val="1"/>
          <w:bCs w:val="1"/>
        </w:rPr>
      </w:pPr>
      <w:r w:rsidDel="00000000" w:rsidR="00000000" w:rsidRPr="00000000">
        <w:rPr>
          <w:b w:val="1"/>
          <w:bCs w:val="1"/>
          <w:rtl w:val="0"/>
        </w:rPr>
        <w:t xml:space="preserve">Monitoring Plan </w:t>
      </w:r>
    </w:p>
    <w:tbl>
      <w:tblPr>
        <w:tblStyle w:val="Table4"/>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2339"/>
        <w:gridCol w:w="2542"/>
        <w:gridCol w:w="1744"/>
        <w:gridCol w:w="2725"/>
        <w:tblGridChange w:id="0">
          <w:tblGrid>
            <w:gridCol w:w="2339"/>
            <w:gridCol w:w="2542"/>
            <w:gridCol w:w="1744"/>
            <w:gridCol w:w="2725"/>
          </w:tblGrid>
        </w:tblGridChange>
      </w:tblGrid>
      <w:tr>
        <w:trPr>
          <w:cantSplit w:val="0"/>
          <w:tblHeader w:val="0"/>
        </w:trPr>
        <w:tc>
          <w:tcPr/>
          <w:p w:rsidR="00000000" w:rsidDel="00000000" w:rsidP="00000000" w:rsidRDefault="00000000" w:rsidRPr="00000000" w14:paraId="000000AA">
            <w:pPr>
              <w:spacing w:after="0" w:lineRule="auto"/>
              <w:jc w:val="center"/>
              <w:rPr/>
            </w:pPr>
            <w:r w:rsidDel="00000000" w:rsidR="00000000" w:rsidRPr="00000000">
              <w:rPr>
                <w:rtl w:val="0"/>
              </w:rPr>
              <w:t xml:space="preserve">Key Performance Indicator (KPI)</w:t>
            </w:r>
          </w:p>
        </w:tc>
        <w:tc>
          <w:tcPr/>
          <w:p w:rsidR="00000000" w:rsidDel="00000000" w:rsidP="00000000" w:rsidRDefault="00000000" w:rsidRPr="00000000" w14:paraId="000000AB">
            <w:pPr>
              <w:spacing w:after="0" w:lineRule="auto"/>
              <w:jc w:val="center"/>
              <w:rPr/>
            </w:pPr>
            <w:r w:rsidDel="00000000" w:rsidR="00000000" w:rsidRPr="00000000">
              <w:rPr>
                <w:rtl w:val="0"/>
              </w:rPr>
              <w:t xml:space="preserve">Target</w:t>
            </w:r>
          </w:p>
        </w:tc>
        <w:tc>
          <w:tcPr/>
          <w:p w:rsidR="00000000" w:rsidDel="00000000" w:rsidP="00000000" w:rsidRDefault="00000000" w:rsidRPr="00000000" w14:paraId="000000AC">
            <w:pPr>
              <w:spacing w:after="0" w:lineRule="auto"/>
              <w:jc w:val="center"/>
              <w:rPr/>
            </w:pPr>
            <w:r w:rsidDel="00000000" w:rsidR="00000000" w:rsidRPr="00000000">
              <w:rPr>
                <w:rtl w:val="0"/>
              </w:rPr>
              <w:t xml:space="preserve">Monitoring Frequency</w:t>
            </w:r>
          </w:p>
        </w:tc>
        <w:tc>
          <w:tcPr/>
          <w:p w:rsidR="00000000" w:rsidDel="00000000" w:rsidP="00000000" w:rsidRDefault="00000000" w:rsidRPr="00000000" w14:paraId="000000AD">
            <w:pPr>
              <w:spacing w:after="0" w:lineRule="auto"/>
              <w:jc w:val="center"/>
              <w:rPr/>
            </w:pPr>
            <w:r w:rsidDel="00000000" w:rsidR="00000000" w:rsidRPr="00000000">
              <w:rPr>
                <w:rtl w:val="0"/>
              </w:rPr>
              <w:t xml:space="preserve">Success Measure</w:t>
            </w:r>
          </w:p>
        </w:tc>
      </w:tr>
      <w:tr>
        <w:trPr>
          <w:cantSplit w:val="0"/>
          <w:tblHeader w:val="0"/>
        </w:trPr>
        <w:tc>
          <w:tcPr/>
          <w:p w:rsidR="00000000" w:rsidDel="00000000" w:rsidP="00000000" w:rsidRDefault="00000000" w:rsidRPr="00000000" w14:paraId="000000AE">
            <w:pPr>
              <w:spacing w:after="0" w:lineRule="auto"/>
              <w:jc w:val="left"/>
              <w:rPr/>
            </w:pPr>
            <w:r w:rsidDel="00000000" w:rsidR="00000000" w:rsidRPr="00000000">
              <w:rPr>
                <w:rtl w:val="0"/>
              </w:rPr>
              <w:t xml:space="preserve">Customer Satisfaction (NPS)</w:t>
            </w:r>
          </w:p>
        </w:tc>
        <w:tc>
          <w:tcPr/>
          <w:p w:rsidR="00000000" w:rsidDel="00000000" w:rsidP="00000000" w:rsidRDefault="00000000" w:rsidRPr="00000000" w14:paraId="000000AF">
            <w:pPr>
              <w:spacing w:after="0" w:lineRule="auto"/>
              <w:jc w:val="left"/>
              <w:rPr/>
            </w:pPr>
            <w:r w:rsidDel="00000000" w:rsidR="00000000" w:rsidRPr="00000000">
              <w:rPr>
                <w:rtl w:val="0"/>
              </w:rPr>
              <w:t xml:space="preserve">Increase by 15% within 2 years</w:t>
            </w:r>
          </w:p>
        </w:tc>
        <w:tc>
          <w:tcPr/>
          <w:p w:rsidR="00000000" w:rsidDel="00000000" w:rsidP="00000000" w:rsidRDefault="00000000" w:rsidRPr="00000000" w14:paraId="000000B0">
            <w:pPr>
              <w:spacing w:after="0" w:lineRule="auto"/>
              <w:jc w:val="left"/>
              <w:rPr/>
            </w:pPr>
            <w:r w:rsidDel="00000000" w:rsidR="00000000" w:rsidRPr="00000000">
              <w:rPr>
                <w:rtl w:val="0"/>
              </w:rPr>
              <w:t xml:space="preserve">Quarterly</w:t>
            </w:r>
          </w:p>
        </w:tc>
        <w:tc>
          <w:tcPr/>
          <w:p w:rsidR="00000000" w:rsidDel="00000000" w:rsidP="00000000" w:rsidRDefault="00000000" w:rsidRPr="00000000" w14:paraId="000000B1">
            <w:pPr>
              <w:spacing w:after="0" w:lineRule="auto"/>
              <w:jc w:val="left"/>
              <w:rPr/>
            </w:pPr>
            <w:r w:rsidDel="00000000" w:rsidR="00000000" w:rsidRPr="00000000">
              <w:rPr>
                <w:rtl w:val="0"/>
              </w:rPr>
              <w:t xml:space="preserve">Improved customer experience and loyalty</w:t>
            </w:r>
          </w:p>
        </w:tc>
      </w:tr>
      <w:tr>
        <w:trPr>
          <w:cantSplit w:val="0"/>
          <w:tblHeader w:val="0"/>
        </w:trPr>
        <w:tc>
          <w:tcPr/>
          <w:p w:rsidR="00000000" w:rsidDel="00000000" w:rsidP="00000000" w:rsidRDefault="00000000" w:rsidRPr="00000000" w14:paraId="000000B2">
            <w:pPr>
              <w:spacing w:after="0" w:lineRule="auto"/>
              <w:jc w:val="left"/>
              <w:rPr/>
            </w:pPr>
            <w:r w:rsidDel="00000000" w:rsidR="00000000" w:rsidRPr="00000000">
              <w:rPr>
                <w:rtl w:val="0"/>
              </w:rPr>
              <w:t xml:space="preserve">5G Population Coverage</w:t>
            </w:r>
          </w:p>
        </w:tc>
        <w:tc>
          <w:tcPr/>
          <w:p w:rsidR="00000000" w:rsidDel="00000000" w:rsidP="00000000" w:rsidRDefault="00000000" w:rsidRPr="00000000" w14:paraId="000000B3">
            <w:pPr>
              <w:spacing w:after="0" w:lineRule="auto"/>
              <w:jc w:val="left"/>
              <w:rPr/>
            </w:pPr>
            <w:r w:rsidDel="00000000" w:rsidR="00000000" w:rsidRPr="00000000">
              <w:rPr>
                <w:rtl w:val="0"/>
              </w:rPr>
              <w:t xml:space="preserve">Achieve planned nationwide expansion milestones</w:t>
            </w:r>
          </w:p>
        </w:tc>
        <w:tc>
          <w:tcPr/>
          <w:p w:rsidR="00000000" w:rsidDel="00000000" w:rsidP="00000000" w:rsidRDefault="00000000" w:rsidRPr="00000000" w14:paraId="000000B4">
            <w:pPr>
              <w:spacing w:after="0" w:lineRule="auto"/>
              <w:jc w:val="left"/>
              <w:rPr/>
            </w:pPr>
            <w:r w:rsidDel="00000000" w:rsidR="00000000" w:rsidRPr="00000000">
              <w:rPr>
                <w:rtl w:val="0"/>
              </w:rPr>
              <w:t xml:space="preserve">Quarterly</w:t>
            </w:r>
          </w:p>
        </w:tc>
        <w:tc>
          <w:tcPr/>
          <w:p w:rsidR="00000000" w:rsidDel="00000000" w:rsidP="00000000" w:rsidRDefault="00000000" w:rsidRPr="00000000" w14:paraId="000000B5">
            <w:pPr>
              <w:spacing w:after="0" w:lineRule="auto"/>
              <w:jc w:val="left"/>
              <w:rPr/>
            </w:pPr>
            <w:r w:rsidDel="00000000" w:rsidR="00000000" w:rsidRPr="00000000">
              <w:rPr>
                <w:rtl w:val="0"/>
              </w:rPr>
              <w:t xml:space="preserve">Increased network availability and quality</w:t>
            </w:r>
          </w:p>
        </w:tc>
      </w:tr>
      <w:tr>
        <w:trPr>
          <w:cantSplit w:val="0"/>
          <w:tblHeader w:val="0"/>
        </w:trPr>
        <w:tc>
          <w:tcPr/>
          <w:p w:rsidR="00000000" w:rsidDel="00000000" w:rsidP="00000000" w:rsidRDefault="00000000" w:rsidRPr="00000000" w14:paraId="000000B6">
            <w:pPr>
              <w:spacing w:after="0" w:lineRule="auto"/>
              <w:jc w:val="left"/>
              <w:rPr/>
            </w:pPr>
            <w:r w:rsidDel="00000000" w:rsidR="00000000" w:rsidRPr="00000000">
              <w:rPr>
                <w:rtl w:val="0"/>
              </w:rPr>
              <w:t xml:space="preserve">Adoption of New Digital Services</w:t>
            </w:r>
          </w:p>
        </w:tc>
        <w:tc>
          <w:tcPr/>
          <w:p w:rsidR="00000000" w:rsidDel="00000000" w:rsidP="00000000" w:rsidRDefault="00000000" w:rsidRPr="00000000" w14:paraId="000000B7">
            <w:pPr>
              <w:spacing w:after="0" w:lineRule="auto"/>
              <w:jc w:val="left"/>
              <w:rPr/>
            </w:pPr>
            <w:r w:rsidDel="00000000" w:rsidR="00000000" w:rsidRPr="00000000">
              <w:rPr>
                <w:rtl w:val="0"/>
              </w:rPr>
              <w:t xml:space="preserve">25% increase in users within 24 months</w:t>
            </w:r>
          </w:p>
        </w:tc>
        <w:tc>
          <w:tcPr/>
          <w:p w:rsidR="00000000" w:rsidDel="00000000" w:rsidP="00000000" w:rsidRDefault="00000000" w:rsidRPr="00000000" w14:paraId="000000B8">
            <w:pPr>
              <w:spacing w:after="0" w:lineRule="auto"/>
              <w:jc w:val="left"/>
              <w:rPr/>
            </w:pPr>
            <w:r w:rsidDel="00000000" w:rsidR="00000000" w:rsidRPr="00000000">
              <w:rPr>
                <w:rtl w:val="0"/>
              </w:rPr>
              <w:t xml:space="preserve">Monthly</w:t>
            </w:r>
          </w:p>
        </w:tc>
        <w:tc>
          <w:tcPr/>
          <w:p w:rsidR="00000000" w:rsidDel="00000000" w:rsidP="00000000" w:rsidRDefault="00000000" w:rsidRPr="00000000" w14:paraId="000000B9">
            <w:pPr>
              <w:spacing w:after="0" w:lineRule="auto"/>
              <w:jc w:val="left"/>
              <w:rPr/>
            </w:pPr>
            <w:r w:rsidDel="00000000" w:rsidR="00000000" w:rsidRPr="00000000">
              <w:rPr>
                <w:rtl w:val="0"/>
              </w:rPr>
              <w:t xml:space="preserve">Higher utilisation of AI, cloud, and IoT services</w:t>
            </w:r>
          </w:p>
        </w:tc>
      </w:tr>
      <w:tr>
        <w:trPr>
          <w:cantSplit w:val="0"/>
          <w:tblHeader w:val="0"/>
        </w:trPr>
        <w:tc>
          <w:tcPr/>
          <w:p w:rsidR="00000000" w:rsidDel="00000000" w:rsidP="00000000" w:rsidRDefault="00000000" w:rsidRPr="00000000" w14:paraId="000000BA">
            <w:pPr>
              <w:spacing w:after="0" w:lineRule="auto"/>
              <w:jc w:val="left"/>
              <w:rPr/>
            </w:pPr>
            <w:r w:rsidDel="00000000" w:rsidR="00000000" w:rsidRPr="00000000">
              <w:rPr>
                <w:rtl w:val="0"/>
              </w:rPr>
              <w:t xml:space="preserve">Business Revenue Growth</w:t>
            </w:r>
          </w:p>
        </w:tc>
        <w:tc>
          <w:tcPr/>
          <w:p w:rsidR="00000000" w:rsidDel="00000000" w:rsidP="00000000" w:rsidRDefault="00000000" w:rsidRPr="00000000" w14:paraId="000000BB">
            <w:pPr>
              <w:spacing w:after="0" w:lineRule="auto"/>
              <w:jc w:val="left"/>
              <w:rPr/>
            </w:pPr>
            <w:r w:rsidDel="00000000" w:rsidR="00000000" w:rsidRPr="00000000">
              <w:rPr>
                <w:rtl w:val="0"/>
              </w:rPr>
              <w:t xml:space="preserve">Annual growth of 8–10%</w:t>
            </w:r>
          </w:p>
        </w:tc>
        <w:tc>
          <w:tcPr/>
          <w:p w:rsidR="00000000" w:rsidDel="00000000" w:rsidP="00000000" w:rsidRDefault="00000000" w:rsidRPr="00000000" w14:paraId="000000BC">
            <w:pPr>
              <w:spacing w:after="0" w:lineRule="auto"/>
              <w:jc w:val="left"/>
              <w:rPr/>
            </w:pPr>
            <w:r w:rsidDel="00000000" w:rsidR="00000000" w:rsidRPr="00000000">
              <w:rPr>
                <w:rtl w:val="0"/>
              </w:rPr>
              <w:t xml:space="preserve">Quarterly</w:t>
            </w:r>
          </w:p>
        </w:tc>
        <w:tc>
          <w:tcPr/>
          <w:p w:rsidR="00000000" w:rsidDel="00000000" w:rsidP="00000000" w:rsidRDefault="00000000" w:rsidRPr="00000000" w14:paraId="000000BD">
            <w:pPr>
              <w:spacing w:after="0" w:lineRule="auto"/>
              <w:jc w:val="left"/>
              <w:rPr/>
            </w:pPr>
            <w:r w:rsidDel="00000000" w:rsidR="00000000" w:rsidRPr="00000000">
              <w:rPr>
                <w:rtl w:val="0"/>
              </w:rPr>
              <w:t xml:space="preserve">Increased revenue from enterprise digital solutions</w:t>
            </w:r>
          </w:p>
        </w:tc>
      </w:tr>
      <w:tr>
        <w:trPr>
          <w:cantSplit w:val="0"/>
          <w:tblHeader w:val="0"/>
        </w:trPr>
        <w:tc>
          <w:tcPr/>
          <w:p w:rsidR="00000000" w:rsidDel="00000000" w:rsidP="00000000" w:rsidRDefault="00000000" w:rsidRPr="00000000" w14:paraId="000000BE">
            <w:pPr>
              <w:spacing w:after="0" w:lineRule="auto"/>
              <w:jc w:val="left"/>
              <w:rPr/>
            </w:pPr>
            <w:r w:rsidDel="00000000" w:rsidR="00000000" w:rsidRPr="00000000">
              <w:rPr>
                <w:rtl w:val="0"/>
              </w:rPr>
              <w:t xml:space="preserve">Employee Digital Skills Completion</w:t>
            </w:r>
          </w:p>
        </w:tc>
        <w:tc>
          <w:tcPr/>
          <w:p w:rsidR="00000000" w:rsidDel="00000000" w:rsidP="00000000" w:rsidRDefault="00000000" w:rsidRPr="00000000" w14:paraId="000000BF">
            <w:pPr>
              <w:spacing w:after="0" w:lineRule="auto"/>
              <w:jc w:val="left"/>
              <w:rPr/>
            </w:pPr>
            <w:r w:rsidDel="00000000" w:rsidR="00000000" w:rsidRPr="00000000">
              <w:rPr>
                <w:rtl w:val="0"/>
              </w:rPr>
              <w:t xml:space="preserve">100% completion of training programmes</w:t>
            </w:r>
          </w:p>
        </w:tc>
        <w:tc>
          <w:tcPr/>
          <w:p w:rsidR="00000000" w:rsidDel="00000000" w:rsidP="00000000" w:rsidRDefault="00000000" w:rsidRPr="00000000" w14:paraId="000000C0">
            <w:pPr>
              <w:spacing w:after="0" w:lineRule="auto"/>
              <w:jc w:val="left"/>
              <w:rPr/>
            </w:pPr>
            <w:r w:rsidDel="00000000" w:rsidR="00000000" w:rsidRPr="00000000">
              <w:rPr>
                <w:rtl w:val="0"/>
              </w:rPr>
              <w:t xml:space="preserve">Quarterly</w:t>
            </w:r>
          </w:p>
        </w:tc>
        <w:tc>
          <w:tcPr/>
          <w:p w:rsidR="00000000" w:rsidDel="00000000" w:rsidP="00000000" w:rsidRDefault="00000000" w:rsidRPr="00000000" w14:paraId="000000C1">
            <w:pPr>
              <w:spacing w:after="0" w:lineRule="auto"/>
              <w:jc w:val="left"/>
              <w:rPr/>
            </w:pPr>
            <w:r w:rsidDel="00000000" w:rsidR="00000000" w:rsidRPr="00000000">
              <w:rPr>
                <w:rtl w:val="0"/>
              </w:rPr>
              <w:t xml:space="preserve">Improved workforce capability and service delivery</w:t>
            </w:r>
          </w:p>
        </w:tc>
      </w:tr>
      <w:tr>
        <w:trPr>
          <w:cantSplit w:val="0"/>
          <w:tblHeader w:val="0"/>
        </w:trPr>
        <w:tc>
          <w:tcPr/>
          <w:p w:rsidR="00000000" w:rsidDel="00000000" w:rsidP="00000000" w:rsidRDefault="00000000" w:rsidRPr="00000000" w14:paraId="000000C2">
            <w:pPr>
              <w:spacing w:after="0" w:lineRule="auto"/>
              <w:jc w:val="left"/>
              <w:rPr/>
            </w:pPr>
            <w:r w:rsidDel="00000000" w:rsidR="00000000" w:rsidRPr="00000000">
              <w:rPr>
                <w:rtl w:val="0"/>
              </w:rPr>
              <w:t xml:space="preserve">Customer Churn Rate</w:t>
            </w:r>
          </w:p>
        </w:tc>
        <w:tc>
          <w:tcPr/>
          <w:p w:rsidR="00000000" w:rsidDel="00000000" w:rsidP="00000000" w:rsidRDefault="00000000" w:rsidRPr="00000000" w14:paraId="000000C3">
            <w:pPr>
              <w:spacing w:after="0" w:lineRule="auto"/>
              <w:jc w:val="left"/>
              <w:rPr/>
            </w:pPr>
            <w:r w:rsidDel="00000000" w:rsidR="00000000" w:rsidRPr="00000000">
              <w:rPr>
                <w:rtl w:val="0"/>
              </w:rPr>
              <w:t xml:space="preserve">Reduce by 10% within 2 years</w:t>
            </w:r>
          </w:p>
        </w:tc>
        <w:tc>
          <w:tcPr/>
          <w:p w:rsidR="00000000" w:rsidDel="00000000" w:rsidP="00000000" w:rsidRDefault="00000000" w:rsidRPr="00000000" w14:paraId="000000C4">
            <w:pPr>
              <w:spacing w:after="0" w:lineRule="auto"/>
              <w:jc w:val="left"/>
              <w:rPr/>
            </w:pPr>
            <w:r w:rsidDel="00000000" w:rsidR="00000000" w:rsidRPr="00000000">
              <w:rPr>
                <w:rtl w:val="0"/>
              </w:rPr>
              <w:t xml:space="preserve">Monthly</w:t>
            </w:r>
          </w:p>
        </w:tc>
        <w:tc>
          <w:tcPr/>
          <w:p w:rsidR="00000000" w:rsidDel="00000000" w:rsidP="00000000" w:rsidRDefault="00000000" w:rsidRPr="00000000" w14:paraId="000000C5">
            <w:pPr>
              <w:spacing w:after="0" w:lineRule="auto"/>
              <w:jc w:val="left"/>
              <w:rPr/>
            </w:pPr>
            <w:r w:rsidDel="00000000" w:rsidR="00000000" w:rsidRPr="00000000">
              <w:rPr>
                <w:rtl w:val="0"/>
              </w:rPr>
              <w:t xml:space="preserve">Higher customer retention</w:t>
            </w:r>
          </w:p>
        </w:tc>
      </w:tr>
      <w:tr>
        <w:trPr>
          <w:cantSplit w:val="0"/>
          <w:tblHeader w:val="0"/>
        </w:trPr>
        <w:tc>
          <w:tcPr/>
          <w:p w:rsidR="00000000" w:rsidDel="00000000" w:rsidP="00000000" w:rsidRDefault="00000000" w:rsidRPr="00000000" w14:paraId="000000C6">
            <w:pPr>
              <w:spacing w:after="0" w:lineRule="auto"/>
              <w:jc w:val="left"/>
              <w:rPr/>
            </w:pPr>
            <w:r w:rsidDel="00000000" w:rsidR="00000000" w:rsidRPr="00000000">
              <w:rPr>
                <w:rtl w:val="0"/>
              </w:rPr>
              <w:t xml:space="preserve">Return on Strategic Investment (ROI)</w:t>
            </w:r>
          </w:p>
        </w:tc>
        <w:tc>
          <w:tcPr/>
          <w:p w:rsidR="00000000" w:rsidDel="00000000" w:rsidP="00000000" w:rsidRDefault="00000000" w:rsidRPr="00000000" w14:paraId="000000C7">
            <w:pPr>
              <w:spacing w:after="0" w:lineRule="auto"/>
              <w:jc w:val="left"/>
              <w:rPr/>
            </w:pPr>
            <w:r w:rsidDel="00000000" w:rsidR="00000000" w:rsidRPr="00000000">
              <w:rPr>
                <w:rtl w:val="0"/>
              </w:rPr>
              <w:t xml:space="preserve">Positive ROI achieved within 3 years</w:t>
            </w:r>
          </w:p>
        </w:tc>
        <w:tc>
          <w:tcPr/>
          <w:p w:rsidR="00000000" w:rsidDel="00000000" w:rsidP="00000000" w:rsidRDefault="00000000" w:rsidRPr="00000000" w14:paraId="000000C8">
            <w:pPr>
              <w:spacing w:after="0" w:lineRule="auto"/>
              <w:jc w:val="left"/>
              <w:rPr/>
            </w:pPr>
            <w:r w:rsidDel="00000000" w:rsidR="00000000" w:rsidRPr="00000000">
              <w:rPr>
                <w:rtl w:val="0"/>
              </w:rPr>
              <w:t xml:space="preserve">Annually</w:t>
            </w:r>
          </w:p>
        </w:tc>
        <w:tc>
          <w:tcPr/>
          <w:p w:rsidR="00000000" w:rsidDel="00000000" w:rsidP="00000000" w:rsidRDefault="00000000" w:rsidRPr="00000000" w14:paraId="000000C9">
            <w:pPr>
              <w:spacing w:after="0" w:lineRule="auto"/>
              <w:jc w:val="left"/>
              <w:rPr/>
            </w:pPr>
            <w:r w:rsidDel="00000000" w:rsidR="00000000" w:rsidRPr="00000000">
              <w:rPr>
                <w:rtl w:val="0"/>
              </w:rPr>
              <w:t xml:space="preserve">Sustainable financial performance and long-term growth</w:t>
            </w:r>
          </w:p>
        </w:tc>
      </w:tr>
    </w:tbl>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pStyle w:val="Heading1"/>
        <w:numPr>
          <w:ilvl w:val="0"/>
          <w:numId w:val="1"/>
        </w:numPr>
        <w:ind w:left="432" w:hanging="432"/>
        <w:rPr/>
      </w:pPr>
      <w:bookmarkStart w:colFirst="0" w:colLast="0" w:name="_xfa3oi9i1s7n" w:id="10"/>
      <w:bookmarkEnd w:id="10"/>
      <w:r w:rsidDel="00000000" w:rsidR="00000000" w:rsidRPr="00000000">
        <w:rPr>
          <w:rtl w:val="0"/>
        </w:rPr>
        <w:t xml:space="preserve">Conclusion </w:t>
      </w:r>
    </w:p>
    <w:p w:rsidR="00000000" w:rsidDel="00000000" w:rsidP="00000000" w:rsidRDefault="00000000" w:rsidRPr="00000000" w14:paraId="000000CC">
      <w:pPr>
        <w:rPr/>
      </w:pPr>
      <w:r w:rsidDel="00000000" w:rsidR="00000000" w:rsidRPr="00000000">
        <w:rPr>
          <w:rtl w:val="0"/>
        </w:rPr>
        <w:t xml:space="preserve">It is concluded that Vodafone is operating in a rapidly evolving telecommunications industry characterised by intense competition, technological innovation, and changing customer expectations. The analysis proved that the deal with Three UK is a major boost to Vodafone's market standing, in terms of customer numbers, network performance and opportunities for efficiencies. But continued investment and research and development are necessary to maintain competitive advantage. The evaluation of Ansoff Matrix and Porter's Generic Strategies suggest that the policy that Vodafone should adopt is a product development strategy with differentiation. Along with its 5G network, Vodafone can also offer expanded AI-driven services, cloud computing, cybersecurity, Internet of Things (IoT), and advanced digital solutions to provide more value to its customers and diversify its revenue sources. Successful execution will be supported by effective stakeholder engagement, structured implementation and ongoing monitoring of performance via clearly defined KPIs. </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CF">
      <w:pPr>
        <w:pStyle w:val="Heading1"/>
        <w:numPr>
          <w:ilvl w:val="0"/>
          <w:numId w:val="1"/>
        </w:numPr>
        <w:ind w:left="432" w:hanging="432"/>
        <w:rPr/>
      </w:pPr>
      <w:bookmarkStart w:colFirst="0" w:colLast="0" w:name="_eljr9lg8ktd2" w:id="11"/>
      <w:bookmarkEnd w:id="11"/>
      <w:r w:rsidDel="00000000" w:rsidR="00000000" w:rsidRPr="00000000">
        <w:rPr>
          <w:rtl w:val="0"/>
        </w:rPr>
        <w:t xml:space="preserve">References</w:t>
      </w:r>
    </w:p>
    <w:p w:rsidR="00000000" w:rsidDel="00000000" w:rsidP="00000000" w:rsidRDefault="00000000" w:rsidRPr="00000000" w14:paraId="000000D0">
      <w:pPr>
        <w:ind w:left="720" w:hanging="720"/>
        <w:rPr>
          <w:color w:val="000000"/>
        </w:rPr>
      </w:pPr>
      <w:r w:rsidDel="00000000" w:rsidR="00000000" w:rsidRPr="00000000">
        <w:rPr>
          <w:color w:val="000000"/>
          <w:rtl w:val="0"/>
        </w:rPr>
        <w:t xml:space="preserve">Antoniou, P.H. and Park, D.J. (2025). Ansoff's Application—Strategic Diagnostics Procedures and Tools. </w:t>
      </w:r>
      <w:r w:rsidDel="00000000" w:rsidR="00000000" w:rsidRPr="00000000">
        <w:rPr>
          <w:i w:val="1"/>
          <w:iCs w:val="1"/>
          <w:color w:val="000000"/>
          <w:rtl w:val="0"/>
        </w:rPr>
        <w:t xml:space="preserve">Strategic Change</w:t>
      </w:r>
      <w:r w:rsidDel="00000000" w:rsidR="00000000" w:rsidRPr="00000000">
        <w:rPr>
          <w:color w:val="000000"/>
          <w:rtl w:val="0"/>
        </w:rPr>
        <w:t xml:space="preserve">.</w:t>
      </w:r>
    </w:p>
    <w:p w:rsidR="00000000" w:rsidDel="00000000" w:rsidP="00000000" w:rsidRDefault="00000000" w:rsidRPr="00000000" w14:paraId="000000D1">
      <w:pPr>
        <w:ind w:left="720" w:hanging="720"/>
        <w:rPr>
          <w:color w:val="000000"/>
        </w:rPr>
      </w:pPr>
      <w:r w:rsidDel="00000000" w:rsidR="00000000" w:rsidRPr="00000000">
        <w:rPr>
          <w:color w:val="000000"/>
          <w:rtl w:val="0"/>
        </w:rPr>
        <w:t xml:space="preserve">Ashok, P. and Hallur, G. (2024, July). Wireless broadband unleashed: charting regulatory pathways for broadband development. In </w:t>
      </w:r>
      <w:r w:rsidDel="00000000" w:rsidR="00000000" w:rsidRPr="00000000">
        <w:rPr>
          <w:i w:val="1"/>
          <w:iCs w:val="1"/>
          <w:color w:val="000000"/>
          <w:rtl w:val="0"/>
        </w:rPr>
        <w:t xml:space="preserve">2024 2nd World Conference on Communication &amp; Computing (WCONF)</w:t>
      </w:r>
      <w:r w:rsidDel="00000000" w:rsidR="00000000" w:rsidRPr="00000000">
        <w:rPr>
          <w:color w:val="000000"/>
          <w:rtl w:val="0"/>
        </w:rPr>
        <w:t xml:space="preserve"> (pp. 1-6). IEEE.</w:t>
      </w:r>
    </w:p>
    <w:p w:rsidR="00000000" w:rsidDel="00000000" w:rsidP="00000000" w:rsidRDefault="00000000" w:rsidRPr="00000000" w14:paraId="000000D2">
      <w:pPr>
        <w:ind w:left="720" w:hanging="720"/>
        <w:rPr>
          <w:color w:val="000000"/>
        </w:rPr>
      </w:pPr>
      <w:r w:rsidDel="00000000" w:rsidR="00000000" w:rsidRPr="00000000">
        <w:rPr>
          <w:color w:val="000000"/>
          <w:rtl w:val="0"/>
        </w:rPr>
        <w:t xml:space="preserve">Attaran, M. (2023). The impact of 5G on the evolution of intelligent automation and industry digitization. </w:t>
      </w:r>
      <w:r w:rsidDel="00000000" w:rsidR="00000000" w:rsidRPr="00000000">
        <w:rPr>
          <w:i w:val="1"/>
          <w:iCs w:val="1"/>
          <w:color w:val="000000"/>
          <w:rtl w:val="0"/>
        </w:rPr>
        <w:t xml:space="preserve">Journal of ambient intelligence and humanized computing</w:t>
      </w:r>
      <w:r w:rsidDel="00000000" w:rsidR="00000000" w:rsidRPr="00000000">
        <w:rPr>
          <w:color w:val="000000"/>
          <w:rtl w:val="0"/>
        </w:rPr>
        <w:t xml:space="preserve">, </w:t>
      </w:r>
      <w:r w:rsidDel="00000000" w:rsidR="00000000" w:rsidRPr="00000000">
        <w:rPr>
          <w:i w:val="1"/>
          <w:iCs w:val="1"/>
          <w:color w:val="000000"/>
          <w:rtl w:val="0"/>
        </w:rPr>
        <w:t xml:space="preserve">14</w:t>
      </w:r>
      <w:r w:rsidDel="00000000" w:rsidR="00000000" w:rsidRPr="00000000">
        <w:rPr>
          <w:color w:val="000000"/>
          <w:rtl w:val="0"/>
        </w:rPr>
        <w:t xml:space="preserve">(5), pp.5977-5993.</w:t>
      </w:r>
    </w:p>
    <w:p w:rsidR="00000000" w:rsidDel="00000000" w:rsidP="00000000" w:rsidRDefault="00000000" w:rsidRPr="00000000" w14:paraId="000000D3">
      <w:pPr>
        <w:ind w:left="720" w:hanging="720"/>
        <w:rPr>
          <w:color w:val="000000"/>
        </w:rPr>
      </w:pPr>
      <w:r w:rsidDel="00000000" w:rsidR="00000000" w:rsidRPr="00000000">
        <w:rPr>
          <w:color w:val="000000"/>
          <w:rtl w:val="0"/>
        </w:rPr>
        <w:t xml:space="preserve">Basaure, A., Vesselkov, A. and Töyli, J. (2020). Internet of things (IoT) platform competition: Consumer switching versus provider multihoming. </w:t>
      </w:r>
      <w:r w:rsidDel="00000000" w:rsidR="00000000" w:rsidRPr="00000000">
        <w:rPr>
          <w:i w:val="1"/>
          <w:iCs w:val="1"/>
          <w:color w:val="000000"/>
          <w:rtl w:val="0"/>
        </w:rPr>
        <w:t xml:space="preserve">Technovation</w:t>
      </w:r>
      <w:r w:rsidDel="00000000" w:rsidR="00000000" w:rsidRPr="00000000">
        <w:rPr>
          <w:color w:val="000000"/>
          <w:rtl w:val="0"/>
        </w:rPr>
        <w:t xml:space="preserve">, </w:t>
      </w:r>
      <w:r w:rsidDel="00000000" w:rsidR="00000000" w:rsidRPr="00000000">
        <w:rPr>
          <w:i w:val="1"/>
          <w:iCs w:val="1"/>
          <w:color w:val="000000"/>
          <w:rtl w:val="0"/>
        </w:rPr>
        <w:t xml:space="preserve">90</w:t>
      </w:r>
      <w:r w:rsidDel="00000000" w:rsidR="00000000" w:rsidRPr="00000000">
        <w:rPr>
          <w:color w:val="000000"/>
          <w:rtl w:val="0"/>
        </w:rPr>
        <w:t xml:space="preserve">, p.102101.</w:t>
      </w:r>
    </w:p>
    <w:p w:rsidR="00000000" w:rsidDel="00000000" w:rsidP="00000000" w:rsidRDefault="00000000" w:rsidRPr="00000000" w14:paraId="000000D4">
      <w:pPr>
        <w:ind w:left="720" w:hanging="720"/>
        <w:rPr>
          <w:color w:val="000000"/>
        </w:rPr>
      </w:pPr>
      <w:r w:rsidDel="00000000" w:rsidR="00000000" w:rsidRPr="00000000">
        <w:rPr>
          <w:color w:val="000000"/>
          <w:rtl w:val="0"/>
        </w:rPr>
        <w:t xml:space="preserve">Belhaiza, S. (2025). Analyzing Equilibrium Pricing Dynamics in Oligopolistic Telecommunications Networks. </w:t>
      </w:r>
      <w:r w:rsidDel="00000000" w:rsidR="00000000" w:rsidRPr="00000000">
        <w:rPr>
          <w:i w:val="1"/>
          <w:iCs w:val="1"/>
          <w:color w:val="000000"/>
          <w:rtl w:val="0"/>
        </w:rPr>
        <w:t xml:space="preserve">Arabian Journal for Science and Engineering</w:t>
      </w:r>
      <w:r w:rsidDel="00000000" w:rsidR="00000000" w:rsidRPr="00000000">
        <w:rPr>
          <w:color w:val="000000"/>
          <w:rtl w:val="0"/>
        </w:rPr>
        <w:t xml:space="preserve">, </w:t>
      </w:r>
      <w:r w:rsidDel="00000000" w:rsidR="00000000" w:rsidRPr="00000000">
        <w:rPr>
          <w:i w:val="1"/>
          <w:iCs w:val="1"/>
          <w:color w:val="000000"/>
          <w:rtl w:val="0"/>
        </w:rPr>
        <w:t xml:space="preserve">50</w:t>
      </w:r>
      <w:r w:rsidDel="00000000" w:rsidR="00000000" w:rsidRPr="00000000">
        <w:rPr>
          <w:color w:val="000000"/>
          <w:rtl w:val="0"/>
        </w:rPr>
        <w:t xml:space="preserve">(21), pp.17969-17987.</w:t>
      </w:r>
    </w:p>
    <w:p w:rsidR="00000000" w:rsidDel="00000000" w:rsidP="00000000" w:rsidRDefault="00000000" w:rsidRPr="00000000" w14:paraId="000000D5">
      <w:pPr>
        <w:ind w:left="720" w:hanging="720"/>
        <w:rPr>
          <w:color w:val="000000"/>
        </w:rPr>
      </w:pPr>
      <w:r w:rsidDel="00000000" w:rsidR="00000000" w:rsidRPr="00000000">
        <w:rPr>
          <w:color w:val="000000"/>
          <w:rtl w:val="0"/>
        </w:rPr>
        <w:t xml:space="preserve">Ferreira, A.P.P.F.S. and de Sá, M.M.B.P. (2024). The importance of the Ansoff matrix for the study of the information services market. </w:t>
      </w:r>
      <w:r w:rsidDel="00000000" w:rsidR="00000000" w:rsidRPr="00000000">
        <w:rPr>
          <w:i w:val="1"/>
          <w:iCs w:val="1"/>
          <w:color w:val="000000"/>
          <w:rtl w:val="0"/>
        </w:rPr>
        <w:t xml:space="preserve">The Canadian Journal of Information and Library Science</w:t>
      </w:r>
      <w:r w:rsidDel="00000000" w:rsidR="00000000" w:rsidRPr="00000000">
        <w:rPr>
          <w:color w:val="000000"/>
          <w:rtl w:val="0"/>
        </w:rPr>
        <w:t xml:space="preserve">, </w:t>
      </w:r>
      <w:r w:rsidDel="00000000" w:rsidR="00000000" w:rsidRPr="00000000">
        <w:rPr>
          <w:i w:val="1"/>
          <w:iCs w:val="1"/>
          <w:color w:val="000000"/>
          <w:rtl w:val="0"/>
        </w:rPr>
        <w:t xml:space="preserve">47</w:t>
      </w:r>
      <w:r w:rsidDel="00000000" w:rsidR="00000000" w:rsidRPr="00000000">
        <w:rPr>
          <w:color w:val="000000"/>
          <w:rtl w:val="0"/>
        </w:rPr>
        <w:t xml:space="preserve">(2), pp.78-84.</w:t>
      </w:r>
    </w:p>
    <w:p w:rsidR="00000000" w:rsidDel="00000000" w:rsidP="00000000" w:rsidRDefault="00000000" w:rsidRPr="00000000" w14:paraId="000000D6">
      <w:pPr>
        <w:ind w:left="720" w:hanging="720"/>
        <w:rPr>
          <w:color w:val="000000"/>
        </w:rPr>
      </w:pPr>
      <w:r w:rsidDel="00000000" w:rsidR="00000000" w:rsidRPr="00000000">
        <w:rPr>
          <w:color w:val="000000"/>
          <w:rtl w:val="0"/>
        </w:rPr>
        <w:t xml:space="preserve">Gov UK. (2025). Government response to the Telecoms Supply Chain Diversification Advisory Council report. Available at </w:t>
      </w:r>
      <w:hyperlink r:id="rId8">
        <w:r w:rsidDel="00000000" w:rsidR="00000000" w:rsidRPr="00000000">
          <w:rPr>
            <w:color w:val="000000"/>
            <w:u w:val="single"/>
            <w:rtl w:val="0"/>
          </w:rPr>
          <w:t xml:space="preserve">https://www.gov.uk/government/publications/government-response-to-the-telecoms-supply-chain-diversification-advisory-council-report/government-response-to-the-telecoms-supply-chain-diversification-advisory-council-report</w:t>
        </w:r>
      </w:hyperlink>
      <w:r w:rsidDel="00000000" w:rsidR="00000000" w:rsidRPr="00000000">
        <w:rPr>
          <w:color w:val="000000"/>
          <w:rtl w:val="0"/>
        </w:rPr>
        <w:t xml:space="preserve">. [Accessed on 11</w:t>
      </w:r>
      <w:r w:rsidDel="00000000" w:rsidR="00000000" w:rsidRPr="00000000">
        <w:rPr>
          <w:color w:val="000000"/>
          <w:vertAlign w:val="superscript"/>
          <w:rtl w:val="0"/>
        </w:rPr>
        <w:t xml:space="preserve">th</w:t>
      </w:r>
      <w:r w:rsidDel="00000000" w:rsidR="00000000" w:rsidRPr="00000000">
        <w:rPr>
          <w:color w:val="000000"/>
          <w:rtl w:val="0"/>
        </w:rPr>
        <w:t xml:space="preserve"> July 2026]</w:t>
      </w:r>
    </w:p>
    <w:p w:rsidR="00000000" w:rsidDel="00000000" w:rsidP="00000000" w:rsidRDefault="00000000" w:rsidRPr="00000000" w14:paraId="000000D7">
      <w:pPr>
        <w:ind w:left="720" w:hanging="720"/>
        <w:rPr>
          <w:color w:val="000000"/>
        </w:rPr>
      </w:pPr>
      <w:r w:rsidDel="00000000" w:rsidR="00000000" w:rsidRPr="00000000">
        <w:rPr>
          <w:color w:val="000000"/>
          <w:rtl w:val="0"/>
        </w:rPr>
        <w:t xml:space="preserve">Goyal, L. (2022). Stakeholder theory: Revisiting the origins. </w:t>
      </w:r>
      <w:r w:rsidDel="00000000" w:rsidR="00000000" w:rsidRPr="00000000">
        <w:rPr>
          <w:i w:val="1"/>
          <w:iCs w:val="1"/>
          <w:color w:val="000000"/>
          <w:rtl w:val="0"/>
        </w:rPr>
        <w:t xml:space="preserve">Journal of Public Affairs</w:t>
      </w:r>
      <w:r w:rsidDel="00000000" w:rsidR="00000000" w:rsidRPr="00000000">
        <w:rPr>
          <w:color w:val="000000"/>
          <w:rtl w:val="0"/>
        </w:rPr>
        <w:t xml:space="preserve">, </w:t>
      </w:r>
      <w:r w:rsidDel="00000000" w:rsidR="00000000" w:rsidRPr="00000000">
        <w:rPr>
          <w:i w:val="1"/>
          <w:iCs w:val="1"/>
          <w:color w:val="000000"/>
          <w:rtl w:val="0"/>
        </w:rPr>
        <w:t xml:space="preserve">22</w:t>
      </w:r>
      <w:r w:rsidDel="00000000" w:rsidR="00000000" w:rsidRPr="00000000">
        <w:rPr>
          <w:color w:val="000000"/>
          <w:rtl w:val="0"/>
        </w:rPr>
        <w:t xml:space="preserve">(3), p.e2559.</w:t>
      </w:r>
    </w:p>
    <w:p w:rsidR="00000000" w:rsidDel="00000000" w:rsidP="00000000" w:rsidRDefault="00000000" w:rsidRPr="00000000" w14:paraId="000000D8">
      <w:pPr>
        <w:ind w:left="720" w:hanging="720"/>
        <w:rPr>
          <w:color w:val="000000"/>
        </w:rPr>
      </w:pPr>
      <w:r w:rsidDel="00000000" w:rsidR="00000000" w:rsidRPr="00000000">
        <w:rPr>
          <w:color w:val="000000"/>
          <w:rtl w:val="0"/>
        </w:rPr>
        <w:t xml:space="preserve">Islami, X., Mustafa, N. and Topuzovska Latkovikj, M. (2020). Linking Porter’s generic strategies to firm performance. </w:t>
      </w:r>
      <w:r w:rsidDel="00000000" w:rsidR="00000000" w:rsidRPr="00000000">
        <w:rPr>
          <w:i w:val="1"/>
          <w:iCs w:val="1"/>
          <w:color w:val="000000"/>
          <w:rtl w:val="0"/>
        </w:rPr>
        <w:t xml:space="preserve">Future Business Journal</w:t>
      </w:r>
      <w:r w:rsidDel="00000000" w:rsidR="00000000" w:rsidRPr="00000000">
        <w:rPr>
          <w:color w:val="000000"/>
          <w:rtl w:val="0"/>
        </w:rPr>
        <w:t xml:space="preserve">, </w:t>
      </w:r>
      <w:r w:rsidDel="00000000" w:rsidR="00000000" w:rsidRPr="00000000">
        <w:rPr>
          <w:i w:val="1"/>
          <w:iCs w:val="1"/>
          <w:color w:val="000000"/>
          <w:rtl w:val="0"/>
        </w:rPr>
        <w:t xml:space="preserve">6</w:t>
      </w:r>
      <w:r w:rsidDel="00000000" w:rsidR="00000000" w:rsidRPr="00000000">
        <w:rPr>
          <w:color w:val="000000"/>
          <w:rtl w:val="0"/>
        </w:rPr>
        <w:t xml:space="preserve">(1), p.3.</w:t>
      </w:r>
    </w:p>
    <w:p w:rsidR="00000000" w:rsidDel="00000000" w:rsidP="00000000" w:rsidRDefault="00000000" w:rsidRPr="00000000" w14:paraId="000000D9">
      <w:pPr>
        <w:ind w:left="720" w:hanging="720"/>
        <w:rPr>
          <w:color w:val="000000"/>
        </w:rPr>
      </w:pPr>
      <w:r w:rsidDel="00000000" w:rsidR="00000000" w:rsidRPr="00000000">
        <w:rPr>
          <w:color w:val="000000"/>
          <w:rtl w:val="0"/>
        </w:rPr>
        <w:t xml:space="preserve">Mints, A. and Kamyshnykova, E. (2021). Fuzzy methods of stakeholder prioritisation in the context of stakeholder management. </w:t>
      </w:r>
      <w:r w:rsidDel="00000000" w:rsidR="00000000" w:rsidRPr="00000000">
        <w:rPr>
          <w:i w:val="1"/>
          <w:iCs w:val="1"/>
          <w:color w:val="000000"/>
          <w:rtl w:val="0"/>
        </w:rPr>
        <w:t xml:space="preserve">International Journal of Learning and Change</w:t>
      </w:r>
      <w:r w:rsidDel="00000000" w:rsidR="00000000" w:rsidRPr="00000000">
        <w:rPr>
          <w:color w:val="000000"/>
          <w:rtl w:val="0"/>
        </w:rPr>
        <w:t xml:space="preserve">, </w:t>
      </w:r>
      <w:r w:rsidDel="00000000" w:rsidR="00000000" w:rsidRPr="00000000">
        <w:rPr>
          <w:i w:val="1"/>
          <w:iCs w:val="1"/>
          <w:color w:val="000000"/>
          <w:rtl w:val="0"/>
        </w:rPr>
        <w:t xml:space="preserve">13</w:t>
      </w:r>
      <w:r w:rsidDel="00000000" w:rsidR="00000000" w:rsidRPr="00000000">
        <w:rPr>
          <w:color w:val="000000"/>
          <w:rtl w:val="0"/>
        </w:rPr>
        <w:t xml:space="preserve">(4-5), pp.372-398.</w:t>
      </w:r>
    </w:p>
    <w:p w:rsidR="00000000" w:rsidDel="00000000" w:rsidP="00000000" w:rsidRDefault="00000000" w:rsidRPr="00000000" w14:paraId="000000DA">
      <w:pPr>
        <w:ind w:left="720" w:hanging="720"/>
        <w:rPr>
          <w:color w:val="000000"/>
        </w:rPr>
      </w:pPr>
      <w:r w:rsidDel="00000000" w:rsidR="00000000" w:rsidRPr="00000000">
        <w:rPr>
          <w:color w:val="000000"/>
          <w:rtl w:val="0"/>
        </w:rPr>
        <w:t xml:space="preserve">Similar Web. (2026). vodafone.com. Available at </w:t>
      </w:r>
      <w:hyperlink r:id="rId9">
        <w:r w:rsidDel="00000000" w:rsidR="00000000" w:rsidRPr="00000000">
          <w:rPr>
            <w:color w:val="000000"/>
            <w:u w:val="single"/>
            <w:rtl w:val="0"/>
          </w:rPr>
          <w:t xml:space="preserve">https://www.similarweb.com/website/vodafone.com/competitors/</w:t>
        </w:r>
      </w:hyperlink>
      <w:r w:rsidDel="00000000" w:rsidR="00000000" w:rsidRPr="00000000">
        <w:rPr>
          <w:color w:val="000000"/>
          <w:rtl w:val="0"/>
        </w:rPr>
        <w:t xml:space="preserve">. [Accessed on 11</w:t>
      </w:r>
      <w:r w:rsidDel="00000000" w:rsidR="00000000" w:rsidRPr="00000000">
        <w:rPr>
          <w:color w:val="000000"/>
          <w:vertAlign w:val="superscript"/>
          <w:rtl w:val="0"/>
        </w:rPr>
        <w:t xml:space="preserve">th</w:t>
      </w:r>
      <w:r w:rsidDel="00000000" w:rsidR="00000000" w:rsidRPr="00000000">
        <w:rPr>
          <w:color w:val="000000"/>
          <w:rtl w:val="0"/>
        </w:rPr>
        <w:t xml:space="preserve"> July 2026]</w:t>
      </w:r>
    </w:p>
    <w:p w:rsidR="00000000" w:rsidDel="00000000" w:rsidP="00000000" w:rsidRDefault="00000000" w:rsidRPr="00000000" w14:paraId="000000DB">
      <w:pPr>
        <w:ind w:left="720" w:hanging="720"/>
        <w:rPr>
          <w:color w:val="000000"/>
        </w:rPr>
      </w:pPr>
      <w:r w:rsidDel="00000000" w:rsidR="00000000" w:rsidRPr="00000000">
        <w:rPr>
          <w:color w:val="000000"/>
          <w:rtl w:val="0"/>
        </w:rPr>
        <w:t xml:space="preserve">Vodafone. (2026). OUR COMPANY. Available at </w:t>
      </w:r>
      <w:hyperlink r:id="rId10">
        <w:r w:rsidDel="00000000" w:rsidR="00000000" w:rsidRPr="00000000">
          <w:rPr>
            <w:color w:val="000000"/>
            <w:u w:val="single"/>
            <w:rtl w:val="0"/>
          </w:rPr>
          <w:t xml:space="preserve">https://www.vodafone.com/our-company?section=future-defining-services</w:t>
        </w:r>
      </w:hyperlink>
      <w:r w:rsidDel="00000000" w:rsidR="00000000" w:rsidRPr="00000000">
        <w:rPr>
          <w:color w:val="000000"/>
          <w:rtl w:val="0"/>
        </w:rPr>
        <w:t xml:space="preserve">. [Accessed on 11</w:t>
      </w:r>
      <w:r w:rsidDel="00000000" w:rsidR="00000000" w:rsidRPr="00000000">
        <w:rPr>
          <w:color w:val="000000"/>
          <w:vertAlign w:val="superscript"/>
          <w:rtl w:val="0"/>
        </w:rPr>
        <w:t xml:space="preserve">th</w:t>
      </w:r>
      <w:r w:rsidDel="00000000" w:rsidR="00000000" w:rsidRPr="00000000">
        <w:rPr>
          <w:color w:val="000000"/>
          <w:rtl w:val="0"/>
        </w:rPr>
        <w:t xml:space="preserve"> July 2026]</w:t>
      </w:r>
    </w:p>
    <w:p w:rsidR="00000000" w:rsidDel="00000000" w:rsidP="00000000" w:rsidRDefault="00000000" w:rsidRPr="00000000" w14:paraId="000000DC">
      <w:pPr>
        <w:ind w:left="720" w:hanging="720"/>
        <w:rPr>
          <w:color w:val="000000"/>
        </w:rPr>
      </w:pPr>
      <w:r w:rsidDel="00000000" w:rsidR="00000000" w:rsidRPr="00000000">
        <w:rPr>
          <w:color w:val="000000"/>
          <w:rtl w:val="0"/>
        </w:rPr>
        <w:t xml:space="preserve">Vodafone. (2026a). Our Mission. Available at </w:t>
      </w:r>
      <w:hyperlink r:id="rId11">
        <w:r w:rsidDel="00000000" w:rsidR="00000000" w:rsidRPr="00000000">
          <w:rPr>
            <w:color w:val="000000"/>
            <w:u w:val="single"/>
            <w:rtl w:val="0"/>
          </w:rPr>
          <w:t xml:space="preserve">https://www.vodafone.com/our-company/our-mission</w:t>
        </w:r>
      </w:hyperlink>
      <w:r w:rsidDel="00000000" w:rsidR="00000000" w:rsidRPr="00000000">
        <w:rPr>
          <w:color w:val="000000"/>
          <w:rtl w:val="0"/>
        </w:rPr>
        <w:t xml:space="preserve">. [Accessed on 11</w:t>
      </w:r>
      <w:r w:rsidDel="00000000" w:rsidR="00000000" w:rsidRPr="00000000">
        <w:rPr>
          <w:color w:val="000000"/>
          <w:vertAlign w:val="superscript"/>
          <w:rtl w:val="0"/>
        </w:rPr>
        <w:t xml:space="preserve">th</w:t>
      </w:r>
      <w:r w:rsidDel="00000000" w:rsidR="00000000" w:rsidRPr="00000000">
        <w:rPr>
          <w:color w:val="000000"/>
          <w:rtl w:val="0"/>
        </w:rPr>
        <w:t xml:space="preserve"> July 2026]</w:t>
      </w:r>
    </w:p>
    <w:p w:rsidR="00000000" w:rsidDel="00000000" w:rsidP="00000000" w:rsidRDefault="00000000" w:rsidRPr="00000000" w14:paraId="000000DD">
      <w:pPr>
        <w:ind w:left="720" w:hanging="720"/>
        <w:rPr>
          <w:color w:val="000000"/>
        </w:rPr>
      </w:pPr>
      <w:r w:rsidDel="00000000" w:rsidR="00000000" w:rsidRPr="00000000">
        <w:rPr>
          <w:color w:val="000000"/>
          <w:rtl w:val="0"/>
        </w:rPr>
        <w:t xml:space="preserve">Vodafone. (2026b). Vodafone to take full ownership of Vodafone Three. Available at </w:t>
      </w:r>
      <w:hyperlink r:id="rId12">
        <w:r w:rsidDel="00000000" w:rsidR="00000000" w:rsidRPr="00000000">
          <w:rPr>
            <w:color w:val="000000"/>
            <w:u w:val="single"/>
            <w:rtl w:val="0"/>
          </w:rPr>
          <w:t xml:space="preserve">https://www.vodafone.com/news/newsroom/corporate-and-financial/vodafone-to-take-full-ownership-of-vodafone-three</w:t>
        </w:r>
      </w:hyperlink>
      <w:r w:rsidDel="00000000" w:rsidR="00000000" w:rsidRPr="00000000">
        <w:rPr>
          <w:color w:val="000000"/>
          <w:rtl w:val="0"/>
        </w:rPr>
        <w:t xml:space="preserve">. [Accessed on 11</w:t>
      </w:r>
      <w:r w:rsidDel="00000000" w:rsidR="00000000" w:rsidRPr="00000000">
        <w:rPr>
          <w:color w:val="000000"/>
          <w:vertAlign w:val="superscript"/>
          <w:rtl w:val="0"/>
        </w:rPr>
        <w:t xml:space="preserve">th</w:t>
      </w:r>
      <w:r w:rsidDel="00000000" w:rsidR="00000000" w:rsidRPr="00000000">
        <w:rPr>
          <w:color w:val="000000"/>
          <w:rtl w:val="0"/>
        </w:rPr>
        <w:t xml:space="preserve"> July 2026]</w:t>
      </w:r>
    </w:p>
    <w:p w:rsidR="00000000" w:rsidDel="00000000" w:rsidP="00000000" w:rsidRDefault="00000000" w:rsidRPr="00000000" w14:paraId="000000DE">
      <w:pPr>
        <w:ind w:left="720" w:hanging="720"/>
        <w:rPr>
          <w:color w:val="000000"/>
        </w:rPr>
      </w:pPr>
      <w:r w:rsidDel="00000000" w:rsidR="00000000" w:rsidRPr="00000000">
        <w:rPr>
          <w:color w:val="000000"/>
          <w:rtl w:val="0"/>
        </w:rPr>
        <w:t xml:space="preserve">Vodafone. (2026c). Merger of Vodafone UK and Three UK to create one of Europe's leading 5G networks. Available at </w:t>
      </w:r>
      <w:hyperlink r:id="rId13">
        <w:r w:rsidDel="00000000" w:rsidR="00000000" w:rsidRPr="00000000">
          <w:rPr>
            <w:color w:val="000000"/>
            <w:u w:val="single"/>
            <w:rtl w:val="0"/>
          </w:rPr>
          <w:t xml:space="preserve">https://www.vodafone.com/news/newsroom/corporate-and-financial/merger-vodafone-uk-three-uk-europe-leading-5g-networks</w:t>
        </w:r>
      </w:hyperlink>
      <w:r w:rsidDel="00000000" w:rsidR="00000000" w:rsidRPr="00000000">
        <w:rPr>
          <w:color w:val="000000"/>
          <w:rtl w:val="0"/>
        </w:rPr>
        <w:t xml:space="preserve">. [Accessed on 11</w:t>
      </w:r>
      <w:r w:rsidDel="00000000" w:rsidR="00000000" w:rsidRPr="00000000">
        <w:rPr>
          <w:color w:val="000000"/>
          <w:vertAlign w:val="superscript"/>
          <w:rtl w:val="0"/>
        </w:rPr>
        <w:t xml:space="preserve">th</w:t>
      </w:r>
      <w:r w:rsidDel="00000000" w:rsidR="00000000" w:rsidRPr="00000000">
        <w:rPr>
          <w:color w:val="000000"/>
          <w:rtl w:val="0"/>
        </w:rPr>
        <w:t xml:space="preserve"> July 2026]</w:t>
      </w:r>
    </w:p>
    <w:p w:rsidR="00000000" w:rsidDel="00000000" w:rsidP="00000000" w:rsidRDefault="00000000" w:rsidRPr="00000000" w14:paraId="000000DF">
      <w:pPr>
        <w:ind w:left="720" w:hanging="720"/>
        <w:rPr>
          <w:color w:val="000000"/>
        </w:rPr>
      </w:pPr>
      <w:r w:rsidDel="00000000" w:rsidR="00000000" w:rsidRPr="00000000">
        <w:rPr>
          <w:color w:val="000000"/>
          <w:rtl w:val="0"/>
        </w:rPr>
        <w:t xml:space="preserve">Vodafone. (2026d). How Vodafone Business IoT mobilised the Internet of Things. Available at </w:t>
      </w:r>
      <w:hyperlink r:id="rId14">
        <w:r w:rsidDel="00000000" w:rsidR="00000000" w:rsidRPr="00000000">
          <w:rPr>
            <w:color w:val="000000"/>
            <w:u w:val="single"/>
            <w:rtl w:val="0"/>
          </w:rPr>
          <w:t xml:space="preserve">https://www.vodafone.com/news/newsroom/technology/how-vodafone-business-iot-mobilised-the-internet-of-things</w:t>
        </w:r>
      </w:hyperlink>
      <w:r w:rsidDel="00000000" w:rsidR="00000000" w:rsidRPr="00000000">
        <w:rPr>
          <w:color w:val="000000"/>
          <w:rtl w:val="0"/>
        </w:rPr>
        <w:t xml:space="preserve">. [Accessed on 11</w:t>
      </w:r>
      <w:r w:rsidDel="00000000" w:rsidR="00000000" w:rsidRPr="00000000">
        <w:rPr>
          <w:color w:val="000000"/>
          <w:vertAlign w:val="superscript"/>
          <w:rtl w:val="0"/>
        </w:rPr>
        <w:t xml:space="preserve">th</w:t>
      </w:r>
      <w:r w:rsidDel="00000000" w:rsidR="00000000" w:rsidRPr="00000000">
        <w:rPr>
          <w:color w:val="000000"/>
          <w:rtl w:val="0"/>
        </w:rPr>
        <w:t xml:space="preserve"> July 2026]</w:t>
      </w:r>
    </w:p>
    <w:p w:rsidR="00000000" w:rsidDel="00000000" w:rsidP="00000000" w:rsidRDefault="00000000" w:rsidRPr="00000000" w14:paraId="000000E0">
      <w:pPr>
        <w:rPr/>
      </w:pPr>
      <w:r w:rsidDel="00000000" w:rsidR="00000000" w:rsidRPr="00000000">
        <w:rPr/>
        <w:drawing>
          <wp:inline distB="0" distT="0" distL="0" distR="0">
            <wp:extent cx="5257800" cy="4695825"/>
            <wp:effectExtent b="0" l="0" r="0" t="0"/>
            <wp:docPr id="2"/>
            <a:graphic>
              <a:graphicData uri="http://schemas.openxmlformats.org/drawingml/2006/picture">
                <pic:pic>
                  <pic:nvPicPr>
                    <pic:cNvPr id="0"/>
                    <pic:cNvPicPr preferRelativeResize="0"/>
                  </pic:nvPicPr>
                  <pic:blipFill>
                    <a:blip r:embed="rId15"/>
                    <a:srcRect b="0" l="0" r="0" t="0"/>
                    <a:stretch>
                      <a:fillRect/>
                    </a:stretch>
                  </pic:blipFill>
                  <pic:spPr>
                    <a:xfrm>
                      <a:off x="0" y="0"/>
                      <a:ext cx="5257800" cy="4695825"/>
                    </a:xfrm>
                    <a:prstGeom prst="rect"/>
                    <a:ln/>
                  </pic:spPr>
                </pic:pic>
              </a:graphicData>
            </a:graphic>
          </wp:inline>
        </w:drawing>
      </w: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Geist Fallback"/>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ind w:left="432" w:hanging="432"/>
    </w:pPr>
    <w:rPr>
      <w:b w:val="1"/>
      <w:bCs w:val="1"/>
    </w:rPr>
  </w:style>
  <w:style w:type="paragraph" w:styleId="Heading2">
    <w:name w:val="heading 2"/>
    <w:basedOn w:val="Normal"/>
    <w:next w:val="Normal"/>
    <w:pPr>
      <w:keepNext w:val="1"/>
      <w:keepLines w:val="1"/>
      <w:spacing w:after="0" w:before="40" w:lineRule="auto"/>
      <w:ind w:left="576" w:hanging="576"/>
    </w:pPr>
    <w:rPr>
      <w:b w:val="1"/>
      <w:bCs w:val="1"/>
    </w:rPr>
  </w:style>
  <w:style w:type="paragraph" w:styleId="Heading3">
    <w:name w:val="heading 3"/>
    <w:basedOn w:val="Normal"/>
    <w:next w:val="Normal"/>
    <w:pPr>
      <w:keepNext w:val="1"/>
      <w:keepLines w:val="1"/>
      <w:spacing w:before="40" w:lineRule="auto"/>
      <w:ind w:left="720" w:hanging="720"/>
    </w:pPr>
    <w:rPr>
      <w:b w:val="1"/>
      <w:bCs w:val="1"/>
      <w:i w:val="1"/>
      <w:iCs w:val="1"/>
    </w:rPr>
  </w:style>
  <w:style w:type="paragraph" w:styleId="Heading4">
    <w:name w:val="heading 4"/>
    <w:basedOn w:val="Normal"/>
    <w:next w:val="Normal"/>
    <w:pPr>
      <w:keepNext w:val="1"/>
      <w:keepLines w:val="1"/>
      <w:spacing w:after="0" w:before="40" w:lineRule="auto"/>
      <w:ind w:left="864" w:hanging="864"/>
    </w:pPr>
    <w:rPr>
      <w:rFonts w:ascii="Calibri" w:cs="Calibri" w:eastAsia="Calibri" w:hAnsi="Calibri"/>
      <w:i w:val="1"/>
      <w:iCs w:val="1"/>
      <w:color w:val="2e75b5"/>
    </w:rPr>
  </w:style>
  <w:style w:type="paragraph" w:styleId="Heading5">
    <w:name w:val="heading 5"/>
    <w:basedOn w:val="Normal"/>
    <w:next w:val="Normal"/>
    <w:pPr>
      <w:keepNext w:val="1"/>
      <w:keepLines w:val="1"/>
      <w:spacing w:after="0" w:before="40" w:lineRule="auto"/>
      <w:ind w:left="1008" w:hanging="1008"/>
    </w:pPr>
    <w:rPr>
      <w:rFonts w:ascii="Calibri" w:cs="Calibri" w:eastAsia="Calibri" w:hAnsi="Calibri"/>
      <w:color w:val="2e75b5"/>
    </w:rPr>
  </w:style>
  <w:style w:type="paragraph" w:styleId="Heading6">
    <w:name w:val="heading 6"/>
    <w:basedOn w:val="Normal"/>
    <w:next w:val="Normal"/>
    <w:pPr>
      <w:keepNext w:val="1"/>
      <w:keepLines w:val="1"/>
      <w:spacing w:after="0" w:before="40" w:lineRule="auto"/>
      <w:ind w:left="1152" w:hanging="1152"/>
    </w:pPr>
    <w:rPr>
      <w:rFonts w:ascii="Calibri" w:cs="Calibri" w:eastAsia="Calibri" w:hAnsi="Calibri"/>
      <w:color w:val="1e4d78"/>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cPr>
      <w:shd w:fill="deeaf6" w:val="clear"/>
    </w:tcPr>
    <w:tblStylePr w:type="band1Horz">
      <w:tcPr>
        <w:shd w:fill="bdd6ee" w:val="clear"/>
      </w:tcPr>
    </w:tblStylePr>
    <w:tblStylePr w:type="band1Vert">
      <w:tcPr>
        <w:shd w:fill="bdd6ee"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tcPr>
      <w:shd w:fill="deeaf6" w:val="clear"/>
    </w:tcPr>
    <w:tblStylePr w:type="band1Horz">
      <w:tcPr>
        <w:shd w:fill="bdd6ee" w:val="clear"/>
      </w:tcPr>
    </w:tblStylePr>
    <w:tblStylePr w:type="band1Vert">
      <w:tcPr>
        <w:shd w:fill="bdd6ee"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tcPr>
      <w:shd w:fill="deeaf6" w:val="clear"/>
    </w:tcPr>
    <w:tblStylePr w:type="band1Horz">
      <w:tcPr>
        <w:shd w:fill="bdd6ee" w:val="clear"/>
      </w:tcPr>
    </w:tblStylePr>
    <w:tblStylePr w:type="band1Vert">
      <w:tcPr>
        <w:shd w:fill="bdd6ee"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vodafone.com/our-company/our-mission" TargetMode="External"/><Relationship Id="rId10" Type="http://schemas.openxmlformats.org/officeDocument/2006/relationships/hyperlink" Target="https://www.vodafone.com/our-company?section=future-defining-services" TargetMode="External"/><Relationship Id="rId13" Type="http://schemas.openxmlformats.org/officeDocument/2006/relationships/hyperlink" Target="https://www.vodafone.com/news/newsroom/corporate-and-financial/merger-vodafone-uk-three-uk-europe-leading-5g-networks" TargetMode="External"/><Relationship Id="rId12" Type="http://schemas.openxmlformats.org/officeDocument/2006/relationships/hyperlink" Target="https://www.vodafone.com/news/newsroom/corporate-and-financial/vodafone-to-take-full-ownership-of-vodafone-thre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imilarweb.com/website/vodafone.com/competitors/" TargetMode="External"/><Relationship Id="rId15" Type="http://schemas.openxmlformats.org/officeDocument/2006/relationships/image" Target="media/null"/><Relationship Id="rId14" Type="http://schemas.openxmlformats.org/officeDocument/2006/relationships/hyperlink" Target="https://www.vodafone.com/news/newsroom/technology/how-vodafone-business-iot-mobilised-the-internet-of-thing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gov.uk/government/publications/government-response-to-the-telecoms-supply-chain-diversification-advisory-council-report/government-response-to-the-telecoms-supply-chain-diversification-advisory-counci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