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D814B" w14:textId="4566D0F3" w:rsidR="00027D6D" w:rsidRDefault="00027D6D" w:rsidP="00027D6D">
      <w:pPr>
        <w:pStyle w:val="Title"/>
        <w:jc w:val="center"/>
        <w:rPr>
          <w:rFonts w:ascii="Arial" w:hAnsi="Arial" w:cs="Arial"/>
          <w:sz w:val="48"/>
        </w:rPr>
      </w:pPr>
      <w:r w:rsidRPr="00027D6D">
        <w:rPr>
          <w:rFonts w:ascii="Arial" w:hAnsi="Arial" w:cs="Arial"/>
          <w:sz w:val="44"/>
        </w:rPr>
        <w:t>ECPT6003 – Microteach Reflection</w:t>
      </w:r>
    </w:p>
    <w:p w14:paraId="146AC163" w14:textId="77777777" w:rsidR="00027D6D" w:rsidRPr="00027D6D" w:rsidRDefault="00027D6D" w:rsidP="00027D6D"/>
    <w:p w14:paraId="5C56FA4A" w14:textId="0A7CB625" w:rsidR="00434180" w:rsidRPr="00567A93" w:rsidRDefault="00034870" w:rsidP="004C513F">
      <w:pPr>
        <w:spacing w:line="276" w:lineRule="auto"/>
        <w:jc w:val="both"/>
        <w:rPr>
          <w:rFonts w:ascii="Arial" w:hAnsi="Arial" w:cs="Arial"/>
          <w:color w:val="000000" w:themeColor="text1"/>
        </w:rPr>
      </w:pPr>
      <w:r w:rsidRPr="00567A93">
        <w:rPr>
          <w:rFonts w:ascii="Arial" w:hAnsi="Arial" w:cs="Arial"/>
          <w:color w:val="000000" w:themeColor="text1"/>
        </w:rPr>
        <w:t xml:space="preserve">Teaching is a dynamic and evolving profession that requires continuous reflection and improvement. </w:t>
      </w:r>
      <w:r w:rsidR="00567A93" w:rsidRPr="00567A93">
        <w:rPr>
          <w:rFonts w:ascii="Arial" w:hAnsi="Arial" w:cs="Arial"/>
          <w:color w:val="000000" w:themeColor="text1"/>
        </w:rPr>
        <w:t xml:space="preserve">According to Smith (2015), ongoing reflection is essential in education, allowing educators to assess their practices, identify areas for improvement, and adapt to the evolving needs of learners. </w:t>
      </w:r>
      <w:r w:rsidRPr="00567A93">
        <w:rPr>
          <w:rFonts w:ascii="Arial" w:hAnsi="Arial" w:cs="Arial"/>
          <w:color w:val="000000" w:themeColor="text1"/>
        </w:rPr>
        <w:t xml:space="preserve">This reflective essay employs the Gibbs Reflective Model to critically analyse a taster session on Mandarin Chinese. </w:t>
      </w:r>
    </w:p>
    <w:p w14:paraId="4326BA58" w14:textId="77777777" w:rsidR="00133120" w:rsidRPr="00E8715D" w:rsidRDefault="00133120" w:rsidP="004C513F">
      <w:pPr>
        <w:spacing w:line="276" w:lineRule="auto"/>
        <w:jc w:val="both"/>
        <w:rPr>
          <w:rFonts w:ascii="Arial" w:hAnsi="Arial" w:cs="Arial"/>
          <w:color w:val="000000" w:themeColor="text1"/>
        </w:rPr>
      </w:pPr>
    </w:p>
    <w:p w14:paraId="0FCCDC50" w14:textId="77777777" w:rsidR="00034870" w:rsidRPr="00E8715D" w:rsidRDefault="00034870" w:rsidP="004C513F">
      <w:pPr>
        <w:spacing w:line="276" w:lineRule="auto"/>
        <w:jc w:val="both"/>
        <w:rPr>
          <w:rFonts w:ascii="Arial" w:hAnsi="Arial" w:cs="Arial"/>
          <w:b/>
          <w:color w:val="000000" w:themeColor="text1"/>
        </w:rPr>
      </w:pPr>
      <w:r w:rsidRPr="00E8715D">
        <w:rPr>
          <w:rFonts w:ascii="Arial" w:hAnsi="Arial" w:cs="Arial"/>
          <w:b/>
          <w:color w:val="000000" w:themeColor="text1"/>
        </w:rPr>
        <w:t>Description of the Lesson and Outcomes.</w:t>
      </w:r>
    </w:p>
    <w:p w14:paraId="4AD85910" w14:textId="1C1C5CD5" w:rsidR="00B50676" w:rsidRPr="00E8715D" w:rsidRDefault="00034870"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The lesson's aim was to introduce </w:t>
      </w:r>
      <w:r w:rsidR="00133120" w:rsidRPr="00E8715D">
        <w:rPr>
          <w:rFonts w:ascii="Arial" w:hAnsi="Arial" w:cs="Arial"/>
          <w:color w:val="000000" w:themeColor="text1"/>
        </w:rPr>
        <w:t>Mandarin</w:t>
      </w:r>
      <w:r w:rsidRPr="00E8715D">
        <w:rPr>
          <w:rFonts w:ascii="Arial" w:hAnsi="Arial" w:cs="Arial"/>
          <w:color w:val="000000" w:themeColor="text1"/>
        </w:rPr>
        <w:t xml:space="preserve"> </w:t>
      </w:r>
      <w:r w:rsidR="00133120" w:rsidRPr="00E8715D">
        <w:rPr>
          <w:rFonts w:ascii="Arial" w:hAnsi="Arial" w:cs="Arial"/>
          <w:color w:val="000000" w:themeColor="text1"/>
        </w:rPr>
        <w:t>to</w:t>
      </w:r>
      <w:r w:rsidRPr="00E8715D">
        <w:rPr>
          <w:rFonts w:ascii="Arial" w:hAnsi="Arial" w:cs="Arial"/>
          <w:color w:val="000000" w:themeColor="text1"/>
        </w:rPr>
        <w:t xml:space="preserve"> learners with basic phrases and greetings. The lesson outcomes included the ability to greet and introduce oneself in Mandarin, apply language skills in real-life scenarios, and </w:t>
      </w:r>
      <w:r w:rsidR="00254B00">
        <w:rPr>
          <w:rFonts w:ascii="Arial" w:hAnsi="Arial" w:cs="Arial"/>
          <w:color w:val="000000" w:themeColor="text1"/>
        </w:rPr>
        <w:t>promote</w:t>
      </w:r>
      <w:r w:rsidRPr="00E8715D">
        <w:rPr>
          <w:rFonts w:ascii="Arial" w:hAnsi="Arial" w:cs="Arial"/>
          <w:color w:val="000000" w:themeColor="text1"/>
        </w:rPr>
        <w:t xml:space="preserve"> curiosity in Chinese language and culture.</w:t>
      </w:r>
      <w:r w:rsidR="00E003AC" w:rsidRPr="00E8715D">
        <w:rPr>
          <w:rFonts w:ascii="Arial" w:hAnsi="Arial" w:cs="Arial"/>
          <w:color w:val="000000" w:themeColor="text1"/>
        </w:rPr>
        <w:t xml:space="preserve">  </w:t>
      </w:r>
      <w:r w:rsidRPr="00E8715D">
        <w:rPr>
          <w:rFonts w:ascii="Arial" w:hAnsi="Arial" w:cs="Arial"/>
          <w:color w:val="000000" w:themeColor="text1"/>
        </w:rPr>
        <w:t xml:space="preserve">The teaching strategies </w:t>
      </w:r>
      <w:r w:rsidR="00E003AC" w:rsidRPr="00E8715D">
        <w:rPr>
          <w:rFonts w:ascii="Arial" w:hAnsi="Arial" w:cs="Arial"/>
          <w:color w:val="000000" w:themeColor="text1"/>
        </w:rPr>
        <w:t>utilised</w:t>
      </w:r>
      <w:r w:rsidRPr="00E8715D">
        <w:rPr>
          <w:rFonts w:ascii="Arial" w:hAnsi="Arial" w:cs="Arial"/>
          <w:color w:val="000000" w:themeColor="text1"/>
        </w:rPr>
        <w:t xml:space="preserve"> included an ice breaker, lecture, role play, and match-up game.</w:t>
      </w:r>
    </w:p>
    <w:p w14:paraId="70AAA1AC" w14:textId="77777777" w:rsidR="00133120" w:rsidRPr="00E8715D" w:rsidRDefault="00133120" w:rsidP="004C513F">
      <w:pPr>
        <w:spacing w:line="276" w:lineRule="auto"/>
        <w:jc w:val="both"/>
        <w:rPr>
          <w:rFonts w:ascii="Arial" w:hAnsi="Arial" w:cs="Arial"/>
          <w:color w:val="000000" w:themeColor="text1"/>
        </w:rPr>
      </w:pPr>
    </w:p>
    <w:p w14:paraId="7ECECA9C" w14:textId="71865E30" w:rsidR="00B50676" w:rsidRPr="00E8715D" w:rsidRDefault="00B50676" w:rsidP="004C513F">
      <w:pPr>
        <w:spacing w:line="276" w:lineRule="auto"/>
        <w:jc w:val="both"/>
        <w:rPr>
          <w:rFonts w:ascii="Arial" w:hAnsi="Arial" w:cs="Arial"/>
          <w:b/>
          <w:color w:val="000000" w:themeColor="text1"/>
        </w:rPr>
      </w:pPr>
      <w:r w:rsidRPr="00E8715D">
        <w:rPr>
          <w:rFonts w:ascii="Arial" w:hAnsi="Arial" w:cs="Arial"/>
          <w:b/>
          <w:color w:val="000000" w:themeColor="text1"/>
        </w:rPr>
        <w:t>Feelings</w:t>
      </w:r>
    </w:p>
    <w:p w14:paraId="2538C368" w14:textId="62DF105A" w:rsidR="00034870" w:rsidRPr="00E8715D" w:rsidRDefault="00B50676"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I acknowledge feeling nervous at the beginning of the session, impacting my initial pace and articulation. While learners perceived the pace as suitable, my self-perception suggests a need for more self-assurance to ensure a smoother start.  As the </w:t>
      </w:r>
      <w:r w:rsidR="00322A2E" w:rsidRPr="00E8715D">
        <w:rPr>
          <w:rFonts w:ascii="Arial" w:hAnsi="Arial" w:cs="Arial"/>
          <w:color w:val="000000" w:themeColor="text1"/>
        </w:rPr>
        <w:t>session progressed</w:t>
      </w:r>
      <w:r w:rsidRPr="00E8715D">
        <w:rPr>
          <w:rFonts w:ascii="Arial" w:hAnsi="Arial" w:cs="Arial"/>
          <w:color w:val="000000" w:themeColor="text1"/>
        </w:rPr>
        <w:t xml:space="preserve">, I experienced a noticeable growth in confidence. Despite initial </w:t>
      </w:r>
      <w:r w:rsidR="00322A2E" w:rsidRPr="00E8715D">
        <w:rPr>
          <w:rFonts w:ascii="Arial" w:hAnsi="Arial" w:cs="Arial"/>
          <w:color w:val="000000" w:themeColor="text1"/>
        </w:rPr>
        <w:t>uneasiness</w:t>
      </w:r>
      <w:r w:rsidRPr="00E8715D">
        <w:rPr>
          <w:rFonts w:ascii="Arial" w:hAnsi="Arial" w:cs="Arial"/>
          <w:color w:val="000000" w:themeColor="text1"/>
        </w:rPr>
        <w:t xml:space="preserve">, I gradually found my stride and became more assured in delivering the content. The positive engagement and receptiveness of the learners played a significant role in </w:t>
      </w:r>
      <w:r w:rsidR="00133120" w:rsidRPr="00E8715D">
        <w:rPr>
          <w:rFonts w:ascii="Arial" w:hAnsi="Arial" w:cs="Arial"/>
          <w:color w:val="000000" w:themeColor="text1"/>
        </w:rPr>
        <w:t>supporting</w:t>
      </w:r>
      <w:r w:rsidRPr="00E8715D">
        <w:rPr>
          <w:rFonts w:ascii="Arial" w:hAnsi="Arial" w:cs="Arial"/>
          <w:color w:val="000000" w:themeColor="text1"/>
        </w:rPr>
        <w:t xml:space="preserve"> my confidence.</w:t>
      </w:r>
    </w:p>
    <w:p w14:paraId="1854EE2C" w14:textId="77777777" w:rsidR="00B50676" w:rsidRPr="00E8715D" w:rsidRDefault="00B50676" w:rsidP="004C513F">
      <w:pPr>
        <w:spacing w:line="276" w:lineRule="auto"/>
        <w:jc w:val="both"/>
        <w:rPr>
          <w:rFonts w:ascii="Arial" w:hAnsi="Arial" w:cs="Arial"/>
          <w:color w:val="000000" w:themeColor="text1"/>
        </w:rPr>
      </w:pPr>
    </w:p>
    <w:p w14:paraId="0DAD2B5A" w14:textId="46A7B67B" w:rsidR="00034870" w:rsidRPr="00E8715D" w:rsidRDefault="00322A2E" w:rsidP="004C513F">
      <w:pPr>
        <w:spacing w:line="276" w:lineRule="auto"/>
        <w:jc w:val="both"/>
        <w:rPr>
          <w:rFonts w:ascii="Arial" w:hAnsi="Arial" w:cs="Arial"/>
          <w:b/>
          <w:color w:val="000000" w:themeColor="text1"/>
        </w:rPr>
      </w:pPr>
      <w:r w:rsidRPr="00E8715D">
        <w:rPr>
          <w:rFonts w:ascii="Arial" w:hAnsi="Arial" w:cs="Arial"/>
          <w:b/>
          <w:color w:val="000000" w:themeColor="text1"/>
        </w:rPr>
        <w:t>Evaluation</w:t>
      </w:r>
    </w:p>
    <w:p w14:paraId="4764C282" w14:textId="77777777" w:rsidR="00034870" w:rsidRPr="00E8715D" w:rsidRDefault="00034870"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The feedback received from the </w:t>
      </w:r>
      <w:r w:rsidR="00DC00A9" w:rsidRPr="00E8715D">
        <w:rPr>
          <w:rFonts w:ascii="Arial" w:hAnsi="Arial" w:cs="Arial"/>
          <w:color w:val="000000" w:themeColor="text1"/>
        </w:rPr>
        <w:t xml:space="preserve">observing </w:t>
      </w:r>
      <w:r w:rsidRPr="00E8715D">
        <w:rPr>
          <w:rFonts w:ascii="Arial" w:hAnsi="Arial" w:cs="Arial"/>
          <w:color w:val="000000" w:themeColor="text1"/>
        </w:rPr>
        <w:t>tutor was overwhelmingly positive, highlighting several strengths in my teaching approach. The use of clear PowerPoints, appropriate teaching strategies, and well-designed match-up cards were acknowledged. The tutor praised the supervision of group activities, the lesson's pace, and the facilitation of an inclusive learning environment.</w:t>
      </w:r>
    </w:p>
    <w:p w14:paraId="7F86D282" w14:textId="230EF4E8" w:rsidR="00DC00A9" w:rsidRPr="00E8715D" w:rsidRDefault="00DC00A9"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Learner feedback was </w:t>
      </w:r>
      <w:r w:rsidR="00254B00">
        <w:rPr>
          <w:rFonts w:ascii="Arial" w:hAnsi="Arial" w:cs="Arial"/>
          <w:color w:val="000000" w:themeColor="text1"/>
        </w:rPr>
        <w:t>encouraging</w:t>
      </w:r>
      <w:r w:rsidRPr="00E8715D">
        <w:rPr>
          <w:rFonts w:ascii="Arial" w:hAnsi="Arial" w:cs="Arial"/>
          <w:color w:val="000000" w:themeColor="text1"/>
        </w:rPr>
        <w:t xml:space="preserve">, with learners expressing appreciation for the structured breakdown of a challenging subject. Some learners found Mandarin initially daunting </w:t>
      </w:r>
      <w:r w:rsidR="00B50676" w:rsidRPr="00E8715D">
        <w:rPr>
          <w:rFonts w:ascii="Arial" w:hAnsi="Arial" w:cs="Arial"/>
          <w:color w:val="000000" w:themeColor="text1"/>
        </w:rPr>
        <w:t>however, commented at the end that they would be interested</w:t>
      </w:r>
      <w:r w:rsidRPr="00E8715D">
        <w:rPr>
          <w:rFonts w:ascii="Arial" w:hAnsi="Arial" w:cs="Arial"/>
          <w:color w:val="000000" w:themeColor="text1"/>
        </w:rPr>
        <w:t xml:space="preserve"> to continue with the lessons over an extended period. This positive response indicates that the lesson achieved its goal of making a complex language accessible and interesting.</w:t>
      </w:r>
    </w:p>
    <w:p w14:paraId="0A59528B" w14:textId="32943376" w:rsidR="004C513F" w:rsidRPr="00E8715D" w:rsidRDefault="00E003AC"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In my opinion, the lesson was a successful introduction to Mandarin for learners who had no previous knowledge on the subject.  </w:t>
      </w:r>
      <w:r w:rsidR="004B27D6" w:rsidRPr="00E8715D">
        <w:rPr>
          <w:rFonts w:ascii="Arial" w:hAnsi="Arial" w:cs="Arial"/>
          <w:color w:val="000000" w:themeColor="text1"/>
        </w:rPr>
        <w:t xml:space="preserve">The session showcased effective strategies such as </w:t>
      </w:r>
      <w:r w:rsidR="004C513F" w:rsidRPr="00E8715D">
        <w:rPr>
          <w:rFonts w:ascii="Arial" w:hAnsi="Arial" w:cs="Arial"/>
          <w:color w:val="000000" w:themeColor="text1"/>
        </w:rPr>
        <w:t xml:space="preserve">an </w:t>
      </w:r>
      <w:r w:rsidR="004B27D6" w:rsidRPr="00E8715D">
        <w:rPr>
          <w:rFonts w:ascii="Arial" w:hAnsi="Arial" w:cs="Arial"/>
          <w:color w:val="000000" w:themeColor="text1"/>
        </w:rPr>
        <w:t xml:space="preserve">engaging ice breaker and well-designed materials. </w:t>
      </w:r>
      <w:r w:rsidR="004C513F" w:rsidRPr="00E8715D">
        <w:rPr>
          <w:rFonts w:ascii="Arial" w:hAnsi="Arial" w:cs="Arial"/>
          <w:color w:val="000000" w:themeColor="text1"/>
        </w:rPr>
        <w:t>I created a</w:t>
      </w:r>
      <w:r w:rsidR="004B27D6" w:rsidRPr="00E8715D">
        <w:rPr>
          <w:rFonts w:ascii="Arial" w:hAnsi="Arial" w:cs="Arial"/>
          <w:color w:val="000000" w:themeColor="text1"/>
        </w:rPr>
        <w:t xml:space="preserve"> clear presentation and </w:t>
      </w:r>
      <w:r w:rsidR="00133120" w:rsidRPr="00E8715D">
        <w:rPr>
          <w:rFonts w:ascii="Arial" w:hAnsi="Arial" w:cs="Arial"/>
          <w:color w:val="000000" w:themeColor="text1"/>
        </w:rPr>
        <w:t xml:space="preserve">ensured </w:t>
      </w:r>
      <w:r w:rsidR="004B27D6" w:rsidRPr="00E8715D">
        <w:rPr>
          <w:rFonts w:ascii="Arial" w:hAnsi="Arial" w:cs="Arial"/>
          <w:color w:val="000000" w:themeColor="text1"/>
        </w:rPr>
        <w:t>a responsive teaching style</w:t>
      </w:r>
      <w:r w:rsidR="004C513F" w:rsidRPr="00E8715D">
        <w:rPr>
          <w:rFonts w:ascii="Arial" w:hAnsi="Arial" w:cs="Arial"/>
          <w:color w:val="000000" w:themeColor="text1"/>
        </w:rPr>
        <w:t xml:space="preserve"> which created</w:t>
      </w:r>
      <w:r w:rsidR="004B27D6" w:rsidRPr="00E8715D">
        <w:rPr>
          <w:rFonts w:ascii="Arial" w:hAnsi="Arial" w:cs="Arial"/>
          <w:color w:val="000000" w:themeColor="text1"/>
        </w:rPr>
        <w:t xml:space="preserve"> a dynamic learning environment. </w:t>
      </w:r>
    </w:p>
    <w:p w14:paraId="2E3CC56C" w14:textId="6088EF57" w:rsidR="00034870" w:rsidRPr="00E8715D" w:rsidRDefault="00034870" w:rsidP="004C513F">
      <w:pPr>
        <w:spacing w:line="276" w:lineRule="auto"/>
        <w:jc w:val="both"/>
        <w:rPr>
          <w:rFonts w:ascii="Arial" w:hAnsi="Arial" w:cs="Arial"/>
          <w:color w:val="000000" w:themeColor="text1"/>
        </w:rPr>
      </w:pPr>
      <w:r w:rsidRPr="00E8715D">
        <w:rPr>
          <w:rFonts w:ascii="Arial" w:hAnsi="Arial" w:cs="Arial"/>
          <w:color w:val="000000" w:themeColor="text1"/>
        </w:rPr>
        <w:lastRenderedPageBreak/>
        <w:t>While the feedback was largely positive, there were some minor points for consideration</w:t>
      </w:r>
      <w:r w:rsidR="00E003AC" w:rsidRPr="00E8715D">
        <w:rPr>
          <w:rFonts w:ascii="Arial" w:hAnsi="Arial" w:cs="Arial"/>
          <w:color w:val="000000" w:themeColor="text1"/>
        </w:rPr>
        <w:t xml:space="preserve"> from the observing tutor</w:t>
      </w:r>
      <w:r w:rsidRPr="00E8715D">
        <w:rPr>
          <w:rFonts w:ascii="Arial" w:hAnsi="Arial" w:cs="Arial"/>
          <w:color w:val="000000" w:themeColor="text1"/>
        </w:rPr>
        <w:t xml:space="preserve">. Reviewing the </w:t>
      </w:r>
      <w:r w:rsidR="00B50676" w:rsidRPr="00E8715D">
        <w:rPr>
          <w:rFonts w:ascii="Arial" w:hAnsi="Arial" w:cs="Arial"/>
          <w:color w:val="000000" w:themeColor="text1"/>
        </w:rPr>
        <w:t>“</w:t>
      </w:r>
      <w:r w:rsidRPr="00E8715D">
        <w:rPr>
          <w:rFonts w:ascii="Arial" w:hAnsi="Arial" w:cs="Arial"/>
          <w:color w:val="000000" w:themeColor="text1"/>
        </w:rPr>
        <w:t>Advance HE professional standards</w:t>
      </w:r>
      <w:r w:rsidR="00B50676" w:rsidRPr="00E8715D">
        <w:rPr>
          <w:rFonts w:ascii="Arial" w:hAnsi="Arial" w:cs="Arial"/>
          <w:color w:val="000000" w:themeColor="text1"/>
        </w:rPr>
        <w:t>”</w:t>
      </w:r>
      <w:r w:rsidRPr="00E8715D">
        <w:rPr>
          <w:rFonts w:ascii="Arial" w:hAnsi="Arial" w:cs="Arial"/>
          <w:color w:val="000000" w:themeColor="text1"/>
        </w:rPr>
        <w:t xml:space="preserve"> and gaining a deeper understanding of formative and summative feedback concepts were suggested. Additionally, the tutor recommended incorporating specific teaching strategies into the scheme of work.</w:t>
      </w:r>
    </w:p>
    <w:p w14:paraId="6916E836" w14:textId="375510D8" w:rsidR="00034870" w:rsidRPr="00E8715D" w:rsidRDefault="00034870"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Despite the positive feedback, I </w:t>
      </w:r>
      <w:r w:rsidR="00943C0F" w:rsidRPr="00E8715D">
        <w:rPr>
          <w:rFonts w:ascii="Arial" w:hAnsi="Arial" w:cs="Arial"/>
          <w:color w:val="000000" w:themeColor="text1"/>
        </w:rPr>
        <w:t>recognise</w:t>
      </w:r>
      <w:r w:rsidRPr="00E8715D">
        <w:rPr>
          <w:rFonts w:ascii="Arial" w:hAnsi="Arial" w:cs="Arial"/>
          <w:color w:val="000000" w:themeColor="text1"/>
        </w:rPr>
        <w:t xml:space="preserve"> several areas for improvement in my teaching practice. Firstly, the 1:1 ratio in the role play could have been modified for a small group, allowing learners to introduce themselves to a partner and then to the whole group, fostering a more dynamic interaction. Secondly, the time constraint of </w:t>
      </w:r>
      <w:r w:rsidR="009E643A">
        <w:rPr>
          <w:rFonts w:ascii="Arial" w:hAnsi="Arial" w:cs="Arial"/>
          <w:color w:val="000000" w:themeColor="text1"/>
        </w:rPr>
        <w:t>thirty</w:t>
      </w:r>
      <w:r w:rsidRPr="00E8715D">
        <w:rPr>
          <w:rFonts w:ascii="Arial" w:hAnsi="Arial" w:cs="Arial"/>
          <w:color w:val="000000" w:themeColor="text1"/>
        </w:rPr>
        <w:t xml:space="preserve"> minutes made it challenging to balance various activities. In retrospect, I could have allocated more time to introducing and practicing vocabulary.</w:t>
      </w:r>
    </w:p>
    <w:p w14:paraId="1B966D67" w14:textId="74EFD54B" w:rsidR="00322A2E" w:rsidRPr="00E8715D" w:rsidRDefault="00322A2E" w:rsidP="004C513F">
      <w:pPr>
        <w:spacing w:line="276" w:lineRule="auto"/>
        <w:jc w:val="both"/>
        <w:rPr>
          <w:rFonts w:ascii="Arial" w:hAnsi="Arial" w:cs="Arial"/>
          <w:color w:val="000000" w:themeColor="text1"/>
        </w:rPr>
      </w:pPr>
    </w:p>
    <w:p w14:paraId="2FD68606" w14:textId="163E6E84" w:rsidR="00322A2E" w:rsidRPr="00E8715D" w:rsidRDefault="00322A2E" w:rsidP="004C513F">
      <w:pPr>
        <w:spacing w:line="276" w:lineRule="auto"/>
        <w:jc w:val="both"/>
        <w:rPr>
          <w:rFonts w:ascii="Arial" w:hAnsi="Arial" w:cs="Arial"/>
          <w:b/>
          <w:color w:val="000000" w:themeColor="text1"/>
        </w:rPr>
      </w:pPr>
      <w:r w:rsidRPr="00E8715D">
        <w:rPr>
          <w:rFonts w:ascii="Arial" w:hAnsi="Arial" w:cs="Arial"/>
          <w:b/>
          <w:color w:val="000000" w:themeColor="text1"/>
        </w:rPr>
        <w:t>Analysis</w:t>
      </w:r>
    </w:p>
    <w:p w14:paraId="10660145" w14:textId="6040DD00" w:rsidR="00901383" w:rsidRPr="00E8715D" w:rsidRDefault="00B04444"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In evaluating the Mandarin Chinese taster session, it becomes evident that there are specific areas for improvement related to feedback, </w:t>
      </w:r>
      <w:r w:rsidR="00133120" w:rsidRPr="00E8715D">
        <w:rPr>
          <w:rFonts w:ascii="Arial" w:hAnsi="Arial" w:cs="Arial"/>
          <w:color w:val="000000" w:themeColor="text1"/>
        </w:rPr>
        <w:t>reflecti</w:t>
      </w:r>
      <w:r w:rsidR="00C54444" w:rsidRPr="00E8715D">
        <w:rPr>
          <w:rFonts w:ascii="Arial" w:hAnsi="Arial" w:cs="Arial"/>
          <w:color w:val="000000" w:themeColor="text1"/>
        </w:rPr>
        <w:t xml:space="preserve">on </w:t>
      </w:r>
      <w:r w:rsidR="00133120" w:rsidRPr="00E8715D">
        <w:rPr>
          <w:rFonts w:ascii="Arial" w:hAnsi="Arial" w:cs="Arial"/>
          <w:color w:val="000000" w:themeColor="text1"/>
        </w:rPr>
        <w:t>during the session</w:t>
      </w:r>
      <w:r w:rsidRPr="00E8715D">
        <w:rPr>
          <w:rFonts w:ascii="Arial" w:hAnsi="Arial" w:cs="Arial"/>
          <w:color w:val="000000" w:themeColor="text1"/>
        </w:rPr>
        <w:t xml:space="preserve">, </w:t>
      </w:r>
      <w:r w:rsidR="00E003AC" w:rsidRPr="00E8715D">
        <w:rPr>
          <w:rFonts w:ascii="Arial" w:hAnsi="Arial" w:cs="Arial"/>
          <w:color w:val="000000" w:themeColor="text1"/>
        </w:rPr>
        <w:t xml:space="preserve">teaching strategies, </w:t>
      </w:r>
      <w:r w:rsidR="00943C0F" w:rsidRPr="00E8715D">
        <w:rPr>
          <w:rFonts w:ascii="Arial" w:hAnsi="Arial" w:cs="Arial"/>
          <w:color w:val="000000" w:themeColor="text1"/>
        </w:rPr>
        <w:t xml:space="preserve">personal emotions, </w:t>
      </w:r>
      <w:r w:rsidR="00133120" w:rsidRPr="00E8715D">
        <w:rPr>
          <w:rFonts w:ascii="Arial" w:hAnsi="Arial" w:cs="Arial"/>
          <w:color w:val="000000" w:themeColor="text1"/>
        </w:rPr>
        <w:t xml:space="preserve">and </w:t>
      </w:r>
      <w:r w:rsidR="00943C0F" w:rsidRPr="00E8715D">
        <w:rPr>
          <w:rFonts w:ascii="Arial" w:hAnsi="Arial" w:cs="Arial"/>
          <w:color w:val="000000" w:themeColor="text1"/>
        </w:rPr>
        <w:t>time management</w:t>
      </w:r>
      <w:r w:rsidR="00133120" w:rsidRPr="00E8715D">
        <w:rPr>
          <w:rFonts w:ascii="Arial" w:hAnsi="Arial" w:cs="Arial"/>
          <w:color w:val="000000" w:themeColor="text1"/>
        </w:rPr>
        <w:t>.</w:t>
      </w:r>
    </w:p>
    <w:p w14:paraId="1E82F1DC" w14:textId="66CFAAB8" w:rsidR="00896DA0" w:rsidRPr="00E8715D" w:rsidRDefault="00B04444" w:rsidP="004C513F">
      <w:pPr>
        <w:spacing w:line="276" w:lineRule="auto"/>
        <w:jc w:val="both"/>
        <w:rPr>
          <w:rFonts w:ascii="Arial" w:hAnsi="Arial" w:cs="Arial"/>
          <w:color w:val="000000" w:themeColor="text1"/>
        </w:rPr>
      </w:pPr>
      <w:r w:rsidRPr="00E8715D">
        <w:rPr>
          <w:rFonts w:ascii="Arial" w:hAnsi="Arial" w:cs="Arial"/>
          <w:color w:val="000000" w:themeColor="text1"/>
        </w:rPr>
        <w:t>Firstly, enhancing the learning experience could be achieved by incorporating more detailed feedback and assessment strategies, aligning with the professional standard of assessment and feedback (Education Workforce Council, 20</w:t>
      </w:r>
      <w:r w:rsidR="00901383" w:rsidRPr="00E8715D">
        <w:rPr>
          <w:rFonts w:ascii="Arial" w:hAnsi="Arial" w:cs="Arial"/>
          <w:color w:val="000000" w:themeColor="text1"/>
        </w:rPr>
        <w:t>23</w:t>
      </w:r>
      <w:r w:rsidRPr="00E8715D">
        <w:rPr>
          <w:rFonts w:ascii="Arial" w:hAnsi="Arial" w:cs="Arial"/>
          <w:color w:val="000000" w:themeColor="text1"/>
        </w:rPr>
        <w:t>).</w:t>
      </w:r>
      <w:r w:rsidR="00896DA0" w:rsidRPr="00E8715D">
        <w:rPr>
          <w:rFonts w:ascii="Arial" w:hAnsi="Arial" w:cs="Arial"/>
          <w:color w:val="000000" w:themeColor="text1"/>
        </w:rPr>
        <w:t xml:space="preserve"> </w:t>
      </w:r>
      <w:r w:rsidRPr="00E8715D">
        <w:rPr>
          <w:rFonts w:ascii="Arial" w:hAnsi="Arial" w:cs="Arial"/>
          <w:color w:val="000000" w:themeColor="text1"/>
        </w:rPr>
        <w:t xml:space="preserve"> </w:t>
      </w:r>
      <w:r w:rsidR="00896DA0" w:rsidRPr="00E8715D">
        <w:rPr>
          <w:rFonts w:ascii="Arial" w:hAnsi="Arial" w:cs="Arial"/>
          <w:color w:val="000000" w:themeColor="text1"/>
        </w:rPr>
        <w:t xml:space="preserve">When looking collaboratively at formative and summative feedback, Black and </w:t>
      </w:r>
      <w:proofErr w:type="spellStart"/>
      <w:r w:rsidR="00896DA0" w:rsidRPr="00E8715D">
        <w:rPr>
          <w:rFonts w:ascii="Arial" w:hAnsi="Arial" w:cs="Arial"/>
          <w:color w:val="000000" w:themeColor="text1"/>
        </w:rPr>
        <w:t>Wiliam</w:t>
      </w:r>
      <w:proofErr w:type="spellEnd"/>
      <w:r w:rsidR="00896DA0" w:rsidRPr="00E8715D">
        <w:rPr>
          <w:rFonts w:ascii="Arial" w:hAnsi="Arial" w:cs="Arial"/>
          <w:color w:val="000000" w:themeColor="text1"/>
        </w:rPr>
        <w:t xml:space="preserve"> (1998) highlight that formative feedback is intended to inform ongoing learning, while summative feedback is typically associated with assessments and final evaluations. This deepened understanding emphasized the importance of incorporating both types of feedback within future lessons.</w:t>
      </w:r>
    </w:p>
    <w:p w14:paraId="01D52569" w14:textId="381308CE" w:rsidR="00896DA0" w:rsidRPr="00E8715D" w:rsidRDefault="00896DA0" w:rsidP="004C513F">
      <w:pPr>
        <w:spacing w:line="276" w:lineRule="auto"/>
        <w:jc w:val="both"/>
        <w:rPr>
          <w:rFonts w:ascii="Arial" w:hAnsi="Arial" w:cs="Arial"/>
          <w:color w:val="000000" w:themeColor="text1"/>
        </w:rPr>
      </w:pPr>
      <w:r w:rsidRPr="00E8715D">
        <w:rPr>
          <w:rFonts w:ascii="Arial" w:hAnsi="Arial" w:cs="Arial"/>
          <w:color w:val="000000" w:themeColor="text1"/>
        </w:rPr>
        <w:t>Secondly, a recommendation from the tutor highlighted the importance of incorporating specific teaching strategies into the scheme of work. Brookfield</w:t>
      </w:r>
      <w:r w:rsidR="008D672E">
        <w:rPr>
          <w:rFonts w:ascii="Arial" w:hAnsi="Arial" w:cs="Arial"/>
          <w:color w:val="000000" w:themeColor="text1"/>
        </w:rPr>
        <w:t xml:space="preserve"> (2015)</w:t>
      </w:r>
      <w:r w:rsidRPr="00E8715D">
        <w:rPr>
          <w:rFonts w:ascii="Arial" w:hAnsi="Arial" w:cs="Arial"/>
          <w:color w:val="000000" w:themeColor="text1"/>
        </w:rPr>
        <w:t xml:space="preserve"> emphasizes the significance of intentional and deliberate planning in teaching, stating that "teaching is not about applying a prescriptive set of solutions but about planning, assessing, revising, and improving" (</w:t>
      </w:r>
      <w:r w:rsidR="008D672E">
        <w:rPr>
          <w:rFonts w:ascii="Arial" w:hAnsi="Arial" w:cs="Arial"/>
          <w:color w:val="000000" w:themeColor="text1"/>
        </w:rPr>
        <w:t xml:space="preserve">Brookfield, 2015, </w:t>
      </w:r>
      <w:r w:rsidRPr="00E8715D">
        <w:rPr>
          <w:rFonts w:ascii="Arial" w:hAnsi="Arial" w:cs="Arial"/>
          <w:color w:val="000000" w:themeColor="text1"/>
        </w:rPr>
        <w:t>p. 42). This insight underscores the importance of embedding specific teaching strategies within the scheme of work, ensuring a systematic and purposeful approach to instruction.</w:t>
      </w:r>
      <w:r w:rsidR="00E003AC" w:rsidRPr="00E8715D">
        <w:rPr>
          <w:rFonts w:ascii="Arial" w:hAnsi="Arial" w:cs="Arial"/>
          <w:color w:val="000000" w:themeColor="text1"/>
        </w:rPr>
        <w:t xml:space="preserve">  </w:t>
      </w:r>
      <w:r w:rsidRPr="00E8715D">
        <w:rPr>
          <w:rFonts w:ascii="Arial" w:hAnsi="Arial" w:cs="Arial"/>
          <w:color w:val="000000" w:themeColor="text1"/>
        </w:rPr>
        <w:t>This will not only enhance the overall coherence of the instructional plan but also ensure that each strategy serves a purpose in achieving the intended learning outcomes.</w:t>
      </w:r>
    </w:p>
    <w:p w14:paraId="4E5501A0" w14:textId="5B6C6C1A" w:rsidR="008D3D00" w:rsidRPr="00E8715D" w:rsidRDefault="008D3D00" w:rsidP="004C513F">
      <w:pPr>
        <w:spacing w:line="276" w:lineRule="auto"/>
        <w:jc w:val="both"/>
        <w:rPr>
          <w:rFonts w:ascii="Arial" w:hAnsi="Arial" w:cs="Arial"/>
          <w:color w:val="000000" w:themeColor="text1"/>
        </w:rPr>
      </w:pPr>
      <w:r w:rsidRPr="00E8715D">
        <w:rPr>
          <w:rFonts w:ascii="Arial" w:hAnsi="Arial" w:cs="Arial"/>
          <w:color w:val="000000" w:themeColor="text1"/>
        </w:rPr>
        <w:t>Thirdly, when reflecting on my nervousness at the beginning of the session, research suggests that building confidence is an ongoing process influenced by both personal factors and the classroom environment (</w:t>
      </w:r>
      <w:proofErr w:type="spellStart"/>
      <w:r w:rsidRPr="00E8715D">
        <w:rPr>
          <w:rFonts w:ascii="Arial" w:hAnsi="Arial" w:cs="Arial"/>
          <w:color w:val="000000" w:themeColor="text1"/>
        </w:rPr>
        <w:t>Tschannen</w:t>
      </w:r>
      <w:proofErr w:type="spellEnd"/>
      <w:r w:rsidRPr="00E8715D">
        <w:rPr>
          <w:rFonts w:ascii="Arial" w:hAnsi="Arial" w:cs="Arial"/>
          <w:color w:val="000000" w:themeColor="text1"/>
        </w:rPr>
        <w:t>-Moran &amp; Woolfolk Hoy, 2001). Strategies to manage nervousness, such as breathing exercises and mindfulness techniques, are supported by research on teacher well-being and resilience (Day et al., 2007).</w:t>
      </w:r>
    </w:p>
    <w:p w14:paraId="697C1236" w14:textId="28E8A4BA" w:rsidR="00943C0F" w:rsidRPr="00E8715D" w:rsidRDefault="00943C0F"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Dewey's (1933) view of reflective thinking supports the idea that reflective practitioners have the capacity to adapt and modify their approaches during the teaching process. </w:t>
      </w:r>
      <w:r w:rsidR="00C54444" w:rsidRPr="00E8715D">
        <w:rPr>
          <w:rFonts w:ascii="Arial" w:hAnsi="Arial" w:cs="Arial"/>
          <w:color w:val="000000" w:themeColor="text1"/>
        </w:rPr>
        <w:t>R</w:t>
      </w:r>
      <w:r w:rsidRPr="00E8715D">
        <w:rPr>
          <w:rFonts w:ascii="Arial" w:hAnsi="Arial" w:cs="Arial"/>
          <w:color w:val="000000" w:themeColor="text1"/>
        </w:rPr>
        <w:t>eal-time adjustments could have been made to the role play activity</w:t>
      </w:r>
      <w:r w:rsidR="00C54444" w:rsidRPr="00E8715D">
        <w:rPr>
          <w:rFonts w:ascii="Arial" w:hAnsi="Arial" w:cs="Arial"/>
          <w:color w:val="000000" w:themeColor="text1"/>
        </w:rPr>
        <w:t xml:space="preserve"> in order to improve and enhance the activity</w:t>
      </w:r>
      <w:r w:rsidRPr="00E8715D">
        <w:rPr>
          <w:rFonts w:ascii="Arial" w:hAnsi="Arial" w:cs="Arial"/>
          <w:color w:val="000000" w:themeColor="text1"/>
        </w:rPr>
        <w:t>.</w:t>
      </w:r>
    </w:p>
    <w:p w14:paraId="3588A322" w14:textId="438E312F" w:rsidR="008D3D00" w:rsidRPr="00E8715D" w:rsidRDefault="008D3D00" w:rsidP="004C513F">
      <w:pPr>
        <w:spacing w:line="276" w:lineRule="auto"/>
        <w:jc w:val="both"/>
        <w:rPr>
          <w:rFonts w:ascii="Arial" w:hAnsi="Arial" w:cs="Arial"/>
          <w:color w:val="000000" w:themeColor="text1"/>
        </w:rPr>
      </w:pPr>
      <w:r w:rsidRPr="00E8715D">
        <w:rPr>
          <w:rFonts w:ascii="Arial" w:hAnsi="Arial" w:cs="Arial"/>
          <w:color w:val="000000" w:themeColor="text1"/>
        </w:rPr>
        <w:lastRenderedPageBreak/>
        <w:t xml:space="preserve">Furthermore, Marzano (2007) asserts that effective teachers are </w:t>
      </w:r>
      <w:r w:rsidR="00C54444" w:rsidRPr="00E8715D">
        <w:rPr>
          <w:rFonts w:ascii="Arial" w:hAnsi="Arial" w:cs="Arial"/>
          <w:color w:val="000000" w:themeColor="text1"/>
        </w:rPr>
        <w:t>proficient</w:t>
      </w:r>
      <w:r w:rsidRPr="00E8715D">
        <w:rPr>
          <w:rFonts w:ascii="Arial" w:hAnsi="Arial" w:cs="Arial"/>
          <w:color w:val="000000" w:themeColor="text1"/>
        </w:rPr>
        <w:t xml:space="preserve"> at managing instructional time, ensuring that each activity contributes meaningfully to the learning objectives. </w:t>
      </w:r>
      <w:r w:rsidR="0016520B" w:rsidRPr="00E8715D">
        <w:rPr>
          <w:rFonts w:ascii="Arial" w:hAnsi="Arial" w:cs="Arial"/>
          <w:color w:val="000000" w:themeColor="text1"/>
        </w:rPr>
        <w:t>A</w:t>
      </w:r>
      <w:r w:rsidRPr="00E8715D">
        <w:rPr>
          <w:rFonts w:ascii="Arial" w:hAnsi="Arial" w:cs="Arial"/>
          <w:color w:val="000000" w:themeColor="text1"/>
        </w:rPr>
        <w:t xml:space="preserve"> precise sense of timing is necessary</w:t>
      </w:r>
      <w:r w:rsidR="00C54444" w:rsidRPr="00E8715D">
        <w:rPr>
          <w:rFonts w:ascii="Arial" w:hAnsi="Arial" w:cs="Arial"/>
          <w:color w:val="000000" w:themeColor="text1"/>
        </w:rPr>
        <w:t xml:space="preserve">, </w:t>
      </w:r>
      <w:r w:rsidRPr="00E8715D">
        <w:rPr>
          <w:rFonts w:ascii="Arial" w:hAnsi="Arial" w:cs="Arial"/>
          <w:color w:val="000000" w:themeColor="text1"/>
        </w:rPr>
        <w:t>provid</w:t>
      </w:r>
      <w:r w:rsidR="00C54444" w:rsidRPr="00E8715D">
        <w:rPr>
          <w:rFonts w:ascii="Arial" w:hAnsi="Arial" w:cs="Arial"/>
          <w:color w:val="000000" w:themeColor="text1"/>
        </w:rPr>
        <w:t>ing</w:t>
      </w:r>
      <w:r w:rsidRPr="00E8715D">
        <w:rPr>
          <w:rFonts w:ascii="Arial" w:hAnsi="Arial" w:cs="Arial"/>
          <w:color w:val="000000" w:themeColor="text1"/>
        </w:rPr>
        <w:t xml:space="preserve"> a comprehensive coverage of content within the 30-minute session.  In future sessions, this understanding will inform a more strategic approach to time management, ensuring that activities are thoughtfully planned and executed to optimi</w:t>
      </w:r>
      <w:r w:rsidR="0016520B" w:rsidRPr="00E8715D">
        <w:rPr>
          <w:rFonts w:ascii="Arial" w:hAnsi="Arial" w:cs="Arial"/>
          <w:color w:val="000000" w:themeColor="text1"/>
        </w:rPr>
        <w:t>s</w:t>
      </w:r>
      <w:r w:rsidRPr="00E8715D">
        <w:rPr>
          <w:rFonts w:ascii="Arial" w:hAnsi="Arial" w:cs="Arial"/>
          <w:color w:val="000000" w:themeColor="text1"/>
        </w:rPr>
        <w:t>e the limited timeframe available.</w:t>
      </w:r>
    </w:p>
    <w:p w14:paraId="63971667" w14:textId="77777777" w:rsidR="00EB574A" w:rsidRDefault="00EB574A" w:rsidP="004C513F">
      <w:pPr>
        <w:spacing w:line="276" w:lineRule="auto"/>
        <w:jc w:val="both"/>
        <w:rPr>
          <w:rFonts w:ascii="Arial" w:hAnsi="Arial" w:cs="Arial"/>
          <w:b/>
          <w:color w:val="000000" w:themeColor="text1"/>
        </w:rPr>
      </w:pPr>
    </w:p>
    <w:p w14:paraId="3869C7BE" w14:textId="08B6B053" w:rsidR="00322A2E" w:rsidRPr="00E8715D" w:rsidRDefault="00322A2E" w:rsidP="004C513F">
      <w:pPr>
        <w:spacing w:line="276" w:lineRule="auto"/>
        <w:jc w:val="both"/>
        <w:rPr>
          <w:rFonts w:ascii="Arial" w:hAnsi="Arial" w:cs="Arial"/>
          <w:b/>
          <w:color w:val="000000" w:themeColor="text1"/>
        </w:rPr>
      </w:pPr>
      <w:r w:rsidRPr="00E8715D">
        <w:rPr>
          <w:rFonts w:ascii="Arial" w:hAnsi="Arial" w:cs="Arial"/>
          <w:b/>
          <w:color w:val="000000" w:themeColor="text1"/>
        </w:rPr>
        <w:t>Conclusion</w:t>
      </w:r>
    </w:p>
    <w:p w14:paraId="26723E54" w14:textId="6ADE2C12" w:rsidR="00EB574A" w:rsidRPr="00EB574A" w:rsidRDefault="00254B00" w:rsidP="004C513F">
      <w:pPr>
        <w:spacing w:line="276" w:lineRule="auto"/>
        <w:jc w:val="both"/>
        <w:rPr>
          <w:rFonts w:ascii="Arial" w:hAnsi="Arial" w:cs="Arial"/>
          <w:b/>
          <w:color w:val="000000" w:themeColor="text1"/>
        </w:rPr>
      </w:pPr>
      <w:r w:rsidRPr="00EB574A">
        <w:rPr>
          <w:rFonts w:ascii="Arial" w:hAnsi="Arial" w:cs="Arial"/>
          <w:color w:val="000000" w:themeColor="text1"/>
        </w:rPr>
        <w:t xml:space="preserve">In conclusion, the reflective analysis of the Mandarin Chinese session has yielded valuable insights into both successes and areas for improvement. </w:t>
      </w:r>
      <w:r w:rsidR="00195C29" w:rsidRPr="00EB574A">
        <w:rPr>
          <w:rFonts w:ascii="Arial" w:hAnsi="Arial" w:cs="Arial"/>
          <w:color w:val="000000" w:themeColor="text1"/>
        </w:rPr>
        <w:t xml:space="preserve">Learning from this experience, I </w:t>
      </w:r>
      <w:r w:rsidRPr="00EB574A">
        <w:rPr>
          <w:rFonts w:ascii="Arial" w:hAnsi="Arial" w:cs="Arial"/>
          <w:color w:val="000000" w:themeColor="text1"/>
        </w:rPr>
        <w:t>recognise</w:t>
      </w:r>
      <w:r w:rsidR="00195C29" w:rsidRPr="00EB574A">
        <w:rPr>
          <w:rFonts w:ascii="Arial" w:hAnsi="Arial" w:cs="Arial"/>
          <w:color w:val="000000" w:themeColor="text1"/>
        </w:rPr>
        <w:t xml:space="preserve"> the need for refined time management and enhanced formative </w:t>
      </w:r>
      <w:r w:rsidR="009E643A" w:rsidRPr="00EB574A">
        <w:rPr>
          <w:rFonts w:ascii="Arial" w:hAnsi="Arial" w:cs="Arial"/>
          <w:color w:val="000000" w:themeColor="text1"/>
        </w:rPr>
        <w:t xml:space="preserve">and summative </w:t>
      </w:r>
      <w:r w:rsidR="00195C29" w:rsidRPr="00EB574A">
        <w:rPr>
          <w:rFonts w:ascii="Arial" w:hAnsi="Arial" w:cs="Arial"/>
          <w:color w:val="000000" w:themeColor="text1"/>
        </w:rPr>
        <w:t xml:space="preserve">feedback. </w:t>
      </w:r>
      <w:r w:rsidR="009E643A" w:rsidRPr="00EB574A">
        <w:rPr>
          <w:rFonts w:ascii="Arial" w:hAnsi="Arial" w:cs="Arial"/>
          <w:color w:val="000000" w:themeColor="text1"/>
        </w:rPr>
        <w:t xml:space="preserve">In a similar situation, I would adapt activities and </w:t>
      </w:r>
      <w:r w:rsidR="00EB574A" w:rsidRPr="00EB574A">
        <w:rPr>
          <w:rFonts w:ascii="Arial" w:hAnsi="Arial" w:cs="Arial"/>
          <w:color w:val="000000" w:themeColor="text1"/>
        </w:rPr>
        <w:t>further develop</w:t>
      </w:r>
      <w:r w:rsidR="009E643A" w:rsidRPr="00EB574A">
        <w:rPr>
          <w:rFonts w:ascii="Arial" w:hAnsi="Arial" w:cs="Arial"/>
          <w:color w:val="000000" w:themeColor="text1"/>
        </w:rPr>
        <w:t xml:space="preserve"> formative feedback. This experience emphasi</w:t>
      </w:r>
      <w:r w:rsidR="00EB574A" w:rsidRPr="00EB574A">
        <w:rPr>
          <w:rFonts w:ascii="Arial" w:hAnsi="Arial" w:cs="Arial"/>
          <w:color w:val="000000" w:themeColor="text1"/>
        </w:rPr>
        <w:t>s</w:t>
      </w:r>
      <w:r w:rsidR="009E643A" w:rsidRPr="00EB574A">
        <w:rPr>
          <w:rFonts w:ascii="Arial" w:hAnsi="Arial" w:cs="Arial"/>
          <w:color w:val="000000" w:themeColor="text1"/>
        </w:rPr>
        <w:t xml:space="preserve">es the dynamic nature of teaching and underscores the need for ongoing reflection for a more effective and inclusive learning environment. Looking ahead, I am committed to implementing </w:t>
      </w:r>
      <w:r w:rsidR="00EB574A" w:rsidRPr="00EB574A">
        <w:rPr>
          <w:rFonts w:ascii="Arial" w:hAnsi="Arial" w:cs="Arial"/>
          <w:color w:val="000000" w:themeColor="text1"/>
        </w:rPr>
        <w:t>the action plan</w:t>
      </w:r>
      <w:r w:rsidR="009E643A" w:rsidRPr="00EB574A">
        <w:rPr>
          <w:rFonts w:ascii="Arial" w:hAnsi="Arial" w:cs="Arial"/>
          <w:color w:val="000000" w:themeColor="text1"/>
        </w:rPr>
        <w:t xml:space="preserve"> to continually improve my teaching approach</w:t>
      </w:r>
      <w:r w:rsidR="00EB574A" w:rsidRPr="00EB574A">
        <w:rPr>
          <w:rFonts w:ascii="Arial" w:hAnsi="Arial" w:cs="Arial"/>
          <w:color w:val="000000" w:themeColor="text1"/>
        </w:rPr>
        <w:t>.</w:t>
      </w:r>
      <w:r w:rsidR="009E643A" w:rsidRPr="00EB574A">
        <w:rPr>
          <w:rFonts w:ascii="Arial" w:hAnsi="Arial" w:cs="Arial"/>
          <w:b/>
          <w:color w:val="000000" w:themeColor="text1"/>
        </w:rPr>
        <w:t xml:space="preserve"> </w:t>
      </w:r>
      <w:r w:rsidR="00EB574A" w:rsidRPr="00EB574A">
        <w:rPr>
          <w:rFonts w:ascii="Arial" w:hAnsi="Arial" w:cs="Arial"/>
          <w:b/>
          <w:color w:val="000000" w:themeColor="text1"/>
        </w:rPr>
        <w:t xml:space="preserve"> </w:t>
      </w:r>
    </w:p>
    <w:p w14:paraId="02B8DB03" w14:textId="77777777" w:rsidR="00EB574A" w:rsidRPr="00EB574A" w:rsidRDefault="00EB574A" w:rsidP="004C513F">
      <w:pPr>
        <w:spacing w:line="276" w:lineRule="auto"/>
        <w:jc w:val="both"/>
        <w:rPr>
          <w:rFonts w:ascii="Arial" w:hAnsi="Arial" w:cs="Arial"/>
          <w:b/>
          <w:color w:val="000000" w:themeColor="text1"/>
        </w:rPr>
      </w:pPr>
    </w:p>
    <w:p w14:paraId="65F205FF" w14:textId="07CDF190" w:rsidR="00034870" w:rsidRPr="00E8715D" w:rsidRDefault="00145EB1" w:rsidP="004C513F">
      <w:pPr>
        <w:spacing w:line="276" w:lineRule="auto"/>
        <w:jc w:val="both"/>
        <w:rPr>
          <w:rFonts w:ascii="Arial" w:hAnsi="Arial" w:cs="Arial"/>
          <w:b/>
          <w:color w:val="000000" w:themeColor="text1"/>
        </w:rPr>
      </w:pPr>
      <w:r w:rsidRPr="00E8715D">
        <w:rPr>
          <w:rFonts w:ascii="Arial" w:hAnsi="Arial" w:cs="Arial"/>
          <w:b/>
          <w:color w:val="000000" w:themeColor="text1"/>
        </w:rPr>
        <w:t>Action plan</w:t>
      </w:r>
    </w:p>
    <w:p w14:paraId="5C5B2193" w14:textId="77777777" w:rsidR="0016520B" w:rsidRPr="00E8715D" w:rsidRDefault="00B50676"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In my reflection on the Mandarin Chinese taster session, several key areas for improvement have emerged. Firstly, there is a need to modify the role play format to encourage group interaction, allowing learners to introduce themselves to multiple peers and thereby enhancing overall engagement. </w:t>
      </w:r>
    </w:p>
    <w:p w14:paraId="492B100C" w14:textId="77777777" w:rsidR="0016520B" w:rsidRPr="00E8715D" w:rsidRDefault="00B50676" w:rsidP="004C513F">
      <w:pPr>
        <w:spacing w:line="276" w:lineRule="auto"/>
        <w:jc w:val="both"/>
        <w:rPr>
          <w:rFonts w:ascii="Arial" w:hAnsi="Arial" w:cs="Arial"/>
          <w:color w:val="000000" w:themeColor="text1"/>
        </w:rPr>
      </w:pPr>
      <w:r w:rsidRPr="00E8715D">
        <w:rPr>
          <w:rFonts w:ascii="Arial" w:hAnsi="Arial" w:cs="Arial"/>
          <w:color w:val="000000" w:themeColor="text1"/>
        </w:rPr>
        <w:t xml:space="preserve">Additionally, I </w:t>
      </w:r>
      <w:r w:rsidR="00943C0F" w:rsidRPr="00E8715D">
        <w:rPr>
          <w:rFonts w:ascii="Arial" w:hAnsi="Arial" w:cs="Arial"/>
          <w:color w:val="000000" w:themeColor="text1"/>
        </w:rPr>
        <w:t>recognise</w:t>
      </w:r>
      <w:r w:rsidRPr="00E8715D">
        <w:rPr>
          <w:rFonts w:ascii="Arial" w:hAnsi="Arial" w:cs="Arial"/>
          <w:color w:val="000000" w:themeColor="text1"/>
        </w:rPr>
        <w:t xml:space="preserve"> the importance of developing a more precise sense of time management within the 30-minute session. This involves ensuring a balanced and comprehensive coverage of content to optimi</w:t>
      </w:r>
      <w:r w:rsidR="0016520B" w:rsidRPr="00E8715D">
        <w:rPr>
          <w:rFonts w:ascii="Arial" w:hAnsi="Arial" w:cs="Arial"/>
          <w:color w:val="000000" w:themeColor="text1"/>
        </w:rPr>
        <w:t>s</w:t>
      </w:r>
      <w:r w:rsidRPr="00E8715D">
        <w:rPr>
          <w:rFonts w:ascii="Arial" w:hAnsi="Arial" w:cs="Arial"/>
          <w:color w:val="000000" w:themeColor="text1"/>
        </w:rPr>
        <w:t xml:space="preserve">e the learning experience. </w:t>
      </w:r>
    </w:p>
    <w:p w14:paraId="111CBF27" w14:textId="4FC2BB35" w:rsidR="0016520B" w:rsidRPr="00E8715D" w:rsidRDefault="00EB574A" w:rsidP="004C513F">
      <w:pPr>
        <w:spacing w:line="276" w:lineRule="auto"/>
        <w:jc w:val="both"/>
        <w:rPr>
          <w:rFonts w:ascii="Arial" w:hAnsi="Arial" w:cs="Arial"/>
          <w:color w:val="000000" w:themeColor="text1"/>
        </w:rPr>
      </w:pPr>
      <w:r>
        <w:rPr>
          <w:rFonts w:ascii="Arial" w:hAnsi="Arial" w:cs="Arial"/>
          <w:color w:val="000000" w:themeColor="text1"/>
        </w:rPr>
        <w:t>Furthermore, a</w:t>
      </w:r>
      <w:r w:rsidR="00B50676" w:rsidRPr="00E8715D">
        <w:rPr>
          <w:rFonts w:ascii="Arial" w:hAnsi="Arial" w:cs="Arial"/>
          <w:color w:val="000000" w:themeColor="text1"/>
        </w:rPr>
        <w:t xml:space="preserve">ddressing nervousness at the beginning of a session is another crucial aspect that requires attention. Implementing strategies such as breathing exercises or mindfulness techniques can contribute to enhancing overall confidence. </w:t>
      </w:r>
    </w:p>
    <w:p w14:paraId="5A63E9C2" w14:textId="49EBF069" w:rsidR="0016520B" w:rsidRPr="00E8715D" w:rsidRDefault="00EB574A" w:rsidP="004C513F">
      <w:pPr>
        <w:spacing w:line="276" w:lineRule="auto"/>
        <w:jc w:val="both"/>
        <w:rPr>
          <w:rFonts w:ascii="Arial" w:hAnsi="Arial" w:cs="Arial"/>
          <w:color w:val="000000" w:themeColor="text1"/>
        </w:rPr>
      </w:pPr>
      <w:r>
        <w:rPr>
          <w:rFonts w:ascii="Arial" w:hAnsi="Arial" w:cs="Arial"/>
          <w:color w:val="000000" w:themeColor="text1"/>
        </w:rPr>
        <w:t>Lastly</w:t>
      </w:r>
      <w:r w:rsidR="00B50676" w:rsidRPr="00E8715D">
        <w:rPr>
          <w:rFonts w:ascii="Arial" w:hAnsi="Arial" w:cs="Arial"/>
          <w:color w:val="000000" w:themeColor="text1"/>
        </w:rPr>
        <w:t>, I acknowledge the need to enhance formative feedback by incorporating a formali</w:t>
      </w:r>
      <w:r>
        <w:rPr>
          <w:rFonts w:ascii="Arial" w:hAnsi="Arial" w:cs="Arial"/>
          <w:color w:val="000000" w:themeColor="text1"/>
        </w:rPr>
        <w:t>s</w:t>
      </w:r>
      <w:r w:rsidR="00B50676" w:rsidRPr="00E8715D">
        <w:rPr>
          <w:rFonts w:ascii="Arial" w:hAnsi="Arial" w:cs="Arial"/>
          <w:color w:val="000000" w:themeColor="text1"/>
        </w:rPr>
        <w:t xml:space="preserve">ed approach, even in non-accredited sessions. This will provide learners with a more structured evaluation of their progress and specific areas for improvement. </w:t>
      </w:r>
    </w:p>
    <w:p w14:paraId="68EF2989" w14:textId="7B87985D" w:rsidR="00034870" w:rsidRDefault="00034870" w:rsidP="004C513F">
      <w:pPr>
        <w:spacing w:line="276" w:lineRule="auto"/>
        <w:jc w:val="both"/>
        <w:rPr>
          <w:rFonts w:ascii="Arial" w:hAnsi="Arial" w:cs="Arial"/>
          <w:color w:val="000000" w:themeColor="text1"/>
        </w:rPr>
      </w:pPr>
    </w:p>
    <w:p w14:paraId="1BED34E1" w14:textId="76125069" w:rsidR="00024F5C" w:rsidRDefault="00024F5C" w:rsidP="004C513F">
      <w:pPr>
        <w:spacing w:line="276" w:lineRule="auto"/>
        <w:jc w:val="both"/>
        <w:rPr>
          <w:rFonts w:ascii="Arial" w:hAnsi="Arial" w:cs="Arial"/>
          <w:color w:val="000000" w:themeColor="text1"/>
        </w:rPr>
      </w:pPr>
    </w:p>
    <w:p w14:paraId="37A3C095" w14:textId="201FF876" w:rsidR="00024F5C" w:rsidRDefault="00024F5C" w:rsidP="004C513F">
      <w:pPr>
        <w:spacing w:line="276" w:lineRule="auto"/>
        <w:jc w:val="both"/>
        <w:rPr>
          <w:rFonts w:ascii="Arial" w:hAnsi="Arial" w:cs="Arial"/>
          <w:color w:val="000000" w:themeColor="text1"/>
        </w:rPr>
      </w:pPr>
    </w:p>
    <w:p w14:paraId="058B82AA" w14:textId="7B72CCA6" w:rsidR="00024F5C" w:rsidRDefault="00024F5C" w:rsidP="004C513F">
      <w:pPr>
        <w:spacing w:line="276" w:lineRule="auto"/>
        <w:jc w:val="both"/>
        <w:rPr>
          <w:rFonts w:ascii="Arial" w:hAnsi="Arial" w:cs="Arial"/>
          <w:color w:val="000000" w:themeColor="text1"/>
        </w:rPr>
      </w:pPr>
    </w:p>
    <w:p w14:paraId="7E21FAB5" w14:textId="77777777" w:rsidR="00EB574A" w:rsidRPr="00E8715D" w:rsidRDefault="00EB574A" w:rsidP="004C513F">
      <w:pPr>
        <w:spacing w:line="276" w:lineRule="auto"/>
        <w:jc w:val="both"/>
        <w:rPr>
          <w:rFonts w:ascii="Arial" w:hAnsi="Arial" w:cs="Arial"/>
          <w:color w:val="000000" w:themeColor="text1"/>
        </w:rPr>
      </w:pPr>
    </w:p>
    <w:p w14:paraId="3A196C00" w14:textId="77777777" w:rsidR="00034870" w:rsidRPr="00E8715D" w:rsidRDefault="00034870" w:rsidP="004C513F">
      <w:pPr>
        <w:spacing w:line="276" w:lineRule="auto"/>
        <w:jc w:val="both"/>
        <w:rPr>
          <w:rFonts w:ascii="Arial" w:hAnsi="Arial" w:cs="Arial"/>
          <w:color w:val="000000" w:themeColor="text1"/>
        </w:rPr>
      </w:pPr>
    </w:p>
    <w:p w14:paraId="7C50FFCF" w14:textId="7B796794" w:rsidR="00034870" w:rsidRPr="00E8715D" w:rsidRDefault="00034870" w:rsidP="004C513F">
      <w:pPr>
        <w:spacing w:line="276" w:lineRule="auto"/>
        <w:jc w:val="both"/>
        <w:rPr>
          <w:rFonts w:ascii="Arial" w:hAnsi="Arial" w:cs="Arial"/>
          <w:b/>
          <w:color w:val="000000" w:themeColor="text1"/>
        </w:rPr>
      </w:pPr>
      <w:r w:rsidRPr="00E8715D">
        <w:rPr>
          <w:rFonts w:ascii="Arial" w:hAnsi="Arial" w:cs="Arial"/>
          <w:b/>
          <w:color w:val="000000" w:themeColor="text1"/>
        </w:rPr>
        <w:lastRenderedPageBreak/>
        <w:t>Reference</w:t>
      </w:r>
      <w:r w:rsidR="00024F5C">
        <w:rPr>
          <w:rFonts w:ascii="Arial" w:hAnsi="Arial" w:cs="Arial"/>
          <w:b/>
          <w:color w:val="000000" w:themeColor="text1"/>
        </w:rPr>
        <w:t xml:space="preserve"> List</w:t>
      </w:r>
    </w:p>
    <w:p w14:paraId="1DF603C4" w14:textId="54120235" w:rsidR="00981054" w:rsidRPr="00224392" w:rsidRDefault="00981054" w:rsidP="00224392">
      <w:pPr>
        <w:pStyle w:val="NormalWeb"/>
        <w:numPr>
          <w:ilvl w:val="0"/>
          <w:numId w:val="1"/>
        </w:numPr>
        <w:spacing w:line="360" w:lineRule="auto"/>
        <w:rPr>
          <w:rFonts w:ascii="Arial" w:hAnsi="Arial" w:cs="Arial"/>
          <w:color w:val="000000" w:themeColor="text1"/>
          <w:sz w:val="22"/>
          <w:szCs w:val="22"/>
        </w:rPr>
      </w:pPr>
      <w:r w:rsidRPr="00981054">
        <w:rPr>
          <w:rFonts w:ascii="Arial" w:hAnsi="Arial" w:cs="Arial"/>
          <w:color w:val="000000" w:themeColor="text1"/>
          <w:sz w:val="22"/>
          <w:szCs w:val="22"/>
        </w:rPr>
        <w:t xml:space="preserve">Black, P., &amp; </w:t>
      </w:r>
      <w:proofErr w:type="spellStart"/>
      <w:r w:rsidRPr="00981054">
        <w:rPr>
          <w:rFonts w:ascii="Arial" w:hAnsi="Arial" w:cs="Arial"/>
          <w:color w:val="000000" w:themeColor="text1"/>
          <w:sz w:val="22"/>
          <w:szCs w:val="22"/>
        </w:rPr>
        <w:t>Wiliam</w:t>
      </w:r>
      <w:proofErr w:type="spellEnd"/>
      <w:r w:rsidRPr="00981054">
        <w:rPr>
          <w:rFonts w:ascii="Arial" w:hAnsi="Arial" w:cs="Arial"/>
          <w:color w:val="000000" w:themeColor="text1"/>
          <w:sz w:val="22"/>
          <w:szCs w:val="22"/>
        </w:rPr>
        <w:t>, D. (1998). Assessment and classroom learning. Assessment in Education: Principles, Policy &amp; Practice, 5(1), 7–74.</w:t>
      </w:r>
      <w:r w:rsidR="00224392">
        <w:rPr>
          <w:rFonts w:ascii="Arial" w:hAnsi="Arial" w:cs="Arial"/>
          <w:color w:val="000000" w:themeColor="text1"/>
          <w:sz w:val="22"/>
          <w:szCs w:val="22"/>
        </w:rPr>
        <w:br/>
      </w:r>
    </w:p>
    <w:p w14:paraId="01FB37EC" w14:textId="51EB9547" w:rsidR="00981054" w:rsidRDefault="00981054" w:rsidP="00224392">
      <w:pPr>
        <w:pStyle w:val="NormalWeb"/>
        <w:numPr>
          <w:ilvl w:val="0"/>
          <w:numId w:val="1"/>
        </w:numPr>
        <w:spacing w:line="360" w:lineRule="auto"/>
        <w:rPr>
          <w:rFonts w:ascii="Arial" w:hAnsi="Arial" w:cs="Arial"/>
          <w:color w:val="000000" w:themeColor="text1"/>
          <w:sz w:val="22"/>
          <w:szCs w:val="22"/>
        </w:rPr>
      </w:pPr>
      <w:r w:rsidRPr="00981054">
        <w:rPr>
          <w:rFonts w:ascii="Arial" w:hAnsi="Arial" w:cs="Arial"/>
          <w:color w:val="000000" w:themeColor="text1"/>
          <w:sz w:val="22"/>
          <w:szCs w:val="22"/>
        </w:rPr>
        <w:t>Brookfield, S. D. (2015). The Skillful Teacher: On Technique, Trust, and Responsiveness in the Classroom. Jossey-Bass.</w:t>
      </w:r>
      <w:r w:rsidR="00224392">
        <w:rPr>
          <w:rFonts w:ascii="Arial" w:hAnsi="Arial" w:cs="Arial"/>
          <w:color w:val="000000" w:themeColor="text1"/>
          <w:sz w:val="22"/>
          <w:szCs w:val="22"/>
        </w:rPr>
        <w:br/>
      </w:r>
    </w:p>
    <w:p w14:paraId="098C6F9F" w14:textId="55CA9F75" w:rsidR="00981054" w:rsidRPr="00981054" w:rsidRDefault="00981054" w:rsidP="00224392">
      <w:pPr>
        <w:pStyle w:val="NormalWeb"/>
        <w:numPr>
          <w:ilvl w:val="0"/>
          <w:numId w:val="1"/>
        </w:numPr>
        <w:spacing w:line="360" w:lineRule="auto"/>
        <w:rPr>
          <w:rFonts w:ascii="Arial" w:hAnsi="Arial" w:cs="Arial"/>
          <w:color w:val="000000" w:themeColor="text1"/>
          <w:sz w:val="22"/>
          <w:szCs w:val="22"/>
        </w:rPr>
      </w:pPr>
      <w:r w:rsidRPr="00981054">
        <w:rPr>
          <w:rFonts w:ascii="Arial" w:hAnsi="Arial" w:cs="Arial"/>
          <w:color w:val="000000" w:themeColor="text1"/>
          <w:sz w:val="22"/>
          <w:szCs w:val="22"/>
        </w:rPr>
        <w:t>Code of Professional Conduct and Practice for registrants with the Education Workforce Council (EWC). (2023). [Online] Available at: https://www.ewc.wales/site/index.php/en/documents-eng/fitness-to-practise/code-of-professional-conduct-and-practice/37-j16540-ewc-code-of-professional-conduct-e-web-1-1/file.</w:t>
      </w:r>
      <w:r w:rsidR="00224392">
        <w:rPr>
          <w:rFonts w:ascii="Arial" w:hAnsi="Arial" w:cs="Arial"/>
          <w:color w:val="000000" w:themeColor="text1"/>
          <w:sz w:val="22"/>
          <w:szCs w:val="22"/>
        </w:rPr>
        <w:br/>
      </w:r>
    </w:p>
    <w:p w14:paraId="2CEB17BF" w14:textId="59541D19" w:rsidR="00981054" w:rsidRPr="00224392" w:rsidRDefault="00981054" w:rsidP="00224392">
      <w:pPr>
        <w:pStyle w:val="NormalWeb"/>
        <w:numPr>
          <w:ilvl w:val="0"/>
          <w:numId w:val="1"/>
        </w:numPr>
        <w:spacing w:line="360" w:lineRule="auto"/>
        <w:rPr>
          <w:rFonts w:ascii="Arial" w:hAnsi="Arial" w:cs="Arial"/>
          <w:color w:val="000000" w:themeColor="text1"/>
          <w:sz w:val="22"/>
          <w:szCs w:val="22"/>
        </w:rPr>
      </w:pPr>
      <w:r w:rsidRPr="00981054">
        <w:rPr>
          <w:rFonts w:ascii="Arial" w:hAnsi="Arial" w:cs="Arial"/>
          <w:color w:val="000000" w:themeColor="text1"/>
          <w:sz w:val="22"/>
          <w:szCs w:val="22"/>
        </w:rPr>
        <w:t>Day, C., Sammons, P., &amp; Biddle, B. (2007). The personal and professional selves of teachers: Stable and unstable identities. British Educational Research Journal, 33(4), 601–616.</w:t>
      </w:r>
      <w:r w:rsidR="00224392">
        <w:rPr>
          <w:rFonts w:ascii="Arial" w:hAnsi="Arial" w:cs="Arial"/>
          <w:color w:val="000000" w:themeColor="text1"/>
          <w:sz w:val="22"/>
          <w:szCs w:val="22"/>
        </w:rPr>
        <w:br/>
      </w:r>
    </w:p>
    <w:p w14:paraId="1B891AE4" w14:textId="0AED40DF" w:rsidR="00981054" w:rsidRPr="00224392" w:rsidRDefault="00981054" w:rsidP="00224392">
      <w:pPr>
        <w:pStyle w:val="NormalWeb"/>
        <w:numPr>
          <w:ilvl w:val="0"/>
          <w:numId w:val="1"/>
        </w:numPr>
        <w:spacing w:line="360" w:lineRule="auto"/>
        <w:rPr>
          <w:rFonts w:ascii="Arial" w:hAnsi="Arial" w:cs="Arial"/>
          <w:color w:val="000000" w:themeColor="text1"/>
          <w:sz w:val="22"/>
          <w:szCs w:val="22"/>
        </w:rPr>
      </w:pPr>
      <w:r w:rsidRPr="00981054">
        <w:rPr>
          <w:rFonts w:ascii="Arial" w:hAnsi="Arial" w:cs="Arial"/>
          <w:color w:val="000000" w:themeColor="text1"/>
          <w:sz w:val="22"/>
          <w:szCs w:val="22"/>
        </w:rPr>
        <w:t>Dewey, J. (1933). How We Think: A Restatement of the Relation of Reflective Thinking to the Educative Process. D. C. Heath and Company.</w:t>
      </w:r>
      <w:r w:rsidR="00224392">
        <w:rPr>
          <w:rFonts w:ascii="Arial" w:hAnsi="Arial" w:cs="Arial"/>
          <w:color w:val="000000" w:themeColor="text1"/>
          <w:sz w:val="22"/>
          <w:szCs w:val="22"/>
        </w:rPr>
        <w:br/>
      </w:r>
      <w:bookmarkStart w:id="0" w:name="_GoBack"/>
      <w:bookmarkEnd w:id="0"/>
    </w:p>
    <w:p w14:paraId="215FC8C4" w14:textId="65C9A470" w:rsidR="00117402" w:rsidRPr="00117402" w:rsidRDefault="00981054" w:rsidP="00224392">
      <w:pPr>
        <w:pStyle w:val="NormalWeb"/>
        <w:numPr>
          <w:ilvl w:val="0"/>
          <w:numId w:val="1"/>
        </w:numPr>
        <w:spacing w:line="360" w:lineRule="auto"/>
        <w:rPr>
          <w:rFonts w:ascii="Arial" w:hAnsi="Arial" w:cs="Arial"/>
          <w:color w:val="000000" w:themeColor="text1"/>
          <w:sz w:val="22"/>
          <w:szCs w:val="22"/>
        </w:rPr>
      </w:pPr>
      <w:r w:rsidRPr="00981054">
        <w:rPr>
          <w:rFonts w:ascii="Arial" w:hAnsi="Arial" w:cs="Arial"/>
          <w:color w:val="000000" w:themeColor="text1"/>
          <w:sz w:val="22"/>
          <w:szCs w:val="22"/>
        </w:rPr>
        <w:t>Marzano, R. J. (2007). The Art and Science of Teaching. ASCD.</w:t>
      </w:r>
      <w:r w:rsidR="00117402">
        <w:rPr>
          <w:rFonts w:ascii="Arial" w:hAnsi="Arial" w:cs="Arial"/>
          <w:color w:val="000000" w:themeColor="text1"/>
          <w:sz w:val="22"/>
          <w:szCs w:val="22"/>
        </w:rPr>
        <w:br/>
      </w:r>
    </w:p>
    <w:p w14:paraId="2FDE8FFF" w14:textId="67E56110" w:rsidR="00981054" w:rsidRPr="00224392" w:rsidRDefault="00117402" w:rsidP="00224392">
      <w:pPr>
        <w:pStyle w:val="NormalWeb"/>
        <w:numPr>
          <w:ilvl w:val="0"/>
          <w:numId w:val="1"/>
        </w:numPr>
        <w:spacing w:line="360" w:lineRule="auto"/>
        <w:rPr>
          <w:rFonts w:ascii="Arial" w:hAnsi="Arial" w:cs="Arial"/>
          <w:color w:val="000000" w:themeColor="text1"/>
          <w:sz w:val="22"/>
          <w:szCs w:val="22"/>
        </w:rPr>
      </w:pPr>
      <w:r w:rsidRPr="00117402">
        <w:rPr>
          <w:rFonts w:ascii="Arial" w:hAnsi="Arial" w:cs="Arial"/>
          <w:color w:val="000000" w:themeColor="text1"/>
          <w:sz w:val="22"/>
          <w:szCs w:val="22"/>
        </w:rPr>
        <w:t>Smith, J. (2015). Enhancing Teaching Through Reflective Practice. Publisher.</w:t>
      </w:r>
      <w:r w:rsidR="00224392">
        <w:rPr>
          <w:rFonts w:ascii="Arial" w:hAnsi="Arial" w:cs="Arial"/>
          <w:color w:val="000000" w:themeColor="text1"/>
          <w:sz w:val="22"/>
          <w:szCs w:val="22"/>
        </w:rPr>
        <w:br/>
      </w:r>
    </w:p>
    <w:p w14:paraId="4EBB4DFC" w14:textId="0846F970" w:rsidR="003A2A39" w:rsidRPr="004C513F" w:rsidRDefault="00981054" w:rsidP="00224392">
      <w:pPr>
        <w:pStyle w:val="NormalWeb"/>
        <w:numPr>
          <w:ilvl w:val="0"/>
          <w:numId w:val="1"/>
        </w:numPr>
        <w:spacing w:line="360" w:lineRule="auto"/>
        <w:rPr>
          <w:color w:val="000000" w:themeColor="text1"/>
        </w:rPr>
      </w:pPr>
      <w:proofErr w:type="spellStart"/>
      <w:r w:rsidRPr="00981054">
        <w:rPr>
          <w:rFonts w:ascii="Arial" w:hAnsi="Arial" w:cs="Arial"/>
          <w:color w:val="000000" w:themeColor="text1"/>
          <w:sz w:val="22"/>
          <w:szCs w:val="22"/>
        </w:rPr>
        <w:t>Tschannen</w:t>
      </w:r>
      <w:proofErr w:type="spellEnd"/>
      <w:r w:rsidRPr="00981054">
        <w:rPr>
          <w:rFonts w:ascii="Arial" w:hAnsi="Arial" w:cs="Arial"/>
          <w:color w:val="000000" w:themeColor="text1"/>
          <w:sz w:val="22"/>
          <w:szCs w:val="22"/>
        </w:rPr>
        <w:t>-Moran, M., &amp; Woolfolk Hoy, A. (2001). Teacher efficacy: Capturing an elusive construct. Teaching and Teacher Education, 17(7), 783–805.</w:t>
      </w:r>
    </w:p>
    <w:p w14:paraId="2829D1D4" w14:textId="163D2308" w:rsidR="00034870" w:rsidRPr="004C513F" w:rsidRDefault="00034870" w:rsidP="00B04444">
      <w:pPr>
        <w:rPr>
          <w:color w:val="000000" w:themeColor="text1"/>
        </w:rPr>
      </w:pPr>
    </w:p>
    <w:sectPr w:rsidR="00034870" w:rsidRPr="004C51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633CA3"/>
    <w:multiLevelType w:val="hybridMultilevel"/>
    <w:tmpl w:val="ED1AB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870"/>
    <w:rsid w:val="00024F5C"/>
    <w:rsid w:val="00027D6D"/>
    <w:rsid w:val="00034870"/>
    <w:rsid w:val="00081776"/>
    <w:rsid w:val="00117402"/>
    <w:rsid w:val="00133120"/>
    <w:rsid w:val="00145EB1"/>
    <w:rsid w:val="0016520B"/>
    <w:rsid w:val="00195C29"/>
    <w:rsid w:val="00224392"/>
    <w:rsid w:val="00254B00"/>
    <w:rsid w:val="00322A2E"/>
    <w:rsid w:val="003A2A39"/>
    <w:rsid w:val="00434180"/>
    <w:rsid w:val="004B27D6"/>
    <w:rsid w:val="004C513F"/>
    <w:rsid w:val="00567A93"/>
    <w:rsid w:val="00847240"/>
    <w:rsid w:val="00896DA0"/>
    <w:rsid w:val="008D3D00"/>
    <w:rsid w:val="008D672E"/>
    <w:rsid w:val="00901383"/>
    <w:rsid w:val="00943C0F"/>
    <w:rsid w:val="00981054"/>
    <w:rsid w:val="009C1541"/>
    <w:rsid w:val="009E643A"/>
    <w:rsid w:val="00B04444"/>
    <w:rsid w:val="00B50676"/>
    <w:rsid w:val="00C54444"/>
    <w:rsid w:val="00DC00A9"/>
    <w:rsid w:val="00E003AC"/>
    <w:rsid w:val="00E8715D"/>
    <w:rsid w:val="00EB5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A4273"/>
  <w15:chartTrackingRefBased/>
  <w15:docId w15:val="{25361304-5965-41AE-B3A7-E83872A31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138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Normal"/>
    <w:link w:val="TitleChar"/>
    <w:uiPriority w:val="10"/>
    <w:qFormat/>
    <w:rsid w:val="00027D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D6D"/>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433019">
      <w:bodyDiv w:val="1"/>
      <w:marLeft w:val="0"/>
      <w:marRight w:val="0"/>
      <w:marTop w:val="0"/>
      <w:marBottom w:val="0"/>
      <w:divBdr>
        <w:top w:val="none" w:sz="0" w:space="0" w:color="auto"/>
        <w:left w:val="none" w:sz="0" w:space="0" w:color="auto"/>
        <w:bottom w:val="none" w:sz="0" w:space="0" w:color="auto"/>
        <w:right w:val="none" w:sz="0" w:space="0" w:color="auto"/>
      </w:divBdr>
    </w:div>
    <w:div w:id="1169564379">
      <w:bodyDiv w:val="1"/>
      <w:marLeft w:val="0"/>
      <w:marRight w:val="0"/>
      <w:marTop w:val="0"/>
      <w:marBottom w:val="0"/>
      <w:divBdr>
        <w:top w:val="none" w:sz="0" w:space="0" w:color="auto"/>
        <w:left w:val="none" w:sz="0" w:space="0" w:color="auto"/>
        <w:bottom w:val="none" w:sz="0" w:space="0" w:color="auto"/>
        <w:right w:val="none" w:sz="0" w:space="0" w:color="auto"/>
      </w:divBdr>
    </w:div>
    <w:div w:id="1178077684">
      <w:bodyDiv w:val="1"/>
      <w:marLeft w:val="0"/>
      <w:marRight w:val="0"/>
      <w:marTop w:val="0"/>
      <w:marBottom w:val="0"/>
      <w:divBdr>
        <w:top w:val="none" w:sz="0" w:space="0" w:color="auto"/>
        <w:left w:val="none" w:sz="0" w:space="0" w:color="auto"/>
        <w:bottom w:val="none" w:sz="0" w:space="0" w:color="auto"/>
        <w:right w:val="none" w:sz="0" w:space="0" w:color="auto"/>
      </w:divBdr>
    </w:div>
    <w:div w:id="1843617269">
      <w:bodyDiv w:val="1"/>
      <w:marLeft w:val="0"/>
      <w:marRight w:val="0"/>
      <w:marTop w:val="0"/>
      <w:marBottom w:val="0"/>
      <w:divBdr>
        <w:top w:val="none" w:sz="0" w:space="0" w:color="auto"/>
        <w:left w:val="none" w:sz="0" w:space="0" w:color="auto"/>
        <w:bottom w:val="none" w:sz="0" w:space="0" w:color="auto"/>
        <w:right w:val="none" w:sz="0" w:space="0" w:color="auto"/>
      </w:divBdr>
    </w:div>
    <w:div w:id="21138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ece16e-bb95-4267-a96a-a17d911bcb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6A59462F677545B4B7D706893E5239" ma:contentTypeVersion="13" ma:contentTypeDescription="Create a new document." ma:contentTypeScope="" ma:versionID="dca214e16063a76eb22d6ff5988676f2">
  <xsd:schema xmlns:xsd="http://www.w3.org/2001/XMLSchema" xmlns:xs="http://www.w3.org/2001/XMLSchema" xmlns:p="http://schemas.microsoft.com/office/2006/metadata/properties" xmlns:ns3="ccece16e-bb95-4267-a96a-a17d911bcbef" targetNamespace="http://schemas.microsoft.com/office/2006/metadata/properties" ma:root="true" ma:fieldsID="1eec93b9cd3178cf6bc6bc27803fd1e3" ns3:_="">
    <xsd:import namespace="ccece16e-bb95-4267-a96a-a17d911bcb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ce16e-bb95-4267-a96a-a17d911bc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3D8C19-EAA9-40A3-9044-A11F46332ED3}">
  <ds:schemaRefs>
    <ds:schemaRef ds:uri="http://purl.org/dc/terms/"/>
    <ds:schemaRef ds:uri="http://purl.org/dc/elements/1.1/"/>
    <ds:schemaRef ds:uri="http://schemas.microsoft.com/office/2006/metadata/properties"/>
    <ds:schemaRef ds:uri="http://www.w3.org/XML/1998/namespace"/>
    <ds:schemaRef ds:uri="http://schemas.microsoft.com/office/infopath/2007/PartnerControls"/>
    <ds:schemaRef ds:uri="http://purl.org/dc/dcmitype/"/>
    <ds:schemaRef ds:uri="ccece16e-bb95-4267-a96a-a17d911bcbef"/>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8E65E2EA-A39D-4800-A3AF-2FEB1CE7D4BC}">
  <ds:schemaRefs>
    <ds:schemaRef ds:uri="http://schemas.microsoft.com/sharepoint/v3/contenttype/forms"/>
  </ds:schemaRefs>
</ds:datastoreItem>
</file>

<file path=customXml/itemProps3.xml><?xml version="1.0" encoding="utf-8"?>
<ds:datastoreItem xmlns:ds="http://schemas.openxmlformats.org/officeDocument/2006/customXml" ds:itemID="{D4E94E99-8CAC-409D-B4A2-426C0A2A0D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ce16e-bb95-4267-a96a-a17d911bcb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1358</Words>
  <Characters>7744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Clement</dc:creator>
  <cp:keywords/>
  <dc:description/>
  <cp:lastModifiedBy>Cathryn Clement</cp:lastModifiedBy>
  <cp:revision>6</cp:revision>
  <dcterms:created xsi:type="dcterms:W3CDTF">2023-12-13T20:17:00Z</dcterms:created>
  <dcterms:modified xsi:type="dcterms:W3CDTF">2023-12-13T22:03:00Z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0x010100806A59462F677545B4B7D706893E5239</vt:lpwstr>
  </property>
</Properties>
</file>