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theme/theme1.xml" ContentType="application/vnd.openxmlformats-officedocument.them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1"/>
        </w:numPr>
        <w:spacing w:before="240" w:after="120"/>
        <w:ind w:hanging="0" w:left="0"/>
        <w:rPr/>
      </w:pPr>
      <w:r>
        <w:rPr/>
        <w:t>Crusades in a Nutshell</w:t>
      </w:r>
    </w:p>
    <w:p>
      <w:pPr>
        <w:pStyle w:val="Heading2"/>
        <w:numPr>
          <w:ilvl w:val="1"/>
          <w:numId w:val="2"/>
        </w:numPr>
        <w:rPr/>
      </w:pPr>
      <w:r>
        <w:rPr/>
        <w:t>First Crusade (1095–1099)</w:t>
      </w:r>
    </w:p>
    <w:p>
      <w:pPr>
        <w:pStyle w:val="Heading3"/>
        <w:numPr>
          <w:ilvl w:val="2"/>
          <w:numId w:val="2"/>
        </w:numPr>
        <w:rPr/>
      </w:pPr>
      <w:r>
        <w:rPr/>
        <w:t>Events leading to:</w:t>
      </w:r>
    </w:p>
    <w:p>
      <w:pPr>
        <w:pStyle w:val="Normal"/>
        <w:numPr>
          <w:ilvl w:val="0"/>
          <w:numId w:val="4"/>
        </w:numPr>
        <w:spacing w:lineRule="auto" w:line="276" w:before="0" w:after="0"/>
        <w:rPr>
          <w:rFonts w:ascii="Gill Sans" w:hAnsi="Gill Sans"/>
        </w:rPr>
      </w:pPr>
      <w:r>
        <w:rPr>
          <w:rFonts w:ascii="Gill Sans" w:hAnsi="Gill Sans"/>
        </w:rPr>
        <w:t>1054 Schism</w:t>
      </w:r>
    </w:p>
    <w:p>
      <w:pPr>
        <w:pStyle w:val="Normal"/>
        <w:numPr>
          <w:ilvl w:val="0"/>
          <w:numId w:val="4"/>
        </w:numPr>
        <w:spacing w:lineRule="auto" w:line="276" w:before="0" w:after="0"/>
        <w:rPr>
          <w:rFonts w:ascii="Gill Sans" w:hAnsi="Gill Sans"/>
        </w:rPr>
      </w:pPr>
      <w:r>
        <w:rPr>
          <w:rFonts w:ascii="Gill Sans" w:hAnsi="Gill Sans"/>
        </w:rPr>
        <w:t>1071 Manzikert</w:t>
      </w:r>
    </w:p>
    <w:p>
      <w:pPr>
        <w:pStyle w:val="Normal"/>
        <w:numPr>
          <w:ilvl w:val="0"/>
          <w:numId w:val="4"/>
        </w:numPr>
        <w:spacing w:lineRule="auto" w:line="276" w:before="0" w:after="0"/>
        <w:rPr>
          <w:rFonts w:ascii="Gill Sans" w:hAnsi="Gill Sans"/>
        </w:rPr>
      </w:pPr>
      <w:r>
        <w:rPr>
          <w:rFonts w:ascii="Gill Sans" w:hAnsi="Gill Sans"/>
        </w:rPr>
        <w:t>1084 Antioch</w:t>
      </w:r>
    </w:p>
    <w:p>
      <w:pPr>
        <w:pStyle w:val="Normal"/>
        <w:numPr>
          <w:ilvl w:val="0"/>
          <w:numId w:val="4"/>
        </w:numPr>
        <w:spacing w:lineRule="auto" w:line="276" w:before="0" w:after="0"/>
        <w:rPr>
          <w:rFonts w:ascii="Gill Sans" w:hAnsi="Gill Sans"/>
        </w:rPr>
      </w:pPr>
      <w:r>
        <w:rPr>
          <w:rFonts w:ascii="Gill Sans" w:hAnsi="Gill Sans"/>
        </w:rPr>
        <w:t>Gregorian reforms</w:t>
      </w:r>
    </w:p>
    <w:p>
      <w:pPr>
        <w:pStyle w:val="Normal"/>
        <w:numPr>
          <w:ilvl w:val="0"/>
          <w:numId w:val="4"/>
        </w:numPr>
        <w:spacing w:lineRule="auto" w:line="276" w:before="0" w:after="0"/>
        <w:rPr>
          <w:rFonts w:ascii="Gill Sans" w:hAnsi="Gill Sans"/>
        </w:rPr>
      </w:pPr>
      <w:r>
        <w:rPr>
          <w:rFonts w:ascii="Gill Sans" w:hAnsi="Gill Sans"/>
        </w:rPr>
        <w:t>1095 Council of Clermont</w:t>
      </w:r>
    </w:p>
    <w:p>
      <w:pPr>
        <w:pStyle w:val="Heading3"/>
        <w:numPr>
          <w:ilvl w:val="2"/>
          <w:numId w:val="2"/>
        </w:numPr>
        <w:rPr/>
      </w:pPr>
      <w:r>
        <w:rPr/>
        <w:t>Key figures:</w:t>
      </w:r>
    </w:p>
    <w:p>
      <w:pPr>
        <w:sectPr>
          <w:type w:val="nextPage"/>
          <w:pgSz w:w="11906" w:h="16838"/>
          <w:pgMar w:left="1440" w:right="1440" w:gutter="0" w:header="0" w:top="1440" w:footer="0" w:bottom="1440"/>
          <w:pgNumType w:fmt="decimal"/>
          <w:formProt w:val="false"/>
          <w:textDirection w:val="lrTb"/>
          <w:docGrid w:type="default" w:linePitch="360" w:charSpace="4096"/>
        </w:sectPr>
      </w:pPr>
    </w:p>
    <w:p>
      <w:pPr>
        <w:pStyle w:val="ListParagraph"/>
        <w:numPr>
          <w:ilvl w:val="0"/>
          <w:numId w:val="3"/>
        </w:numPr>
        <w:spacing w:lineRule="auto" w:line="276" w:before="0" w:after="0"/>
        <w:contextualSpacing/>
        <w:rPr>
          <w:rFonts w:ascii="Gill Sans" w:hAnsi="Gill Sans"/>
        </w:rPr>
      </w:pPr>
      <w:r>
        <w:rPr>
          <w:rFonts w:ascii="Gill Sans" w:hAnsi="Gill Sans"/>
        </w:rPr>
        <w:t>Alexius I Komnenos</w:t>
      </w:r>
    </w:p>
    <w:p>
      <w:pPr>
        <w:pStyle w:val="ListParagraph"/>
        <w:numPr>
          <w:ilvl w:val="0"/>
          <w:numId w:val="3"/>
        </w:numPr>
        <w:spacing w:lineRule="auto" w:line="276" w:before="0" w:after="0"/>
        <w:contextualSpacing/>
        <w:rPr>
          <w:rFonts w:ascii="Gill Sans" w:hAnsi="Gill Sans"/>
        </w:rPr>
      </w:pPr>
      <w:r>
        <w:rPr>
          <w:rFonts w:ascii="Gill Sans" w:hAnsi="Gill Sans"/>
        </w:rPr>
        <w:t>Pope Urban II</w:t>
      </w:r>
    </w:p>
    <w:p>
      <w:pPr>
        <w:pStyle w:val="ListParagraph"/>
        <w:numPr>
          <w:ilvl w:val="0"/>
          <w:numId w:val="3"/>
        </w:numPr>
        <w:spacing w:lineRule="auto" w:line="276" w:before="0" w:after="0"/>
        <w:contextualSpacing/>
        <w:rPr>
          <w:rFonts w:ascii="Gill Sans" w:hAnsi="Gill Sans"/>
        </w:rPr>
      </w:pPr>
      <w:r>
        <w:rPr>
          <w:rFonts w:ascii="Gill Sans" w:hAnsi="Gill Sans"/>
        </w:rPr>
        <w:t>Kerbogah (atabeg of Mosul)</w:t>
      </w:r>
    </w:p>
    <w:p>
      <w:pPr>
        <w:pStyle w:val="ListParagraph"/>
        <w:numPr>
          <w:ilvl w:val="0"/>
          <w:numId w:val="3"/>
        </w:numPr>
        <w:spacing w:lineRule="auto" w:line="276" w:before="0" w:after="0"/>
        <w:contextualSpacing/>
        <w:rPr>
          <w:rFonts w:ascii="Gill Sans" w:hAnsi="Gill Sans"/>
        </w:rPr>
      </w:pPr>
      <w:r>
        <w:rPr>
          <w:rFonts w:ascii="Gill Sans" w:hAnsi="Gill Sans"/>
        </w:rPr>
        <w:t>Kilij Arslan (Sultan of Rum)</w:t>
      </w:r>
    </w:p>
    <w:p>
      <w:pPr>
        <w:pStyle w:val="ListParagraph"/>
        <w:numPr>
          <w:ilvl w:val="0"/>
          <w:numId w:val="3"/>
        </w:numPr>
        <w:spacing w:lineRule="auto" w:line="276" w:before="0" w:after="0"/>
        <w:contextualSpacing/>
        <w:rPr>
          <w:rFonts w:ascii="Gill Sans" w:hAnsi="Gill Sans"/>
        </w:rPr>
      </w:pPr>
      <w:r>
        <w:rPr>
          <w:rFonts w:ascii="Gill Sans" w:hAnsi="Gill Sans"/>
        </w:rPr>
        <w:t>Firuz</w:t>
      </w:r>
    </w:p>
    <w:p>
      <w:pPr>
        <w:pStyle w:val="ListParagraph"/>
        <w:numPr>
          <w:ilvl w:val="0"/>
          <w:numId w:val="3"/>
        </w:numPr>
        <w:spacing w:lineRule="auto" w:line="276" w:before="0" w:after="0"/>
        <w:contextualSpacing/>
        <w:rPr>
          <w:rFonts w:ascii="Gill Sans" w:hAnsi="Gill Sans"/>
        </w:rPr>
      </w:pPr>
      <w:r>
        <w:rPr>
          <w:rFonts w:ascii="Gill Sans" w:hAnsi="Gill Sans"/>
        </w:rPr>
        <w:t xml:space="preserve">Peter the Hermit </w:t>
      </w:r>
    </w:p>
    <w:p>
      <w:pPr>
        <w:pStyle w:val="ListParagraph"/>
        <w:numPr>
          <w:ilvl w:val="0"/>
          <w:numId w:val="3"/>
        </w:numPr>
        <w:spacing w:lineRule="auto" w:line="276" w:before="0" w:after="0"/>
        <w:contextualSpacing/>
        <w:rPr>
          <w:rFonts w:ascii="Gill Sans" w:hAnsi="Gill Sans"/>
        </w:rPr>
      </w:pPr>
      <w:r>
        <w:rPr>
          <w:rFonts w:ascii="Gill Sans" w:hAnsi="Gill Sans"/>
        </w:rPr>
        <w:t>Walter Sansavoir</w:t>
      </w:r>
    </w:p>
    <w:p>
      <w:pPr>
        <w:pStyle w:val="ListParagraph"/>
        <w:numPr>
          <w:ilvl w:val="0"/>
          <w:numId w:val="3"/>
        </w:numPr>
        <w:spacing w:lineRule="auto" w:line="276" w:before="0" w:after="0"/>
        <w:contextualSpacing/>
        <w:rPr>
          <w:rFonts w:ascii="Gill Sans" w:hAnsi="Gill Sans"/>
        </w:rPr>
      </w:pPr>
      <w:r>
        <w:rPr>
          <w:rFonts w:ascii="Gill Sans" w:hAnsi="Gill Sans"/>
        </w:rPr>
        <w:t>Bohemond of Taranto</w:t>
      </w:r>
    </w:p>
    <w:p>
      <w:pPr>
        <w:pStyle w:val="ListParagraph"/>
        <w:numPr>
          <w:ilvl w:val="0"/>
          <w:numId w:val="3"/>
        </w:numPr>
        <w:spacing w:lineRule="auto" w:line="276" w:before="0" w:after="0"/>
        <w:contextualSpacing/>
        <w:rPr>
          <w:rFonts w:ascii="Gill Sans" w:hAnsi="Gill Sans"/>
        </w:rPr>
      </w:pPr>
      <w:r>
        <w:rPr>
          <w:rFonts w:ascii="Gill Sans" w:hAnsi="Gill Sans"/>
        </w:rPr>
        <w:t>Raymond of Toulouse</w:t>
      </w:r>
    </w:p>
    <w:p>
      <w:pPr>
        <w:pStyle w:val="ListParagraph"/>
        <w:numPr>
          <w:ilvl w:val="0"/>
          <w:numId w:val="3"/>
        </w:numPr>
        <w:spacing w:lineRule="auto" w:line="276" w:before="0" w:after="0"/>
        <w:contextualSpacing/>
        <w:rPr>
          <w:rFonts w:ascii="Gill Sans" w:hAnsi="Gill Sans"/>
        </w:rPr>
      </w:pPr>
      <w:r>
        <w:rPr>
          <w:rFonts w:ascii="Gill Sans" w:hAnsi="Gill Sans"/>
        </w:rPr>
        <w:t>Robert Curthose</w:t>
      </w:r>
    </w:p>
    <w:p>
      <w:pPr>
        <w:pStyle w:val="ListParagraph"/>
        <w:numPr>
          <w:ilvl w:val="0"/>
          <w:numId w:val="3"/>
        </w:numPr>
        <w:spacing w:lineRule="auto" w:line="276" w:before="0" w:after="0"/>
        <w:contextualSpacing/>
        <w:rPr>
          <w:rFonts w:ascii="Gill Sans" w:hAnsi="Gill Sans"/>
        </w:rPr>
      </w:pPr>
      <w:r>
        <w:rPr>
          <w:rFonts w:ascii="Gill Sans" w:hAnsi="Gill Sans"/>
        </w:rPr>
        <w:t>Adhémar of Le Puy</w:t>
      </w:r>
    </w:p>
    <w:p>
      <w:pPr>
        <w:pStyle w:val="ListParagraph"/>
        <w:numPr>
          <w:ilvl w:val="0"/>
          <w:numId w:val="3"/>
        </w:numPr>
        <w:spacing w:lineRule="auto" w:line="276" w:before="0" w:after="0"/>
        <w:contextualSpacing/>
        <w:rPr>
          <w:rFonts w:ascii="Gill Sans" w:hAnsi="Gill Sans"/>
        </w:rPr>
      </w:pPr>
      <w:r>
        <w:rPr>
          <w:rFonts w:ascii="Gill Sans" w:hAnsi="Gill Sans"/>
        </w:rPr>
        <w:t>Baldwin of Boullion</w:t>
      </w:r>
    </w:p>
    <w:p>
      <w:pPr>
        <w:sectPr>
          <w:type w:val="continuous"/>
          <w:pgSz w:w="11906" w:h="16838"/>
          <w:pgMar w:left="1440" w:right="1440" w:gutter="0" w:header="0" w:top="1440" w:footer="0" w:bottom="1440"/>
          <w:cols w:num="2" w:space="288" w:equalWidth="true" w:sep="false"/>
          <w:formProt w:val="false"/>
          <w:textDirection w:val="lrTb"/>
          <w:docGrid w:type="default" w:linePitch="360" w:charSpace="4096"/>
        </w:sectPr>
      </w:pPr>
    </w:p>
    <w:p>
      <w:pPr>
        <w:pStyle w:val="Heading3"/>
        <w:numPr>
          <w:ilvl w:val="0"/>
          <w:numId w:val="0"/>
        </w:numPr>
        <w:ind w:hanging="0" w:left="0"/>
        <w:rPr/>
      </w:pPr>
      <w:r>
        <w:rPr/>
        <w:t>Key events</w:t>
      </w:r>
    </w:p>
    <w:p>
      <w:pPr>
        <w:pStyle w:val="BodyText"/>
        <w:numPr>
          <w:ilvl w:val="0"/>
          <w:numId w:val="6"/>
        </w:numPr>
        <w:rPr/>
      </w:pPr>
      <w:r>
        <w:rPr/>
        <w:t>People’s Crusade from spring – autumn 1096</w:t>
      </w:r>
    </w:p>
    <w:p>
      <w:pPr>
        <w:pStyle w:val="BodyText"/>
        <w:numPr>
          <w:ilvl w:val="0"/>
          <w:numId w:val="6"/>
        </w:numPr>
        <w:rPr/>
      </w:pPr>
      <w:r>
        <w:rPr/>
        <w:t>Siege of Nicæa: Latin-Greek force took Nicæa June 1097 from Kilij Arslan.</w:t>
      </w:r>
    </w:p>
    <w:p>
      <w:pPr>
        <w:pStyle w:val="BodyText"/>
        <w:numPr>
          <w:ilvl w:val="0"/>
          <w:numId w:val="6"/>
        </w:numPr>
        <w:rPr/>
      </w:pPr>
      <w:bookmarkStart w:id="0" w:name="Battle_of_Dorylaeum"/>
      <w:bookmarkEnd w:id="0"/>
      <w:r>
        <w:rPr/>
        <w:t>Battle of Dorylæum: July 1097, Norman vanguard attacked by Arslan. Franks arrived and broke Turkish attack; Turks fled, although razed countryside.</w:t>
      </w:r>
    </w:p>
    <w:p>
      <w:pPr>
        <w:pStyle w:val="BodyText"/>
        <w:numPr>
          <w:ilvl w:val="0"/>
          <w:numId w:val="6"/>
        </w:numPr>
        <w:rPr/>
      </w:pPr>
      <w:r>
        <w:rPr/>
        <w:t>Armenia: not part of the plan. Baldwin and Tancred disappeared up to Armenia as Baldwin wanted his own land. After much in-fighting and diplomacy, he took Edessa (1098) and married Arda of Armenia. Kerbogah unsuccessfully besieged Edessa en route to Antioch.</w:t>
      </w:r>
    </w:p>
    <w:p>
      <w:pPr>
        <w:pStyle w:val="BodyText"/>
        <w:numPr>
          <w:ilvl w:val="0"/>
          <w:numId w:val="6"/>
        </w:numPr>
        <w:rPr/>
      </w:pPr>
      <w:bookmarkStart w:id="1" w:name="Siege_of_Antioch"/>
      <w:bookmarkEnd w:id="1"/>
      <w:r>
        <w:rPr/>
        <w:t>Siege of Antioch: Latins laid siege October 1097. In turn, they were besieged over winter, leading to starvation, disease and desertion. A deserter, Stephen of Blois, told Alexios that his help was pointless, so Alexios called his relief force off. Bohemond used a mole, Firuz, to gain entry to Antioch, June 1098. Latins entered, slaughtering inhabitants. Kerbogah now besieged Antioch. Peter Bartholomew, a peasant, ‘found’ the Holy Lance, restoring battered morale. (This would be challenged: Peter died after a failed trial by ordeal in 1099.) Kerbogah’s attack failed and his army dissolved. Bohemond claimed Antioch. This provoked squabbling. Disease broke out, killing Adhémar.</w:t>
      </w:r>
    </w:p>
    <w:p>
      <w:pPr>
        <w:pStyle w:val="BodyText"/>
        <w:numPr>
          <w:ilvl w:val="0"/>
          <w:numId w:val="5"/>
        </w:numPr>
        <w:rPr/>
      </w:pPr>
      <w:r>
        <w:rPr/>
        <w:t>Jerusalem: 1099, leaving Bohemond in Antioch, Latins marched to Jerusalem, under Raymond IV of Toulouse (with Robert Curthose and Tancred) and Godfrey of Bouillon. Fatimids – recaptured Jerusalem from Seljuks 1098 – expelled Christians and poisoned wells. Latins went via Beirut, Tyre, Jaffa, Ramla and Bethlehem. June 1099, laid siege to Jerusalem. Genoese help arrived. ‘Vision’ of Adhémar gave morale. July, assault on walls successful. Hideous slaughter.</w:t>
      </w:r>
    </w:p>
    <w:p>
      <w:pPr>
        <w:pStyle w:val="BodyText"/>
        <w:numPr>
          <w:ilvl w:val="0"/>
          <w:numId w:val="5"/>
        </w:numPr>
        <w:rPr/>
      </w:pPr>
      <w:bookmarkStart w:id="2" w:name="Battle_of_Ascalon"/>
      <w:bookmarkEnd w:id="2"/>
      <w:r>
        <w:rPr/>
        <w:t xml:space="preserve">Battle of Ascalon: </w:t>
      </w:r>
      <w:r>
        <w:rPr/>
        <w:t>Godfrey</w:t>
      </w:r>
      <w:r>
        <w:rPr/>
        <w:t xml:space="preserve"> and Raymond could have capitalised on their lightning victory, but they were too busy falling out with each other.</w:t>
      </w:r>
    </w:p>
    <w:p>
      <w:pPr>
        <w:pStyle w:val="Heading3"/>
        <w:numPr>
          <w:ilvl w:val="2"/>
          <w:numId w:val="2"/>
        </w:numPr>
        <w:rPr/>
      </w:pPr>
      <w:r>
        <w:rPr/>
        <w:t>Aftermath</w:t>
      </w:r>
    </w:p>
    <w:p>
      <w:pPr>
        <w:pStyle w:val="Normal"/>
        <w:numPr>
          <w:ilvl w:val="0"/>
          <w:numId w:val="7"/>
        </w:numPr>
        <w:spacing w:lineRule="auto" w:line="276" w:before="0" w:after="0"/>
        <w:rPr>
          <w:rFonts w:ascii="Gill Sans" w:hAnsi="Gill Sans"/>
        </w:rPr>
      </w:pPr>
      <w:r>
        <w:rPr>
          <w:rFonts w:ascii="Gill Sans" w:hAnsi="Gill Sans"/>
        </w:rPr>
        <w:t>Crusader states established, with massive Italian help (good for trade).</w:t>
      </w:r>
    </w:p>
    <w:p>
      <w:pPr>
        <w:pStyle w:val="Normal"/>
        <w:numPr>
          <w:ilvl w:val="0"/>
          <w:numId w:val="7"/>
        </w:numPr>
        <w:spacing w:lineRule="auto" w:line="276" w:before="0" w:after="0"/>
        <w:rPr>
          <w:rFonts w:ascii="Gill Sans" w:hAnsi="Gill Sans"/>
        </w:rPr>
      </w:pPr>
      <w:r>
        <w:rPr>
          <w:rFonts w:ascii="Gill Sans" w:hAnsi="Gill Sans"/>
        </w:rPr>
        <w:t>Baldwin became King of Jerusalem</w:t>
      </w:r>
    </w:p>
    <w:p>
      <w:pPr>
        <w:pStyle w:val="Normal"/>
        <w:numPr>
          <w:ilvl w:val="0"/>
          <w:numId w:val="7"/>
        </w:numPr>
        <w:spacing w:lineRule="auto" w:line="276" w:before="0" w:after="0"/>
        <w:rPr>
          <w:rFonts w:ascii="Gill Sans" w:hAnsi="Gill Sans"/>
        </w:rPr>
      </w:pPr>
      <w:r>
        <w:rPr>
          <w:rFonts w:ascii="Gill Sans" w:hAnsi="Gill Sans"/>
        </w:rPr>
        <w:t>Bohemond at Antioch</w:t>
      </w:r>
    </w:p>
    <w:p>
      <w:pPr>
        <w:pStyle w:val="Normal"/>
        <w:numPr>
          <w:ilvl w:val="0"/>
          <w:numId w:val="7"/>
        </w:numPr>
        <w:spacing w:lineRule="auto" w:line="276" w:before="0" w:after="0"/>
        <w:rPr>
          <w:rFonts w:ascii="Gill Sans" w:hAnsi="Gill Sans"/>
        </w:rPr>
      </w:pPr>
      <w:r>
        <w:rPr>
          <w:rFonts w:ascii="Gill Sans" w:hAnsi="Gill Sans"/>
        </w:rPr>
        <w:t>Baldwin at Edessa</w:t>
      </w:r>
    </w:p>
    <w:p>
      <w:pPr>
        <w:pStyle w:val="Normal"/>
        <w:numPr>
          <w:ilvl w:val="0"/>
          <w:numId w:val="7"/>
        </w:numPr>
        <w:spacing w:lineRule="auto" w:line="276" w:before="0" w:after="0"/>
        <w:rPr>
          <w:rFonts w:ascii="Gill Sans" w:hAnsi="Gill Sans"/>
        </w:rPr>
      </w:pPr>
      <w:r>
        <w:rPr>
          <w:rFonts w:ascii="Gill Sans" w:hAnsi="Gill Sans"/>
        </w:rPr>
        <w:t>Tripoli 1109</w:t>
      </w:r>
    </w:p>
    <w:p>
      <w:pPr>
        <w:pStyle w:val="Normal"/>
        <w:numPr>
          <w:ilvl w:val="0"/>
          <w:numId w:val="7"/>
        </w:numPr>
        <w:spacing w:lineRule="auto" w:line="276" w:before="0" w:after="0"/>
        <w:rPr>
          <w:rFonts w:ascii="Gill Sans" w:hAnsi="Gill Sans"/>
        </w:rPr>
      </w:pPr>
      <w:r>
        <w:rPr>
          <w:rFonts w:ascii="Gill Sans" w:hAnsi="Gill Sans"/>
        </w:rPr>
        <w:t>Many returned to Europe</w:t>
      </w:r>
    </w:p>
    <w:p>
      <w:pPr>
        <w:pStyle w:val="Normal"/>
        <w:numPr>
          <w:ilvl w:val="0"/>
          <w:numId w:val="7"/>
        </w:numPr>
        <w:spacing w:lineRule="auto" w:line="276" w:before="0" w:after="0"/>
        <w:rPr>
          <w:rFonts w:ascii="Gill Sans" w:hAnsi="Gill Sans"/>
        </w:rPr>
      </w:pPr>
      <w:r>
        <w:rPr>
          <w:rFonts w:ascii="Gill Sans" w:hAnsi="Gill Sans"/>
        </w:rPr>
        <w:t>Historical writing, chansons de geste etc.</w:t>
      </w:r>
    </w:p>
    <w:p>
      <w:pPr>
        <w:pStyle w:val="Heading2"/>
        <w:numPr>
          <w:ilvl w:val="1"/>
          <w:numId w:val="2"/>
        </w:numPr>
        <w:rPr/>
      </w:pPr>
      <w:r>
        <w:rPr/>
        <w:t>Second Crusade: 1145–1149</w:t>
      </w:r>
    </w:p>
    <w:p>
      <w:pPr>
        <w:pStyle w:val="Heading3"/>
        <w:numPr>
          <w:ilvl w:val="2"/>
          <w:numId w:val="2"/>
        </w:numPr>
        <w:rPr/>
      </w:pPr>
      <w:r>
        <w:rPr/>
        <w:t>Events leading to:</w:t>
      </w:r>
    </w:p>
    <w:p>
      <w:pPr>
        <w:pStyle w:val="Normal"/>
        <w:spacing w:lineRule="auto" w:line="276" w:before="0" w:after="0"/>
        <w:rPr>
          <w:rFonts w:ascii="Gill Sans" w:hAnsi="Gill Sans"/>
        </w:rPr>
      </w:pPr>
      <w:r>
        <w:rPr>
          <w:rFonts w:ascii="Gill Sans" w:hAnsi="Gill Sans"/>
        </w:rPr>
        <w:t>Zengi’s meteoric rise as pre-eminent Seljuk in the area posed threat to Outremer. Took Aleppo, 1128; tried to take Damascus and Baghdad. Set his sights on Edessa. Joscelin of Edessa had fallen out with Frankish allies, but did ally with Ortoqids (or Artuqids, local Muslim dynasty) and in 1144 left Edessa to help them against Zengi. Whereupon Zengi attacked Edessa and got most of the county.</w:t>
      </w:r>
    </w:p>
    <w:p>
      <w:pPr>
        <w:pStyle w:val="Heading3"/>
        <w:numPr>
          <w:ilvl w:val="0"/>
          <w:numId w:val="0"/>
        </w:numPr>
        <w:ind w:hanging="0" w:left="0"/>
        <w:rPr/>
      </w:pPr>
      <w:r>
        <w:rPr/>
        <w:t>Key figures:</w:t>
      </w:r>
    </w:p>
    <w:p>
      <w:pPr>
        <w:sectPr>
          <w:type w:val="continuous"/>
          <w:pgSz w:w="11906" w:h="16838"/>
          <w:pgMar w:left="1440" w:right="1440" w:gutter="0" w:header="0" w:top="1440" w:footer="0" w:bottom="1440"/>
          <w:formProt w:val="false"/>
          <w:textDirection w:val="lrTb"/>
          <w:docGrid w:type="default" w:linePitch="360" w:charSpace="4096"/>
        </w:sectPr>
      </w:pPr>
    </w:p>
    <w:p>
      <w:pPr>
        <w:pStyle w:val="Normal"/>
        <w:numPr>
          <w:ilvl w:val="0"/>
          <w:numId w:val="8"/>
        </w:numPr>
        <w:spacing w:lineRule="auto" w:line="276" w:before="0" w:after="0"/>
        <w:rPr>
          <w:rFonts w:ascii="Gill Sans" w:hAnsi="Gill Sans"/>
        </w:rPr>
      </w:pPr>
      <w:r>
        <w:rPr>
          <w:rFonts w:ascii="Gill Sans" w:hAnsi="Gill Sans"/>
        </w:rPr>
        <w:t>Imad al-din Zengi (atabeg of Mosul)</w:t>
      </w:r>
    </w:p>
    <w:p>
      <w:pPr>
        <w:pStyle w:val="Normal"/>
        <w:numPr>
          <w:ilvl w:val="0"/>
          <w:numId w:val="8"/>
        </w:numPr>
        <w:spacing w:lineRule="auto" w:line="276" w:before="0" w:after="0"/>
        <w:rPr>
          <w:rFonts w:ascii="Gill Sans" w:hAnsi="Gill Sans"/>
        </w:rPr>
      </w:pPr>
      <w:r>
        <w:rPr>
          <w:rFonts w:ascii="Gill Sans" w:hAnsi="Gill Sans"/>
        </w:rPr>
        <w:t>Mu'in al-Din Anur (atabeg of Damascus)</w:t>
      </w:r>
    </w:p>
    <w:p>
      <w:pPr>
        <w:pStyle w:val="Normal"/>
        <w:numPr>
          <w:ilvl w:val="0"/>
          <w:numId w:val="8"/>
        </w:numPr>
        <w:spacing w:lineRule="auto" w:line="276" w:before="0" w:after="0"/>
        <w:rPr>
          <w:rFonts w:ascii="Gill Sans" w:hAnsi="Gill Sans"/>
        </w:rPr>
      </w:pPr>
      <w:r>
        <w:rPr>
          <w:rFonts w:ascii="Gill Sans" w:hAnsi="Gill Sans"/>
        </w:rPr>
        <w:t>Nur ad-Din</w:t>
      </w:r>
    </w:p>
    <w:p>
      <w:pPr>
        <w:pStyle w:val="Normal"/>
        <w:numPr>
          <w:ilvl w:val="0"/>
          <w:numId w:val="8"/>
        </w:numPr>
        <w:spacing w:lineRule="auto" w:line="276" w:before="0" w:after="0"/>
        <w:rPr>
          <w:rFonts w:ascii="Gill Sans" w:hAnsi="Gill Sans"/>
        </w:rPr>
      </w:pPr>
      <w:r>
        <w:rPr>
          <w:rFonts w:ascii="Gill Sans" w:hAnsi="Gill Sans"/>
        </w:rPr>
        <w:t>Pope Eugenius III</w:t>
      </w:r>
    </w:p>
    <w:p>
      <w:pPr>
        <w:pStyle w:val="Normal"/>
        <w:numPr>
          <w:ilvl w:val="0"/>
          <w:numId w:val="8"/>
        </w:numPr>
        <w:spacing w:lineRule="auto" w:line="276" w:before="0" w:after="0"/>
        <w:rPr>
          <w:rFonts w:ascii="Gill Sans" w:hAnsi="Gill Sans"/>
        </w:rPr>
      </w:pPr>
      <w:r>
        <w:rPr>
          <w:rFonts w:ascii="Gill Sans" w:hAnsi="Gill Sans"/>
        </w:rPr>
        <w:t>Bernard of Clairvaux</w:t>
      </w:r>
    </w:p>
    <w:p>
      <w:pPr>
        <w:pStyle w:val="Normal"/>
        <w:numPr>
          <w:ilvl w:val="0"/>
          <w:numId w:val="8"/>
        </w:numPr>
        <w:spacing w:lineRule="auto" w:line="276" w:before="0" w:after="0"/>
        <w:rPr>
          <w:rFonts w:ascii="Gill Sans" w:hAnsi="Gill Sans"/>
        </w:rPr>
      </w:pPr>
      <w:r>
        <w:rPr>
          <w:rFonts w:ascii="Gill Sans" w:hAnsi="Gill Sans"/>
        </w:rPr>
        <w:t>Louis VII</w:t>
      </w:r>
    </w:p>
    <w:p>
      <w:pPr>
        <w:pStyle w:val="Normal"/>
        <w:numPr>
          <w:ilvl w:val="0"/>
          <w:numId w:val="8"/>
        </w:numPr>
        <w:spacing w:lineRule="auto" w:line="276" w:before="0" w:after="0"/>
        <w:rPr>
          <w:rFonts w:ascii="Gill Sans" w:hAnsi="Gill Sans"/>
        </w:rPr>
      </w:pPr>
      <w:r>
        <w:rPr>
          <w:rFonts w:ascii="Gill Sans" w:hAnsi="Gill Sans"/>
        </w:rPr>
        <w:t>Eleanor of Aquitaine</w:t>
      </w:r>
    </w:p>
    <w:p>
      <w:pPr>
        <w:pStyle w:val="Normal"/>
        <w:numPr>
          <w:ilvl w:val="0"/>
          <w:numId w:val="8"/>
        </w:numPr>
        <w:spacing w:lineRule="auto" w:line="276" w:before="0" w:after="0"/>
        <w:rPr>
          <w:rFonts w:ascii="Gill Sans" w:hAnsi="Gill Sans"/>
        </w:rPr>
      </w:pPr>
      <w:r>
        <w:rPr>
          <w:rFonts w:ascii="Gill Sans" w:hAnsi="Gill Sans"/>
        </w:rPr>
        <w:t>Raymond of Poitiers</w:t>
      </w:r>
    </w:p>
    <w:p>
      <w:pPr>
        <w:pStyle w:val="Normal"/>
        <w:numPr>
          <w:ilvl w:val="0"/>
          <w:numId w:val="8"/>
        </w:numPr>
        <w:spacing w:lineRule="auto" w:line="276" w:before="0" w:after="0"/>
        <w:rPr>
          <w:rFonts w:ascii="Gill Sans" w:hAnsi="Gill Sans"/>
        </w:rPr>
      </w:pPr>
      <w:r>
        <w:rPr>
          <w:rFonts w:ascii="Gill Sans" w:hAnsi="Gill Sans"/>
        </w:rPr>
        <w:t>Conrad, King of the Romans</w:t>
      </w:r>
    </w:p>
    <w:p>
      <w:pPr>
        <w:pStyle w:val="Normal"/>
        <w:numPr>
          <w:ilvl w:val="0"/>
          <w:numId w:val="8"/>
        </w:numPr>
        <w:spacing w:lineRule="auto" w:line="276" w:before="0" w:after="0"/>
        <w:rPr>
          <w:rFonts w:ascii="Gill Sans" w:hAnsi="Gill Sans"/>
        </w:rPr>
      </w:pPr>
      <w:r>
        <w:rPr>
          <w:rFonts w:ascii="Gill Sans" w:hAnsi="Gill Sans"/>
        </w:rPr>
        <w:t>Frederick Barbarossa</w:t>
      </w:r>
    </w:p>
    <w:p>
      <w:pPr>
        <w:sectPr>
          <w:type w:val="continuous"/>
          <w:pgSz w:w="11906" w:h="16838"/>
          <w:pgMar w:left="1440" w:right="1440" w:gutter="0" w:header="0" w:top="1440" w:footer="0" w:bottom="1440"/>
          <w:cols w:num="2" w:space="288" w:equalWidth="true" w:sep="false"/>
          <w:formProt w:val="false"/>
          <w:textDirection w:val="lrTb"/>
          <w:docGrid w:type="default" w:linePitch="360" w:charSpace="4096"/>
        </w:sectPr>
      </w:pPr>
    </w:p>
    <w:p>
      <w:pPr>
        <w:pStyle w:val="Heading3"/>
        <w:numPr>
          <w:ilvl w:val="2"/>
          <w:numId w:val="2"/>
        </w:numPr>
        <w:rPr/>
      </w:pPr>
      <w:r>
        <w:rPr/>
        <w:t>Key events:</w:t>
      </w:r>
    </w:p>
    <w:p>
      <w:pPr>
        <w:pStyle w:val="Normal"/>
        <w:numPr>
          <w:ilvl w:val="0"/>
          <w:numId w:val="10"/>
        </w:numPr>
        <w:spacing w:lineRule="auto" w:line="276" w:before="0" w:after="0"/>
        <w:rPr>
          <w:rFonts w:ascii="Gill Sans" w:hAnsi="Gill Sans"/>
        </w:rPr>
      </w:pPr>
      <w:r>
        <w:rPr>
          <w:rFonts w:ascii="Gill Sans" w:hAnsi="Gill Sans"/>
        </w:rPr>
        <w:t xml:space="preserve">Pope Eugene III issued the bull </w:t>
      </w:r>
      <w:r>
        <w:rPr>
          <w:rFonts w:ascii="Gill Sans" w:hAnsi="Gill Sans"/>
          <w:i/>
          <w:iCs/>
        </w:rPr>
        <w:t>Quantum praedecessores</w:t>
      </w:r>
      <w:r>
        <w:rPr>
          <w:rFonts w:ascii="Gill Sans" w:hAnsi="Gill Sans"/>
        </w:rPr>
        <w:t>, 1 December 1145, calling for crusade. Independently, Louis VII had been thinking of a crusade (despite Suger’s advice to the contrary). Pope was pleased; reissued bull March 1146, and sent Bernard of Clairvaux to preach crusade in France, then HRE. Louis, and then Conrad III and his nephew Frederick Barbarossa, received cross from Bernard.</w:t>
      </w:r>
    </w:p>
    <w:p>
      <w:pPr>
        <w:pStyle w:val="Normal"/>
        <w:numPr>
          <w:ilvl w:val="0"/>
          <w:numId w:val="10"/>
        </w:numPr>
        <w:spacing w:lineRule="auto" w:line="276" w:before="0" w:after="0"/>
        <w:rPr>
          <w:rFonts w:ascii="Gill Sans" w:hAnsi="Gill Sans"/>
        </w:rPr>
      </w:pPr>
      <w:r>
        <w:rPr>
          <w:rFonts w:ascii="Gill Sans" w:hAnsi="Gill Sans"/>
        </w:rPr>
        <w:t>Northern Germans wanted to fight not in Holy Land but against pagan Slavs – Wendish Crusade, 1147.</w:t>
      </w:r>
    </w:p>
    <w:p>
      <w:pPr>
        <w:pStyle w:val="Normal"/>
        <w:numPr>
          <w:ilvl w:val="0"/>
          <w:numId w:val="10"/>
        </w:numPr>
        <w:spacing w:lineRule="auto" w:line="276" w:before="0" w:after="0"/>
        <w:rPr>
          <w:rFonts w:ascii="Gill Sans" w:hAnsi="Gill Sans"/>
        </w:rPr>
      </w:pPr>
      <w:r>
        <w:rPr>
          <w:rFonts w:ascii="Gill Sans" w:hAnsi="Gill Sans"/>
        </w:rPr>
        <w:t>Also in 1147, Spanish and Portuguese got papal authorization to expand the crusade to Iberia.</w:t>
      </w:r>
    </w:p>
    <w:p>
      <w:pPr>
        <w:pStyle w:val="Normal"/>
        <w:numPr>
          <w:ilvl w:val="0"/>
          <w:numId w:val="10"/>
        </w:numPr>
        <w:spacing w:lineRule="auto" w:line="276" w:before="0" w:after="0"/>
        <w:rPr>
          <w:rFonts w:ascii="Gill Sans" w:hAnsi="Gill Sans"/>
        </w:rPr>
      </w:pPr>
      <w:r>
        <w:rPr>
          <w:rFonts w:ascii="Gill Sans" w:hAnsi="Gill Sans"/>
        </w:rPr>
        <w:t>Out East, Zengi was murdered in 1146 by a servant. Joscelin of Edessa retook his capital, but was thwarted further by Nur ad-Din. Conrad and Roger II of Sicily fell out and Roger pulled out. Strained relations with the Eastern Empire meant Germans went through Byzantine territory quickly, without awaiting French. Conrad misread Anatolia, thinking Byzantine control was more real than it was. October 1147, second battle of Dorylæum – defeat for Conrad. The other half of his force was led by his brother (bishop) Otto of Freising; this was defeated November 1147.</w:t>
      </w:r>
    </w:p>
    <w:p>
      <w:pPr>
        <w:pStyle w:val="Normal"/>
        <w:numPr>
          <w:ilvl w:val="0"/>
          <w:numId w:val="10"/>
        </w:numPr>
        <w:spacing w:lineRule="auto" w:line="276" w:before="0" w:after="0"/>
        <w:rPr>
          <w:rFonts w:ascii="Gill Sans" w:hAnsi="Gill Sans"/>
        </w:rPr>
      </w:pPr>
      <w:r>
        <w:rPr>
          <w:rFonts w:ascii="Gill Sans" w:hAnsi="Gill Sans"/>
        </w:rPr>
        <w:t>Louis and the French left Metz in June 1147, going via Constantinople. Manuel Komnenos failed to lend support, chiefly owing to having to defend Mediterranean territory against Roger of Sicily. They found the remnants of Conrad’s forces. Conrad was taken ill and retreated to Constantinople. Louis had a (surprise) victory at the Battle of Ephesus, 24 December 1147. Marched on to Laodicæa early 1148, but were not so lucky. Attacked by Turks, Louis holed up in Adalia, where he decided to sail for Antioch. But storms and lack of ships delayed things and split his army. Louis and a few others sailed; the rest of the army marched to Antioch, en routed being all but destroyed by Turks and disease.</w:t>
      </w:r>
    </w:p>
    <w:p>
      <w:pPr>
        <w:pStyle w:val="Normal"/>
        <w:numPr>
          <w:ilvl w:val="0"/>
          <w:numId w:val="10"/>
        </w:numPr>
        <w:spacing w:lineRule="auto" w:line="276" w:before="0" w:after="0"/>
        <w:rPr>
          <w:rFonts w:ascii="Gill Sans" w:hAnsi="Gill Sans"/>
        </w:rPr>
      </w:pPr>
      <w:r>
        <w:rPr>
          <w:rFonts w:ascii="Gill Sans" w:hAnsi="Gill Sans"/>
        </w:rPr>
        <w:t>Spring, Louis and Eleanor got to Antioch, met by Eleanor’s uncle Raymond of Poitiers. Raymond wanted Louis’ help against Aleppo, but Louis wanted to go to Jerusalem. Eleanor favoured her uncle, not her husband.</w:t>
      </w:r>
    </w:p>
    <w:p>
      <w:pPr>
        <w:pStyle w:val="Normal"/>
        <w:numPr>
          <w:ilvl w:val="0"/>
          <w:numId w:val="10"/>
        </w:numPr>
        <w:spacing w:lineRule="auto" w:line="276" w:before="0" w:after="0"/>
        <w:rPr>
          <w:rFonts w:ascii="Gill Sans" w:hAnsi="Gill Sans"/>
        </w:rPr>
      </w:pPr>
      <w:r>
        <w:rPr>
          <w:rFonts w:ascii="Gill Sans" w:hAnsi="Gill Sans"/>
        </w:rPr>
        <w:t>Louis went to Jerusalem, forcibly taking Eleanor with him. He met Otto and Conrad there. Focus changed from Edessa to Damascus. But Mu’in ad-Din Unur defended Damascus successfully, with allies Saif ad-Din Ghazi I of Mosul and Nur ad-Din of Aleppo. The Latins retreated, broke up and went back to Europe. Louis and Eleanor took separate ships home, 1149.</w:t>
      </w:r>
    </w:p>
    <w:p>
      <w:pPr>
        <w:pStyle w:val="Heading3"/>
        <w:numPr>
          <w:ilvl w:val="2"/>
          <w:numId w:val="2"/>
        </w:numPr>
        <w:rPr/>
      </w:pPr>
      <w:r>
        <w:rPr/>
        <w:t>Aftermath:</w:t>
      </w:r>
    </w:p>
    <w:p>
      <w:pPr>
        <w:pStyle w:val="Normal"/>
        <w:numPr>
          <w:ilvl w:val="0"/>
          <w:numId w:val="9"/>
        </w:numPr>
        <w:spacing w:lineRule="auto" w:line="276" w:before="0" w:after="0"/>
        <w:rPr>
          <w:rFonts w:ascii="Gill Sans" w:hAnsi="Gill Sans"/>
        </w:rPr>
      </w:pPr>
      <w:r>
        <w:rPr>
          <w:rFonts w:ascii="Gill Sans" w:hAnsi="Gill Sans"/>
        </w:rPr>
        <w:t>Troubadours in full flow</w:t>
      </w:r>
    </w:p>
    <w:p>
      <w:pPr>
        <w:pStyle w:val="Normal"/>
        <w:numPr>
          <w:ilvl w:val="0"/>
          <w:numId w:val="9"/>
        </w:numPr>
        <w:spacing w:lineRule="auto" w:line="276" w:before="0" w:after="0"/>
        <w:rPr>
          <w:rFonts w:ascii="Gill Sans" w:hAnsi="Gill Sans"/>
        </w:rPr>
      </w:pPr>
      <w:r>
        <w:rPr>
          <w:rFonts w:ascii="Gill Sans" w:hAnsi="Gill Sans"/>
        </w:rPr>
        <w:t>Louis seen as pious</w:t>
      </w:r>
    </w:p>
    <w:p>
      <w:pPr>
        <w:pStyle w:val="Normal"/>
        <w:numPr>
          <w:ilvl w:val="0"/>
          <w:numId w:val="9"/>
        </w:numPr>
        <w:spacing w:lineRule="auto" w:line="276" w:before="0" w:after="0"/>
        <w:rPr>
          <w:rFonts w:ascii="Gill Sans" w:hAnsi="Gill Sans"/>
        </w:rPr>
      </w:pPr>
      <w:r>
        <w:rPr>
          <w:rFonts w:ascii="Gill Sans" w:hAnsi="Gill Sans"/>
        </w:rPr>
        <w:t>Manuel seen as treacherous; relations with Eastern Empire worsened.</w:t>
      </w:r>
    </w:p>
    <w:p>
      <w:pPr>
        <w:pStyle w:val="Normal"/>
        <w:numPr>
          <w:ilvl w:val="0"/>
          <w:numId w:val="9"/>
        </w:numPr>
        <w:spacing w:lineRule="auto" w:line="276" w:before="0" w:after="0"/>
        <w:rPr>
          <w:rFonts w:ascii="Gill Sans" w:hAnsi="Gill Sans"/>
        </w:rPr>
      </w:pPr>
      <w:r>
        <w:rPr>
          <w:rFonts w:ascii="Gill Sans" w:hAnsi="Gill Sans"/>
        </w:rPr>
        <w:t xml:space="preserve">Wendish Crusade – mixed. Iberian Crusade more successful. </w:t>
      </w:r>
    </w:p>
    <w:p>
      <w:pPr>
        <w:pStyle w:val="Normal"/>
        <w:numPr>
          <w:ilvl w:val="0"/>
          <w:numId w:val="9"/>
        </w:numPr>
        <w:spacing w:lineRule="auto" w:line="276" w:before="0" w:after="0"/>
        <w:rPr>
          <w:rFonts w:ascii="Gill Sans" w:hAnsi="Gill Sans"/>
        </w:rPr>
      </w:pPr>
      <w:r>
        <w:rPr>
          <w:rFonts w:ascii="Gill Sans" w:hAnsi="Gill Sans"/>
        </w:rPr>
        <w:t>In-fighting led to Damascus being taken over by Nur ad-Din, 1154.</w:t>
      </w:r>
    </w:p>
    <w:p>
      <w:pPr>
        <w:pStyle w:val="Heading2"/>
        <w:numPr>
          <w:ilvl w:val="1"/>
          <w:numId w:val="2"/>
        </w:numPr>
        <w:rPr/>
      </w:pPr>
      <w:r>
        <w:rPr/>
        <w:t>Third Crusade: 1189–1192</w:t>
      </w:r>
    </w:p>
    <w:p>
      <w:pPr>
        <w:pStyle w:val="Heading3"/>
        <w:numPr>
          <w:ilvl w:val="2"/>
          <w:numId w:val="2"/>
        </w:numPr>
        <w:rPr/>
      </w:pPr>
      <w:r>
        <w:rPr/>
        <w:t>Events leading to:</w:t>
      </w:r>
    </w:p>
    <w:p>
      <w:pPr>
        <w:pStyle w:val="Normal"/>
        <w:spacing w:lineRule="auto" w:line="276" w:before="0" w:after="0"/>
        <w:rPr>
          <w:rFonts w:ascii="Gill Sans" w:hAnsi="Gill Sans"/>
        </w:rPr>
      </w:pPr>
      <w:r>
        <w:rPr>
          <w:rFonts w:ascii="Gill Sans" w:hAnsi="Gill Sans"/>
        </w:rPr>
        <w:t>Nur ad-Din, Zengi’s son, had done much to consolidate and expand his father’s territorial gains. Baldwin III seized Ascalon, 1153, provoking Egypt. King Amalric I of Jerusalem allied with the Byzantines to invade Egypt, 1169, but failed. A nephew of a general of Nur ad-Din started to make a name for himself and in 1171, Saladin had himself made Sultan of Egypt, uniting Egypt and Syria. The Byzantine-Frankish alliance collapsed, 1180. The male line having died out, Sybilla of Jerusalem became queen. Her husband was Guy de Lusignan and his best mate was Raynald of Châtillon, a plonker and a bounder. He provoked Saladin into marching on Jerusalem. On Raynald’s advice, Guy marched out to Hattin and was soundly beaten by Saladin, who took Jerusalem in 1187.</w:t>
      </w:r>
    </w:p>
    <w:p>
      <w:pPr>
        <w:pStyle w:val="Heading3"/>
        <w:numPr>
          <w:ilvl w:val="2"/>
          <w:numId w:val="2"/>
        </w:numPr>
        <w:rPr/>
      </w:pPr>
      <w:r>
        <w:rPr/>
        <w:t>Key figures:</w:t>
      </w:r>
    </w:p>
    <w:p>
      <w:pPr>
        <w:sectPr>
          <w:type w:val="continuous"/>
          <w:pgSz w:w="11906" w:h="16838"/>
          <w:pgMar w:left="1440" w:right="1440" w:gutter="0" w:header="0" w:top="1440" w:footer="0" w:bottom="1440"/>
          <w:formProt w:val="false"/>
          <w:textDirection w:val="lrTb"/>
          <w:docGrid w:type="default" w:linePitch="360" w:charSpace="4096"/>
        </w:sectPr>
      </w:pPr>
    </w:p>
    <w:p>
      <w:pPr>
        <w:pStyle w:val="Normal"/>
        <w:numPr>
          <w:ilvl w:val="0"/>
          <w:numId w:val="11"/>
        </w:numPr>
        <w:spacing w:lineRule="auto" w:line="276" w:before="0" w:after="0"/>
        <w:rPr>
          <w:rFonts w:ascii="Gill Sans" w:hAnsi="Gill Sans"/>
        </w:rPr>
      </w:pPr>
      <w:r>
        <w:rPr>
          <w:rFonts w:ascii="Gill Sans" w:hAnsi="Gill Sans"/>
        </w:rPr>
        <w:t>Saladin</w:t>
      </w:r>
    </w:p>
    <w:p>
      <w:pPr>
        <w:pStyle w:val="Normal"/>
        <w:numPr>
          <w:ilvl w:val="0"/>
          <w:numId w:val="11"/>
        </w:numPr>
        <w:spacing w:lineRule="auto" w:line="276" w:before="0" w:after="0"/>
        <w:rPr>
          <w:rFonts w:ascii="Gill Sans" w:hAnsi="Gill Sans"/>
        </w:rPr>
      </w:pPr>
      <w:r>
        <w:rPr>
          <w:rFonts w:ascii="Gill Sans" w:hAnsi="Gill Sans"/>
        </w:rPr>
        <w:t>Richard I ‘Lionheart’</w:t>
      </w:r>
    </w:p>
    <w:p>
      <w:pPr>
        <w:pStyle w:val="Normal"/>
        <w:numPr>
          <w:ilvl w:val="0"/>
          <w:numId w:val="11"/>
        </w:numPr>
        <w:spacing w:lineRule="auto" w:line="276" w:before="0" w:after="0"/>
        <w:rPr>
          <w:rFonts w:ascii="Gill Sans" w:hAnsi="Gill Sans"/>
        </w:rPr>
      </w:pPr>
      <w:r>
        <w:rPr>
          <w:rFonts w:ascii="Gill Sans" w:hAnsi="Gill Sans"/>
        </w:rPr>
        <w:t>Philip II ‘Augustus’</w:t>
      </w:r>
    </w:p>
    <w:p>
      <w:pPr>
        <w:pStyle w:val="Normal"/>
        <w:numPr>
          <w:ilvl w:val="0"/>
          <w:numId w:val="11"/>
        </w:numPr>
        <w:spacing w:lineRule="auto" w:line="276" w:before="0" w:after="0"/>
        <w:rPr>
          <w:rFonts w:ascii="Gill Sans" w:hAnsi="Gill Sans"/>
        </w:rPr>
      </w:pPr>
      <w:r>
        <w:rPr>
          <w:rFonts w:ascii="Gill Sans" w:hAnsi="Gill Sans"/>
        </w:rPr>
        <w:t>Leopold V of Austria</w:t>
      </w:r>
    </w:p>
    <w:p>
      <w:pPr>
        <w:pStyle w:val="Normal"/>
        <w:numPr>
          <w:ilvl w:val="0"/>
          <w:numId w:val="11"/>
        </w:numPr>
        <w:spacing w:lineRule="auto" w:line="276" w:before="0" w:after="0"/>
        <w:rPr>
          <w:rFonts w:ascii="Gill Sans" w:hAnsi="Gill Sans"/>
        </w:rPr>
      </w:pPr>
      <w:r>
        <w:rPr>
          <w:rFonts w:ascii="Gill Sans" w:hAnsi="Gill Sans"/>
        </w:rPr>
        <w:t>Guy de Lusignan</w:t>
      </w:r>
    </w:p>
    <w:p>
      <w:pPr>
        <w:pStyle w:val="Normal"/>
        <w:numPr>
          <w:ilvl w:val="0"/>
          <w:numId w:val="11"/>
        </w:numPr>
        <w:spacing w:lineRule="auto" w:line="276" w:before="0" w:after="0"/>
        <w:rPr>
          <w:rFonts w:ascii="Gill Sans" w:hAnsi="Gill Sans"/>
        </w:rPr>
      </w:pPr>
      <w:r>
        <w:rPr>
          <w:rFonts w:ascii="Gill Sans" w:hAnsi="Gill Sans"/>
        </w:rPr>
        <w:t>Sibylla of Jerusalem</w:t>
      </w:r>
    </w:p>
    <w:p>
      <w:pPr>
        <w:sectPr>
          <w:type w:val="continuous"/>
          <w:pgSz w:w="11906" w:h="16838"/>
          <w:pgMar w:left="1440" w:right="1440" w:gutter="0" w:header="0" w:top="1440" w:footer="0" w:bottom="1440"/>
          <w:cols w:num="2" w:space="288" w:equalWidth="true" w:sep="false"/>
          <w:formProt w:val="false"/>
          <w:textDirection w:val="lrTb"/>
          <w:docGrid w:type="default" w:linePitch="360" w:charSpace="4096"/>
        </w:sectPr>
      </w:pPr>
    </w:p>
    <w:p>
      <w:pPr>
        <w:pStyle w:val="Heading3"/>
        <w:numPr>
          <w:ilvl w:val="2"/>
          <w:numId w:val="2"/>
        </w:numPr>
        <w:rPr/>
      </w:pPr>
      <w:r>
        <w:rPr/>
        <w:t>Key events:</w:t>
      </w:r>
    </w:p>
    <w:p>
      <w:pPr>
        <w:pStyle w:val="BodyText"/>
        <w:rPr/>
      </w:pPr>
      <w:r>
        <w:rPr/>
        <w:t>Pope Gregory VIII issued the bull Audita tremendi (29 October 1187) for a new crusade.</w:t>
      </w:r>
    </w:p>
    <w:p>
      <w:pPr>
        <w:pStyle w:val="BodyText"/>
        <w:rPr/>
      </w:pPr>
      <w:r>
        <w:rPr/>
        <w:t>Frederick Barbarossa, now 66 (and Holy Roman Emperor) used the next year to prepare and set out in May 1189, having arranged safe passage and writing to Saladin that, regretfully, he had to break their alliance. All went smoothly until Isaac II Angelos, suspicious of the Germans, took hostages and generally provoked Frederick. Thereafter, relations worsened. Having left treacherous Byzantine territory, Frederick thought Rum would be plain sailing, but found the Turks hostile, so he took Iconium in 1190. And then disaster: Frederick was thrown off his horse in the Saleph River in 10 June 1190 and he drowned. His son carried on but was subjected to disease. He had some success, although failed to retake Jerusalem. He died in early 1191 of dysentry.</w:t>
      </w:r>
    </w:p>
    <w:p>
      <w:pPr>
        <w:pStyle w:val="BodyText"/>
        <w:rPr/>
      </w:pPr>
      <w:r>
        <w:rPr/>
        <w:t>Meanwhile, Henry II and Philip II made up at Gisors, 1188 and took the cross. But Henry died 1189, so his son Richard took over. (For recruitment, see Gerald of Wales.) Richard set out in spring 1190, meeting Philip in Vézelay, whence they set out in July 1190. Richard took ship to Messina (capturing it and releasing his hostage sister Joan), meeting up again with Philip in Sicily. There they fell out when Richard repudiated Alys, Philip’s sister. Philip left. Richard left a while after, being shipwrecked on Cyprus and accidentally taking it from Isaac, ruler of Cyprus.</w:t>
      </w:r>
    </w:p>
    <w:p>
      <w:pPr>
        <w:pStyle w:val="BodyText"/>
        <w:rPr/>
      </w:pPr>
      <w:r>
        <w:rPr/>
        <w:t>Spring 1191, Leopold of Austria took over the imperial troops; Philip and then Richard arrived. They quickly fell out and Leopold and Philip returned home in June. Richard went on to retake Acre, which the Franks had besieged for nearly 2 years. He treated with Saladin, but both killed their prisoners brutally. Richard met Saladin’s forces again at Arsuf, on the way to Jaffa; he won.</w:t>
      </w:r>
    </w:p>
    <w:p>
      <w:pPr>
        <w:pStyle w:val="BodyText"/>
        <w:rPr/>
      </w:pPr>
      <w:r>
        <w:rPr/>
        <w:t>Richard was prevented from attacking Jerusalem by Frankish in-fighting. In 1192, Saladin retook Jaffa, which brought Richard back and he routed Saladin’s forces. In September 1192, Richard agreed to let Jerusalem alone and Saladin agreed to let pilgrims and traders have safe access. Richard gave Ascalon to Saladin.</w:t>
      </w:r>
    </w:p>
    <w:p>
      <w:pPr>
        <w:pStyle w:val="BodyText"/>
        <w:rPr/>
      </w:pPr>
      <w:r>
        <w:rPr/>
        <w:t>Richard was captured on his way home by Leopold of Austria and then Henry VI. Saladin died of yellow fever in 1193. Richard was fatally shot in 1199.</w:t>
      </w:r>
    </w:p>
    <w:p>
      <w:pPr>
        <w:pStyle w:val="Heading2"/>
        <w:numPr>
          <w:ilvl w:val="1"/>
          <w:numId w:val="2"/>
        </w:numPr>
        <w:rPr/>
      </w:pPr>
      <w:r>
        <w:rPr/>
        <w:t>Fourth Crusade: 1202–1204</w:t>
      </w:r>
    </w:p>
    <w:p>
      <w:pPr>
        <w:pStyle w:val="Heading3"/>
        <w:numPr>
          <w:ilvl w:val="2"/>
          <w:numId w:val="2"/>
        </w:numPr>
        <w:rPr/>
      </w:pPr>
      <w:r>
        <w:rPr/>
        <w:t>Events leading to:</w:t>
      </w:r>
    </w:p>
    <w:p>
      <w:pPr>
        <w:pStyle w:val="Normal"/>
        <w:spacing w:lineRule="auto" w:line="276" w:before="0" w:after="0"/>
        <w:rPr>
          <w:rFonts w:ascii="Gill Sans" w:hAnsi="Gill Sans"/>
        </w:rPr>
      </w:pPr>
      <w:r>
        <w:rPr>
          <w:rFonts w:ascii="Gill Sans" w:hAnsi="Gill Sans"/>
        </w:rPr>
        <w:t>The failure of the Third Crusade to win back Jerusalem.</w:t>
      </w:r>
    </w:p>
    <w:p>
      <w:pPr>
        <w:pStyle w:val="Heading3"/>
        <w:numPr>
          <w:ilvl w:val="0"/>
          <w:numId w:val="0"/>
        </w:numPr>
        <w:ind w:hanging="0" w:left="0"/>
        <w:rPr/>
      </w:pPr>
      <w:r>
        <w:rPr/>
        <w:t>Key figures:</w:t>
      </w:r>
    </w:p>
    <w:p>
      <w:pPr>
        <w:pStyle w:val="Normal"/>
        <w:spacing w:lineRule="auto" w:line="276" w:before="0" w:after="0"/>
        <w:rPr>
          <w:rFonts w:ascii="Gill Sans" w:hAnsi="Gill Sans"/>
        </w:rPr>
      </w:pPr>
      <w:r>
        <w:rPr>
          <w:rFonts w:ascii="Gill Sans" w:hAnsi="Gill Sans"/>
        </w:rPr>
        <w:t>Innocent III</w:t>
      </w:r>
    </w:p>
    <w:p>
      <w:pPr>
        <w:pStyle w:val="Normal"/>
        <w:spacing w:lineRule="auto" w:line="276" w:before="0" w:after="0"/>
        <w:rPr>
          <w:rFonts w:ascii="Gill Sans" w:hAnsi="Gill Sans"/>
        </w:rPr>
      </w:pPr>
      <w:r>
        <w:rPr>
          <w:rFonts w:ascii="Gill Sans" w:hAnsi="Gill Sans"/>
        </w:rPr>
        <w:t>The Doge</w:t>
      </w:r>
    </w:p>
    <w:p>
      <w:pPr>
        <w:pStyle w:val="Heading3"/>
        <w:numPr>
          <w:ilvl w:val="2"/>
          <w:numId w:val="2"/>
        </w:numPr>
        <w:rPr/>
      </w:pPr>
      <w:r>
        <w:rPr/>
        <w:t>Key events:</w:t>
      </w:r>
    </w:p>
    <w:p>
      <w:pPr>
        <w:pStyle w:val="BodyText"/>
        <w:rPr/>
      </w:pPr>
      <w:r>
        <w:rPr/>
        <w:t xml:space="preserve">Pope Innocent III published the bull </w:t>
      </w:r>
      <w:r>
        <w:rPr>
          <w:i/>
          <w:iCs/>
        </w:rPr>
        <w:t>Post miserabile</w:t>
      </w:r>
      <w:bookmarkStart w:id="3" w:name="cite_ref-Runciman_15-0"/>
      <w:bookmarkEnd w:id="3"/>
      <w:r>
        <w:rPr/>
        <w:t xml:space="preserve"> in 1198, calling for a crusade. The HRE was not interested, and England and France were too busy fighting each other. Several French nobles responded, however. The crusaders arranged Venetian transport, which ended up with them sacking Zara for the Venetians. The crusaders fell out with the Byzantine emperor and with Venetian help they sacked Constantinople. Innocent III was none too pleased.</w:t>
      </w:r>
    </w:p>
    <w:p>
      <w:pPr>
        <w:pStyle w:val="BodyText"/>
        <w:rPr/>
      </w:pPr>
      <w:r>
        <w:rPr/>
        <w:t>A few crusaders made it to the Holy Land, but had no effect.</w:t>
      </w:r>
    </w:p>
    <w:p>
      <w:pPr>
        <w:pStyle w:val="Heading3"/>
        <w:numPr>
          <w:ilvl w:val="0"/>
          <w:numId w:val="0"/>
        </w:numPr>
        <w:ind w:hanging="0" w:left="0"/>
        <w:rPr/>
      </w:pPr>
      <w:r>
        <w:rPr/>
        <w:t>Aftermath:</w:t>
      </w:r>
    </w:p>
    <w:p>
      <w:pPr>
        <w:pStyle w:val="Normal"/>
        <w:spacing w:lineRule="auto" w:line="276" w:before="0" w:after="0"/>
        <w:rPr>
          <w:rFonts w:ascii="Gill Sans" w:hAnsi="Gill Sans"/>
        </w:rPr>
      </w:pPr>
      <w:r>
        <w:rPr>
          <w:rFonts w:ascii="Gill Sans" w:hAnsi="Gill Sans"/>
        </w:rPr>
        <w:t>The Franks and Venetians established territories and colonies in the Eastern Empire.</w:t>
      </w:r>
    </w:p>
    <w:p>
      <w:pPr>
        <w:pStyle w:val="Heading2"/>
        <w:numPr>
          <w:ilvl w:val="1"/>
          <w:numId w:val="2"/>
        </w:numPr>
        <w:ind w:hanging="0" w:left="0"/>
        <w:rPr/>
      </w:pPr>
      <w:r>
        <w:rPr/>
        <w:t>Elsewhere</w:t>
      </w:r>
    </w:p>
    <w:p>
      <w:pPr>
        <w:pStyle w:val="Heading3"/>
        <w:numPr>
          <w:ilvl w:val="2"/>
          <w:numId w:val="2"/>
        </w:numPr>
        <w:ind w:hanging="0" w:left="0"/>
        <w:rPr/>
      </w:pPr>
      <w:r>
        <w:rPr/>
        <w:t>Albigensian Crusade, 1209–29</w:t>
      </w:r>
    </w:p>
    <w:p>
      <w:pPr>
        <w:pStyle w:val="Normal"/>
        <w:spacing w:lineRule="auto" w:line="276" w:before="0" w:after="0"/>
        <w:rPr>
          <w:rFonts w:ascii="Gill Sans" w:hAnsi="Gill Sans"/>
        </w:rPr>
      </w:pPr>
      <w:r>
        <w:rPr>
          <w:rFonts w:ascii="Gill Sans" w:hAnsi="Gill Sans"/>
        </w:rPr>
        <w:t>Simon de Montfort, a noble from the Île-de-France, who was also Earl of Leicester, led a force against the Cathars in Languedoc, southern France. This was a vicious and dreadful war, as only civil wars can be. It was a mix of religious zeal and material gain, and ended with the destruction of the Languedoc culture and its territorial absorbtion into the French kingdom proper.</w:t>
      </w:r>
    </w:p>
    <w:p>
      <w:pPr>
        <w:pStyle w:val="Heading3"/>
        <w:numPr>
          <w:ilvl w:val="2"/>
          <w:numId w:val="2"/>
        </w:numPr>
        <w:ind w:hanging="0" w:left="0"/>
        <w:rPr/>
      </w:pPr>
      <w:r>
        <w:rPr/>
        <w:t>Iberian Crusades</w:t>
      </w:r>
    </w:p>
    <w:p>
      <w:pPr>
        <w:pStyle w:val="Normal"/>
        <w:spacing w:lineRule="auto" w:line="276" w:before="0" w:after="0"/>
        <w:rPr>
          <w:rFonts w:ascii="Gill Sans" w:hAnsi="Gill Sans"/>
        </w:rPr>
      </w:pPr>
      <w:r>
        <w:rPr>
          <w:rFonts w:ascii="Gill Sans" w:hAnsi="Gill Sans"/>
        </w:rPr>
        <w:t>Campaigns to regain territory on the Iberian peninsula from the moors started as soon as the moors conquered the Hispano-Roman-Visigoths in the early 8</w:t>
      </w:r>
      <w:r>
        <w:rPr>
          <w:rFonts w:ascii="Gill Sans" w:hAnsi="Gill Sans"/>
          <w:vertAlign w:val="superscript"/>
        </w:rPr>
        <w:t>th</w:t>
      </w:r>
      <w:r>
        <w:rPr>
          <w:rFonts w:ascii="Gill Sans" w:hAnsi="Gill Sans"/>
        </w:rPr>
        <w:t xml:space="preserve"> century. Charlemagne was involved, most famously at Roncevaux in 778 (see </w:t>
      </w:r>
      <w:r>
        <w:rPr>
          <w:rFonts w:ascii="Gill Sans" w:hAnsi="Gill Sans"/>
          <w:i/>
          <w:iCs/>
        </w:rPr>
        <w:t>Song of Roland</w:t>
      </w:r>
      <w:r>
        <w:rPr>
          <w:rFonts w:ascii="Gill Sans" w:hAnsi="Gill Sans"/>
        </w:rPr>
        <w:t>). By the late 11</w:t>
      </w:r>
      <w:r>
        <w:rPr>
          <w:rFonts w:ascii="Gill Sans" w:hAnsi="Gill Sans"/>
          <w:vertAlign w:val="superscript"/>
        </w:rPr>
        <w:t>th</w:t>
      </w:r>
      <w:r>
        <w:rPr>
          <w:rFonts w:ascii="Gill Sans" w:hAnsi="Gill Sans"/>
        </w:rPr>
        <w:t xml:space="preserve"> century, not much had been won, but the papal invention of a ‘crusade’ was jolly handy. 1101, Peter I attacked Zaragoza as a </w:t>
      </w:r>
      <w:r>
        <w:rPr>
          <w:rFonts w:ascii="Gill Sans" w:hAnsi="Gill Sans"/>
          <w:i/>
          <w:iCs/>
        </w:rPr>
        <w:t>crucifer.</w:t>
      </w:r>
      <w:r>
        <w:rPr>
          <w:rFonts w:ascii="Gill Sans" w:hAnsi="Gill Sans"/>
          <w:i w:val="false"/>
          <w:iCs w:val="false"/>
        </w:rPr>
        <w:t xml:space="preserve"> </w:t>
      </w:r>
    </w:p>
    <w:p>
      <w:pPr>
        <w:pStyle w:val="Normal"/>
        <w:spacing w:lineRule="auto" w:line="276" w:before="0" w:after="0"/>
        <w:rPr>
          <w:rFonts w:ascii="Gill Sans" w:hAnsi="Gill Sans"/>
        </w:rPr>
      </w:pPr>
      <w:r>
        <w:rPr>
          <w:rFonts w:ascii="Gill Sans" w:hAnsi="Gill Sans"/>
        </w:rPr>
      </w:r>
    </w:p>
    <w:p>
      <w:pPr>
        <w:pStyle w:val="Heading3"/>
        <w:numPr>
          <w:ilvl w:val="2"/>
          <w:numId w:val="2"/>
        </w:numPr>
        <w:ind w:hanging="0" w:left="0"/>
        <w:rPr/>
      </w:pPr>
      <w:r>
        <w:rPr/>
        <w:t>Baltic Crusades, 1147–c.1292</w:t>
      </w:r>
    </w:p>
    <w:p>
      <w:pPr>
        <w:pStyle w:val="BodyText"/>
        <w:rPr/>
      </w:pPr>
      <w:r>
        <w:rPr/>
        <w:t>These started out as a preaching campaign by Bernard of Clairvaux, who declared that the Wends (pagans) should be ‘converted or wiped out’. (Such a Christian fellow, Bernard.) The crusading indulgences were licensed by Eugenius III (a Cistercian pope) for warrior-pilgrims to push north-east. A mix of spiritual and material motives, the Wendish Crusade was headed by Germans, with Danish back-up. During the 12</w:t>
      </w:r>
      <w:r>
        <w:rPr>
          <w:vertAlign w:val="superscript"/>
        </w:rPr>
        <w:t>th</w:t>
      </w:r>
      <w:r>
        <w:rPr/>
        <w:t xml:space="preserve"> and 13</w:t>
      </w:r>
      <w:r>
        <w:rPr>
          <w:vertAlign w:val="superscript"/>
        </w:rPr>
        <w:t>th</w:t>
      </w:r>
      <w:r>
        <w:rPr/>
        <w:t xml:space="preserve"> centuries, the Germans expanded into what is now Poland and the Baltic states (regardless of whether the natives were pagan or Christian!).</w:t>
      </w:r>
    </w:p>
    <w:p>
      <w:pPr>
        <w:pStyle w:val="BodyText"/>
        <w:rPr/>
      </w:pPr>
      <w:r>
        <w:rPr/>
        <w:t>In 1171, Pope Alexander III gave year’s plenary indulgence to those fighting the Estonians. (Does this count as a crusade?) In the event, no-one responded. But in 1206, King Valdemar II started an Estonian ‘crusade’, getting papal backing in 1218. Sweden joined in. The Swedes launched their own crusade against the Finns in 1237. Dano-Swedish campaigns carried on throughout the 13</w:t>
      </w:r>
      <w:r>
        <w:rPr>
          <w:vertAlign w:val="superscript"/>
        </w:rPr>
        <w:t>th</w:t>
      </w:r>
      <w:r>
        <w:rPr/>
        <w:t xml:space="preserve"> century, assisted by Germans and the Teutonic Knights, and occasionally explicitly backed by the papacy. It must be said that the contested territories were excellent trading centres and valuable agricultural land…</w:t>
      </w:r>
    </w:p>
    <w:p>
      <w:pPr>
        <w:pStyle w:val="BodyText"/>
        <w:rPr/>
      </w:pPr>
      <w:r>
        <w:rPr/>
        <w:t xml:space="preserve">The </w:t>
      </w:r>
      <w:r>
        <w:rPr>
          <w:b/>
          <w:bCs/>
        </w:rPr>
        <w:t>Teutonic Knights</w:t>
      </w:r>
      <w:r>
        <w:rPr/>
        <w:t xml:space="preserve"> (est.c.1190) were originally established in the Holy Land (Acre) in the 1190s, the Teutonic Knights moved north in 1211, called in by the King of Hungary to help against the pagan Cumans in Transylvania. The TKs were a little too successful – they kept their conquests, cheesed the Hungarian aristocracy off and were booted out by the king in 1225. In 1217, the bishop of Prussia (a Cistercian) got papal crusading bulls. A decade later, after not much success, the TKs were called in. They got imperial permission to keep their conquests, and consequently conquered </w:t>
      </w:r>
      <w:r>
        <w:rPr>
          <w:b/>
          <w:bCs/>
        </w:rPr>
        <w:t>Prussia</w:t>
      </w:r>
      <w:r>
        <w:rPr/>
        <w:t xml:space="preserve"> (the area now Poland and Kalinengrad). In 1199, Bishop Albert of </w:t>
      </w:r>
      <w:r>
        <w:rPr>
          <w:b/>
          <w:bCs/>
        </w:rPr>
        <w:t>Livonia</w:t>
      </w:r>
      <w:r>
        <w:rPr/>
        <w:t xml:space="preserve"> led a crusade on Livonia. He was aided by the Swordbrothers, a local religious militia. They went off piste, </w:t>
      </w:r>
      <w:r>
        <w:rPr>
          <w:i/>
          <w:iCs/>
        </w:rPr>
        <w:t>piste</w:t>
      </w:r>
      <w:r>
        <w:rPr>
          <w:i w:val="false"/>
          <w:iCs w:val="false"/>
        </w:rPr>
        <w:t xml:space="preserve"> the papacy and Danes off (geddit?, and were disbanded (and absorbed by the TKs). The TKs took over Livonia.</w:t>
      </w:r>
    </w:p>
    <w:p>
      <w:pPr>
        <w:pStyle w:val="BodyText"/>
        <w:spacing w:before="0" w:after="140"/>
        <w:rPr/>
      </w:pPr>
      <w:r>
        <w:rPr/>
        <w:t>Crusading in the Holy Land continued for several centuries (against the Russians and other Christians as well as pagans), but with no real or lasting success – although perhaps its legacy continues today? The TKs declined after the Battle of Grunwald (1410) but straggled on until the late 16</w:t>
      </w:r>
      <w:r>
        <w:rPr>
          <w:vertAlign w:val="superscript"/>
        </w:rPr>
        <w:t>th</w:t>
      </w:r>
      <w:r>
        <w:rPr/>
        <w:t xml:space="preserve"> century.</w:t>
      </w:r>
    </w:p>
    <w:sectPr>
      <w:type w:val="continuous"/>
      <w:pgSz w:w="11906" w:h="16838"/>
      <w:pgMar w:left="1440" w:right="1440" w:gutter="0" w:header="0" w:top="1440" w:footer="0" w:bottom="1440"/>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Gill Sans">
    <w:charset w:val="01"/>
    <w:family w:val="swiss"/>
    <w:pitch w:val="default"/>
  </w:font>
  <w:font w:name="Segoe UI">
    <w:charset w:val="01"/>
    <w:family w:val="roman"/>
    <w:pitch w:val="default"/>
  </w:font>
  <w:font w:name="OpenSymbol">
    <w:altName w:val="Arial Unicode MS"/>
    <w:charset w:val="01"/>
    <w:family w:val="auto"/>
    <w:pitch w:val="default"/>
  </w:font>
  <w:font w:name="Garamond">
    <w:charset w:val="01"/>
    <w:family w:val="roman"/>
    <w:pitch w:val="default"/>
  </w:font>
  <w:font w:name="Symbol">
    <w:charset w:val="01"/>
    <w:family w:val="auto"/>
    <w:pitch w:val="variable"/>
  </w:font>
  <w:font w:name="Courier New">
    <w:charset w:val="01"/>
    <w:family w:val="modern"/>
    <w:pitch w:val="fixed"/>
  </w:font>
  <w:font w:name="Wingdings">
    <w:charset w:val="01"/>
    <w:family w:val="auto"/>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Heading"/>
    <w:next w:val="BodyText"/>
    <w:qFormat/>
    <w:pPr>
      <w:numPr>
        <w:ilvl w:val="0"/>
        <w:numId w:val="1"/>
      </w:numPr>
      <w:spacing w:before="240" w:after="120"/>
      <w:jc w:val="center"/>
      <w:outlineLvl w:val="0"/>
    </w:pPr>
    <w:rPr>
      <w:rFonts w:ascii="Gill Sans" w:hAnsi="Gill Sans"/>
      <w:b/>
      <w:bCs/>
      <w:sz w:val="36"/>
      <w:szCs w:val="36"/>
    </w:rPr>
  </w:style>
  <w:style w:type="paragraph" w:styleId="Heading2">
    <w:name w:val="heading 2"/>
    <w:basedOn w:val="Heading"/>
    <w:next w:val="BodyText"/>
    <w:qFormat/>
    <w:pPr>
      <w:numPr>
        <w:ilvl w:val="1"/>
        <w:numId w:val="2"/>
      </w:numPr>
      <w:spacing w:before="200" w:after="120"/>
      <w:outlineLvl w:val="1"/>
    </w:pPr>
    <w:rPr>
      <w:rFonts w:ascii="Gill Sans" w:hAnsi="Gill Sans"/>
      <w:b/>
      <w:bCs w:val="false"/>
      <w:sz w:val="32"/>
      <w:szCs w:val="32"/>
    </w:rPr>
  </w:style>
  <w:style w:type="paragraph" w:styleId="Heading3">
    <w:name w:val="heading 3"/>
    <w:basedOn w:val="Heading"/>
    <w:next w:val="BodyText"/>
    <w:qFormat/>
    <w:pPr>
      <w:numPr>
        <w:ilvl w:val="2"/>
        <w:numId w:val="2"/>
      </w:numPr>
      <w:spacing w:before="140" w:after="120"/>
      <w:outlineLvl w:val="2"/>
    </w:pPr>
    <w:rPr>
      <w:rFonts w:ascii="Gill Sans" w:hAnsi="Gill Sans"/>
      <w:b w:val="false"/>
      <w:bCs w:val="false"/>
      <w:sz w:val="28"/>
      <w:szCs w:val="28"/>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362b16"/>
    <w:rPr>
      <w:rFonts w:ascii="Segoe UI" w:hAnsi="Segoe UI" w:cs="Segoe UI"/>
      <w:sz w:val="18"/>
      <w:szCs w:val="18"/>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Garamond" w:hAnsi="Garamond" w:eastAsia="SimSun" w:cs="Lucida Sans"/>
      <w:sz w:val="28"/>
      <w:szCs w:val="28"/>
    </w:rPr>
  </w:style>
  <w:style w:type="paragraph" w:styleId="BodyText">
    <w:name w:val="Body Text"/>
    <w:basedOn w:val="Normal"/>
    <w:pPr>
      <w:spacing w:lineRule="auto" w:line="276" w:before="0" w:after="140"/>
    </w:pPr>
    <w:rPr>
      <w:rFonts w:ascii="Gill Sans" w:hAnsi="Gill Sans"/>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ListParagraph">
    <w:name w:val="List Paragraph"/>
    <w:basedOn w:val="Normal"/>
    <w:uiPriority w:val="34"/>
    <w:qFormat/>
    <w:rsid w:val="00362b16"/>
    <w:pPr>
      <w:spacing w:before="0" w:after="160"/>
      <w:ind w:hanging="0" w:left="720"/>
      <w:contextualSpacing/>
    </w:pPr>
    <w:rPr/>
  </w:style>
  <w:style w:type="paragraph" w:styleId="BalloonText">
    <w:name w:val="Balloon Text"/>
    <w:basedOn w:val="Normal"/>
    <w:link w:val="BalloonTextChar"/>
    <w:uiPriority w:val="99"/>
    <w:semiHidden/>
    <w:unhideWhenUsed/>
    <w:qFormat/>
    <w:rsid w:val="00362b16"/>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45</TotalTime>
  <Application>LibreOffice/24.8.3.2$MacOSX_X86_64 LibreOffice_project/48a6bac9e7e268aeb4c3483fcf825c94556d9f92</Application>
  <AppVersion>15.0000</AppVersion>
  <Pages>5</Pages>
  <Words>2148</Words>
  <Characters>10959</Characters>
  <CharactersWithSpaces>12950</CharactersWithSpaces>
  <Paragraphs>103</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2019-01-11T11:00:00Z</dcterms:created>
  <dc:creator>Harriet Webster</dc:creator>
  <dc:description/>
  <dc:language>en-GB</dc:language>
  <cp:lastModifiedBy>KRH</cp:lastModifiedBy>
  <cp:lastPrinted>2019-01-11T11:08:00Z</cp:lastPrinted>
  <dcterms:modified xsi:type="dcterms:W3CDTF">2025-02-10T07:33:37Z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