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50920504"/>
        <w:docPartObj>
          <w:docPartGallery w:val="Cover Pages"/>
          <w:docPartUnique/>
        </w:docPartObj>
      </w:sdtPr>
      <w:sdtEndPr>
        <w:rPr>
          <w:color w:val="auto"/>
          <w:sz w:val="48"/>
          <w:szCs w:val="48"/>
          <w:highlight w:val="green"/>
        </w:rPr>
      </w:sdtEndPr>
      <w:sdtContent>
        <w:p w14:paraId="6146C04A" w14:textId="77777777" w:rsidR="00492E36" w:rsidRDefault="00492E36" w:rsidP="00492E36">
          <w:pPr>
            <w:pStyle w:val="NoSpacing"/>
            <w:spacing w:before="1540" w:after="240"/>
            <w:jc w:val="center"/>
            <w:rPr>
              <w:color w:val="4472C4" w:themeColor="accent1"/>
            </w:rPr>
          </w:pPr>
          <w:r>
            <w:rPr>
              <w:noProof/>
              <w:color w:val="4472C4" w:themeColor="accent1"/>
            </w:rPr>
            <w:drawing>
              <wp:inline distT="0" distB="0" distL="0" distR="0" wp14:anchorId="17297CDB" wp14:editId="2DA7934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Calibri" w:hAnsi="Arial" w:cs="Arial"/>
              <w:b/>
              <w:bCs/>
              <w:sz w:val="48"/>
              <w:szCs w:val="48"/>
              <w:u w:val="single"/>
            </w:rPr>
            <w:alias w:val="Title"/>
            <w:tag w:val=""/>
            <w:id w:val="1735040861"/>
            <w:placeholder>
              <w:docPart w:val="1BBB740EF12E477192804E0829F4F477"/>
            </w:placeholder>
            <w:dataBinding w:prefixMappings="xmlns:ns0='http://purl.org/dc/elements/1.1/' xmlns:ns1='http://schemas.openxmlformats.org/package/2006/metadata/core-properties' " w:xpath="/ns1:coreProperties[1]/ns0:title[1]" w:storeItemID="{6C3C8BC8-F283-45AE-878A-BAB7291924A1}"/>
            <w:text/>
          </w:sdtPr>
          <w:sdtEndPr/>
          <w:sdtContent>
            <w:p w14:paraId="724BB07F" w14:textId="6F2C65D0" w:rsidR="00492E36" w:rsidRPr="005A13D8" w:rsidRDefault="00504103" w:rsidP="00492E3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504103">
                <w:rPr>
                  <w:rFonts w:ascii="Arial" w:eastAsia="Calibri" w:hAnsi="Arial" w:cs="Arial"/>
                  <w:b/>
                  <w:bCs/>
                  <w:sz w:val="48"/>
                  <w:szCs w:val="48"/>
                  <w:u w:val="single"/>
                </w:rPr>
                <w:t>The Evaluation of the use of Stop and Search powers by Police in England and Wales</w:t>
              </w:r>
            </w:p>
          </w:sdtContent>
        </w:sdt>
        <w:sdt>
          <w:sdtPr>
            <w:rPr>
              <w:sz w:val="36"/>
              <w:szCs w:val="36"/>
            </w:rPr>
            <w:alias w:val="Subtitle"/>
            <w:tag w:val=""/>
            <w:id w:val="328029620"/>
            <w:placeholder>
              <w:docPart w:val="EF292302A131470284E4FD1FABC16862"/>
            </w:placeholder>
            <w:dataBinding w:prefixMappings="xmlns:ns0='http://purl.org/dc/elements/1.1/' xmlns:ns1='http://schemas.openxmlformats.org/package/2006/metadata/core-properties' " w:xpath="/ns1:coreProperties[1]/ns0:subject[1]" w:storeItemID="{6C3C8BC8-F283-45AE-878A-BAB7291924A1}"/>
            <w:text/>
          </w:sdtPr>
          <w:sdtEndPr/>
          <w:sdtContent>
            <w:p w14:paraId="5CBEDB44" w14:textId="640AB354" w:rsidR="00492E36" w:rsidRPr="005A13D8" w:rsidRDefault="00492E36" w:rsidP="00492E36">
              <w:pPr>
                <w:pStyle w:val="NoSpacing"/>
                <w:jc w:val="center"/>
                <w:rPr>
                  <w:sz w:val="36"/>
                  <w:szCs w:val="36"/>
                </w:rPr>
              </w:pPr>
              <w:r>
                <w:rPr>
                  <w:sz w:val="36"/>
                  <w:szCs w:val="36"/>
                </w:rPr>
                <w:t>Jack Jones</w:t>
              </w:r>
            </w:p>
          </w:sdtContent>
        </w:sdt>
        <w:p w14:paraId="20EEA588" w14:textId="77777777" w:rsidR="00492E36" w:rsidRDefault="00492E36" w:rsidP="00492E36">
          <w:pPr>
            <w:pStyle w:val="NoSpacing"/>
            <w:spacing w:before="480"/>
            <w:jc w:val="center"/>
            <w:rPr>
              <w:color w:val="4472C4" w:themeColor="accent1"/>
            </w:rPr>
          </w:pPr>
          <w:r>
            <w:rPr>
              <w:noProof/>
              <w:color w:val="4472C4" w:themeColor="accent1"/>
            </w:rPr>
            <w:drawing>
              <wp:inline distT="0" distB="0" distL="0" distR="0" wp14:anchorId="10CA1411" wp14:editId="33707A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512679" w14:textId="77777777" w:rsidR="00492E36" w:rsidRDefault="00492E36" w:rsidP="00492E36">
          <w:pPr>
            <w:rPr>
              <w:b/>
              <w:bCs/>
              <w:sz w:val="56"/>
              <w:szCs w:val="56"/>
              <w:u w:val="single"/>
            </w:rPr>
          </w:pPr>
        </w:p>
        <w:p w14:paraId="0A3DE885" w14:textId="77777777" w:rsidR="00492E36" w:rsidRDefault="00492E36" w:rsidP="00492E36">
          <w:pPr>
            <w:rPr>
              <w:b/>
              <w:bCs/>
              <w:sz w:val="56"/>
              <w:szCs w:val="56"/>
              <w:u w:val="single"/>
            </w:rPr>
          </w:pPr>
        </w:p>
        <w:p w14:paraId="040DF3D6" w14:textId="77777777" w:rsidR="00492E36" w:rsidRDefault="00492E36" w:rsidP="00492E36">
          <w:pPr>
            <w:rPr>
              <w:b/>
              <w:bCs/>
              <w:sz w:val="56"/>
              <w:szCs w:val="56"/>
              <w:u w:val="single"/>
            </w:rPr>
          </w:pPr>
        </w:p>
        <w:p w14:paraId="26501117" w14:textId="77777777" w:rsidR="00492E36" w:rsidRPr="005A13D8" w:rsidRDefault="00492E36" w:rsidP="00492E36">
          <w:pPr>
            <w:rPr>
              <w:b/>
              <w:bCs/>
              <w:sz w:val="56"/>
              <w:szCs w:val="56"/>
              <w:u w:val="single"/>
            </w:rPr>
          </w:pPr>
          <w:r w:rsidRPr="00384CAB">
            <w:rPr>
              <w:b/>
              <w:bCs/>
              <w:sz w:val="40"/>
              <w:szCs w:val="40"/>
            </w:rPr>
            <w:t xml:space="preserve">Student Number: 1902835 </w:t>
          </w:r>
        </w:p>
        <w:p w14:paraId="68AC699B" w14:textId="08BF5D4E" w:rsidR="00492E36" w:rsidRDefault="00492E36" w:rsidP="00492E36">
          <w:pPr>
            <w:rPr>
              <w:b/>
              <w:bCs/>
              <w:sz w:val="40"/>
              <w:szCs w:val="40"/>
            </w:rPr>
          </w:pPr>
          <w:r w:rsidRPr="00384CAB">
            <w:rPr>
              <w:b/>
              <w:bCs/>
              <w:sz w:val="40"/>
              <w:szCs w:val="40"/>
            </w:rPr>
            <w:t>Word count:</w:t>
          </w:r>
          <w:r>
            <w:rPr>
              <w:b/>
              <w:bCs/>
              <w:sz w:val="40"/>
              <w:szCs w:val="40"/>
            </w:rPr>
            <w:t xml:space="preserve"> </w:t>
          </w:r>
          <w:r w:rsidR="003650FC">
            <w:rPr>
              <w:b/>
              <w:bCs/>
              <w:sz w:val="40"/>
              <w:szCs w:val="40"/>
            </w:rPr>
            <w:t>2746</w:t>
          </w:r>
        </w:p>
        <w:p w14:paraId="7809E982" w14:textId="298ED9E4" w:rsidR="00504103" w:rsidRDefault="00504103" w:rsidP="00492E36">
          <w:pPr>
            <w:rPr>
              <w:b/>
              <w:bCs/>
              <w:sz w:val="40"/>
              <w:szCs w:val="40"/>
            </w:rPr>
          </w:pPr>
          <w:r>
            <w:rPr>
              <w:b/>
              <w:bCs/>
              <w:sz w:val="40"/>
              <w:szCs w:val="40"/>
            </w:rPr>
            <w:t xml:space="preserve">Module Code: </w:t>
          </w:r>
          <w:r w:rsidRPr="00504103">
            <w:rPr>
              <w:b/>
              <w:bCs/>
              <w:sz w:val="40"/>
              <w:szCs w:val="40"/>
            </w:rPr>
            <w:t>BMPL5001</w:t>
          </w:r>
          <w:r>
            <w:rPr>
              <w:b/>
              <w:bCs/>
              <w:sz w:val="40"/>
              <w:szCs w:val="40"/>
            </w:rPr>
            <w:t xml:space="preserve"> </w:t>
          </w:r>
        </w:p>
        <w:p w14:paraId="4332B23F" w14:textId="77777777" w:rsidR="000B2B69" w:rsidRDefault="000B2B69" w:rsidP="000E3EE7">
          <w:pPr>
            <w:rPr>
              <w:b/>
              <w:bCs/>
              <w:sz w:val="40"/>
              <w:szCs w:val="40"/>
            </w:rPr>
          </w:pPr>
        </w:p>
        <w:p w14:paraId="221B39A3" w14:textId="4117A571" w:rsidR="000E3EE7" w:rsidRPr="001B11B0" w:rsidRDefault="000B0C1B" w:rsidP="000E3EE7">
          <w:pPr>
            <w:rPr>
              <w:sz w:val="48"/>
              <w:szCs w:val="48"/>
              <w:highlight w:val="green"/>
            </w:rPr>
          </w:pPr>
        </w:p>
      </w:sdtContent>
    </w:sdt>
    <w:p w14:paraId="7C182B25" w14:textId="77777777" w:rsidR="001B11B0" w:rsidRDefault="001B11B0" w:rsidP="000E3EE7">
      <w:pPr>
        <w:rPr>
          <w:rFonts w:cstheme="minorHAnsi"/>
        </w:rPr>
      </w:pPr>
    </w:p>
    <w:p w14:paraId="6DAF14C5" w14:textId="07262EFA" w:rsidR="00FF6F2F" w:rsidRPr="00CE14CC" w:rsidRDefault="000E3EE7" w:rsidP="00CE14CC">
      <w:pPr>
        <w:spacing w:line="480" w:lineRule="auto"/>
        <w:rPr>
          <w:b/>
          <w:bCs/>
          <w:sz w:val="56"/>
          <w:szCs w:val="56"/>
          <w:u w:val="single"/>
        </w:rPr>
      </w:pPr>
      <w:r w:rsidRPr="00CE14CC">
        <w:rPr>
          <w:rFonts w:cstheme="minorHAnsi"/>
        </w:rPr>
        <w:lastRenderedPageBreak/>
        <w:t xml:space="preserve">The </w:t>
      </w:r>
      <w:r w:rsidR="00FF6F2F" w:rsidRPr="00CE14CC">
        <w:rPr>
          <w:rFonts w:cstheme="minorHAnsi"/>
        </w:rPr>
        <w:t xml:space="preserve">Police and Criminal Evidence Act 1984 (PACE) was </w:t>
      </w:r>
      <w:r w:rsidR="007C0321">
        <w:rPr>
          <w:rFonts w:cstheme="minorHAnsi"/>
        </w:rPr>
        <w:t>introduced</w:t>
      </w:r>
      <w:r w:rsidR="00FF6F2F" w:rsidRPr="00CE14CC">
        <w:rPr>
          <w:rFonts w:cstheme="minorHAnsi"/>
        </w:rPr>
        <w:t xml:space="preserve"> by the British government as a result to a decline in confidence in the justice system in the UK (Walker &amp; </w:t>
      </w:r>
      <w:proofErr w:type="spellStart"/>
      <w:r w:rsidR="00FF6F2F" w:rsidRPr="00CE14CC">
        <w:rPr>
          <w:rFonts w:cstheme="minorHAnsi"/>
        </w:rPr>
        <w:t>Starmer</w:t>
      </w:r>
      <w:proofErr w:type="spellEnd"/>
      <w:r w:rsidR="00FF6F2F" w:rsidRPr="00CE14CC">
        <w:rPr>
          <w:rFonts w:cstheme="minorHAnsi"/>
        </w:rPr>
        <w:t xml:space="preserve">, 2004) (Zander, 2014). Buxton (1993) highlights that PACE was passed through parliament in the response to a wave of serious cases that was destroying the public’s faith in the police throughout England and Wales in the 1970s. When </w:t>
      </w:r>
      <w:proofErr w:type="gramStart"/>
      <w:r w:rsidR="00FF6F2F" w:rsidRPr="00CE14CC">
        <w:rPr>
          <w:rFonts w:cstheme="minorHAnsi"/>
        </w:rPr>
        <w:t>taking into account</w:t>
      </w:r>
      <w:proofErr w:type="gramEnd"/>
      <w:r w:rsidR="00FF6F2F" w:rsidRPr="00CE14CC">
        <w:rPr>
          <w:rFonts w:cstheme="minorHAnsi"/>
        </w:rPr>
        <w:t xml:space="preserve"> the aim of PACE, the parliament laid out three essential points. These included the concept of a fair suspicion, fair use of powers and finally a fair disclosure of evidence (Bryant &amp; Bryant, 2017). </w:t>
      </w:r>
    </w:p>
    <w:p w14:paraId="38B473EB" w14:textId="7C3C7C76" w:rsidR="00BD7A18" w:rsidRDefault="00CE14CC" w:rsidP="00CE14CC">
      <w:pPr>
        <w:spacing w:line="480" w:lineRule="auto"/>
        <w:rPr>
          <w:rFonts w:cstheme="minorHAnsi"/>
        </w:rPr>
      </w:pPr>
      <w:r>
        <w:rPr>
          <w:rFonts w:cstheme="minorHAnsi"/>
        </w:rPr>
        <w:t xml:space="preserve">                    </w:t>
      </w:r>
      <w:r w:rsidR="00C43E46" w:rsidRPr="00CE14CC">
        <w:rPr>
          <w:rFonts w:cstheme="minorHAnsi"/>
        </w:rPr>
        <w:t>Before PACE, the Vagrancy Act 1824 enabled the police to carryout stop and searches.</w:t>
      </w:r>
      <w:r w:rsidR="007C0321">
        <w:rPr>
          <w:rFonts w:cstheme="minorHAnsi"/>
        </w:rPr>
        <w:t xml:space="preserve"> However, </w:t>
      </w:r>
      <w:r w:rsidR="007C0321" w:rsidRPr="007C0321">
        <w:rPr>
          <w:rFonts w:cstheme="minorHAnsi"/>
        </w:rPr>
        <w:t xml:space="preserve">some might have been described </w:t>
      </w:r>
      <w:r w:rsidR="007C0321">
        <w:rPr>
          <w:rFonts w:cstheme="minorHAnsi"/>
        </w:rPr>
        <w:t xml:space="preserve">the searches </w:t>
      </w:r>
      <w:r w:rsidR="007C0321" w:rsidRPr="007C0321">
        <w:rPr>
          <w:rFonts w:cstheme="minorHAnsi"/>
        </w:rPr>
        <w:t>as controversial</w:t>
      </w:r>
      <w:r w:rsidR="007C0321">
        <w:rPr>
          <w:rFonts w:cstheme="minorHAnsi"/>
        </w:rPr>
        <w:t>.</w:t>
      </w:r>
      <w:r w:rsidR="00C43E46" w:rsidRPr="00CE14CC">
        <w:rPr>
          <w:rFonts w:cstheme="minorHAnsi"/>
        </w:rPr>
        <w:t xml:space="preserve"> The Act </w:t>
      </w:r>
      <w:r w:rsidR="007C0321" w:rsidRPr="007C0321">
        <w:rPr>
          <w:rFonts w:cstheme="minorHAnsi"/>
        </w:rPr>
        <w:t>permitted police officers to stop and search wha</w:t>
      </w:r>
      <w:r w:rsidR="007C0321">
        <w:rPr>
          <w:rFonts w:cstheme="minorHAnsi"/>
        </w:rPr>
        <w:t xml:space="preserve">t </w:t>
      </w:r>
      <w:r w:rsidR="00C43E46" w:rsidRPr="00CE14CC">
        <w:rPr>
          <w:rFonts w:cstheme="minorHAnsi"/>
        </w:rPr>
        <w:t>was described as a ‘person loitering in a public place with intent to commit an arrestable offence’</w:t>
      </w:r>
      <w:r w:rsidR="00C43E46" w:rsidRPr="00CE14CC">
        <w:t xml:space="preserve"> </w:t>
      </w:r>
      <w:r w:rsidR="00C43E46" w:rsidRPr="00CE14CC">
        <w:rPr>
          <w:rFonts w:cstheme="minorHAnsi"/>
        </w:rPr>
        <w:t>(Home Office, 2011</w:t>
      </w:r>
      <w:r w:rsidR="004743F9" w:rsidRPr="00CE14CC">
        <w:rPr>
          <w:rFonts w:cstheme="minorHAnsi"/>
        </w:rPr>
        <w:t>a</w:t>
      </w:r>
      <w:r w:rsidR="00C43E46" w:rsidRPr="00CE14CC">
        <w:rPr>
          <w:rFonts w:cstheme="minorHAnsi"/>
        </w:rPr>
        <w:t xml:space="preserve">, p.1). This Act was disliked by the public </w:t>
      </w:r>
      <w:r w:rsidR="007C0321">
        <w:rPr>
          <w:rFonts w:cstheme="minorHAnsi"/>
        </w:rPr>
        <w:t>who</w:t>
      </w:r>
      <w:r w:rsidR="00C43E46" w:rsidRPr="00CE14CC">
        <w:rPr>
          <w:rFonts w:cstheme="minorHAnsi"/>
        </w:rPr>
        <w:t xml:space="preserve"> commonly used the term ‘sus law’ </w:t>
      </w:r>
      <w:r w:rsidR="007C0321">
        <w:rPr>
          <w:rFonts w:cstheme="minorHAnsi"/>
        </w:rPr>
        <w:t xml:space="preserve">when describing </w:t>
      </w:r>
      <w:r w:rsidR="00C43E46" w:rsidRPr="00CE14CC">
        <w:rPr>
          <w:rFonts w:cstheme="minorHAnsi"/>
        </w:rPr>
        <w:t>the stop and search procedure (Whitfield, 2009).</w:t>
      </w:r>
      <w:r w:rsidR="00623275" w:rsidRPr="00CE14CC">
        <w:rPr>
          <w:rFonts w:cstheme="minorHAnsi"/>
        </w:rPr>
        <w:t xml:space="preserve"> </w:t>
      </w:r>
      <w:r w:rsidR="007C0321" w:rsidRPr="007C0321">
        <w:rPr>
          <w:rFonts w:cstheme="minorHAnsi"/>
        </w:rPr>
        <w:t xml:space="preserve">The ‘sus law’ was used extensively during ‘Operation Swamp’ when 150 plain clothes police officers stopped and searched over 1000 persons over a 10-day period. Operation Swamp resulted in the Brixton riots of </w:t>
      </w:r>
      <w:r w:rsidR="007C0321" w:rsidRPr="00B15053">
        <w:rPr>
          <w:rFonts w:cstheme="minorHAnsi"/>
        </w:rPr>
        <w:t>1981, the Scarman report into</w:t>
      </w:r>
      <w:r w:rsidR="007C0321" w:rsidRPr="007C0321">
        <w:rPr>
          <w:rFonts w:cstheme="minorHAnsi"/>
        </w:rPr>
        <w:t xml:space="preserve"> police community relations and the introduction of</w:t>
      </w:r>
      <w:r w:rsidR="007C0321">
        <w:rPr>
          <w:rFonts w:cstheme="minorHAnsi"/>
        </w:rPr>
        <w:t xml:space="preserve"> </w:t>
      </w:r>
      <w:r w:rsidR="00A50BD2" w:rsidRPr="00CE14CC">
        <w:rPr>
          <w:rFonts w:cstheme="minorHAnsi"/>
        </w:rPr>
        <w:t>the Police and Criminal Evidence Act 1984</w:t>
      </w:r>
      <w:r w:rsidR="00B15053">
        <w:rPr>
          <w:rFonts w:cstheme="minorHAnsi"/>
        </w:rPr>
        <w:t xml:space="preserve"> </w:t>
      </w:r>
      <w:r w:rsidR="00B15053" w:rsidRPr="00B15053">
        <w:rPr>
          <w:rFonts w:cstheme="minorHAnsi"/>
        </w:rPr>
        <w:t>(Lord Scarman, 1982)</w:t>
      </w:r>
      <w:r w:rsidR="00B15053">
        <w:rPr>
          <w:rFonts w:cstheme="minorHAnsi"/>
        </w:rPr>
        <w:t xml:space="preserve">. </w:t>
      </w:r>
      <w:r w:rsidR="00B15053" w:rsidRPr="00B15053">
        <w:rPr>
          <w:rFonts w:cstheme="minorHAnsi"/>
        </w:rPr>
        <w:t>Following the riots, the UK government published the Scarman report</w:t>
      </w:r>
      <w:r w:rsidR="00B15053">
        <w:rPr>
          <w:rFonts w:cstheme="minorHAnsi"/>
        </w:rPr>
        <w:t xml:space="preserve">. Lord Scarman was appointed the role to lead the enquiry into the event. </w:t>
      </w:r>
      <w:r w:rsidR="00B15053" w:rsidRPr="00B15053">
        <w:rPr>
          <w:rFonts w:cstheme="minorHAnsi"/>
        </w:rPr>
        <w:t xml:space="preserve">Home Secretary William Whitelaw </w:t>
      </w:r>
      <w:r w:rsidR="00B15053">
        <w:rPr>
          <w:rFonts w:cstheme="minorHAnsi"/>
        </w:rPr>
        <w:t>(</w:t>
      </w:r>
      <w:r w:rsidR="00B15053" w:rsidRPr="00B15053">
        <w:rPr>
          <w:rFonts w:cstheme="minorHAnsi"/>
        </w:rPr>
        <w:t>1981</w:t>
      </w:r>
      <w:r w:rsidR="00B15053">
        <w:rPr>
          <w:rFonts w:cstheme="minorHAnsi"/>
        </w:rPr>
        <w:t>) released a statement saying that the enrolment of Lord Scarman was to “</w:t>
      </w:r>
      <w:r w:rsidR="00B15053" w:rsidRPr="00B15053">
        <w:rPr>
          <w:rFonts w:cstheme="minorHAnsi"/>
        </w:rPr>
        <w:t>inquire urgently into the serious disorder in Brixton 1981 and to report, with the power to make recommendations"</w:t>
      </w:r>
      <w:r w:rsidR="00B15053">
        <w:rPr>
          <w:rFonts w:cstheme="minorHAnsi"/>
        </w:rPr>
        <w:t xml:space="preserve"> (Whitelaw, 1981). </w:t>
      </w:r>
    </w:p>
    <w:p w14:paraId="6AF0EBA0" w14:textId="038AA392" w:rsidR="00C43E46" w:rsidRPr="00B568C3" w:rsidRDefault="00BD7A18" w:rsidP="00CE14CC">
      <w:pPr>
        <w:spacing w:line="480" w:lineRule="auto"/>
        <w:rPr>
          <w:rFonts w:cstheme="minorHAnsi"/>
        </w:rPr>
      </w:pPr>
      <w:r>
        <w:rPr>
          <w:rFonts w:cstheme="minorHAnsi"/>
        </w:rPr>
        <w:t xml:space="preserve">                         </w:t>
      </w:r>
      <w:r w:rsidR="000E2BFF" w:rsidRPr="00CE14CC">
        <w:rPr>
          <w:rFonts w:cstheme="minorHAnsi"/>
        </w:rPr>
        <w:t xml:space="preserve"> </w:t>
      </w:r>
      <w:r w:rsidR="00C43E46" w:rsidRPr="00CE14CC">
        <w:rPr>
          <w:rFonts w:cstheme="minorHAnsi"/>
        </w:rPr>
        <w:t xml:space="preserve">In the 1970’s there was a </w:t>
      </w:r>
      <w:r w:rsidR="007C0321">
        <w:rPr>
          <w:rFonts w:cstheme="minorHAnsi"/>
        </w:rPr>
        <w:t>significant</w:t>
      </w:r>
      <w:r w:rsidR="00C43E46" w:rsidRPr="00CE14CC">
        <w:rPr>
          <w:rFonts w:cstheme="minorHAnsi"/>
        </w:rPr>
        <w:t xml:space="preserve"> growth on the demand on accountability for policing during the stop and searches. According to reports, the Metropolitan Police Force did not retain any records on the searches because its home secretary showed no interest. It became clear that more and more police forces in the UK could not provide data to track the ‘stop and searches’ (Miller, 2019). </w:t>
      </w:r>
      <w:r w:rsidR="00B568C3">
        <w:rPr>
          <w:rFonts w:cstheme="minorHAnsi"/>
        </w:rPr>
        <w:t xml:space="preserve">However according to the House of Commons (2021) the police were never required </w:t>
      </w:r>
      <w:r w:rsidR="00B568C3">
        <w:rPr>
          <w:rFonts w:cstheme="minorHAnsi"/>
        </w:rPr>
        <w:lastRenderedPageBreak/>
        <w:t>to provide data before PACE, Nevertheless, the conditions have changed. Police officers are required to report every stop and search they carryout in their personal pocket notebook and on the police system</w:t>
      </w:r>
      <w:r w:rsidR="00E0059E">
        <w:rPr>
          <w:rFonts w:cstheme="minorHAnsi"/>
        </w:rPr>
        <w:t xml:space="preserve">. </w:t>
      </w:r>
      <w:r w:rsidR="00CD5535">
        <w:rPr>
          <w:rFonts w:cstheme="minorHAnsi"/>
        </w:rPr>
        <w:t xml:space="preserve">As highlighted by </w:t>
      </w:r>
      <w:r w:rsidR="00CD5535" w:rsidRPr="00CD5535">
        <w:rPr>
          <w:rFonts w:cstheme="minorHAnsi"/>
        </w:rPr>
        <w:t>Lea &amp;</w:t>
      </w:r>
      <w:r w:rsidR="00CD5535">
        <w:rPr>
          <w:rFonts w:cstheme="minorHAnsi"/>
        </w:rPr>
        <w:t xml:space="preserve"> </w:t>
      </w:r>
      <w:proofErr w:type="spellStart"/>
      <w:r w:rsidR="00CD5535" w:rsidRPr="00CD5535">
        <w:rPr>
          <w:rFonts w:cstheme="minorHAnsi"/>
        </w:rPr>
        <w:t>Hallsworth</w:t>
      </w:r>
      <w:proofErr w:type="spellEnd"/>
      <w:r w:rsidR="00CD5535">
        <w:rPr>
          <w:rFonts w:cstheme="minorHAnsi"/>
        </w:rPr>
        <w:t xml:space="preserve"> (</w:t>
      </w:r>
      <w:r w:rsidR="00CD5535" w:rsidRPr="00CD5535">
        <w:rPr>
          <w:rFonts w:cstheme="minorHAnsi"/>
        </w:rPr>
        <w:t>2019)</w:t>
      </w:r>
      <w:r w:rsidR="00CD5535">
        <w:rPr>
          <w:rFonts w:cstheme="minorHAnsi"/>
        </w:rPr>
        <w:t>, a</w:t>
      </w:r>
      <w:r w:rsidR="00E0059E">
        <w:rPr>
          <w:rFonts w:cstheme="minorHAnsi"/>
        </w:rPr>
        <w:t xml:space="preserve">lthough the officers should </w:t>
      </w:r>
      <w:r w:rsidR="00CD5535">
        <w:rPr>
          <w:rFonts w:cstheme="minorHAnsi"/>
        </w:rPr>
        <w:t>report their duties</w:t>
      </w:r>
      <w:r w:rsidR="00E0059E">
        <w:rPr>
          <w:rFonts w:cstheme="minorHAnsi"/>
        </w:rPr>
        <w:t>, every individual that represents a police force must remain honest and with integrity in order to report every stop and search without fail.</w:t>
      </w:r>
      <w:r w:rsidR="00066CA4">
        <w:rPr>
          <w:rFonts w:cstheme="minorHAnsi"/>
        </w:rPr>
        <w:t xml:space="preserve"> </w:t>
      </w:r>
    </w:p>
    <w:p w14:paraId="1E73BB3E" w14:textId="77777777" w:rsidR="00BD7A18" w:rsidRDefault="00CE14CC" w:rsidP="00CE14CC">
      <w:pPr>
        <w:spacing w:line="480" w:lineRule="auto"/>
        <w:rPr>
          <w:rFonts w:cstheme="minorHAnsi"/>
        </w:rPr>
      </w:pPr>
      <w:r>
        <w:rPr>
          <w:rFonts w:cstheme="minorHAnsi"/>
        </w:rPr>
        <w:t xml:space="preserve">                  </w:t>
      </w:r>
      <w:r w:rsidR="00FF6F2F" w:rsidRPr="00CE14CC">
        <w:rPr>
          <w:rFonts w:cstheme="minorHAnsi"/>
        </w:rPr>
        <w:t xml:space="preserve">Before the approval of the legislation, Packer (1968) implied that </w:t>
      </w:r>
      <w:r w:rsidR="008C18EA" w:rsidRPr="00CE14CC">
        <w:rPr>
          <w:rFonts w:cstheme="minorHAnsi"/>
        </w:rPr>
        <w:t>PACE</w:t>
      </w:r>
      <w:r w:rsidR="00FF6F2F" w:rsidRPr="00CE14CC">
        <w:rPr>
          <w:rFonts w:cstheme="minorHAnsi"/>
        </w:rPr>
        <w:t xml:space="preserve"> would make crime easier to solve because it will contain ‘respectful powers’ that the public cannot ignore. The PACE Act was designed to create a fair balance between the law enforcement and the public's rights (Bryant &amp; Bryant, 2017). Furthermore, Zander (2014) state states the terms ‘corruption’ and ‘incompetent’ was frequently used to describe policing before the 1970’s. Therefore, the codes of PACE </w:t>
      </w:r>
      <w:r w:rsidR="00C43E46" w:rsidRPr="00CE14CC">
        <w:rPr>
          <w:rFonts w:cstheme="minorHAnsi"/>
        </w:rPr>
        <w:t>were</w:t>
      </w:r>
      <w:r w:rsidR="00FF6F2F" w:rsidRPr="00CE14CC">
        <w:rPr>
          <w:rFonts w:cstheme="minorHAnsi"/>
        </w:rPr>
        <w:t xml:space="preserve"> set out to improve the consistency of policing, when trying to gain public confidence once again.</w:t>
      </w:r>
      <w:r w:rsidR="00082EE2" w:rsidRPr="00CE14CC">
        <w:rPr>
          <w:rFonts w:cstheme="minorHAnsi"/>
        </w:rPr>
        <w:t xml:space="preserve"> </w:t>
      </w:r>
    </w:p>
    <w:p w14:paraId="1610F6D4" w14:textId="2728F87F" w:rsidR="00FF6F2F" w:rsidRPr="00CE14CC" w:rsidRDefault="00BD7A18" w:rsidP="00CE14CC">
      <w:pPr>
        <w:spacing w:line="480" w:lineRule="auto"/>
        <w:rPr>
          <w:rFonts w:cstheme="minorHAnsi"/>
        </w:rPr>
      </w:pPr>
      <w:r>
        <w:rPr>
          <w:rFonts w:cstheme="minorHAnsi"/>
        </w:rPr>
        <w:t xml:space="preserve">                 </w:t>
      </w:r>
      <w:r w:rsidR="00082EE2" w:rsidRPr="00CE14CC">
        <w:rPr>
          <w:rFonts w:cstheme="minorHAnsi"/>
        </w:rPr>
        <w:t>Previous to PACE</w:t>
      </w:r>
      <w:r w:rsidR="00FF6F2F" w:rsidRPr="00CE14CC">
        <w:rPr>
          <w:rFonts w:cstheme="minorHAnsi"/>
        </w:rPr>
        <w:t>, people were stopped and then searched at random, which raised public concerns</w:t>
      </w:r>
      <w:r w:rsidR="00AB5FA4">
        <w:rPr>
          <w:rFonts w:cstheme="minorHAnsi"/>
        </w:rPr>
        <w:t xml:space="preserve"> </w:t>
      </w:r>
      <w:r w:rsidR="00AB5FA4" w:rsidRPr="00AB5FA4">
        <w:rPr>
          <w:rFonts w:cstheme="minorHAnsi"/>
        </w:rPr>
        <w:t>(Matthews, 2009)</w:t>
      </w:r>
      <w:r w:rsidR="00AB5FA4">
        <w:rPr>
          <w:rFonts w:cstheme="minorHAnsi"/>
        </w:rPr>
        <w:t xml:space="preserve">. </w:t>
      </w:r>
      <w:r w:rsidR="00FF6F2F" w:rsidRPr="00CE14CC">
        <w:rPr>
          <w:rFonts w:cstheme="minorHAnsi"/>
        </w:rPr>
        <w:t>To overcome this, PACE introduced the Code of Practice A. Code of Practice A attempts to reduce the police stopping and searching people based on their personal appearance</w:t>
      </w:r>
      <w:r w:rsidR="00C15AE7">
        <w:rPr>
          <w:rFonts w:cstheme="minorHAnsi"/>
        </w:rPr>
        <w:t xml:space="preserve"> (Home Office, 2014).</w:t>
      </w:r>
      <w:r w:rsidR="00FF6F2F" w:rsidRPr="00CE14CC">
        <w:rPr>
          <w:rFonts w:cstheme="minorHAnsi"/>
        </w:rPr>
        <w:t xml:space="preserve"> Code A assures that searches are restricted and that individuals are not routinely searched without reason. Also, the powers are restricted on entry, an individual can only be stopped and searched in the street or public places (Home Office, 2014). This is </w:t>
      </w:r>
      <w:r w:rsidR="00082EE2" w:rsidRPr="00CE14CC">
        <w:rPr>
          <w:rFonts w:cstheme="minorHAnsi"/>
        </w:rPr>
        <w:t>implemented</w:t>
      </w:r>
      <w:r w:rsidR="00FF6F2F" w:rsidRPr="00CE14CC">
        <w:rPr>
          <w:rFonts w:cstheme="minorHAnsi"/>
        </w:rPr>
        <w:t xml:space="preserve"> to protect people of their human rights. As stated in Article 5 of the Human Rights Act 1998, everyone is entitled to private life (Home Office, 2020). Therefore, a police officer cannot detain and furthermore arrest an individual during a stop and search in their home, unless they have a warrant, this then becomes a different matter under a different legislation (College of Policing, 2021).</w:t>
      </w:r>
    </w:p>
    <w:p w14:paraId="563C3664" w14:textId="466E3804" w:rsidR="00275F1D" w:rsidRDefault="00CE14CC" w:rsidP="00CE14CC">
      <w:pPr>
        <w:spacing w:line="480" w:lineRule="auto"/>
        <w:rPr>
          <w:rFonts w:cstheme="minorHAnsi"/>
        </w:rPr>
      </w:pPr>
      <w:r>
        <w:rPr>
          <w:rFonts w:cstheme="minorHAnsi"/>
        </w:rPr>
        <w:t xml:space="preserve">                            </w:t>
      </w:r>
      <w:r w:rsidR="00CD0281" w:rsidRPr="00CE14CC">
        <w:rPr>
          <w:rFonts w:cstheme="minorHAnsi"/>
        </w:rPr>
        <w:t>There are several Acts that interpret</w:t>
      </w:r>
      <w:r w:rsidR="002D4E6A">
        <w:rPr>
          <w:rFonts w:cstheme="minorHAnsi"/>
        </w:rPr>
        <w:t>s</w:t>
      </w:r>
      <w:r w:rsidR="00CD0281" w:rsidRPr="00CE14CC">
        <w:rPr>
          <w:rFonts w:cstheme="minorHAnsi"/>
        </w:rPr>
        <w:t xml:space="preserve"> Code A</w:t>
      </w:r>
      <w:r w:rsidR="002D4E6A">
        <w:rPr>
          <w:rFonts w:cstheme="minorHAnsi"/>
        </w:rPr>
        <w:t xml:space="preserve"> of PACE. </w:t>
      </w:r>
      <w:r w:rsidR="00B369F1">
        <w:rPr>
          <w:rFonts w:cstheme="minorHAnsi"/>
        </w:rPr>
        <w:t>For example, s</w:t>
      </w:r>
      <w:r w:rsidR="004A339C">
        <w:rPr>
          <w:rFonts w:cstheme="minorHAnsi"/>
        </w:rPr>
        <w:t>ection 1 of PACE is used thoroughly in policing</w:t>
      </w:r>
      <w:r w:rsidR="00D951FA">
        <w:rPr>
          <w:rFonts w:cstheme="minorHAnsi"/>
        </w:rPr>
        <w:t xml:space="preserve">, it is </w:t>
      </w:r>
      <w:r w:rsidR="004A339C">
        <w:rPr>
          <w:rFonts w:cstheme="minorHAnsi"/>
        </w:rPr>
        <w:t xml:space="preserve">most commonly used for </w:t>
      </w:r>
      <w:r w:rsidR="004A339C" w:rsidRPr="004A339C">
        <w:rPr>
          <w:rFonts w:cstheme="minorHAnsi"/>
        </w:rPr>
        <w:t xml:space="preserve">suspecting an individual is carrying </w:t>
      </w:r>
      <w:r w:rsidR="004A339C" w:rsidRPr="004A339C">
        <w:rPr>
          <w:rFonts w:cstheme="minorHAnsi"/>
        </w:rPr>
        <w:lastRenderedPageBreak/>
        <w:t>drugs or a weapon</w:t>
      </w:r>
      <w:r w:rsidR="00CD0281" w:rsidRPr="00CE14CC">
        <w:rPr>
          <w:rFonts w:cstheme="minorHAnsi"/>
        </w:rPr>
        <w:t xml:space="preserve"> (Home Office, 2011</w:t>
      </w:r>
      <w:r w:rsidR="004743F9" w:rsidRPr="00CE14CC">
        <w:rPr>
          <w:rFonts w:cstheme="minorHAnsi"/>
        </w:rPr>
        <w:t>b</w:t>
      </w:r>
      <w:r w:rsidR="00D951FA">
        <w:rPr>
          <w:rFonts w:cstheme="minorHAnsi"/>
        </w:rPr>
        <w:t xml:space="preserve">). </w:t>
      </w:r>
      <w:r w:rsidR="00ED0BE3">
        <w:rPr>
          <w:rFonts w:cstheme="minorHAnsi"/>
        </w:rPr>
        <w:t xml:space="preserve">Furthermore, Section 1 PACE is used for </w:t>
      </w:r>
      <w:r w:rsidR="00ED0BE3" w:rsidRPr="00ED0BE3">
        <w:rPr>
          <w:rFonts w:cstheme="minorHAnsi"/>
        </w:rPr>
        <w:t>99.8% of all stops and searches in England and Wales</w:t>
      </w:r>
      <w:r w:rsidR="00ED0BE3">
        <w:rPr>
          <w:rFonts w:cstheme="minorHAnsi"/>
        </w:rPr>
        <w:t xml:space="preserve"> </w:t>
      </w:r>
      <w:r w:rsidR="00CE7600">
        <w:rPr>
          <w:rFonts w:cstheme="minorHAnsi"/>
        </w:rPr>
        <w:t xml:space="preserve">(Home Office, 2017). </w:t>
      </w:r>
      <w:r w:rsidR="004A339C">
        <w:rPr>
          <w:rFonts w:cstheme="minorHAnsi"/>
        </w:rPr>
        <w:t xml:space="preserve">If illegal drugs are found during a section 1 </w:t>
      </w:r>
      <w:r w:rsidR="00D951FA">
        <w:rPr>
          <w:rFonts w:cstheme="minorHAnsi"/>
        </w:rPr>
        <w:t>search,</w:t>
      </w:r>
      <w:r w:rsidR="004A339C">
        <w:rPr>
          <w:rFonts w:cstheme="minorHAnsi"/>
        </w:rPr>
        <w:t xml:space="preserve"> then the search can continue under </w:t>
      </w:r>
      <w:r w:rsidR="004A339C" w:rsidRPr="004A339C">
        <w:rPr>
          <w:rFonts w:cstheme="minorHAnsi"/>
        </w:rPr>
        <w:t>section 23 of the Misuse of Drugs Act 1971</w:t>
      </w:r>
      <w:r w:rsidR="004A339C">
        <w:rPr>
          <w:rFonts w:cstheme="minorHAnsi"/>
        </w:rPr>
        <w:t xml:space="preserve">. Furthermore, if </w:t>
      </w:r>
      <w:r w:rsidR="00D951FA">
        <w:rPr>
          <w:rFonts w:cstheme="minorHAnsi"/>
        </w:rPr>
        <w:t>prohibited</w:t>
      </w:r>
      <w:r w:rsidR="004A339C">
        <w:rPr>
          <w:rFonts w:cstheme="minorHAnsi"/>
        </w:rPr>
        <w:t xml:space="preserve"> firearms are found then the search </w:t>
      </w:r>
      <w:r w:rsidR="00D951FA">
        <w:rPr>
          <w:rFonts w:cstheme="minorHAnsi"/>
        </w:rPr>
        <w:t>can</w:t>
      </w:r>
      <w:r w:rsidR="004A339C">
        <w:rPr>
          <w:rFonts w:cstheme="minorHAnsi"/>
        </w:rPr>
        <w:t xml:space="preserve"> proceed to be a </w:t>
      </w:r>
      <w:r w:rsidR="00D951FA">
        <w:rPr>
          <w:rFonts w:cstheme="minorHAnsi"/>
        </w:rPr>
        <w:t>search under s</w:t>
      </w:r>
      <w:r w:rsidR="00D951FA" w:rsidRPr="00D951FA">
        <w:rPr>
          <w:rFonts w:cstheme="minorHAnsi"/>
        </w:rPr>
        <w:t>ection 47 Firearms Act 1968 (Home Office, 2019a)</w:t>
      </w:r>
      <w:r w:rsidR="00D951FA">
        <w:rPr>
          <w:rFonts w:cstheme="minorHAnsi"/>
        </w:rPr>
        <w:t xml:space="preserve">. </w:t>
      </w:r>
      <w:r w:rsidR="004A339C">
        <w:rPr>
          <w:rFonts w:cstheme="minorHAnsi"/>
        </w:rPr>
        <w:t>When police officer’s carryout a s</w:t>
      </w:r>
      <w:r w:rsidR="00CD0281" w:rsidRPr="00CE14CC">
        <w:rPr>
          <w:rFonts w:cstheme="minorHAnsi"/>
        </w:rPr>
        <w:t>top and search</w:t>
      </w:r>
      <w:r w:rsidR="004A339C">
        <w:rPr>
          <w:rFonts w:cstheme="minorHAnsi"/>
        </w:rPr>
        <w:t>, the</w:t>
      </w:r>
      <w:r w:rsidR="003650FC">
        <w:rPr>
          <w:rFonts w:cstheme="minorHAnsi"/>
        </w:rPr>
        <w:t xml:space="preserve">y </w:t>
      </w:r>
      <w:r w:rsidR="004A339C">
        <w:rPr>
          <w:rFonts w:cstheme="minorHAnsi"/>
        </w:rPr>
        <w:t>must have</w:t>
      </w:r>
      <w:r w:rsidR="00CD0281" w:rsidRPr="00CE14CC">
        <w:rPr>
          <w:rFonts w:cstheme="minorHAnsi"/>
        </w:rPr>
        <w:t xml:space="preserve"> ‘reasonable belief' that the person </w:t>
      </w:r>
      <w:r w:rsidR="004A339C">
        <w:rPr>
          <w:rFonts w:cstheme="minorHAnsi"/>
        </w:rPr>
        <w:t xml:space="preserve">is committing a crime or about to commit an offence. </w:t>
      </w:r>
      <w:r w:rsidR="00CD0281" w:rsidRPr="00CE14CC">
        <w:rPr>
          <w:rFonts w:cstheme="minorHAnsi"/>
        </w:rPr>
        <w:t>Furthermore, Section 163 of the Road Traffic Act 1988 (Home Office, 2011</w:t>
      </w:r>
      <w:r w:rsidR="004743F9" w:rsidRPr="00CE14CC">
        <w:rPr>
          <w:rFonts w:cstheme="minorHAnsi"/>
        </w:rPr>
        <w:t>c</w:t>
      </w:r>
      <w:r w:rsidR="00CD0281" w:rsidRPr="00CE14CC">
        <w:rPr>
          <w:rFonts w:cstheme="minorHAnsi"/>
        </w:rPr>
        <w:t xml:space="preserve">) </w:t>
      </w:r>
      <w:r w:rsidR="004A339C">
        <w:rPr>
          <w:rFonts w:cstheme="minorHAnsi"/>
        </w:rPr>
        <w:t>allows</w:t>
      </w:r>
      <w:r w:rsidR="00CD0281" w:rsidRPr="00CE14CC">
        <w:rPr>
          <w:rFonts w:cstheme="minorHAnsi"/>
        </w:rPr>
        <w:t xml:space="preserve"> officers to conduct vehicle searches</w:t>
      </w:r>
      <w:r w:rsidR="004A339C">
        <w:rPr>
          <w:rFonts w:cstheme="minorHAnsi"/>
        </w:rPr>
        <w:t xml:space="preserve">. </w:t>
      </w:r>
      <w:r w:rsidR="00CD0281" w:rsidRPr="00CE14CC">
        <w:rPr>
          <w:rFonts w:cstheme="minorHAnsi"/>
        </w:rPr>
        <w:t xml:space="preserve">Next </w:t>
      </w:r>
      <w:r w:rsidR="004A339C">
        <w:rPr>
          <w:rFonts w:cstheme="minorHAnsi"/>
        </w:rPr>
        <w:t xml:space="preserve">is </w:t>
      </w:r>
      <w:r w:rsidR="00CD0281" w:rsidRPr="00CE14CC">
        <w:rPr>
          <w:rFonts w:cstheme="minorHAnsi"/>
        </w:rPr>
        <w:t>the Criminal Justice and Public Order Act 1994 (Home Office, 2019</w:t>
      </w:r>
      <w:r w:rsidR="00E06095" w:rsidRPr="00CE14CC">
        <w:rPr>
          <w:rFonts w:cstheme="minorHAnsi"/>
        </w:rPr>
        <w:t>b</w:t>
      </w:r>
      <w:r w:rsidR="00CD0281" w:rsidRPr="00CE14CC">
        <w:rPr>
          <w:rFonts w:cstheme="minorHAnsi"/>
        </w:rPr>
        <w:t xml:space="preserve">) is used in suspicion of serious violence. </w:t>
      </w:r>
      <w:r w:rsidR="00275F1D" w:rsidRPr="00275F1D">
        <w:rPr>
          <w:rFonts w:cstheme="minorHAnsi"/>
        </w:rPr>
        <w:t>It is argued that the various sections intersect in order to protect the officers from being accused of committing a miscarriage of justice</w:t>
      </w:r>
      <w:r w:rsidR="00275F1D">
        <w:rPr>
          <w:rFonts w:cstheme="minorHAnsi"/>
        </w:rPr>
        <w:t xml:space="preserve"> </w:t>
      </w:r>
      <w:r w:rsidR="00900FCA">
        <w:rPr>
          <w:rFonts w:cstheme="minorHAnsi"/>
        </w:rPr>
        <w:t>(</w:t>
      </w:r>
      <w:r w:rsidR="00900FCA" w:rsidRPr="00900FCA">
        <w:rPr>
          <w:rFonts w:cstheme="minorHAnsi"/>
        </w:rPr>
        <w:t>Stone</w:t>
      </w:r>
      <w:r w:rsidR="00900FCA">
        <w:rPr>
          <w:rFonts w:cstheme="minorHAnsi"/>
        </w:rPr>
        <w:t xml:space="preserve"> &amp; </w:t>
      </w:r>
      <w:r w:rsidR="00900FCA" w:rsidRPr="00900FCA">
        <w:rPr>
          <w:rFonts w:cstheme="minorHAnsi"/>
        </w:rPr>
        <w:t>Pettigrew</w:t>
      </w:r>
      <w:r w:rsidR="00900FCA">
        <w:rPr>
          <w:rFonts w:cstheme="minorHAnsi"/>
        </w:rPr>
        <w:t xml:space="preserve">, </w:t>
      </w:r>
      <w:r w:rsidR="00900FCA" w:rsidRPr="00900FCA">
        <w:rPr>
          <w:rFonts w:cstheme="minorHAnsi"/>
        </w:rPr>
        <w:t>2000)</w:t>
      </w:r>
      <w:r w:rsidR="00900FCA">
        <w:rPr>
          <w:rFonts w:cstheme="minorHAnsi"/>
        </w:rPr>
        <w:t xml:space="preserve">. </w:t>
      </w:r>
    </w:p>
    <w:p w14:paraId="07774398" w14:textId="664F1801" w:rsidR="00095489" w:rsidRDefault="00CE14CC" w:rsidP="00CE14CC">
      <w:pPr>
        <w:spacing w:line="480" w:lineRule="auto"/>
      </w:pPr>
      <w:r>
        <w:rPr>
          <w:rFonts w:cstheme="minorHAnsi"/>
        </w:rPr>
        <w:t xml:space="preserve">                         </w:t>
      </w:r>
      <w:r w:rsidR="00FF6F2F" w:rsidRPr="00CE14CC">
        <w:rPr>
          <w:rFonts w:cstheme="minorHAnsi"/>
        </w:rPr>
        <w:t xml:space="preserve">However, according to data collected by McFarland et al (2018), it suggests that police departments has continued to use their </w:t>
      </w:r>
      <w:r w:rsidR="00275F1D">
        <w:rPr>
          <w:rFonts w:cstheme="minorHAnsi"/>
        </w:rPr>
        <w:t>power</w:t>
      </w:r>
      <w:r w:rsidR="00FF6F2F" w:rsidRPr="00CE14CC">
        <w:rPr>
          <w:rFonts w:cstheme="minorHAnsi"/>
        </w:rPr>
        <w:t xml:space="preserve">s unfairly because </w:t>
      </w:r>
      <w:r w:rsidR="00B0223D">
        <w:rPr>
          <w:rFonts w:cstheme="minorHAnsi"/>
        </w:rPr>
        <w:t>t</w:t>
      </w:r>
      <w:r w:rsidR="00B0223D" w:rsidRPr="00B0223D">
        <w:rPr>
          <w:rFonts w:cstheme="minorHAnsi"/>
        </w:rPr>
        <w:t xml:space="preserve">hey are detaining individuals in </w:t>
      </w:r>
      <w:r w:rsidR="003650FC">
        <w:rPr>
          <w:rFonts w:cstheme="minorHAnsi"/>
        </w:rPr>
        <w:t>a manner that is</w:t>
      </w:r>
      <w:r w:rsidR="00B0223D" w:rsidRPr="00B0223D">
        <w:rPr>
          <w:rFonts w:cstheme="minorHAnsi"/>
        </w:rPr>
        <w:t xml:space="preserve"> considered harass</w:t>
      </w:r>
      <w:r w:rsidR="003650FC">
        <w:rPr>
          <w:rFonts w:cstheme="minorHAnsi"/>
        </w:rPr>
        <w:t>ment</w:t>
      </w:r>
      <w:r w:rsidR="00B0223D" w:rsidRPr="00B0223D">
        <w:rPr>
          <w:rFonts w:cstheme="minorHAnsi"/>
        </w:rPr>
        <w:t>, discriminatory, and victimising.</w:t>
      </w:r>
      <w:r w:rsidR="00B0223D">
        <w:rPr>
          <w:rFonts w:cstheme="minorHAnsi"/>
        </w:rPr>
        <w:t xml:space="preserve"> </w:t>
      </w:r>
      <w:r w:rsidR="00FF6F2F" w:rsidRPr="00CE14CC">
        <w:rPr>
          <w:rFonts w:cstheme="minorHAnsi"/>
        </w:rPr>
        <w:t xml:space="preserve">To support this, data reports by both Staffordshire Police (2020) and Cleveland Police (2020) indicates that reducing the use of stop and search will lead to a decrease in overall crime rate, therefore making policing more effective. </w:t>
      </w:r>
      <w:r w:rsidR="003650FC">
        <w:rPr>
          <w:rFonts w:cstheme="minorHAnsi"/>
        </w:rPr>
        <w:t>However,</w:t>
      </w:r>
      <w:r w:rsidR="00FF6F2F" w:rsidRPr="00CE14CC">
        <w:rPr>
          <w:rFonts w:cstheme="minorHAnsi"/>
        </w:rPr>
        <w:t xml:space="preserve"> its effect is minimal</w:t>
      </w:r>
      <w:r w:rsidR="00B0223D">
        <w:rPr>
          <w:rFonts w:cstheme="minorHAnsi"/>
        </w:rPr>
        <w:t xml:space="preserve"> </w:t>
      </w:r>
      <w:r w:rsidR="003650FC">
        <w:rPr>
          <w:rFonts w:cstheme="minorHAnsi"/>
        </w:rPr>
        <w:t xml:space="preserve">when </w:t>
      </w:r>
      <w:r w:rsidR="00B0223D">
        <w:rPr>
          <w:rFonts w:cstheme="minorHAnsi"/>
        </w:rPr>
        <w:t>comparing the data provided by each police force</w:t>
      </w:r>
      <w:r w:rsidR="00FF6F2F" w:rsidRPr="00CE14CC">
        <w:rPr>
          <w:rFonts w:cstheme="minorHAnsi"/>
        </w:rPr>
        <w:t>.</w:t>
      </w:r>
      <w:r w:rsidR="007C0321" w:rsidRPr="007C0321">
        <w:t xml:space="preserve"> </w:t>
      </w:r>
      <w:r w:rsidR="00095489">
        <w:t xml:space="preserve">When comparing the arrest rate to the stop and search numbers, only 17% of the people were arrested and further prosecuted in 2017 (Home Office, 2017). However, every year the percentage increases by 1%, therefore it can be argued that the police are taking a more targeted approach for their stop and searches </w:t>
      </w:r>
      <w:r w:rsidR="009176F9">
        <w:t xml:space="preserve">(Walker, 2020). </w:t>
      </w:r>
    </w:p>
    <w:p w14:paraId="4507478A" w14:textId="1EBC7071" w:rsidR="00A966DD" w:rsidRDefault="00095489" w:rsidP="00CE14CC">
      <w:pPr>
        <w:spacing w:line="480" w:lineRule="auto"/>
        <w:rPr>
          <w:rFonts w:cstheme="minorHAnsi"/>
        </w:rPr>
      </w:pPr>
      <w:r>
        <w:rPr>
          <w:rFonts w:cstheme="minorHAnsi"/>
          <w:color w:val="FF0000"/>
        </w:rPr>
        <w:t xml:space="preserve">            </w:t>
      </w:r>
      <w:r w:rsidR="00FF6F2F" w:rsidRPr="00CE14CC">
        <w:rPr>
          <w:rFonts w:cstheme="minorHAnsi"/>
        </w:rPr>
        <w:t>It is calculated that the operations have only decreased the number of offences by 0.2% (HMICFRS, 2021). Its usage must therefore be weighed against the detrimental effects on public's trust in policing. Even after decades of study and many measures aimed at resolving the problem, ethnicity ratios have remained a huge problem (Equality and Human Rights Commission, 2010).</w:t>
      </w:r>
      <w:r w:rsidR="000217B6" w:rsidRPr="00CE14CC">
        <w:rPr>
          <w:rFonts w:cstheme="minorHAnsi"/>
        </w:rPr>
        <w:t xml:space="preserve"> </w:t>
      </w:r>
      <w:r w:rsidR="000217B6" w:rsidRPr="00CE14CC">
        <w:rPr>
          <w:rFonts w:cstheme="minorHAnsi"/>
        </w:rPr>
        <w:lastRenderedPageBreak/>
        <w:t>Therefore</w:t>
      </w:r>
      <w:r w:rsidR="00CE14CC">
        <w:rPr>
          <w:rFonts w:cstheme="minorHAnsi"/>
        </w:rPr>
        <w:t>,</w:t>
      </w:r>
      <w:r w:rsidR="000217B6" w:rsidRPr="00CE14CC">
        <w:rPr>
          <w:rFonts w:cstheme="minorHAnsi"/>
        </w:rPr>
        <w:t xml:space="preserve"> the strategies are not having an expected effect</w:t>
      </w:r>
      <w:r w:rsidR="00A966DD">
        <w:rPr>
          <w:rFonts w:cstheme="minorHAnsi"/>
        </w:rPr>
        <w:t>. On the other hand, s</w:t>
      </w:r>
      <w:r w:rsidR="00A966DD" w:rsidRPr="00A966DD">
        <w:rPr>
          <w:rFonts w:cstheme="minorHAnsi"/>
        </w:rPr>
        <w:t>ome consider that one of the benefits of stop and search would be that it acts as a deterrent, because people are less likely to commit crimes if they know they will be stopped and searched</w:t>
      </w:r>
      <w:r w:rsidR="001B71E4">
        <w:rPr>
          <w:rFonts w:cstheme="minorHAnsi"/>
        </w:rPr>
        <w:t xml:space="preserve"> </w:t>
      </w:r>
      <w:r w:rsidR="00A54D98" w:rsidRPr="00A54D98">
        <w:rPr>
          <w:rFonts w:cstheme="minorHAnsi"/>
        </w:rPr>
        <w:t>(College of Policing, 2017)</w:t>
      </w:r>
      <w:r w:rsidR="00A54D98">
        <w:rPr>
          <w:rFonts w:cstheme="minorHAnsi"/>
        </w:rPr>
        <w:t xml:space="preserve">. </w:t>
      </w:r>
      <w:r w:rsidR="006800A6" w:rsidRPr="006800A6">
        <w:rPr>
          <w:rFonts w:cstheme="minorHAnsi"/>
        </w:rPr>
        <w:t xml:space="preserve">In addition, this brings into question </w:t>
      </w:r>
      <w:r w:rsidR="00A54D98">
        <w:rPr>
          <w:rFonts w:cstheme="minorHAnsi"/>
        </w:rPr>
        <w:t>the</w:t>
      </w:r>
      <w:r w:rsidR="006800A6" w:rsidRPr="006800A6">
        <w:rPr>
          <w:rFonts w:cstheme="minorHAnsi"/>
        </w:rPr>
        <w:t> 0.2</w:t>
      </w:r>
      <w:r w:rsidR="001B71E4">
        <w:rPr>
          <w:rFonts w:cstheme="minorHAnsi"/>
        </w:rPr>
        <w:t xml:space="preserve">% decrease in crime </w:t>
      </w:r>
      <w:r w:rsidR="001B71E4" w:rsidRPr="001B71E4">
        <w:rPr>
          <w:rFonts w:cstheme="minorHAnsi"/>
        </w:rPr>
        <w:t>(HMICFRS, 2021)</w:t>
      </w:r>
      <w:r w:rsidR="006800A6" w:rsidRPr="006800A6">
        <w:rPr>
          <w:rFonts w:cstheme="minorHAnsi"/>
        </w:rPr>
        <w:t xml:space="preserve">. </w:t>
      </w:r>
      <w:r w:rsidR="00A966DD">
        <w:rPr>
          <w:rFonts w:cstheme="minorHAnsi"/>
        </w:rPr>
        <w:t xml:space="preserve">To measure this impact, intelligence led policing must </w:t>
      </w:r>
      <w:r w:rsidR="00A966DD" w:rsidRPr="00A966DD">
        <w:rPr>
          <w:rFonts w:cstheme="minorHAnsi"/>
        </w:rPr>
        <w:t>compare the data of searches in a given area in comparison to the amount of people arrested and then furthermore compare to the overall crime rates</w:t>
      </w:r>
      <w:r w:rsidR="006800A6">
        <w:rPr>
          <w:rFonts w:cstheme="minorHAnsi"/>
        </w:rPr>
        <w:t xml:space="preserve">. In order for the analysis to be fair the crime rates should only use the statistics for </w:t>
      </w:r>
      <w:r w:rsidR="00A966DD" w:rsidRPr="00A966DD">
        <w:rPr>
          <w:rFonts w:cstheme="minorHAnsi"/>
        </w:rPr>
        <w:t>the offences that would only be hindered by a stop and search, these are drug</w:t>
      </w:r>
      <w:r w:rsidR="006800A6">
        <w:rPr>
          <w:rFonts w:cstheme="minorHAnsi"/>
        </w:rPr>
        <w:t xml:space="preserve"> related offences</w:t>
      </w:r>
      <w:r w:rsidR="00A966DD" w:rsidRPr="00A966DD">
        <w:rPr>
          <w:rFonts w:cstheme="minorHAnsi"/>
        </w:rPr>
        <w:t>, theft, carrying prohibited articles</w:t>
      </w:r>
      <w:r w:rsidR="006800A6">
        <w:rPr>
          <w:rFonts w:cstheme="minorHAnsi"/>
        </w:rPr>
        <w:t xml:space="preserve"> and in possession of a firearm</w:t>
      </w:r>
      <w:r w:rsidR="001B71E4">
        <w:rPr>
          <w:rFonts w:cstheme="minorHAnsi"/>
        </w:rPr>
        <w:t xml:space="preserve"> </w:t>
      </w:r>
      <w:r w:rsidR="00A54D98" w:rsidRPr="00A54D98">
        <w:rPr>
          <w:rFonts w:cstheme="minorHAnsi"/>
        </w:rPr>
        <w:t>(College of Policing, 2017)</w:t>
      </w:r>
      <w:r w:rsidR="00A54D98">
        <w:rPr>
          <w:rFonts w:cstheme="minorHAnsi"/>
        </w:rPr>
        <w:t xml:space="preserve">. </w:t>
      </w:r>
      <w:r w:rsidR="001B71E4">
        <w:rPr>
          <w:rFonts w:cstheme="minorHAnsi"/>
        </w:rPr>
        <w:t>However, it is argued that</w:t>
      </w:r>
      <w:r w:rsidR="001B71E4" w:rsidRPr="001B71E4">
        <w:t xml:space="preserve"> </w:t>
      </w:r>
      <w:r w:rsidR="001B71E4">
        <w:rPr>
          <w:rFonts w:cstheme="minorHAnsi"/>
        </w:rPr>
        <w:t>p</w:t>
      </w:r>
      <w:r w:rsidR="001B71E4" w:rsidRPr="001B71E4">
        <w:rPr>
          <w:rFonts w:cstheme="minorHAnsi"/>
        </w:rPr>
        <w:t xml:space="preserve">eople are not willing to speak </w:t>
      </w:r>
      <w:r w:rsidR="003650FC">
        <w:rPr>
          <w:rFonts w:cstheme="minorHAnsi"/>
        </w:rPr>
        <w:t>to</w:t>
      </w:r>
      <w:r w:rsidR="001B71E4" w:rsidRPr="001B71E4">
        <w:rPr>
          <w:rFonts w:cstheme="minorHAnsi"/>
        </w:rPr>
        <w:t xml:space="preserve"> a</w:t>
      </w:r>
      <w:r w:rsidR="003650FC">
        <w:rPr>
          <w:rFonts w:cstheme="minorHAnsi"/>
        </w:rPr>
        <w:t>n</w:t>
      </w:r>
      <w:r w:rsidR="001B71E4" w:rsidRPr="001B71E4">
        <w:rPr>
          <w:rFonts w:cstheme="minorHAnsi"/>
        </w:rPr>
        <w:t xml:space="preserve"> officer, </w:t>
      </w:r>
      <w:r w:rsidR="003650FC" w:rsidRPr="003650FC">
        <w:rPr>
          <w:rFonts w:cstheme="minorHAnsi"/>
        </w:rPr>
        <w:t>because people are afraid of being searched</w:t>
      </w:r>
      <w:r w:rsidR="003650FC">
        <w:rPr>
          <w:rFonts w:cstheme="minorHAnsi"/>
        </w:rPr>
        <w:t xml:space="preserve">. </w:t>
      </w:r>
      <w:proofErr w:type="gramStart"/>
      <w:r w:rsidR="003650FC">
        <w:rPr>
          <w:rFonts w:cstheme="minorHAnsi"/>
        </w:rPr>
        <w:t>Therefore</w:t>
      </w:r>
      <w:proofErr w:type="gramEnd"/>
      <w:r w:rsidR="001B71E4" w:rsidRPr="001B71E4">
        <w:rPr>
          <w:rFonts w:cstheme="minorHAnsi"/>
        </w:rPr>
        <w:t xml:space="preserve"> </w:t>
      </w:r>
      <w:r w:rsidR="003650FC">
        <w:rPr>
          <w:rFonts w:cstheme="minorHAnsi"/>
        </w:rPr>
        <w:t xml:space="preserve">it </w:t>
      </w:r>
      <w:r w:rsidR="001B71E4" w:rsidRPr="001B71E4">
        <w:rPr>
          <w:rFonts w:cstheme="minorHAnsi"/>
        </w:rPr>
        <w:t xml:space="preserve">hinders </w:t>
      </w:r>
      <w:r w:rsidR="003650FC">
        <w:rPr>
          <w:rFonts w:cstheme="minorHAnsi"/>
        </w:rPr>
        <w:t xml:space="preserve">the policing </w:t>
      </w:r>
      <w:r w:rsidR="001B71E4" w:rsidRPr="001B71E4">
        <w:rPr>
          <w:rFonts w:cstheme="minorHAnsi"/>
        </w:rPr>
        <w:t>intelligence</w:t>
      </w:r>
      <w:r w:rsidR="003650FC">
        <w:rPr>
          <w:rFonts w:cstheme="minorHAnsi"/>
        </w:rPr>
        <w:t xml:space="preserve"> and communication</w:t>
      </w:r>
      <w:r w:rsidR="001B71E4" w:rsidRPr="001B71E4">
        <w:rPr>
          <w:rFonts w:cstheme="minorHAnsi"/>
        </w:rPr>
        <w:t xml:space="preserve"> </w:t>
      </w:r>
      <w:r w:rsidR="00034887">
        <w:rPr>
          <w:rFonts w:cstheme="minorHAnsi"/>
        </w:rPr>
        <w:t xml:space="preserve">(Walker, 2020). </w:t>
      </w:r>
    </w:p>
    <w:p w14:paraId="44A682B1" w14:textId="5AE74B1E" w:rsidR="00FF6F2F" w:rsidRPr="00CE14CC" w:rsidRDefault="00CE14CC" w:rsidP="00CE14CC">
      <w:pPr>
        <w:spacing w:line="480" w:lineRule="auto"/>
        <w:rPr>
          <w:rFonts w:cstheme="minorHAnsi"/>
        </w:rPr>
      </w:pPr>
      <w:r>
        <w:rPr>
          <w:rFonts w:cstheme="minorHAnsi"/>
        </w:rPr>
        <w:t xml:space="preserve">                      </w:t>
      </w:r>
      <w:r w:rsidR="00FF6F2F" w:rsidRPr="00CE14CC">
        <w:rPr>
          <w:rFonts w:cstheme="minorHAnsi"/>
        </w:rPr>
        <w:t xml:space="preserve">An example of a strategy is ‘GOWISLEY’, Dent (2020) argues that the police should rethink their relationship and the approach to the communities after the tragic incident involving a black male called George Floyd in 2020. Dent (2020) urges policing to use ‘GOWISELY’ when carrying out the stop and search procedure. Nick Dent implies that ‘GOWISELY’ will disperse </w:t>
      </w:r>
      <w:r w:rsidR="0096637C">
        <w:rPr>
          <w:rFonts w:cstheme="minorHAnsi"/>
        </w:rPr>
        <w:t xml:space="preserve">intense </w:t>
      </w:r>
      <w:r w:rsidR="00FF6F2F" w:rsidRPr="00CE14CC">
        <w:rPr>
          <w:rFonts w:cstheme="minorHAnsi"/>
        </w:rPr>
        <w:t xml:space="preserve">situations during the procedure because it allows not only the officers but the person being searched to understand the situation. Police officers must communicate effectively with the victim who is being searched. The mnemonic ‘GOWISELY’ is used by the police as a guide for the details that they are expected to give to the victim of a search (College of Policing, 2016). An extension of ‘GOWISLEY’ initiative is the 'Stop and Think'. Research into the 'Stop and Think' initiative shows that certain authorities are still using their forces based on stereotypes rather than knowledge or rational suspicion, which overall arguably is not helping to improve the levels of crime (Hargreaves, 2018). </w:t>
      </w:r>
    </w:p>
    <w:p w14:paraId="64731A42" w14:textId="137A3494" w:rsidR="005E3709" w:rsidRDefault="00CE14CC" w:rsidP="00CE14CC">
      <w:pPr>
        <w:spacing w:line="480" w:lineRule="auto"/>
      </w:pPr>
      <w:r>
        <w:t xml:space="preserve">                             </w:t>
      </w:r>
      <w:r w:rsidR="005E3709" w:rsidRPr="00CE14CC">
        <w:t>Stopwatch</w:t>
      </w:r>
      <w:r w:rsidR="0096637C">
        <w:t xml:space="preserve"> is</w:t>
      </w:r>
      <w:r w:rsidR="005E3709" w:rsidRPr="00CE14CC">
        <w:t xml:space="preserve"> a movement for equal and efficient </w:t>
      </w:r>
      <w:r w:rsidR="005E3709" w:rsidRPr="008E0924">
        <w:t>policing</w:t>
      </w:r>
      <w:r w:rsidR="0096637C" w:rsidRPr="008E0924">
        <w:t>. According to Stopwatch (</w:t>
      </w:r>
      <w:r w:rsidR="008E0924" w:rsidRPr="008E0924">
        <w:t>2014</w:t>
      </w:r>
      <w:r w:rsidR="0096637C" w:rsidRPr="008E0924">
        <w:t>)</w:t>
      </w:r>
      <w:r w:rsidR="0096637C">
        <w:t xml:space="preserve"> they are</w:t>
      </w:r>
      <w:r w:rsidR="005E3709" w:rsidRPr="00CE14CC">
        <w:t xml:space="preserve"> </w:t>
      </w:r>
      <w:r w:rsidR="00253E87" w:rsidRPr="00CE14CC">
        <w:t>receiving</w:t>
      </w:r>
      <w:r w:rsidR="005E3709" w:rsidRPr="00CE14CC">
        <w:t xml:space="preserve"> concerns from people in London about</w:t>
      </w:r>
      <w:r w:rsidR="0096637C">
        <w:t xml:space="preserve"> the</w:t>
      </w:r>
      <w:r w:rsidR="005E3709" w:rsidRPr="00CE14CC">
        <w:t> regular "abuse" of force th</w:t>
      </w:r>
      <w:r w:rsidR="0096637C">
        <w:t xml:space="preserve">at </w:t>
      </w:r>
      <w:r w:rsidR="005E3709" w:rsidRPr="00CE14CC">
        <w:t xml:space="preserve">Code A </w:t>
      </w:r>
      <w:r w:rsidR="0096637C">
        <w:t xml:space="preserve">of PACE </w:t>
      </w:r>
      <w:r w:rsidR="005E3709" w:rsidRPr="00CE14CC">
        <w:t xml:space="preserve">is authorizing. Stopwatch Chairman Katrina </w:t>
      </w:r>
      <w:proofErr w:type="spellStart"/>
      <w:r w:rsidR="005E3709" w:rsidRPr="00CE14CC">
        <w:t>Ffrench</w:t>
      </w:r>
      <w:proofErr w:type="spellEnd"/>
      <w:r w:rsidR="005E3709" w:rsidRPr="00CE14CC">
        <w:t xml:space="preserve"> stated, "Developers are also </w:t>
      </w:r>
      <w:r w:rsidR="005E3709" w:rsidRPr="00CE14CC">
        <w:lastRenderedPageBreak/>
        <w:t>worried that perhaps the manner it is used has been hurting community bonds" (</w:t>
      </w:r>
      <w:proofErr w:type="spellStart"/>
      <w:r w:rsidR="005E3709" w:rsidRPr="00CE14CC">
        <w:t>Ffrench</w:t>
      </w:r>
      <w:proofErr w:type="spellEnd"/>
      <w:r w:rsidR="005E3709" w:rsidRPr="00CE14CC">
        <w:t>, 2010, p.1). The Chairman goes further with this by highlighting that many individuals are less inclined to choose to interact with officers; it discredits connections and undermines attempts to combat knife violence when you are isolating the groups that might have knowledge (</w:t>
      </w:r>
      <w:proofErr w:type="spellStart"/>
      <w:r w:rsidR="005E3709" w:rsidRPr="00CE14CC">
        <w:t>Ffrench</w:t>
      </w:r>
      <w:proofErr w:type="spellEnd"/>
      <w:r w:rsidR="005E3709" w:rsidRPr="00CE14CC">
        <w:t>, 2010). To counter this, the Metropolitan Police stated that they “firmly believe in the use of this force and will proceed to be using this effective strategy to ensure Londoners are safe” (Townsend, 2019, p.4).</w:t>
      </w:r>
    </w:p>
    <w:p w14:paraId="42F0A860" w14:textId="70E1868C" w:rsidR="00FF6F2F" w:rsidRPr="00CE14CC" w:rsidRDefault="00CE14CC" w:rsidP="00CE14CC">
      <w:pPr>
        <w:spacing w:line="480" w:lineRule="auto"/>
        <w:rPr>
          <w:rFonts w:cstheme="minorHAnsi"/>
        </w:rPr>
      </w:pPr>
      <w:r>
        <w:rPr>
          <w:rFonts w:cstheme="minorHAnsi"/>
        </w:rPr>
        <w:t xml:space="preserve">                              </w:t>
      </w:r>
      <w:r w:rsidR="00FF6F2F" w:rsidRPr="00CE14CC">
        <w:rPr>
          <w:rFonts w:cstheme="minorHAnsi"/>
        </w:rPr>
        <w:t xml:space="preserve">To support </w:t>
      </w:r>
      <w:r w:rsidR="00F62A72">
        <w:rPr>
          <w:rFonts w:cstheme="minorHAnsi"/>
        </w:rPr>
        <w:t>P</w:t>
      </w:r>
      <w:r w:rsidR="00FF6F2F" w:rsidRPr="00CE14CC">
        <w:rPr>
          <w:rFonts w:cstheme="minorHAnsi"/>
        </w:rPr>
        <w:t>ACE, the Equality and Human Rights Commission Report (2013) emphasises that even the Equality Act serves as a basis for</w:t>
      </w:r>
      <w:r w:rsidR="00252D4C">
        <w:rPr>
          <w:rFonts w:cstheme="minorHAnsi"/>
        </w:rPr>
        <w:t xml:space="preserve"> PACE and more importantly Code A. Some </w:t>
      </w:r>
      <w:r w:rsidR="00F00FBB">
        <w:rPr>
          <w:rFonts w:cstheme="minorHAnsi"/>
        </w:rPr>
        <w:t xml:space="preserve">could </w:t>
      </w:r>
      <w:r w:rsidR="00252D4C">
        <w:rPr>
          <w:rFonts w:cstheme="minorHAnsi"/>
        </w:rPr>
        <w:t>argue</w:t>
      </w:r>
      <w:r w:rsidR="00F00FBB">
        <w:rPr>
          <w:rFonts w:cstheme="minorHAnsi"/>
        </w:rPr>
        <w:t xml:space="preserve"> </w:t>
      </w:r>
      <w:r w:rsidR="00252D4C">
        <w:rPr>
          <w:rFonts w:cstheme="minorHAnsi"/>
        </w:rPr>
        <w:t>that the Equality Act is</w:t>
      </w:r>
      <w:r w:rsidR="00FF6F2F" w:rsidRPr="00CE14CC">
        <w:rPr>
          <w:rFonts w:cstheme="minorHAnsi"/>
        </w:rPr>
        <w:t> a defence against miscarriage of justice</w:t>
      </w:r>
      <w:r w:rsidR="00252D4C">
        <w:rPr>
          <w:rFonts w:cstheme="minorHAnsi"/>
        </w:rPr>
        <w:t xml:space="preserve"> </w:t>
      </w:r>
      <w:r w:rsidR="00F00FBB">
        <w:rPr>
          <w:rFonts w:cstheme="minorHAnsi"/>
        </w:rPr>
        <w:t>(</w:t>
      </w:r>
      <w:r w:rsidR="00F00FBB" w:rsidRPr="00F00FBB">
        <w:rPr>
          <w:rFonts w:cstheme="minorHAnsi"/>
        </w:rPr>
        <w:t>Karen &amp; Greene</w:t>
      </w:r>
      <w:r w:rsidR="00F00FBB">
        <w:rPr>
          <w:rFonts w:cstheme="minorHAnsi"/>
        </w:rPr>
        <w:t xml:space="preserve">, </w:t>
      </w:r>
      <w:r w:rsidR="00F00FBB" w:rsidRPr="00F00FBB">
        <w:rPr>
          <w:rFonts w:cstheme="minorHAnsi"/>
        </w:rPr>
        <w:t>2017</w:t>
      </w:r>
      <w:r w:rsidR="00F00FBB">
        <w:rPr>
          <w:rFonts w:cstheme="minorHAnsi"/>
        </w:rPr>
        <w:t xml:space="preserve">). </w:t>
      </w:r>
      <w:r w:rsidR="00FF6F2F" w:rsidRPr="00CE14CC">
        <w:rPr>
          <w:rFonts w:cstheme="minorHAnsi"/>
        </w:rPr>
        <w:t>Following on from this point, according to Johnston &amp; Hutton (2021), the Human Rights Act incorporates PACE into several parts</w:t>
      </w:r>
      <w:r w:rsidR="00252D4C">
        <w:rPr>
          <w:rFonts w:cstheme="minorHAnsi"/>
        </w:rPr>
        <w:t xml:space="preserve"> of the act</w:t>
      </w:r>
      <w:r w:rsidR="00FF6F2F" w:rsidRPr="00CE14CC">
        <w:rPr>
          <w:rFonts w:cstheme="minorHAnsi"/>
        </w:rPr>
        <w:t xml:space="preserve">, demonstrating that </w:t>
      </w:r>
      <w:r w:rsidR="00252D4C">
        <w:rPr>
          <w:rFonts w:cstheme="minorHAnsi"/>
        </w:rPr>
        <w:t>most definitely</w:t>
      </w:r>
      <w:r w:rsidR="00FF6F2F" w:rsidRPr="00CE14CC">
        <w:rPr>
          <w:rFonts w:cstheme="minorHAnsi"/>
        </w:rPr>
        <w:t xml:space="preserve"> the European Convention is supported by PACE in the UK. Furthermore, Flacks (2017, p.7) highlights that PACE </w:t>
      </w:r>
      <w:r w:rsidR="00252D4C" w:rsidRPr="00252D4C">
        <w:rPr>
          <w:rFonts w:cstheme="minorHAnsi"/>
        </w:rPr>
        <w:t xml:space="preserve">in coordination with the European Human Rights Act </w:t>
      </w:r>
      <w:r w:rsidR="00FF6F2F" w:rsidRPr="00CE14CC">
        <w:rPr>
          <w:rFonts w:cstheme="minorHAnsi"/>
        </w:rPr>
        <w:t xml:space="preserve">has become a “vital weapon in eliminating miscarriages of justice mostly during </w:t>
      </w:r>
      <w:r w:rsidR="00252D4C">
        <w:rPr>
          <w:rFonts w:cstheme="minorHAnsi"/>
        </w:rPr>
        <w:t xml:space="preserve">a </w:t>
      </w:r>
      <w:r w:rsidR="00FF6F2F" w:rsidRPr="00CE14CC">
        <w:rPr>
          <w:rFonts w:cstheme="minorHAnsi"/>
        </w:rPr>
        <w:t>stop and search”</w:t>
      </w:r>
      <w:r w:rsidR="00252D4C">
        <w:rPr>
          <w:rFonts w:cstheme="minorHAnsi"/>
        </w:rPr>
        <w:t xml:space="preserve">. </w:t>
      </w:r>
      <w:r w:rsidR="00FF6F2F" w:rsidRPr="00CE14CC">
        <w:rPr>
          <w:rFonts w:cstheme="minorHAnsi"/>
        </w:rPr>
        <w:t>In addition, Code of Practice A ensures that police departments comply with the law without engaging in unfair profiling, coercion, or exploitation during the stop and search procedures (Home Office, 2021</w:t>
      </w:r>
      <w:r w:rsidR="00E06095" w:rsidRPr="00CE14CC">
        <w:rPr>
          <w:rFonts w:cstheme="minorHAnsi"/>
        </w:rPr>
        <w:t>a</w:t>
      </w:r>
      <w:r w:rsidR="00FF6F2F" w:rsidRPr="00CE14CC">
        <w:rPr>
          <w:rFonts w:cstheme="minorHAnsi"/>
        </w:rPr>
        <w:t xml:space="preserve">). This is achieved prior to a stop and search because a police officer must have "reasonable grounds" </w:t>
      </w:r>
      <w:r w:rsidR="00252D4C">
        <w:rPr>
          <w:rFonts w:cstheme="minorHAnsi"/>
        </w:rPr>
        <w:t xml:space="preserve">to carry out a search </w:t>
      </w:r>
      <w:r w:rsidR="00FF6F2F" w:rsidRPr="00CE14CC">
        <w:rPr>
          <w:rFonts w:cstheme="minorHAnsi"/>
        </w:rPr>
        <w:t xml:space="preserve">(Hutton, Gold &amp; Connor, 2017, p.56). </w:t>
      </w:r>
    </w:p>
    <w:p w14:paraId="2578502E" w14:textId="25D76D3E" w:rsidR="00FF6F2F" w:rsidRPr="00CE14CC" w:rsidRDefault="00CE14CC" w:rsidP="00CE14CC">
      <w:pPr>
        <w:spacing w:line="480" w:lineRule="auto"/>
        <w:rPr>
          <w:rFonts w:cstheme="minorHAnsi"/>
        </w:rPr>
      </w:pPr>
      <w:r>
        <w:rPr>
          <w:rFonts w:cstheme="minorHAnsi"/>
        </w:rPr>
        <w:t xml:space="preserve">                              </w:t>
      </w:r>
      <w:r w:rsidR="00FF6F2F" w:rsidRPr="00CE14CC">
        <w:rPr>
          <w:rFonts w:cstheme="minorHAnsi"/>
        </w:rPr>
        <w:t xml:space="preserve">In both Code A and Code B, the use of warrants and or summonses is a useful tool for the police when trying to have contact with an individual (Cape &amp; Young, 2008). For example, under Section 60 of PACE, </w:t>
      </w:r>
      <w:r w:rsidR="00CA1346">
        <w:rPr>
          <w:rFonts w:cstheme="minorHAnsi"/>
        </w:rPr>
        <w:t>i</w:t>
      </w:r>
      <w:r w:rsidR="00FF6F2F" w:rsidRPr="00CE14CC">
        <w:rPr>
          <w:rFonts w:cstheme="minorHAnsi"/>
        </w:rPr>
        <w:t xml:space="preserve">t grants </w:t>
      </w:r>
      <w:r w:rsidR="00CA1346">
        <w:rPr>
          <w:rFonts w:cstheme="minorHAnsi"/>
        </w:rPr>
        <w:t xml:space="preserve">the </w:t>
      </w:r>
      <w:r w:rsidR="00FF6F2F" w:rsidRPr="00CE14CC">
        <w:rPr>
          <w:rFonts w:cstheme="minorHAnsi"/>
        </w:rPr>
        <w:t>police authority to search individuals in a particular location over a specific time span if they have reason to suspect that criminal activity could emerge (Home Office, 2021</w:t>
      </w:r>
      <w:r w:rsidR="00E06095" w:rsidRPr="00CE14CC">
        <w:rPr>
          <w:rFonts w:cstheme="minorHAnsi"/>
        </w:rPr>
        <w:t>a</w:t>
      </w:r>
      <w:r w:rsidR="00FF6F2F" w:rsidRPr="00CE14CC">
        <w:rPr>
          <w:rFonts w:cstheme="minorHAnsi"/>
        </w:rPr>
        <w:t xml:space="preserve">). Nottinghamshire Police (2021) used section 60 of PACE </w:t>
      </w:r>
      <w:r w:rsidR="00CA1346">
        <w:rPr>
          <w:rFonts w:cstheme="minorHAnsi"/>
        </w:rPr>
        <w:t xml:space="preserve">on </w:t>
      </w:r>
      <w:r w:rsidR="00FF6F2F" w:rsidRPr="00CE14CC">
        <w:rPr>
          <w:rFonts w:cstheme="minorHAnsi"/>
        </w:rPr>
        <w:t xml:space="preserve">local gang members in suspicion of carrying a weapon with the intent to cause violence. </w:t>
      </w:r>
    </w:p>
    <w:p w14:paraId="474C05B9" w14:textId="0ED22927" w:rsidR="00FF6F2F" w:rsidRPr="00BD7A18" w:rsidRDefault="00BD7A18" w:rsidP="00CE14CC">
      <w:pPr>
        <w:spacing w:line="480" w:lineRule="auto"/>
        <w:rPr>
          <w:rFonts w:cstheme="minorHAnsi"/>
          <w:u w:val="single"/>
        </w:rPr>
      </w:pPr>
      <w:r>
        <w:rPr>
          <w:rFonts w:cstheme="minorHAnsi"/>
        </w:rPr>
        <w:lastRenderedPageBreak/>
        <w:t xml:space="preserve">                     </w:t>
      </w:r>
      <w:r w:rsidR="00101119" w:rsidRPr="00101119">
        <w:rPr>
          <w:rFonts w:cstheme="minorHAnsi"/>
        </w:rPr>
        <w:t xml:space="preserve"> Prior to PACE, particular characteristics were seen to be vulnerable to abusive stop and search powers. For example, race or religion is a factor which is frequently used to stop and search an individual. Other factors include people being mentally or physically disabled (Bowling &amp; Weber, 2011).</w:t>
      </w:r>
      <w:r w:rsidR="00101119">
        <w:rPr>
          <w:rFonts w:cstheme="minorHAnsi"/>
        </w:rPr>
        <w:t xml:space="preserve"> </w:t>
      </w:r>
      <w:r w:rsidR="00FF6F2F" w:rsidRPr="00CE14CC">
        <w:rPr>
          <w:rFonts w:cstheme="minorHAnsi"/>
        </w:rPr>
        <w:t xml:space="preserve">Nevertheless, the use of PACE is still arguably ignored in some areas of policing. To provide an example of injustice caused by the overuse of stop and search, the public often claims that the number of Black and Asian people detained in relation to white people is unfair. In agreement with this, MP David Lammy implies that, despite the current PACE Act, eight black citizens are </w:t>
      </w:r>
      <w:r w:rsidR="00101119">
        <w:rPr>
          <w:rFonts w:cstheme="minorHAnsi"/>
        </w:rPr>
        <w:t>stopped and searched</w:t>
      </w:r>
      <w:r w:rsidR="00FF6F2F" w:rsidRPr="00CE14CC">
        <w:rPr>
          <w:rFonts w:cstheme="minorHAnsi"/>
        </w:rPr>
        <w:t xml:space="preserve"> for every</w:t>
      </w:r>
      <w:r w:rsidR="00101119">
        <w:rPr>
          <w:rFonts w:cstheme="minorHAnsi"/>
        </w:rPr>
        <w:t xml:space="preserve"> </w:t>
      </w:r>
      <w:r w:rsidR="00FF6F2F" w:rsidRPr="00CE14CC">
        <w:rPr>
          <w:rFonts w:cstheme="minorHAnsi"/>
        </w:rPr>
        <w:t xml:space="preserve">white individual. Lammy (2018) states that the procedure is ‘unfair, unjust and ineffectual’ (Lammy, 2018). </w:t>
      </w:r>
    </w:p>
    <w:p w14:paraId="3222FBC7" w14:textId="2EEB4F89" w:rsidR="00BD7A18" w:rsidRDefault="00CE14CC" w:rsidP="00CE14CC">
      <w:pPr>
        <w:spacing w:line="480" w:lineRule="auto"/>
        <w:rPr>
          <w:rFonts w:cstheme="minorHAnsi"/>
        </w:rPr>
      </w:pPr>
      <w:r>
        <w:rPr>
          <w:rFonts w:cstheme="minorHAnsi"/>
        </w:rPr>
        <w:t xml:space="preserve">              </w:t>
      </w:r>
      <w:r w:rsidR="00BD7A18">
        <w:rPr>
          <w:rFonts w:cstheme="minorHAnsi"/>
        </w:rPr>
        <w:t xml:space="preserve">            </w:t>
      </w:r>
      <w:r w:rsidR="00FF6F2F" w:rsidRPr="00CE14CC">
        <w:rPr>
          <w:rFonts w:cstheme="minorHAnsi"/>
        </w:rPr>
        <w:t xml:space="preserve">To further this argument, when considering Metropolitan </w:t>
      </w:r>
      <w:r w:rsidR="00175315">
        <w:rPr>
          <w:rFonts w:cstheme="minorHAnsi"/>
        </w:rPr>
        <w:t>P</w:t>
      </w:r>
      <w:r w:rsidR="00FF6F2F" w:rsidRPr="00CE14CC">
        <w:rPr>
          <w:rFonts w:cstheme="minorHAnsi"/>
        </w:rPr>
        <w:t>olice</w:t>
      </w:r>
      <w:r w:rsidR="00175315">
        <w:rPr>
          <w:rFonts w:cstheme="minorHAnsi"/>
        </w:rPr>
        <w:t xml:space="preserve"> statistics</w:t>
      </w:r>
      <w:r w:rsidR="00FF6F2F" w:rsidRPr="00CE14CC">
        <w:rPr>
          <w:rFonts w:cstheme="minorHAnsi"/>
        </w:rPr>
        <w:t>, it is evidential that black people are being targeted</w:t>
      </w:r>
      <w:r w:rsidR="00175315">
        <w:rPr>
          <w:rFonts w:cstheme="minorHAnsi"/>
        </w:rPr>
        <w:t xml:space="preserve"> </w:t>
      </w:r>
      <w:r w:rsidR="00FF6F2F" w:rsidRPr="00CE14CC">
        <w:rPr>
          <w:rFonts w:cstheme="minorHAnsi"/>
        </w:rPr>
        <w:t>on the streets of London</w:t>
      </w:r>
      <w:r w:rsidR="00175315">
        <w:rPr>
          <w:rFonts w:cstheme="minorHAnsi"/>
        </w:rPr>
        <w:t xml:space="preserve"> </w:t>
      </w:r>
      <w:r w:rsidR="009B6F3C" w:rsidRPr="009B6F3C">
        <w:rPr>
          <w:rFonts w:cstheme="minorHAnsi"/>
        </w:rPr>
        <w:t>(Metropolitan Police, 2020)</w:t>
      </w:r>
      <w:r w:rsidR="009B6F3C">
        <w:rPr>
          <w:rFonts w:cstheme="minorHAnsi"/>
        </w:rPr>
        <w:t xml:space="preserve">. </w:t>
      </w:r>
      <w:r w:rsidR="00FF6F2F" w:rsidRPr="00CE14CC">
        <w:rPr>
          <w:rFonts w:cstheme="minorHAnsi"/>
        </w:rPr>
        <w:t xml:space="preserve">It shows this because, for every-one white person, four black people were tasered in 2020 during a stop and search </w:t>
      </w:r>
      <w:bookmarkStart w:id="0" w:name="_Hlk67047556"/>
      <w:r w:rsidR="00FF6F2F" w:rsidRPr="00CE14CC">
        <w:rPr>
          <w:rFonts w:cstheme="minorHAnsi"/>
        </w:rPr>
        <w:t xml:space="preserve">(The Guardian, 2020). </w:t>
      </w:r>
      <w:bookmarkEnd w:id="0"/>
      <w:r w:rsidR="00FF6F2F" w:rsidRPr="00CE14CC">
        <w:rPr>
          <w:rFonts w:cstheme="minorHAnsi"/>
        </w:rPr>
        <w:t xml:space="preserve">Following this, the Metropolitan Police came forward to the BBC to apologise for their inconsideration for black people in their area. The statement highlighted that more tactics and training is needed for officers when managing stop and search cases with people from different ethnic backgrounds </w:t>
      </w:r>
      <w:r w:rsidR="009B6F3C" w:rsidRPr="009B6F3C">
        <w:rPr>
          <w:rFonts w:cstheme="minorHAnsi"/>
        </w:rPr>
        <w:t>(Metropolitan Police, 2020)</w:t>
      </w:r>
      <w:r w:rsidR="009B6F3C">
        <w:rPr>
          <w:rFonts w:cstheme="minorHAnsi"/>
        </w:rPr>
        <w:t xml:space="preserve">. </w:t>
      </w:r>
    </w:p>
    <w:p w14:paraId="73FF0CE4" w14:textId="3B9A02BC" w:rsidR="00BD7A18" w:rsidRDefault="00BD7A18" w:rsidP="00CE14CC">
      <w:pPr>
        <w:spacing w:line="480" w:lineRule="auto"/>
        <w:rPr>
          <w:rFonts w:cstheme="minorHAnsi"/>
        </w:rPr>
      </w:pPr>
      <w:r>
        <w:rPr>
          <w:rFonts w:cstheme="minorHAnsi"/>
        </w:rPr>
        <w:t xml:space="preserve">                      </w:t>
      </w:r>
      <w:r w:rsidR="00FF6F2F" w:rsidRPr="00CE14CC">
        <w:rPr>
          <w:rFonts w:cstheme="minorHAnsi"/>
        </w:rPr>
        <w:t xml:space="preserve">To criticise the Metropolitan Police further, </w:t>
      </w:r>
      <w:bookmarkStart w:id="1" w:name="_Hlk67047527"/>
      <w:r w:rsidR="00FF6F2F" w:rsidRPr="00CE14CC">
        <w:rPr>
          <w:rFonts w:cstheme="minorHAnsi"/>
        </w:rPr>
        <w:t>Dodd (2020)</w:t>
      </w:r>
      <w:bookmarkEnd w:id="1"/>
      <w:r w:rsidR="00FF6F2F" w:rsidRPr="00CE14CC">
        <w:rPr>
          <w:rFonts w:cstheme="minorHAnsi"/>
        </w:rPr>
        <w:t xml:space="preserve"> argues that the police (particularly the Metropolitan Police Force) are still being </w:t>
      </w:r>
      <w:r w:rsidR="007D0AE6">
        <w:rPr>
          <w:rFonts w:cstheme="minorHAnsi"/>
        </w:rPr>
        <w:t xml:space="preserve">criticised </w:t>
      </w:r>
      <w:r w:rsidR="00FF6F2F" w:rsidRPr="00CE14CC">
        <w:rPr>
          <w:rFonts w:cstheme="minorHAnsi"/>
        </w:rPr>
        <w:t>for inappropriate behaviour during the stop and search process. According to the Home Office (2021</w:t>
      </w:r>
      <w:r w:rsidR="00E06095" w:rsidRPr="00CE14CC">
        <w:rPr>
          <w:rFonts w:cstheme="minorHAnsi"/>
        </w:rPr>
        <w:t>b</w:t>
      </w:r>
      <w:r w:rsidR="00FF6F2F" w:rsidRPr="00CE14CC">
        <w:rPr>
          <w:rFonts w:cstheme="minorHAnsi"/>
        </w:rPr>
        <w:t xml:space="preserve">) there were 563,837 stop and searches in England and Wales in 2020, half of which took place by the Metropolitan Police force area in London. </w:t>
      </w:r>
      <w:proofErr w:type="spellStart"/>
      <w:r w:rsidR="00FF6F2F" w:rsidRPr="00CE14CC">
        <w:rPr>
          <w:rFonts w:cstheme="minorHAnsi"/>
        </w:rPr>
        <w:t>Starmer</w:t>
      </w:r>
      <w:proofErr w:type="spellEnd"/>
      <w:r w:rsidR="00FF6F2F" w:rsidRPr="00CE14CC">
        <w:rPr>
          <w:rFonts w:cstheme="minorHAnsi"/>
        </w:rPr>
        <w:t xml:space="preserve"> (2007) argues that the Metropolitan Police are over-using their powers compared to other police forces. </w:t>
      </w:r>
    </w:p>
    <w:p w14:paraId="539776B0" w14:textId="68E78756" w:rsidR="00FF6F2F" w:rsidRPr="00CE14CC" w:rsidRDefault="00BD7A18" w:rsidP="00CE14CC">
      <w:pPr>
        <w:spacing w:line="480" w:lineRule="auto"/>
        <w:rPr>
          <w:rFonts w:cstheme="minorHAnsi"/>
        </w:rPr>
      </w:pPr>
      <w:r>
        <w:rPr>
          <w:rFonts w:cstheme="minorHAnsi"/>
        </w:rPr>
        <w:t xml:space="preserve">                   </w:t>
      </w:r>
      <w:r w:rsidR="00FF6F2F" w:rsidRPr="00CE14CC">
        <w:rPr>
          <w:rFonts w:cstheme="minorHAnsi"/>
        </w:rPr>
        <w:t xml:space="preserve">When </w:t>
      </w:r>
      <w:r>
        <w:rPr>
          <w:rFonts w:cstheme="minorHAnsi"/>
        </w:rPr>
        <w:t>looking at</w:t>
      </w:r>
      <w:r w:rsidR="00FF6F2F" w:rsidRPr="00CE14CC">
        <w:rPr>
          <w:rFonts w:cstheme="minorHAnsi"/>
        </w:rPr>
        <w:t xml:space="preserve"> different police forces, according to </w:t>
      </w:r>
      <w:proofErr w:type="spellStart"/>
      <w:r w:rsidR="00FF6F2F" w:rsidRPr="00CE14CC">
        <w:rPr>
          <w:rFonts w:cstheme="minorHAnsi"/>
        </w:rPr>
        <w:t>Starmer</w:t>
      </w:r>
      <w:proofErr w:type="spellEnd"/>
      <w:r w:rsidR="00FF6F2F" w:rsidRPr="00CE14CC">
        <w:rPr>
          <w:rFonts w:cstheme="minorHAnsi"/>
        </w:rPr>
        <w:t xml:space="preserve"> (2007, p.17) “Northern Ireland </w:t>
      </w:r>
      <w:r>
        <w:rPr>
          <w:rFonts w:cstheme="minorHAnsi"/>
        </w:rPr>
        <w:t xml:space="preserve">police forces </w:t>
      </w:r>
      <w:r w:rsidR="00FF6F2F" w:rsidRPr="00CE14CC">
        <w:rPr>
          <w:rFonts w:cstheme="minorHAnsi"/>
        </w:rPr>
        <w:t>ha</w:t>
      </w:r>
      <w:r>
        <w:rPr>
          <w:rFonts w:cstheme="minorHAnsi"/>
        </w:rPr>
        <w:t>ve</w:t>
      </w:r>
      <w:r w:rsidR="00FF6F2F" w:rsidRPr="00CE14CC">
        <w:rPr>
          <w:rFonts w:cstheme="minorHAnsi"/>
        </w:rPr>
        <w:t xml:space="preserve"> the most reliable and respectful police service in the UK</w:t>
      </w:r>
      <w:r>
        <w:rPr>
          <w:rFonts w:cstheme="minorHAnsi"/>
        </w:rPr>
        <w:t>”</w:t>
      </w:r>
      <w:r w:rsidR="00FF6F2F" w:rsidRPr="00CE14CC">
        <w:rPr>
          <w:rFonts w:cstheme="minorHAnsi"/>
        </w:rPr>
        <w:t>. However, when comparing the different countries of the UK, Northern Ireland has a much lower p</w:t>
      </w:r>
      <w:r w:rsidR="007B4CAB" w:rsidRPr="00CE14CC">
        <w:rPr>
          <w:rFonts w:cstheme="minorHAnsi"/>
        </w:rPr>
        <w:t>ercentage</w:t>
      </w:r>
      <w:r w:rsidR="00FF6F2F" w:rsidRPr="00CE14CC">
        <w:rPr>
          <w:rFonts w:cstheme="minorHAnsi"/>
        </w:rPr>
        <w:t xml:space="preserve"> of </w:t>
      </w:r>
      <w:r w:rsidR="00FF6F2F" w:rsidRPr="00CE14CC">
        <w:rPr>
          <w:rFonts w:cstheme="minorHAnsi"/>
        </w:rPr>
        <w:lastRenderedPageBreak/>
        <w:t>different ethnic backgrounds compared to England</w:t>
      </w:r>
      <w:r w:rsidR="00DD694D" w:rsidRPr="00CE14CC">
        <w:rPr>
          <w:rFonts w:cstheme="minorHAnsi"/>
        </w:rPr>
        <w:t xml:space="preserve"> (Russell, 2013)</w:t>
      </w:r>
      <w:r w:rsidR="00FF6F2F" w:rsidRPr="00CE14CC">
        <w:rPr>
          <w:rFonts w:cstheme="minorHAnsi"/>
        </w:rPr>
        <w:t xml:space="preserve">. </w:t>
      </w:r>
      <w:r w:rsidR="00B36F8E" w:rsidRPr="00CE14CC">
        <w:rPr>
          <w:rFonts w:cstheme="minorHAnsi"/>
        </w:rPr>
        <w:t>When comparing the data, in 2011 there were 4.4 million Asian people and there were 2.3 million Black people out of the total 56 million in England</w:t>
      </w:r>
      <w:r w:rsidR="00DD694D" w:rsidRPr="00CE14CC">
        <w:rPr>
          <w:rFonts w:cstheme="minorHAnsi"/>
        </w:rPr>
        <w:t xml:space="preserve">. </w:t>
      </w:r>
      <w:r w:rsidR="00B36F8E" w:rsidRPr="00CE14CC">
        <w:rPr>
          <w:rFonts w:cstheme="minorHAnsi"/>
        </w:rPr>
        <w:t>Compare this to Northern Ireland, there were 19,000 Asian people and only 3,600 B</w:t>
      </w:r>
      <w:r w:rsidR="00DD694D" w:rsidRPr="00CE14CC">
        <w:rPr>
          <w:rFonts w:cstheme="minorHAnsi"/>
        </w:rPr>
        <w:t>la</w:t>
      </w:r>
      <w:r w:rsidR="00B36F8E" w:rsidRPr="00CE14CC">
        <w:rPr>
          <w:rFonts w:cstheme="minorHAnsi"/>
        </w:rPr>
        <w:t>ck people out of the total population of 1.8 million</w:t>
      </w:r>
      <w:r w:rsidR="00DD694D" w:rsidRPr="00CE14CC">
        <w:rPr>
          <w:rFonts w:cstheme="minorHAnsi"/>
        </w:rPr>
        <w:t xml:space="preserve"> (Home Office, 2012). </w:t>
      </w:r>
      <w:r w:rsidR="007B4CAB" w:rsidRPr="00CE14CC">
        <w:rPr>
          <w:rFonts w:cstheme="minorHAnsi"/>
        </w:rPr>
        <w:t xml:space="preserve">When </w:t>
      </w:r>
      <w:r w:rsidR="00DD694D" w:rsidRPr="00CE14CC">
        <w:rPr>
          <w:rFonts w:cstheme="minorHAnsi"/>
        </w:rPr>
        <w:t>calculating</w:t>
      </w:r>
      <w:r w:rsidR="007B4CAB" w:rsidRPr="00CE14CC">
        <w:rPr>
          <w:rFonts w:cstheme="minorHAnsi"/>
        </w:rPr>
        <w:t xml:space="preserve"> the percentage of ethnicity, England had a population of 8% from BAME in comparison to Northern Ireland’s 2%. </w:t>
      </w:r>
      <w:r w:rsidR="009A4C31" w:rsidRPr="00CE14CC">
        <w:rPr>
          <w:rFonts w:cstheme="minorHAnsi"/>
        </w:rPr>
        <w:t>As a result, the numbers for BAME people being stopped and searched will appear more for England compared to Northern Ireland, resulting in a</w:t>
      </w:r>
      <w:r w:rsidR="00CE14CC">
        <w:rPr>
          <w:rFonts w:cstheme="minorHAnsi"/>
        </w:rPr>
        <w:t>n</w:t>
      </w:r>
      <w:r w:rsidR="009A4C31" w:rsidRPr="00CE14CC">
        <w:rPr>
          <w:rFonts w:cstheme="minorHAnsi"/>
        </w:rPr>
        <w:t xml:space="preserve"> unfavourable ratio. Some may argue that the ratio is still not acceptable</w:t>
      </w:r>
      <w:r w:rsidR="009A4C31" w:rsidRPr="00CE14CC">
        <w:t xml:space="preserve"> </w:t>
      </w:r>
      <w:r w:rsidR="009A4C31" w:rsidRPr="00CE14CC">
        <w:rPr>
          <w:rFonts w:cstheme="minorHAnsi"/>
        </w:rPr>
        <w:t>Dodd (2020)</w:t>
      </w:r>
      <w:r w:rsidR="009A4C31" w:rsidRPr="00CE14CC">
        <w:t xml:space="preserve"> </w:t>
      </w:r>
      <w:r w:rsidR="007D0AE6">
        <w:t>(</w:t>
      </w:r>
      <w:proofErr w:type="spellStart"/>
      <w:r w:rsidR="009A4C31" w:rsidRPr="00CE14CC">
        <w:rPr>
          <w:rFonts w:cstheme="minorHAnsi"/>
        </w:rPr>
        <w:t>Starmer</w:t>
      </w:r>
      <w:proofErr w:type="spellEnd"/>
      <w:r w:rsidR="007D0AE6">
        <w:rPr>
          <w:rFonts w:cstheme="minorHAnsi"/>
        </w:rPr>
        <w:t xml:space="preserve">, </w:t>
      </w:r>
      <w:r w:rsidR="009A4C31" w:rsidRPr="00CE14CC">
        <w:rPr>
          <w:rFonts w:cstheme="minorHAnsi"/>
        </w:rPr>
        <w:t xml:space="preserve">2007) (The Guardian, 2020). </w:t>
      </w:r>
    </w:p>
    <w:p w14:paraId="48154889" w14:textId="23ACF98C" w:rsidR="00FF6F2F" w:rsidRPr="00CE14CC" w:rsidRDefault="00CE14CC" w:rsidP="00CE14CC">
      <w:pPr>
        <w:spacing w:line="480" w:lineRule="auto"/>
        <w:rPr>
          <w:rFonts w:cstheme="minorHAnsi"/>
        </w:rPr>
      </w:pPr>
      <w:r>
        <w:rPr>
          <w:rFonts w:cstheme="minorHAnsi"/>
        </w:rPr>
        <w:t xml:space="preserve">                                 </w:t>
      </w:r>
      <w:r w:rsidR="00FF6F2F" w:rsidRPr="00CE14CC">
        <w:rPr>
          <w:rFonts w:cstheme="minorHAnsi"/>
        </w:rPr>
        <w:t xml:space="preserve">Elsewhere from </w:t>
      </w:r>
      <w:proofErr w:type="gramStart"/>
      <w:r w:rsidR="00FF6F2F" w:rsidRPr="00CE14CC">
        <w:rPr>
          <w:rFonts w:cstheme="minorHAnsi"/>
        </w:rPr>
        <w:t>London;</w:t>
      </w:r>
      <w:proofErr w:type="gramEnd"/>
      <w:r w:rsidR="00FF6F2F" w:rsidRPr="00CE14CC">
        <w:rPr>
          <w:rFonts w:cstheme="minorHAnsi"/>
        </w:rPr>
        <w:t xml:space="preserve"> for the past five years Dorset, Hampshire, and Leicestershire </w:t>
      </w:r>
      <w:r>
        <w:rPr>
          <w:rFonts w:cstheme="minorHAnsi"/>
        </w:rPr>
        <w:t>has had</w:t>
      </w:r>
      <w:r w:rsidR="00FF6F2F" w:rsidRPr="00CE14CC">
        <w:rPr>
          <w:rFonts w:cstheme="minorHAnsi"/>
        </w:rPr>
        <w:t xml:space="preserve"> the highest black to white overrepresentation of stop and search reports. Furthermore, the West Midlands, Thames Valley, West Mercia, and South Yorkshire all had the strongest Asian/white disproportionality rates (</w:t>
      </w:r>
      <w:proofErr w:type="spellStart"/>
      <w:r w:rsidR="00FF6F2F" w:rsidRPr="00CE14CC">
        <w:rPr>
          <w:rFonts w:cstheme="minorHAnsi"/>
        </w:rPr>
        <w:t>Vomfell</w:t>
      </w:r>
      <w:proofErr w:type="spellEnd"/>
      <w:r w:rsidR="00FF6F2F" w:rsidRPr="00CE14CC">
        <w:rPr>
          <w:rFonts w:cstheme="minorHAnsi"/>
        </w:rPr>
        <w:t xml:space="preserve"> and Stewart, 2021). According to Salisbury et al (2020), several </w:t>
      </w:r>
      <w:r w:rsidR="00BF7BD6">
        <w:rPr>
          <w:rFonts w:cstheme="minorHAnsi"/>
        </w:rPr>
        <w:t xml:space="preserve">questions </w:t>
      </w:r>
      <w:r w:rsidR="00FF6F2F" w:rsidRPr="00CE14CC">
        <w:rPr>
          <w:rFonts w:cstheme="minorHAnsi"/>
        </w:rPr>
        <w:t xml:space="preserve">have been raised as to whether officers use stop and search powers unfairly towards those communities. </w:t>
      </w:r>
      <w:r w:rsidR="00BF7BD6">
        <w:rPr>
          <w:rFonts w:cstheme="minorHAnsi"/>
        </w:rPr>
        <w:t xml:space="preserve">According to </w:t>
      </w:r>
      <w:proofErr w:type="spellStart"/>
      <w:r w:rsidR="00181D2D" w:rsidRPr="00181D2D">
        <w:rPr>
          <w:rFonts w:cstheme="minorHAnsi"/>
        </w:rPr>
        <w:t>Yesufu</w:t>
      </w:r>
      <w:proofErr w:type="spellEnd"/>
      <w:r w:rsidR="00181D2D" w:rsidRPr="00181D2D">
        <w:rPr>
          <w:rFonts w:cstheme="minorHAnsi"/>
        </w:rPr>
        <w:t xml:space="preserve"> (2020)</w:t>
      </w:r>
      <w:r w:rsidR="00181D2D">
        <w:rPr>
          <w:rFonts w:cstheme="minorHAnsi"/>
        </w:rPr>
        <w:t>, w</w:t>
      </w:r>
      <w:r w:rsidR="00FF6F2F" w:rsidRPr="00CE14CC">
        <w:rPr>
          <w:rFonts w:cstheme="minorHAnsi"/>
        </w:rPr>
        <w:t xml:space="preserve">hen these are </w:t>
      </w:r>
      <w:r w:rsidR="00BF7BD6">
        <w:rPr>
          <w:rFonts w:cstheme="minorHAnsi"/>
        </w:rPr>
        <w:t>questions are asked</w:t>
      </w:r>
      <w:r w:rsidR="00FF6F2F" w:rsidRPr="00CE14CC">
        <w:rPr>
          <w:rFonts w:cstheme="minorHAnsi"/>
        </w:rPr>
        <w:t>, the</w:t>
      </w:r>
      <w:r w:rsidR="00BF7BD6">
        <w:rPr>
          <w:rFonts w:cstheme="minorHAnsi"/>
        </w:rPr>
        <w:t xml:space="preserve"> police</w:t>
      </w:r>
      <w:r w:rsidR="00FF6F2F" w:rsidRPr="00CE14CC">
        <w:rPr>
          <w:rFonts w:cstheme="minorHAnsi"/>
        </w:rPr>
        <w:t xml:space="preserve"> do not offer a sufficient excuse for the severity and magnitude of the issue. For example, some may argue that black people are more often likely to be involved in crime. Even when this is considered, stops and searches must be conducted based on "fair suspicion", it is illegal for officers to construct their suspicions on broad assumptions towards specific groups (Murray et al, 2020) (Bradford, 2017). </w:t>
      </w:r>
    </w:p>
    <w:p w14:paraId="3663FD2D" w14:textId="3C712CF2" w:rsidR="00FF6F2F" w:rsidRPr="00CF3A6D" w:rsidRDefault="00CE14CC" w:rsidP="00CE14CC">
      <w:pPr>
        <w:spacing w:line="480" w:lineRule="auto"/>
        <w:rPr>
          <w:rFonts w:cstheme="minorHAnsi"/>
        </w:rPr>
      </w:pPr>
      <w:r>
        <w:rPr>
          <w:rFonts w:cstheme="minorHAnsi"/>
        </w:rPr>
        <w:t xml:space="preserve">                              </w:t>
      </w:r>
      <w:r w:rsidR="00FF6F2F" w:rsidRPr="00CF3A6D">
        <w:rPr>
          <w:rFonts w:cstheme="minorHAnsi"/>
        </w:rPr>
        <w:t xml:space="preserve">To conclude, it can be argued that the </w:t>
      </w:r>
      <w:r w:rsidR="00E616AA" w:rsidRPr="00CF3A6D">
        <w:rPr>
          <w:rFonts w:cstheme="minorHAnsi"/>
        </w:rPr>
        <w:t>introduction</w:t>
      </w:r>
      <w:r w:rsidR="00FF6F2F" w:rsidRPr="00CF3A6D">
        <w:rPr>
          <w:rFonts w:cstheme="minorHAnsi"/>
        </w:rPr>
        <w:t xml:space="preserve"> of PACE </w:t>
      </w:r>
      <w:r w:rsidR="00CF3A6D">
        <w:rPr>
          <w:rFonts w:cstheme="minorHAnsi"/>
        </w:rPr>
        <w:t xml:space="preserve">has </w:t>
      </w:r>
      <w:r w:rsidR="00FF6F2F" w:rsidRPr="00CF3A6D">
        <w:rPr>
          <w:rFonts w:cstheme="minorHAnsi"/>
        </w:rPr>
        <w:t xml:space="preserve">resulted in an increase in public confidence, </w:t>
      </w:r>
      <w:r w:rsidR="00CF3A6D">
        <w:rPr>
          <w:rFonts w:cstheme="minorHAnsi"/>
        </w:rPr>
        <w:t xml:space="preserve">because </w:t>
      </w:r>
      <w:r w:rsidR="00FF6F2F" w:rsidRPr="00CF3A6D">
        <w:rPr>
          <w:rFonts w:cstheme="minorHAnsi"/>
        </w:rPr>
        <w:t>the</w:t>
      </w:r>
      <w:r w:rsidR="00CF3A6D">
        <w:rPr>
          <w:rFonts w:cstheme="minorHAnsi"/>
        </w:rPr>
        <w:t>re has been a</w:t>
      </w:r>
      <w:r w:rsidR="00FF6F2F" w:rsidRPr="00CF3A6D">
        <w:rPr>
          <w:rFonts w:cstheme="minorHAnsi"/>
        </w:rPr>
        <w:t xml:space="preserve"> reduction </w:t>
      </w:r>
      <w:r w:rsidR="00CF3A6D">
        <w:rPr>
          <w:rFonts w:cstheme="minorHAnsi"/>
        </w:rPr>
        <w:t xml:space="preserve">of </w:t>
      </w:r>
      <w:r w:rsidR="00FF6F2F" w:rsidRPr="00CF3A6D">
        <w:rPr>
          <w:rFonts w:cstheme="minorHAnsi"/>
        </w:rPr>
        <w:t xml:space="preserve">cases that </w:t>
      </w:r>
      <w:r w:rsidR="00CF3A6D">
        <w:rPr>
          <w:rFonts w:cstheme="minorHAnsi"/>
        </w:rPr>
        <w:t>included</w:t>
      </w:r>
      <w:r w:rsidR="00FF6F2F" w:rsidRPr="00CF3A6D">
        <w:rPr>
          <w:rFonts w:cstheme="minorHAnsi"/>
        </w:rPr>
        <w:t xml:space="preserve"> miscarriage of justice </w:t>
      </w:r>
      <w:r w:rsidR="00CF3A6D">
        <w:rPr>
          <w:rFonts w:cstheme="minorHAnsi"/>
        </w:rPr>
        <w:t>during</w:t>
      </w:r>
      <w:r w:rsidR="00FF6F2F" w:rsidRPr="00CF3A6D">
        <w:rPr>
          <w:rFonts w:cstheme="minorHAnsi"/>
        </w:rPr>
        <w:t xml:space="preserve"> </w:t>
      </w:r>
      <w:r w:rsidR="00CF3A6D">
        <w:rPr>
          <w:rFonts w:cstheme="minorHAnsi"/>
        </w:rPr>
        <w:t>a</w:t>
      </w:r>
      <w:r w:rsidR="00FF6F2F" w:rsidRPr="00CF3A6D">
        <w:rPr>
          <w:rFonts w:cstheme="minorHAnsi"/>
        </w:rPr>
        <w:t xml:space="preserve"> stop and search (Ward &amp; Akhtar, 2011). Several people support the stop and search procedure by s</w:t>
      </w:r>
      <w:r w:rsidR="00CF3A6D">
        <w:rPr>
          <w:rFonts w:cstheme="minorHAnsi"/>
        </w:rPr>
        <w:t>tating</w:t>
      </w:r>
      <w:r w:rsidR="00FF6F2F" w:rsidRPr="00CF3A6D">
        <w:rPr>
          <w:rFonts w:cstheme="minorHAnsi"/>
        </w:rPr>
        <w:t xml:space="preserve"> that Code A should be praised for its achievements because it has changed policing from a ‘general presumption’ to ‘reasonable suspicion’ (</w:t>
      </w:r>
      <w:proofErr w:type="spellStart"/>
      <w:r w:rsidR="00FF6F2F" w:rsidRPr="00CF3A6D">
        <w:rPr>
          <w:rFonts w:cstheme="minorHAnsi"/>
        </w:rPr>
        <w:t>Chiok</w:t>
      </w:r>
      <w:proofErr w:type="spellEnd"/>
      <w:r w:rsidR="00FF6F2F" w:rsidRPr="00CF3A6D">
        <w:rPr>
          <w:rFonts w:cstheme="minorHAnsi"/>
        </w:rPr>
        <w:t>, 2018) (</w:t>
      </w:r>
      <w:proofErr w:type="spellStart"/>
      <w:r w:rsidR="00FF6F2F" w:rsidRPr="00CF3A6D">
        <w:rPr>
          <w:rFonts w:cstheme="minorHAnsi"/>
        </w:rPr>
        <w:t>Coliandris</w:t>
      </w:r>
      <w:proofErr w:type="spellEnd"/>
      <w:r w:rsidR="00FF6F2F" w:rsidRPr="00CF3A6D">
        <w:rPr>
          <w:rFonts w:cstheme="minorHAnsi"/>
        </w:rPr>
        <w:t>, 2014).</w:t>
      </w:r>
    </w:p>
    <w:p w14:paraId="1465CABE" w14:textId="1AEE20FA" w:rsidR="00BD7A18" w:rsidRPr="00DC3F42" w:rsidRDefault="00CE14CC" w:rsidP="00DC3F42">
      <w:pPr>
        <w:spacing w:line="480" w:lineRule="auto"/>
        <w:rPr>
          <w:rFonts w:cstheme="minorHAnsi"/>
        </w:rPr>
      </w:pPr>
      <w:r w:rsidRPr="00CF3A6D">
        <w:rPr>
          <w:rFonts w:cstheme="minorHAnsi"/>
        </w:rPr>
        <w:lastRenderedPageBreak/>
        <w:t xml:space="preserve">                              </w:t>
      </w:r>
      <w:r w:rsidR="00FF6F2F" w:rsidRPr="00CF3A6D">
        <w:rPr>
          <w:rFonts w:cstheme="minorHAnsi"/>
        </w:rPr>
        <w:t xml:space="preserve">On the other hand, according to several reports, stop and search reduces the effectiveness of policing. Racial discrimination is a significant reason, to why black and Asian people are more likely to be stopped and searched compared to white people. It means that stop and search practices are being applied in an unreasonable and unequal approach in policing (LeCount, 2017) (Bryant-Davis et al, 2017). To overcome the negative effects of the stop and search, several projects have been launched to address this issue. However, according to the research from Keeling (2017), none have had the expected long-term effect on </w:t>
      </w:r>
      <w:r w:rsidR="00CF3A6D">
        <w:rPr>
          <w:rFonts w:cstheme="minorHAnsi"/>
        </w:rPr>
        <w:t>reducing the crime</w:t>
      </w:r>
      <w:r w:rsidR="00FF6F2F" w:rsidRPr="00CF3A6D">
        <w:rPr>
          <w:rFonts w:cstheme="minorHAnsi"/>
        </w:rPr>
        <w:t xml:space="preserve"> rates</w:t>
      </w:r>
      <w:r w:rsidR="00CF3A6D">
        <w:rPr>
          <w:rFonts w:cstheme="minorHAnsi"/>
        </w:rPr>
        <w:t xml:space="preserve">. </w:t>
      </w:r>
      <w:r w:rsidR="00FF6F2F" w:rsidRPr="00CF3A6D">
        <w:rPr>
          <w:rFonts w:cstheme="minorHAnsi"/>
        </w:rPr>
        <w:t xml:space="preserve">Following on from this </w:t>
      </w:r>
      <w:proofErr w:type="spellStart"/>
      <w:r w:rsidR="00FF6F2F" w:rsidRPr="00CF3A6D">
        <w:rPr>
          <w:rFonts w:cstheme="minorHAnsi"/>
        </w:rPr>
        <w:t>Tiratelli</w:t>
      </w:r>
      <w:proofErr w:type="spellEnd"/>
      <w:r w:rsidR="00FF6F2F" w:rsidRPr="00CF3A6D">
        <w:rPr>
          <w:rFonts w:cstheme="minorHAnsi"/>
        </w:rPr>
        <w:t xml:space="preserve"> et al (2018, p.1212) states that, ‘starting new projects is no longer sufficient’. The policing departments must make substantial changes that are reflected in the </w:t>
      </w:r>
      <w:r w:rsidR="00CF3A6D">
        <w:rPr>
          <w:rFonts w:cstheme="minorHAnsi"/>
        </w:rPr>
        <w:t>statistics.</w:t>
      </w:r>
      <w:r w:rsidR="00FF6F2F" w:rsidRPr="00CF3A6D">
        <w:rPr>
          <w:rFonts w:cstheme="minorHAnsi"/>
        </w:rPr>
        <w:t xml:space="preserve"> In support of this the European Court of Human Rights seeks to see the unfair use of stop and search </w:t>
      </w:r>
      <w:proofErr w:type="gramStart"/>
      <w:r w:rsidR="00FF6F2F" w:rsidRPr="00CF3A6D">
        <w:rPr>
          <w:rFonts w:cstheme="minorHAnsi"/>
        </w:rPr>
        <w:t>brought to an end</w:t>
      </w:r>
      <w:proofErr w:type="gramEnd"/>
      <w:r w:rsidR="00FF6F2F" w:rsidRPr="00CF3A6D">
        <w:rPr>
          <w:rFonts w:cstheme="minorHAnsi"/>
        </w:rPr>
        <w:t xml:space="preserve"> (Equality and Human Rights Commission, 2013). To summarise, Weisburd &amp; Braga (2019) implies that, it is impractical and counterproductive to expect optimal policing. Police departments, on the other hand, should aim to be equal and reliable when upholding </w:t>
      </w:r>
      <w:r w:rsidR="00CF3A6D">
        <w:rPr>
          <w:rFonts w:cstheme="minorHAnsi"/>
        </w:rPr>
        <w:t xml:space="preserve">the </w:t>
      </w:r>
      <w:r w:rsidR="00FF6F2F" w:rsidRPr="00CF3A6D">
        <w:rPr>
          <w:rFonts w:cstheme="minorHAnsi"/>
        </w:rPr>
        <w:t>fundamental human rights</w:t>
      </w:r>
      <w:r w:rsidR="00DC3F42" w:rsidRPr="00CF3A6D">
        <w:rPr>
          <w:rFonts w:cstheme="minorHAnsi"/>
        </w:rPr>
        <w:t>.</w:t>
      </w:r>
      <w:r w:rsidR="00DC3F42">
        <w:rPr>
          <w:rFonts w:cstheme="minorHAnsi"/>
        </w:rPr>
        <w:t xml:space="preserve"> </w:t>
      </w:r>
    </w:p>
    <w:p w14:paraId="58A443F2" w14:textId="77777777" w:rsidR="000B0C1B" w:rsidRDefault="000B0C1B" w:rsidP="00FF6F2F">
      <w:pPr>
        <w:rPr>
          <w:b/>
          <w:bCs/>
          <w:u w:val="single"/>
        </w:rPr>
      </w:pPr>
    </w:p>
    <w:p w14:paraId="2115496B" w14:textId="77777777" w:rsidR="000B0C1B" w:rsidRDefault="000B0C1B" w:rsidP="00FF6F2F">
      <w:pPr>
        <w:rPr>
          <w:b/>
          <w:bCs/>
          <w:u w:val="single"/>
        </w:rPr>
      </w:pPr>
    </w:p>
    <w:p w14:paraId="61EDCF68" w14:textId="77777777" w:rsidR="000B0C1B" w:rsidRDefault="000B0C1B" w:rsidP="00FF6F2F">
      <w:pPr>
        <w:rPr>
          <w:b/>
          <w:bCs/>
          <w:u w:val="single"/>
        </w:rPr>
      </w:pPr>
    </w:p>
    <w:p w14:paraId="13C55C34" w14:textId="77777777" w:rsidR="000B0C1B" w:rsidRDefault="000B0C1B" w:rsidP="00FF6F2F">
      <w:pPr>
        <w:rPr>
          <w:b/>
          <w:bCs/>
          <w:u w:val="single"/>
        </w:rPr>
      </w:pPr>
    </w:p>
    <w:p w14:paraId="5CE255A5" w14:textId="77777777" w:rsidR="000B0C1B" w:rsidRDefault="000B0C1B" w:rsidP="00FF6F2F">
      <w:pPr>
        <w:rPr>
          <w:b/>
          <w:bCs/>
          <w:u w:val="single"/>
        </w:rPr>
      </w:pPr>
    </w:p>
    <w:p w14:paraId="7E6C1F10" w14:textId="77777777" w:rsidR="000B0C1B" w:rsidRDefault="000B0C1B" w:rsidP="00FF6F2F">
      <w:pPr>
        <w:rPr>
          <w:b/>
          <w:bCs/>
          <w:u w:val="single"/>
        </w:rPr>
      </w:pPr>
    </w:p>
    <w:p w14:paraId="715CBB81" w14:textId="77777777" w:rsidR="000B0C1B" w:rsidRDefault="000B0C1B" w:rsidP="00FF6F2F">
      <w:pPr>
        <w:rPr>
          <w:b/>
          <w:bCs/>
          <w:u w:val="single"/>
        </w:rPr>
      </w:pPr>
    </w:p>
    <w:p w14:paraId="3F303329" w14:textId="77777777" w:rsidR="000B0C1B" w:rsidRDefault="000B0C1B" w:rsidP="00FF6F2F">
      <w:pPr>
        <w:rPr>
          <w:b/>
          <w:bCs/>
          <w:u w:val="single"/>
        </w:rPr>
      </w:pPr>
    </w:p>
    <w:p w14:paraId="0416D9E5" w14:textId="77777777" w:rsidR="000B0C1B" w:rsidRDefault="000B0C1B" w:rsidP="00FF6F2F">
      <w:pPr>
        <w:rPr>
          <w:b/>
          <w:bCs/>
          <w:u w:val="single"/>
        </w:rPr>
      </w:pPr>
    </w:p>
    <w:p w14:paraId="6DF8C952" w14:textId="77777777" w:rsidR="000B0C1B" w:rsidRDefault="000B0C1B" w:rsidP="00FF6F2F">
      <w:pPr>
        <w:rPr>
          <w:b/>
          <w:bCs/>
          <w:u w:val="single"/>
        </w:rPr>
      </w:pPr>
    </w:p>
    <w:p w14:paraId="2E104DC0" w14:textId="77777777" w:rsidR="000B0C1B" w:rsidRDefault="000B0C1B" w:rsidP="00FF6F2F">
      <w:pPr>
        <w:rPr>
          <w:b/>
          <w:bCs/>
          <w:u w:val="single"/>
        </w:rPr>
      </w:pPr>
    </w:p>
    <w:p w14:paraId="4903DE42" w14:textId="77777777" w:rsidR="000B0C1B" w:rsidRDefault="000B0C1B" w:rsidP="00FF6F2F">
      <w:pPr>
        <w:rPr>
          <w:b/>
          <w:bCs/>
          <w:u w:val="single"/>
        </w:rPr>
      </w:pPr>
    </w:p>
    <w:p w14:paraId="232CDD72" w14:textId="77777777" w:rsidR="000B0C1B" w:rsidRDefault="000B0C1B" w:rsidP="00FF6F2F">
      <w:pPr>
        <w:rPr>
          <w:b/>
          <w:bCs/>
          <w:u w:val="single"/>
        </w:rPr>
      </w:pPr>
    </w:p>
    <w:p w14:paraId="0318923A" w14:textId="77777777" w:rsidR="000B0C1B" w:rsidRDefault="000B0C1B" w:rsidP="00FF6F2F">
      <w:pPr>
        <w:rPr>
          <w:b/>
          <w:bCs/>
          <w:u w:val="single"/>
        </w:rPr>
      </w:pPr>
    </w:p>
    <w:p w14:paraId="15D4C18D" w14:textId="0B381F61" w:rsidR="00FF6F2F" w:rsidRDefault="00FF6F2F" w:rsidP="00FF6F2F">
      <w:pPr>
        <w:rPr>
          <w:b/>
          <w:bCs/>
          <w:u w:val="single"/>
        </w:rPr>
      </w:pPr>
      <w:r w:rsidRPr="00365ADB">
        <w:rPr>
          <w:b/>
          <w:bCs/>
          <w:u w:val="single"/>
        </w:rPr>
        <w:lastRenderedPageBreak/>
        <w:t xml:space="preserve">Sources: </w:t>
      </w:r>
    </w:p>
    <w:p w14:paraId="35BC404C" w14:textId="77777777" w:rsidR="00FF6F2F" w:rsidRDefault="00FF6F2F" w:rsidP="001E7D5C">
      <w:pPr>
        <w:pStyle w:val="ListParagraph"/>
        <w:numPr>
          <w:ilvl w:val="0"/>
          <w:numId w:val="5"/>
        </w:numPr>
      </w:pPr>
      <w:bookmarkStart w:id="2" w:name="_Hlk66964459"/>
      <w:r w:rsidRPr="00556327">
        <w:t xml:space="preserve">Bowling, B. </w:t>
      </w:r>
      <w:r>
        <w:t xml:space="preserve">&amp; </w:t>
      </w:r>
      <w:r w:rsidRPr="00556327">
        <w:t>Phillips, C. (2007)</w:t>
      </w:r>
      <w:bookmarkEnd w:id="2"/>
      <w:r>
        <w:t>. ‘</w:t>
      </w:r>
      <w:r w:rsidRPr="00556327">
        <w:t>Disproportionate and Discriminatory: Reviewing the Evidence on Police Stop and Search</w:t>
      </w:r>
      <w:r>
        <w:t>’</w:t>
      </w:r>
      <w:r w:rsidRPr="00556327">
        <w:t xml:space="preserve">. Modern Law Review, </w:t>
      </w:r>
      <w:r>
        <w:t xml:space="preserve">Volume </w:t>
      </w:r>
      <w:r w:rsidRPr="00556327">
        <w:t>70</w:t>
      </w:r>
      <w:r>
        <w:t xml:space="preserve">. Issue </w:t>
      </w:r>
      <w:r w:rsidRPr="00556327">
        <w:t>6</w:t>
      </w:r>
      <w:r>
        <w:t>.</w:t>
      </w:r>
      <w:r w:rsidRPr="00556327">
        <w:t xml:space="preserve"> p.936–961.</w:t>
      </w:r>
    </w:p>
    <w:p w14:paraId="11FB7BA7" w14:textId="77777777" w:rsidR="00FF6F2F" w:rsidRDefault="00FF6F2F" w:rsidP="001E7D5C">
      <w:pPr>
        <w:pStyle w:val="ListParagraph"/>
        <w:numPr>
          <w:ilvl w:val="0"/>
          <w:numId w:val="5"/>
        </w:numPr>
      </w:pPr>
      <w:bookmarkStart w:id="3" w:name="_Hlk66967180"/>
      <w:r w:rsidRPr="00B32C64">
        <w:t xml:space="preserve">Bowling, B. </w:t>
      </w:r>
      <w:r>
        <w:t>&amp;</w:t>
      </w:r>
      <w:r w:rsidRPr="00B32C64">
        <w:t xml:space="preserve"> Weber, L. (2011). </w:t>
      </w:r>
      <w:bookmarkEnd w:id="3"/>
      <w:r>
        <w:t>‘</w:t>
      </w:r>
      <w:r w:rsidRPr="00B32C64">
        <w:t>Stop and search in global context: an overview. Policing and Society</w:t>
      </w:r>
      <w:r>
        <w:t>’. Volume</w:t>
      </w:r>
      <w:r w:rsidRPr="00B32C64">
        <w:t xml:space="preserve"> 21</w:t>
      </w:r>
      <w:r>
        <w:t xml:space="preserve">, Issue </w:t>
      </w:r>
      <w:r w:rsidRPr="00B32C64">
        <w:t>4</w:t>
      </w:r>
      <w:r>
        <w:t>. p</w:t>
      </w:r>
      <w:r w:rsidRPr="00B32C64">
        <w:t>.480–488.</w:t>
      </w:r>
    </w:p>
    <w:p w14:paraId="77C3798D" w14:textId="77777777" w:rsidR="00FF6F2F" w:rsidRPr="00E93A94" w:rsidRDefault="00FF6F2F" w:rsidP="001E7D5C">
      <w:pPr>
        <w:pStyle w:val="ListParagraph"/>
        <w:numPr>
          <w:ilvl w:val="0"/>
          <w:numId w:val="5"/>
        </w:numPr>
      </w:pPr>
      <w:r w:rsidRPr="007F2E0D">
        <w:t>Bradford, B</w:t>
      </w:r>
      <w:r>
        <w:t xml:space="preserve"> </w:t>
      </w:r>
      <w:r w:rsidRPr="007F2E0D">
        <w:t>(2017). Stop and Search and Police Legitimacy. Google Books.</w:t>
      </w:r>
      <w:r>
        <w:t xml:space="preserve"> </w:t>
      </w:r>
      <w:r w:rsidRPr="007F2E0D">
        <w:t xml:space="preserve">Available at: </w:t>
      </w:r>
      <w:hyperlink r:id="rId7" w:anchor="v=onepage&amp;q=fair%20suspicion%20stop%20and%20search&amp;f=false" w:history="1">
        <w:r w:rsidRPr="0016407A">
          <w:rPr>
            <w:rStyle w:val="Hyperlink"/>
          </w:rPr>
          <w:t>https://books.google.co.uk/books?hl=en&amp;lr=&amp;id=Yz4lDwAAQBAJ&amp;oi=fnd&amp;pg=PP1&amp;dq=fair+suspicion+stop+and+search&amp;ots=s2yZUjZeFM&amp;sig=CgizrAOg5YDebbfH5zJzK9Gw6Bs&amp;redir_esc=y#v=onepage&amp;q=fair%20suspicion%20stop%20and%20search&amp;f=false</w:t>
        </w:r>
      </w:hyperlink>
      <w:r>
        <w:t xml:space="preserve"> (</w:t>
      </w:r>
      <w:r w:rsidRPr="007F2E0D">
        <w:t xml:space="preserve">Accessed </w:t>
      </w:r>
      <w:r>
        <w:t>19/03/2021)</w:t>
      </w:r>
      <w:r w:rsidRPr="007F2E0D">
        <w:t>.</w:t>
      </w:r>
    </w:p>
    <w:p w14:paraId="211B05CB" w14:textId="77777777" w:rsidR="00FF6F2F" w:rsidRDefault="00FF6F2F" w:rsidP="001E7D5C">
      <w:pPr>
        <w:pStyle w:val="ListParagraph"/>
        <w:numPr>
          <w:ilvl w:val="0"/>
          <w:numId w:val="5"/>
        </w:numPr>
      </w:pPr>
      <w:r w:rsidRPr="00E93A94">
        <w:t xml:space="preserve">Bryant R &amp; Bryant S (2017) ‘Handbook for Policing’ 11th </w:t>
      </w:r>
      <w:proofErr w:type="spellStart"/>
      <w:r w:rsidRPr="00E93A94">
        <w:t>edt</w:t>
      </w:r>
      <w:proofErr w:type="spellEnd"/>
      <w:r w:rsidRPr="00E93A94">
        <w:t xml:space="preserve">. Blackstone’s. Oxford Press. p.85. </w:t>
      </w:r>
    </w:p>
    <w:p w14:paraId="24BA020F" w14:textId="77777777" w:rsidR="00FF6F2F" w:rsidRPr="00E93A94" w:rsidRDefault="00FF6F2F" w:rsidP="001E7D5C">
      <w:pPr>
        <w:pStyle w:val="ListParagraph"/>
        <w:numPr>
          <w:ilvl w:val="0"/>
          <w:numId w:val="5"/>
        </w:numPr>
      </w:pPr>
      <w:r w:rsidRPr="007F54CF">
        <w:t>Bryant-Davis</w:t>
      </w:r>
      <w:r>
        <w:t xml:space="preserve"> T, et al</w:t>
      </w:r>
      <w:r w:rsidRPr="007F54CF">
        <w:t xml:space="preserve"> (2017). The Trauma Lens of Police Violence against Racial and Ethnic Minorities. Journal of Social Issues</w:t>
      </w:r>
      <w:r>
        <w:t xml:space="preserve">. Volume </w:t>
      </w:r>
      <w:r w:rsidRPr="007F54CF">
        <w:t>73</w:t>
      </w:r>
      <w:r>
        <w:t xml:space="preserve">. Issue </w:t>
      </w:r>
      <w:r w:rsidRPr="007F54CF">
        <w:t>4</w:t>
      </w:r>
      <w:r>
        <w:t xml:space="preserve">. </w:t>
      </w:r>
      <w:r w:rsidRPr="007F54CF">
        <w:t>p.852–871.</w:t>
      </w:r>
    </w:p>
    <w:p w14:paraId="0EEDAD9A" w14:textId="77777777" w:rsidR="00FF6F2F" w:rsidRPr="00E93A94" w:rsidRDefault="00FF6F2F" w:rsidP="001E7D5C">
      <w:pPr>
        <w:pStyle w:val="ListParagraph"/>
        <w:numPr>
          <w:ilvl w:val="0"/>
          <w:numId w:val="5"/>
        </w:numPr>
      </w:pPr>
      <w:r w:rsidRPr="00E93A94">
        <w:t xml:space="preserve">Buxton, R (1993) ‘Miscarriages of Justice and the Court of Appeal’. Available at: </w:t>
      </w:r>
      <w:hyperlink r:id="rId8" w:history="1">
        <w:r w:rsidRPr="00E93A94">
          <w:rPr>
            <w:rStyle w:val="Hyperlink"/>
          </w:rPr>
          <w:t>https://journals.sagepub.com/doi/abs/10.1177/002580249403400210</w:t>
        </w:r>
      </w:hyperlink>
      <w:r w:rsidRPr="00E93A94">
        <w:t xml:space="preserve">  (Accessed:16/03/2021).</w:t>
      </w:r>
    </w:p>
    <w:p w14:paraId="4F29B09B" w14:textId="77777777" w:rsidR="00FF6F2F" w:rsidRDefault="00FF6F2F" w:rsidP="001E7D5C">
      <w:pPr>
        <w:pStyle w:val="ListParagraph"/>
        <w:numPr>
          <w:ilvl w:val="0"/>
          <w:numId w:val="5"/>
        </w:numPr>
      </w:pPr>
      <w:r w:rsidRPr="00E93A94">
        <w:t xml:space="preserve">Cape E &amp; Young R (2008) ‘Regulating policing: The Police and Criminal Evidence Act 1984 past, present and future’. Available at: </w:t>
      </w:r>
      <w:hyperlink r:id="rId9" w:anchor="v=onepage&amp;q=warrants%20and%20summons%20pace%20act&amp;f=false" w:history="1">
        <w:r w:rsidRPr="00E93A94">
          <w:rPr>
            <w:rStyle w:val="Hyperlink"/>
          </w:rPr>
          <w:t>https://books.google.co.uk/books?hl=en&amp;lr=&amp;id=q_bbBAAAQBAJ&amp;oi=fnd&amp;pg=PP1&amp;dq=warrants+and+summons+pace+act&amp;ots=wrnqnWIzSA&amp;sig=ZGjc6ZpLz2zQSHfDyfNSQfuawdU&amp;redir_esc=y#v=onepage&amp;q=warrants%20and%20summons%20pace%20act&amp;f=false</w:t>
        </w:r>
      </w:hyperlink>
      <w:r w:rsidRPr="00E93A94">
        <w:t xml:space="preserve">  (Accessed:16/03/2021). </w:t>
      </w:r>
    </w:p>
    <w:p w14:paraId="0D6904FA" w14:textId="77777777" w:rsidR="00FF6F2F" w:rsidRDefault="00FF6F2F" w:rsidP="001E7D5C">
      <w:pPr>
        <w:pStyle w:val="ListParagraph"/>
        <w:numPr>
          <w:ilvl w:val="0"/>
          <w:numId w:val="5"/>
        </w:numPr>
      </w:pPr>
      <w:proofErr w:type="spellStart"/>
      <w:r w:rsidRPr="00515FC4">
        <w:t>Chiok</w:t>
      </w:r>
      <w:proofErr w:type="spellEnd"/>
      <w:r w:rsidRPr="00515FC4">
        <w:t xml:space="preserve"> C (2018) ‘Access to Legal Advice: Should PACE Go Further to Take a Step Back’. Available at: </w:t>
      </w:r>
      <w:hyperlink r:id="rId10" w:history="1">
        <w:r w:rsidRPr="0016407A">
          <w:rPr>
            <w:rStyle w:val="Hyperlink"/>
          </w:rPr>
          <w:t>https://heinonline.org/HOL/LandingPage?handle=hein.journals/cambrilv3&amp;div=7&amp;id=&amp;page</w:t>
        </w:r>
      </w:hyperlink>
      <w:proofErr w:type="gramStart"/>
      <w:r>
        <w:t xml:space="preserve"> </w:t>
      </w:r>
      <w:r w:rsidRPr="00515FC4">
        <w:t xml:space="preserve">  (</w:t>
      </w:r>
      <w:proofErr w:type="gramEnd"/>
      <w:r w:rsidRPr="00515FC4">
        <w:t>Accessed: 1</w:t>
      </w:r>
      <w:r>
        <w:t>9</w:t>
      </w:r>
      <w:r w:rsidRPr="00515FC4">
        <w:t>/0</w:t>
      </w:r>
      <w:r>
        <w:t>3</w:t>
      </w:r>
      <w:r w:rsidRPr="00515FC4">
        <w:t>/2021).</w:t>
      </w:r>
    </w:p>
    <w:p w14:paraId="10F0960F" w14:textId="77777777" w:rsidR="00FF6F2F" w:rsidRDefault="00FF6F2F" w:rsidP="001E7D5C">
      <w:pPr>
        <w:pStyle w:val="ListParagraph"/>
        <w:numPr>
          <w:ilvl w:val="0"/>
          <w:numId w:val="5"/>
        </w:numPr>
      </w:pPr>
      <w:bookmarkStart w:id="4" w:name="_Hlk66965286"/>
      <w:r w:rsidRPr="004B67C1">
        <w:t>Cleveland Police (2020)</w:t>
      </w:r>
      <w:bookmarkEnd w:id="4"/>
      <w:r w:rsidRPr="004B67C1">
        <w:t>. White and Black, Asian and Minority Rate in line 12 months ending December 2020</w:t>
      </w:r>
      <w:r>
        <w:t xml:space="preserve">. </w:t>
      </w:r>
      <w:r w:rsidRPr="004B67C1">
        <w:t>Proportionality-Ethnicity</w:t>
      </w:r>
      <w:r>
        <w:t xml:space="preserve">. </w:t>
      </w:r>
      <w:r w:rsidRPr="004B67C1">
        <w:t xml:space="preserve">Available at: </w:t>
      </w:r>
      <w:hyperlink r:id="rId11" w:history="1">
        <w:r w:rsidRPr="0016407A">
          <w:rPr>
            <w:rStyle w:val="Hyperlink"/>
          </w:rPr>
          <w:t>https://www.cleveland.police.uk/SysSiteAssets/media/downloads/force-content/cleveland/stats-and-data/stop-and-search/stop-and-search-infograph-december-20.pdf</w:t>
        </w:r>
      </w:hyperlink>
      <w:r>
        <w:t xml:space="preserve"> </w:t>
      </w:r>
      <w:r w:rsidRPr="004B67C1">
        <w:t xml:space="preserve"> </w:t>
      </w:r>
      <w:r>
        <w:t>(</w:t>
      </w:r>
      <w:r w:rsidRPr="004B67C1">
        <w:t>Accessed</w:t>
      </w:r>
      <w:r>
        <w:t xml:space="preserve">: </w:t>
      </w:r>
      <w:r w:rsidRPr="004B67C1">
        <w:t>18</w:t>
      </w:r>
      <w:r>
        <w:t>/03/</w:t>
      </w:r>
      <w:r w:rsidRPr="004B67C1">
        <w:t>2021</w:t>
      </w:r>
      <w:r>
        <w:t>).</w:t>
      </w:r>
    </w:p>
    <w:p w14:paraId="78B96981" w14:textId="77777777" w:rsidR="00FF6F2F" w:rsidRDefault="00FF6F2F" w:rsidP="001E7D5C">
      <w:pPr>
        <w:pStyle w:val="ListParagraph"/>
        <w:numPr>
          <w:ilvl w:val="0"/>
          <w:numId w:val="5"/>
        </w:numPr>
      </w:pPr>
      <w:proofErr w:type="spellStart"/>
      <w:r w:rsidRPr="00515FC4">
        <w:t>Coliandris</w:t>
      </w:r>
      <w:proofErr w:type="spellEnd"/>
      <w:r w:rsidRPr="00515FC4">
        <w:t xml:space="preserve">, G (2014) ‘Zander on PACE: the Police and Criminal Evidence Act 1984’. Available at: </w:t>
      </w:r>
      <w:hyperlink r:id="rId12" w:history="1">
        <w:r w:rsidRPr="0016407A">
          <w:rPr>
            <w:rStyle w:val="Hyperlink"/>
          </w:rPr>
          <w:t>https://journals.sagepub.com/doi/abs/10.1350/pojo.2014.87.2.671</w:t>
        </w:r>
      </w:hyperlink>
      <w:proofErr w:type="gramStart"/>
      <w:r>
        <w:t xml:space="preserve"> </w:t>
      </w:r>
      <w:r w:rsidRPr="00515FC4">
        <w:t xml:space="preserve">  (</w:t>
      </w:r>
      <w:proofErr w:type="gramEnd"/>
      <w:r w:rsidRPr="00515FC4">
        <w:t>Accessed:</w:t>
      </w:r>
      <w:r>
        <w:t>19</w:t>
      </w:r>
      <w:r w:rsidRPr="00515FC4">
        <w:t>/0</w:t>
      </w:r>
      <w:r>
        <w:t>3</w:t>
      </w:r>
      <w:r w:rsidRPr="00515FC4">
        <w:t>/2021).</w:t>
      </w:r>
    </w:p>
    <w:p w14:paraId="7C117292" w14:textId="27C4E93F" w:rsidR="00FF6F2F" w:rsidRDefault="00FF6F2F" w:rsidP="001E7D5C">
      <w:pPr>
        <w:pStyle w:val="ListParagraph"/>
        <w:numPr>
          <w:ilvl w:val="0"/>
          <w:numId w:val="5"/>
        </w:numPr>
      </w:pPr>
      <w:r w:rsidRPr="00403C60">
        <w:t xml:space="preserve">College of Policing (2016). Professional. [online] www.app.college.police.uk. Available at: </w:t>
      </w:r>
      <w:hyperlink r:id="rId13" w:history="1">
        <w:r w:rsidRPr="0016407A">
          <w:rPr>
            <w:rStyle w:val="Hyperlink"/>
          </w:rPr>
          <w:t>https://www.app.college.police.uk/app-content/stop-and-search/professional/</w:t>
        </w:r>
      </w:hyperlink>
      <w:r w:rsidRPr="00403C60">
        <w:t>.</w:t>
      </w:r>
      <w:r>
        <w:t xml:space="preserve"> (Accessed: 19/03/2021). </w:t>
      </w:r>
    </w:p>
    <w:p w14:paraId="4834CC96" w14:textId="712CC23B" w:rsidR="00A54D98" w:rsidRDefault="00A54D98" w:rsidP="001E7D5C">
      <w:pPr>
        <w:pStyle w:val="ListParagraph"/>
        <w:numPr>
          <w:ilvl w:val="0"/>
          <w:numId w:val="5"/>
        </w:numPr>
      </w:pPr>
      <w:r w:rsidRPr="00A54D98">
        <w:t>College of Policing (2017). Will Stop and Search Result in Less crime?</w:t>
      </w:r>
      <w:r>
        <w:t xml:space="preserve"> </w:t>
      </w:r>
      <w:r w:rsidRPr="00A54D98">
        <w:t xml:space="preserve">Available at: </w:t>
      </w:r>
      <w:hyperlink r:id="rId14" w:history="1">
        <w:r w:rsidRPr="002C729B">
          <w:rPr>
            <w:rStyle w:val="Hyperlink"/>
          </w:rPr>
          <w:t>https://whatworks.college.police.uk/Research_crime_report.pdf</w:t>
        </w:r>
      </w:hyperlink>
      <w:r>
        <w:t xml:space="preserve"> </w:t>
      </w:r>
      <w:r w:rsidRPr="00A54D98">
        <w:t xml:space="preserve"> </w:t>
      </w:r>
      <w:r>
        <w:t>(</w:t>
      </w:r>
      <w:r w:rsidRPr="00A54D98">
        <w:t>Accessed 23</w:t>
      </w:r>
      <w:r>
        <w:t>/04/</w:t>
      </w:r>
      <w:r w:rsidRPr="00A54D98">
        <w:t>2021</w:t>
      </w:r>
      <w:r>
        <w:t>)</w:t>
      </w:r>
      <w:r w:rsidRPr="00A54D98">
        <w:t>.</w:t>
      </w:r>
    </w:p>
    <w:p w14:paraId="44653CDB" w14:textId="77777777" w:rsidR="00FF6F2F" w:rsidRDefault="00FF6F2F" w:rsidP="001E7D5C">
      <w:pPr>
        <w:pStyle w:val="ListParagraph"/>
        <w:numPr>
          <w:ilvl w:val="0"/>
          <w:numId w:val="5"/>
        </w:numPr>
      </w:pPr>
      <w:r w:rsidRPr="00065B67">
        <w:t>College of Policing (2021)</w:t>
      </w:r>
      <w:r>
        <w:t xml:space="preserve"> ‘</w:t>
      </w:r>
      <w:r w:rsidRPr="00065B67">
        <w:t xml:space="preserve">Search </w:t>
      </w:r>
      <w:proofErr w:type="gramStart"/>
      <w:r w:rsidRPr="00065B67">
        <w:t>powers, and</w:t>
      </w:r>
      <w:proofErr w:type="gramEnd"/>
      <w:r w:rsidRPr="00065B67">
        <w:t xml:space="preserve"> obtaining and executing search warrants</w:t>
      </w:r>
      <w:r>
        <w:t xml:space="preserve">’ </w:t>
      </w:r>
      <w:r w:rsidRPr="00065B67">
        <w:t xml:space="preserve">www.app.college.police.uk. Available at: </w:t>
      </w:r>
      <w:hyperlink r:id="rId15" w:history="1">
        <w:r w:rsidRPr="00B00901">
          <w:rPr>
            <w:rStyle w:val="Hyperlink"/>
          </w:rPr>
          <w:t>https://www.app.college.police.uk/app-content/investigations/investigative-strategies/search-powers-and-obtaining-and-executing-search-warrants/</w:t>
        </w:r>
      </w:hyperlink>
      <w:r>
        <w:t xml:space="preserve"> </w:t>
      </w:r>
      <w:r w:rsidRPr="00065B67">
        <w:t xml:space="preserve"> </w:t>
      </w:r>
      <w:r>
        <w:t>(</w:t>
      </w:r>
      <w:r w:rsidRPr="00065B67">
        <w:t>Accessed</w:t>
      </w:r>
      <w:r>
        <w:t>:</w:t>
      </w:r>
      <w:r w:rsidRPr="00065B67">
        <w:t xml:space="preserve"> 18</w:t>
      </w:r>
      <w:r>
        <w:t>/03/</w:t>
      </w:r>
      <w:r w:rsidRPr="00065B67">
        <w:t>202</w:t>
      </w:r>
      <w:r>
        <w:t>1).</w:t>
      </w:r>
    </w:p>
    <w:p w14:paraId="7ADC7419" w14:textId="77777777" w:rsidR="00FF6F2F" w:rsidRDefault="00FF6F2F" w:rsidP="001E7D5C">
      <w:pPr>
        <w:pStyle w:val="ListParagraph"/>
        <w:numPr>
          <w:ilvl w:val="0"/>
          <w:numId w:val="5"/>
        </w:numPr>
      </w:pPr>
      <w:r w:rsidRPr="00E10475">
        <w:t xml:space="preserve">Constabulary, H.M.I. of and Fire (2021). Stop and search inspections. HMICFRS. Available at: </w:t>
      </w:r>
      <w:hyperlink r:id="rId16" w:history="1">
        <w:r w:rsidRPr="0016407A">
          <w:rPr>
            <w:rStyle w:val="Hyperlink"/>
          </w:rPr>
          <w:t>https://www.justiceinspectorates.gov.uk/hmicfrs/our-work/article/stop-and-search/</w:t>
        </w:r>
      </w:hyperlink>
      <w:r>
        <w:t xml:space="preserve"> </w:t>
      </w:r>
      <w:r w:rsidRPr="00E10475">
        <w:t xml:space="preserve"> </w:t>
      </w:r>
      <w:r>
        <w:t>(</w:t>
      </w:r>
      <w:r w:rsidRPr="00E10475">
        <w:t>Accessed 18</w:t>
      </w:r>
      <w:r>
        <w:t>/03/</w:t>
      </w:r>
      <w:r w:rsidRPr="00E10475">
        <w:t>2021</w:t>
      </w:r>
      <w:r>
        <w:t>)</w:t>
      </w:r>
      <w:r w:rsidRPr="00E10475">
        <w:t>.</w:t>
      </w:r>
    </w:p>
    <w:p w14:paraId="765EDB6A" w14:textId="77777777" w:rsidR="00FF6F2F" w:rsidRPr="00E93A94" w:rsidRDefault="00FF6F2F" w:rsidP="001E7D5C">
      <w:pPr>
        <w:pStyle w:val="ListParagraph"/>
        <w:numPr>
          <w:ilvl w:val="0"/>
          <w:numId w:val="5"/>
        </w:numPr>
      </w:pPr>
      <w:r w:rsidRPr="00D72510">
        <w:lastRenderedPageBreak/>
        <w:t>Dent, N. (2020</w:t>
      </w:r>
      <w:r>
        <w:t>)</w:t>
      </w:r>
      <w:r w:rsidRPr="00D72510">
        <w:t xml:space="preserve"> </w:t>
      </w:r>
      <w:r>
        <w:t>‘</w:t>
      </w:r>
      <w:r w:rsidRPr="00D72510">
        <w:t>GOWISELY: Time to stop and think about stop and search</w:t>
      </w:r>
      <w:r>
        <w:t xml:space="preserve">’. </w:t>
      </w:r>
      <w:r w:rsidRPr="00D72510">
        <w:t>Criminal Law Blog</w:t>
      </w:r>
      <w:r>
        <w:t>.</w:t>
      </w:r>
      <w:r w:rsidRPr="00D72510">
        <w:t xml:space="preserve"> Available at: </w:t>
      </w:r>
      <w:hyperlink r:id="rId17" w:history="1">
        <w:r w:rsidRPr="0016407A">
          <w:rPr>
            <w:rStyle w:val="Hyperlink"/>
          </w:rPr>
          <w:t>https://www.kingsleynapley.co.uk/insights/blogs/criminal-law-blog/gowisely-time-to-stop-and-think-about-stop-and-search</w:t>
        </w:r>
      </w:hyperlink>
      <w:r w:rsidRPr="00D72510">
        <w:t>.</w:t>
      </w:r>
      <w:r>
        <w:t xml:space="preserve"> (Accessed: 18/03/2021). </w:t>
      </w:r>
    </w:p>
    <w:p w14:paraId="301466EC" w14:textId="77777777" w:rsidR="00FF6F2F" w:rsidRDefault="00FF6F2F" w:rsidP="001E7D5C">
      <w:pPr>
        <w:pStyle w:val="ListParagraph"/>
        <w:numPr>
          <w:ilvl w:val="0"/>
          <w:numId w:val="5"/>
        </w:numPr>
      </w:pPr>
      <w:r w:rsidRPr="00E93A94">
        <w:t xml:space="preserve">Dodd, V (2020) ‘Met police criticised for multiple errors in stop and search practice’. The Guardian. Available at: </w:t>
      </w:r>
      <w:hyperlink r:id="rId18" w:history="1">
        <w:r w:rsidRPr="00E93A94">
          <w:rPr>
            <w:rStyle w:val="Hyperlink"/>
          </w:rPr>
          <w:t>https://www.theguardian.com/uk-news/2020/oct/28/met-police-criticised-for-multiple-errors-in-stop-and-search-practice</w:t>
        </w:r>
      </w:hyperlink>
      <w:r w:rsidRPr="00E93A94">
        <w:t xml:space="preserve">  (Accessed:16/03/2021). </w:t>
      </w:r>
    </w:p>
    <w:p w14:paraId="19BD377D" w14:textId="77777777" w:rsidR="00FF6F2F" w:rsidRPr="00E93A94" w:rsidRDefault="00FF6F2F" w:rsidP="001E7D5C">
      <w:pPr>
        <w:pStyle w:val="ListParagraph"/>
        <w:numPr>
          <w:ilvl w:val="0"/>
          <w:numId w:val="5"/>
        </w:numPr>
      </w:pPr>
      <w:bookmarkStart w:id="5" w:name="_Hlk66965715"/>
      <w:r w:rsidRPr="00E10475">
        <w:t>Equality Human Rights (2010)</w:t>
      </w:r>
      <w:bookmarkEnd w:id="5"/>
      <w:r w:rsidRPr="00E10475">
        <w:t xml:space="preserve"> ‘Stop and think A critical review of the use of stop and search powers in England and Wales Equality and Human Rights Commission Foreword Acknowledgements’ Available at:</w:t>
      </w:r>
      <w:r>
        <w:t xml:space="preserve"> </w:t>
      </w:r>
      <w:hyperlink r:id="rId19" w:history="1">
        <w:r w:rsidRPr="0016407A">
          <w:rPr>
            <w:rStyle w:val="Hyperlink"/>
          </w:rPr>
          <w:t>https://www.equalityhumanrights.com/sites/default/files/ehrc_stop_and_search_report.pdf</w:t>
        </w:r>
      </w:hyperlink>
      <w:r w:rsidRPr="00E10475">
        <w:t>.</w:t>
      </w:r>
      <w:r>
        <w:t xml:space="preserve"> </w:t>
      </w:r>
      <w:r w:rsidRPr="00E10475">
        <w:t>(Accessed:17/03/2021).</w:t>
      </w:r>
    </w:p>
    <w:p w14:paraId="0B068264" w14:textId="066FDECE" w:rsidR="00FF6F2F" w:rsidRDefault="00FF6F2F" w:rsidP="001E7D5C">
      <w:pPr>
        <w:pStyle w:val="ListParagraph"/>
        <w:numPr>
          <w:ilvl w:val="0"/>
          <w:numId w:val="5"/>
        </w:numPr>
      </w:pPr>
      <w:r w:rsidRPr="00E93A94">
        <w:t xml:space="preserve">Equality and Human Rights Commission Report (2013) ‘Stop and think again: towards equality in police PACE stop and search’. Available at: </w:t>
      </w:r>
      <w:hyperlink r:id="rId20" w:history="1">
        <w:r w:rsidRPr="00E93A94">
          <w:rPr>
            <w:rStyle w:val="Hyperlink"/>
          </w:rPr>
          <w:t>http://www.equalityhumanrights.com/sites/default/files/documents/raceinbritain/stop_and_think_again.pdf</w:t>
        </w:r>
      </w:hyperlink>
      <w:r w:rsidRPr="00E93A94">
        <w:t xml:space="preserve">  (Accessed:17/03/2021). </w:t>
      </w:r>
    </w:p>
    <w:p w14:paraId="0CC34654" w14:textId="6AC2C52E" w:rsidR="005E3709" w:rsidRPr="00E93A94" w:rsidRDefault="005E3709" w:rsidP="001E7D5C">
      <w:pPr>
        <w:pStyle w:val="ListParagraph"/>
        <w:numPr>
          <w:ilvl w:val="0"/>
          <w:numId w:val="5"/>
        </w:numPr>
      </w:pPr>
      <w:proofErr w:type="spellStart"/>
      <w:r w:rsidRPr="005E3709">
        <w:t>Ffrench</w:t>
      </w:r>
      <w:proofErr w:type="spellEnd"/>
      <w:r w:rsidRPr="005E3709">
        <w:t xml:space="preserve">, K (2010) ‘Katrina </w:t>
      </w:r>
      <w:proofErr w:type="spellStart"/>
      <w:r w:rsidRPr="005E3709">
        <w:t>Ffrench</w:t>
      </w:r>
      <w:proofErr w:type="spellEnd"/>
      <w:r w:rsidRPr="005E3709">
        <w:t xml:space="preserve">: transforming tomorrow: Cambridge &amp; diversity: Human Resources Division’. Available at: </w:t>
      </w:r>
      <w:hyperlink r:id="rId21" w:history="1">
        <w:r w:rsidRPr="00200AE1">
          <w:rPr>
            <w:rStyle w:val="Hyperlink"/>
          </w:rPr>
          <w:t>http://www.diverse.cam.ac.uk/stories/ffrench/</w:t>
        </w:r>
      </w:hyperlink>
      <w:r>
        <w:t xml:space="preserve"> </w:t>
      </w:r>
      <w:r w:rsidRPr="005E3709">
        <w:t>(Accessed 20/03/2021).</w:t>
      </w:r>
    </w:p>
    <w:p w14:paraId="13C4F0DA" w14:textId="77777777" w:rsidR="00FF6F2F" w:rsidRDefault="00FF6F2F" w:rsidP="001E7D5C">
      <w:pPr>
        <w:pStyle w:val="ListParagraph"/>
        <w:numPr>
          <w:ilvl w:val="0"/>
          <w:numId w:val="5"/>
        </w:numPr>
      </w:pPr>
      <w:r w:rsidRPr="00E93A94">
        <w:t xml:space="preserve">Flacks, S (2017) ‘The stop and search of minors: A ‘vital police tool’ Available at: </w:t>
      </w:r>
      <w:hyperlink r:id="rId22" w:history="1">
        <w:r w:rsidRPr="00E93A94">
          <w:rPr>
            <w:rStyle w:val="Hyperlink"/>
          </w:rPr>
          <w:t>https://journals.sagepub.com/doi/abs/10.1177/1748895817720485</w:t>
        </w:r>
      </w:hyperlink>
      <w:r w:rsidRPr="00E93A94">
        <w:t xml:space="preserve">  (Accesssed:17/03/2021).</w:t>
      </w:r>
    </w:p>
    <w:p w14:paraId="0558895B" w14:textId="7D35B669" w:rsidR="00FF6F2F" w:rsidRDefault="00FF6F2F" w:rsidP="001E7D5C">
      <w:pPr>
        <w:pStyle w:val="ListParagraph"/>
        <w:numPr>
          <w:ilvl w:val="0"/>
          <w:numId w:val="5"/>
        </w:numPr>
      </w:pPr>
      <w:bookmarkStart w:id="6" w:name="_Hlk66967356"/>
      <w:r w:rsidRPr="00B32C64">
        <w:t>Hargreaves, J</w:t>
      </w:r>
      <w:r>
        <w:t xml:space="preserve"> </w:t>
      </w:r>
      <w:r w:rsidRPr="00B32C64">
        <w:t>(2018)</w:t>
      </w:r>
      <w:bookmarkEnd w:id="6"/>
      <w:r>
        <w:t xml:space="preserve"> ‘</w:t>
      </w:r>
      <w:r w:rsidRPr="00B32C64">
        <w:t>Police Stop and Search Within British Muslim Communities: Evidence From the Crime Survey</w:t>
      </w:r>
      <w:r>
        <w:t xml:space="preserve">’. </w:t>
      </w:r>
      <w:r w:rsidRPr="00B32C64">
        <w:t>The British Journal of Criminology</w:t>
      </w:r>
      <w:r>
        <w:t xml:space="preserve">. Volume </w:t>
      </w:r>
      <w:r w:rsidRPr="00B32C64">
        <w:t>58</w:t>
      </w:r>
      <w:r>
        <w:t xml:space="preserve">, Issue </w:t>
      </w:r>
      <w:r w:rsidRPr="00B32C64">
        <w:t>6</w:t>
      </w:r>
      <w:r>
        <w:t>.</w:t>
      </w:r>
      <w:r w:rsidRPr="00B32C64">
        <w:t xml:space="preserve"> </w:t>
      </w:r>
      <w:r>
        <w:t>p.</w:t>
      </w:r>
      <w:r w:rsidRPr="00B32C64">
        <w:t>1281–1302.</w:t>
      </w:r>
    </w:p>
    <w:p w14:paraId="10A3C705" w14:textId="40CECF88" w:rsidR="002D464F" w:rsidRDefault="002D464F" w:rsidP="001E7D5C">
      <w:pPr>
        <w:pStyle w:val="ListParagraph"/>
        <w:numPr>
          <w:ilvl w:val="0"/>
          <w:numId w:val="5"/>
        </w:numPr>
      </w:pPr>
      <w:r w:rsidRPr="002D464F">
        <w:t>Metropolitan Police (2020). Stats and data</w:t>
      </w:r>
      <w:r>
        <w:t xml:space="preserve">. </w:t>
      </w:r>
      <w:r w:rsidRPr="002D464F">
        <w:t xml:space="preserve">Available at: </w:t>
      </w:r>
      <w:hyperlink r:id="rId23" w:history="1">
        <w:r w:rsidRPr="002C729B">
          <w:rPr>
            <w:rStyle w:val="Hyperlink"/>
          </w:rPr>
          <w:t>https://www.met.police.uk/sd/stats-and-data/</w:t>
        </w:r>
      </w:hyperlink>
      <w:r>
        <w:t xml:space="preserve"> </w:t>
      </w:r>
      <w:r w:rsidRPr="002D464F">
        <w:t xml:space="preserve"> </w:t>
      </w:r>
      <w:r>
        <w:t>(</w:t>
      </w:r>
      <w:r w:rsidRPr="002D464F">
        <w:t>Accessed 23</w:t>
      </w:r>
      <w:r>
        <w:t>/04/</w:t>
      </w:r>
      <w:r w:rsidRPr="002D464F">
        <w:t>2021</w:t>
      </w:r>
      <w:r>
        <w:t>)</w:t>
      </w:r>
      <w:r w:rsidRPr="002D464F">
        <w:t>.</w:t>
      </w:r>
    </w:p>
    <w:p w14:paraId="0191CA17" w14:textId="002A07CC" w:rsidR="004743F9" w:rsidRPr="0046754B" w:rsidRDefault="004743F9" w:rsidP="001E7D5C">
      <w:pPr>
        <w:pStyle w:val="ListParagraph"/>
        <w:numPr>
          <w:ilvl w:val="0"/>
          <w:numId w:val="5"/>
        </w:numPr>
      </w:pPr>
      <w:r w:rsidRPr="0046754B">
        <w:t xml:space="preserve">Home Office (2011a) Vagrancy Act 1824. Legislation.gov.uk. Available at: </w:t>
      </w:r>
      <w:hyperlink r:id="rId24" w:history="1">
        <w:r w:rsidRPr="0046754B">
          <w:rPr>
            <w:rStyle w:val="Hyperlink"/>
          </w:rPr>
          <w:t>https://www.legislation.gov.uk/ukpga/Geo4/5/83/section/4</w:t>
        </w:r>
      </w:hyperlink>
      <w:r w:rsidRPr="0046754B">
        <w:t>. (Accessed:20/03/2021).</w:t>
      </w:r>
    </w:p>
    <w:p w14:paraId="3CCE299F" w14:textId="046AFD45" w:rsidR="004743F9" w:rsidRPr="0046754B" w:rsidRDefault="004743F9" w:rsidP="001E7D5C">
      <w:pPr>
        <w:pStyle w:val="ListParagraph"/>
        <w:numPr>
          <w:ilvl w:val="0"/>
          <w:numId w:val="5"/>
        </w:numPr>
      </w:pPr>
      <w:r w:rsidRPr="0046754B">
        <w:t xml:space="preserve">Home Office (2011b). Misuse of Drugs Act 1971. Legislation.gov.uk. Available at: </w:t>
      </w:r>
      <w:hyperlink r:id="rId25" w:history="1">
        <w:r w:rsidRPr="0046754B">
          <w:rPr>
            <w:rStyle w:val="Hyperlink"/>
          </w:rPr>
          <w:t>https://www.legislation.gov.uk/ukpga/1971/38/contents</w:t>
        </w:r>
      </w:hyperlink>
      <w:r w:rsidRPr="0046754B">
        <w:t xml:space="preserve">. (Accessed: 20/03/2021). </w:t>
      </w:r>
    </w:p>
    <w:p w14:paraId="0E3227ED" w14:textId="16726569" w:rsidR="00CD0281" w:rsidRPr="0046754B" w:rsidRDefault="00CD0281" w:rsidP="001E7D5C">
      <w:pPr>
        <w:pStyle w:val="ListParagraph"/>
        <w:numPr>
          <w:ilvl w:val="0"/>
          <w:numId w:val="5"/>
        </w:numPr>
      </w:pPr>
      <w:r w:rsidRPr="0046754B">
        <w:t>Home Office (2011</w:t>
      </w:r>
      <w:r w:rsidR="004743F9" w:rsidRPr="0046754B">
        <w:t>c</w:t>
      </w:r>
      <w:r w:rsidRPr="0046754B">
        <w:t xml:space="preserve">). Road Traffic Act 1988. Legislation.gov.uk. Available at: </w:t>
      </w:r>
      <w:hyperlink r:id="rId26" w:history="1">
        <w:r w:rsidRPr="0046754B">
          <w:rPr>
            <w:rStyle w:val="Hyperlink"/>
          </w:rPr>
          <w:t>https://www.legislation.gov.uk/ukpga/1988/52/contents</w:t>
        </w:r>
      </w:hyperlink>
      <w:r w:rsidRPr="0046754B">
        <w:t>. (Accessed: 20/03/2021).</w:t>
      </w:r>
    </w:p>
    <w:p w14:paraId="1F6B4F70" w14:textId="1F74617C" w:rsidR="00CD0281" w:rsidRPr="0046754B" w:rsidRDefault="00CD0281" w:rsidP="001E7D5C">
      <w:pPr>
        <w:pStyle w:val="ListParagraph"/>
        <w:numPr>
          <w:ilvl w:val="0"/>
          <w:numId w:val="5"/>
        </w:numPr>
      </w:pPr>
      <w:r w:rsidRPr="0046754B">
        <w:t>Home Office (2011</w:t>
      </w:r>
      <w:r w:rsidR="004743F9" w:rsidRPr="0046754B">
        <w:t>d</w:t>
      </w:r>
      <w:r w:rsidRPr="0046754B">
        <w:t xml:space="preserve">). Terrorism Act 2000. Legislation.gov.uk. Available at: </w:t>
      </w:r>
      <w:hyperlink r:id="rId27" w:history="1">
        <w:r w:rsidRPr="0046754B">
          <w:rPr>
            <w:rStyle w:val="Hyperlink"/>
          </w:rPr>
          <w:t>https://www.legislation.gov.uk/ukpga/2000/11/contents</w:t>
        </w:r>
      </w:hyperlink>
      <w:r w:rsidRPr="0046754B">
        <w:t>. (Accessed: 20/03/2021).</w:t>
      </w:r>
    </w:p>
    <w:p w14:paraId="651165C8" w14:textId="26091894" w:rsidR="007B4CAB" w:rsidRDefault="007B4CAB" w:rsidP="001E7D5C">
      <w:pPr>
        <w:pStyle w:val="ListParagraph"/>
        <w:numPr>
          <w:ilvl w:val="0"/>
          <w:numId w:val="5"/>
        </w:numPr>
      </w:pPr>
      <w:r w:rsidRPr="0046754B">
        <w:t>Home Office (2012) ‘2011 Census analysis: Ethnicity and religion of the non-UK born</w:t>
      </w:r>
      <w:r w:rsidRPr="007B4CAB">
        <w:t xml:space="preserve"> population in England and Wales</w:t>
      </w:r>
      <w:r>
        <w:t>’.</w:t>
      </w:r>
      <w:r w:rsidRPr="007B4CAB">
        <w:t xml:space="preserve"> Office for National Statistics. Available at: </w:t>
      </w:r>
      <w:hyperlink r:id="rId28" w:anchor=":~:text=Amongst%20the%2056%20million%20residents" w:history="1">
        <w:r w:rsidRPr="00241E87">
          <w:rPr>
            <w:rStyle w:val="Hyperlink"/>
          </w:rPr>
          <w:t>https://www.ons.gov.uk/peoplepopulationandcommunity/culturalidentity/ethnicity/articles/2011censusanalysisethnicityandreligionofthenonukbornpopulationinenglandandwales/2015-06-18#:~:text=Amongst%20the%2056%20million%20residents</w:t>
        </w:r>
      </w:hyperlink>
      <w:r w:rsidRPr="007B4CAB">
        <w:t>.</w:t>
      </w:r>
      <w:r>
        <w:t xml:space="preserve"> (Accessed: 20/03/2021). </w:t>
      </w:r>
    </w:p>
    <w:p w14:paraId="309A1757" w14:textId="11A1A2A0" w:rsidR="00FF6F2F" w:rsidRDefault="00FF6F2F" w:rsidP="001E7D5C">
      <w:pPr>
        <w:pStyle w:val="ListParagraph"/>
        <w:numPr>
          <w:ilvl w:val="0"/>
          <w:numId w:val="5"/>
        </w:numPr>
      </w:pPr>
      <w:r w:rsidRPr="003F47C7">
        <w:t xml:space="preserve">Home Office (2014) ‘Revised Code of Practice for the Exercise by: Police Officers of Statutory Powers of Stop and Search Police Officers and Police Staff of Requirements to Record Public Encounters Police and Criminal Evidence Act 1984’. (PACE) CODE A. Available at: </w:t>
      </w:r>
      <w:hyperlink r:id="rId29" w:history="1">
        <w:r w:rsidRPr="00B00901">
          <w:rPr>
            <w:rStyle w:val="Hyperlink"/>
          </w:rPr>
          <w:t>https://assets.publishing.service.gov.uk/government/uploads/system/uploads/attachment_data/file/384122/PaceCodeAWeb.pdf</w:t>
        </w:r>
      </w:hyperlink>
      <w:r>
        <w:t xml:space="preserve"> </w:t>
      </w:r>
      <w:r w:rsidRPr="003F47C7">
        <w:t>(Accessed 18/03/2021).</w:t>
      </w:r>
    </w:p>
    <w:p w14:paraId="00E8964A" w14:textId="026FF851" w:rsidR="007C7F4D" w:rsidRDefault="007C7F4D" w:rsidP="001E7D5C">
      <w:pPr>
        <w:pStyle w:val="ListParagraph"/>
        <w:numPr>
          <w:ilvl w:val="0"/>
          <w:numId w:val="5"/>
        </w:numPr>
      </w:pPr>
      <w:r w:rsidRPr="007C7F4D">
        <w:t xml:space="preserve">Home Office (2017). Second edition. Available at: </w:t>
      </w:r>
      <w:hyperlink r:id="rId30" w:history="1">
        <w:r w:rsidRPr="002C729B">
          <w:rPr>
            <w:rStyle w:val="Hyperlink"/>
          </w:rPr>
          <w:t>https://assets.publishing.service.gov.uk/government/uploads/system/uploads/attachment_data/file/658099/police-powers-procedures-mar17-hosb2017.pdf</w:t>
        </w:r>
      </w:hyperlink>
      <w:r>
        <w:t xml:space="preserve"> </w:t>
      </w:r>
      <w:r w:rsidRPr="007C7F4D">
        <w:t xml:space="preserve"> </w:t>
      </w:r>
      <w:r>
        <w:t>(</w:t>
      </w:r>
      <w:r w:rsidRPr="007C7F4D">
        <w:t>Accessed 23</w:t>
      </w:r>
      <w:r>
        <w:t>/04/</w:t>
      </w:r>
      <w:r w:rsidRPr="007C7F4D">
        <w:t>2021</w:t>
      </w:r>
      <w:r>
        <w:t>)</w:t>
      </w:r>
      <w:r w:rsidRPr="007C7F4D">
        <w:t>.</w:t>
      </w:r>
    </w:p>
    <w:p w14:paraId="34F4685C" w14:textId="5808035A" w:rsidR="004743F9" w:rsidRDefault="004743F9" w:rsidP="001E7D5C">
      <w:pPr>
        <w:pStyle w:val="ListParagraph"/>
        <w:numPr>
          <w:ilvl w:val="0"/>
          <w:numId w:val="5"/>
        </w:numPr>
      </w:pPr>
      <w:r w:rsidRPr="004743F9">
        <w:lastRenderedPageBreak/>
        <w:t>Home Office (2019</w:t>
      </w:r>
      <w:r>
        <w:t>a</w:t>
      </w:r>
      <w:r w:rsidRPr="004743F9">
        <w:t xml:space="preserve">). Firearms Act 1968. Legislation.gov.uk. Available at: </w:t>
      </w:r>
      <w:hyperlink r:id="rId31" w:history="1">
        <w:r w:rsidRPr="00DE5246">
          <w:rPr>
            <w:rStyle w:val="Hyperlink"/>
          </w:rPr>
          <w:t>https://www.legislation.gov.uk/ukpga/1968/27/contents</w:t>
        </w:r>
      </w:hyperlink>
      <w:r w:rsidRPr="004743F9">
        <w:t>.</w:t>
      </w:r>
      <w:r>
        <w:t xml:space="preserve"> </w:t>
      </w:r>
      <w:r w:rsidRPr="004743F9">
        <w:t xml:space="preserve">  (Accessed: 20/03/2021). </w:t>
      </w:r>
    </w:p>
    <w:p w14:paraId="60B52958" w14:textId="467576AD" w:rsidR="00CD0281" w:rsidRDefault="00CD0281" w:rsidP="001E7D5C">
      <w:pPr>
        <w:pStyle w:val="ListParagraph"/>
        <w:numPr>
          <w:ilvl w:val="0"/>
          <w:numId w:val="5"/>
        </w:numPr>
      </w:pPr>
      <w:r w:rsidRPr="00CD0281">
        <w:t>Home Office (2019</w:t>
      </w:r>
      <w:r w:rsidR="004743F9">
        <w:t>b</w:t>
      </w:r>
      <w:r w:rsidRPr="00CD0281">
        <w:t xml:space="preserve">). Criminal Justice and Public Order Act 1994.Legislation.gov.uk. Available at: </w:t>
      </w:r>
      <w:hyperlink r:id="rId32" w:history="1">
        <w:r w:rsidRPr="00FD01F6">
          <w:rPr>
            <w:rStyle w:val="Hyperlink"/>
          </w:rPr>
          <w:t>https://www.legislation.gov.uk/ukpga/1994/33/contents</w:t>
        </w:r>
      </w:hyperlink>
      <w:r w:rsidRPr="00CD0281">
        <w:t>.</w:t>
      </w:r>
      <w:r>
        <w:t xml:space="preserve"> (Accessed: 20/03/2021).</w:t>
      </w:r>
    </w:p>
    <w:p w14:paraId="227E2FB0" w14:textId="0F1011D2" w:rsidR="00FF6F2F" w:rsidRDefault="00FF6F2F" w:rsidP="001E7D5C">
      <w:pPr>
        <w:pStyle w:val="ListParagraph"/>
        <w:numPr>
          <w:ilvl w:val="0"/>
          <w:numId w:val="5"/>
        </w:numPr>
      </w:pPr>
      <w:r w:rsidRPr="003F47C7">
        <w:t>Home Office (2020). Human Rights Act 1998.</w:t>
      </w:r>
      <w:r>
        <w:t xml:space="preserve"> </w:t>
      </w:r>
      <w:r w:rsidRPr="003F47C7">
        <w:t xml:space="preserve">Legislation.gov.uk. Available at: </w:t>
      </w:r>
      <w:hyperlink r:id="rId33" w:history="1">
        <w:r w:rsidRPr="00B00901">
          <w:rPr>
            <w:rStyle w:val="Hyperlink"/>
          </w:rPr>
          <w:t>https://www.legislation.gov.uk/ukpga/1998/42/schedule/1/part/I/chapter/4</w:t>
        </w:r>
      </w:hyperlink>
      <w:r>
        <w:t xml:space="preserve"> </w:t>
      </w:r>
      <w:r w:rsidRPr="003F47C7">
        <w:t xml:space="preserve"> [Accessed</w:t>
      </w:r>
      <w:r>
        <w:t>: 18/03/</w:t>
      </w:r>
      <w:r w:rsidRPr="003F47C7">
        <w:t>2021</w:t>
      </w:r>
      <w:r>
        <w:t xml:space="preserve">). </w:t>
      </w:r>
    </w:p>
    <w:p w14:paraId="7688602E" w14:textId="4CE6A850" w:rsidR="00E06095" w:rsidRDefault="00E06095" w:rsidP="001E7D5C">
      <w:pPr>
        <w:pStyle w:val="ListParagraph"/>
        <w:numPr>
          <w:ilvl w:val="0"/>
          <w:numId w:val="5"/>
        </w:numPr>
      </w:pPr>
      <w:r w:rsidRPr="00E06095">
        <w:t>Home Office (2021</w:t>
      </w:r>
      <w:r>
        <w:t>a</w:t>
      </w:r>
      <w:r w:rsidRPr="00E06095">
        <w:t xml:space="preserve">) ‘Stop and search’ Available at: </w:t>
      </w:r>
      <w:hyperlink r:id="rId34" w:anchor="main-facts-and-figures" w:history="1">
        <w:r w:rsidRPr="00DE5246">
          <w:rPr>
            <w:rStyle w:val="Hyperlink"/>
          </w:rPr>
          <w:t>https://www.ethnicity-facts-figures.service.gov.uk/crime-justice-and-the-law/policing/stop-and-search/latest#main-facts-and-figures</w:t>
        </w:r>
      </w:hyperlink>
      <w:r>
        <w:t xml:space="preserve"> </w:t>
      </w:r>
      <w:r w:rsidRPr="00E06095">
        <w:t xml:space="preserve"> (Accessed: 17/03/2021). </w:t>
      </w:r>
    </w:p>
    <w:p w14:paraId="5DF82690" w14:textId="583D5253" w:rsidR="00FF6F2F" w:rsidRDefault="00FF6F2F" w:rsidP="001E7D5C">
      <w:pPr>
        <w:pStyle w:val="ListParagraph"/>
        <w:numPr>
          <w:ilvl w:val="0"/>
          <w:numId w:val="5"/>
        </w:numPr>
      </w:pPr>
      <w:r w:rsidRPr="00E06095">
        <w:t>Home Office (2021</w:t>
      </w:r>
      <w:r w:rsidR="00E06095" w:rsidRPr="00E06095">
        <w:t>b</w:t>
      </w:r>
      <w:r w:rsidRPr="00E06095">
        <w:t xml:space="preserve">). Criminal Justice and Public Order Act 1994. Legislation.gov.uk. Available at: </w:t>
      </w:r>
      <w:hyperlink r:id="rId35" w:anchor=":~:text=(a)to%20stop%20any%20pedestrian" w:history="1">
        <w:r w:rsidRPr="00E06095">
          <w:rPr>
            <w:rStyle w:val="Hyperlink"/>
          </w:rPr>
          <w:t>https://www.legislation.gov.uk/ukpga/1994/33/section/60#:~:text=(a)to%20stop%20any%20pedestrian</w:t>
        </w:r>
      </w:hyperlink>
      <w:r w:rsidRPr="00E06095">
        <w:t xml:space="preserve"> (Accessed 19/03/2021).</w:t>
      </w:r>
    </w:p>
    <w:p w14:paraId="438C1544" w14:textId="2F3120B9" w:rsidR="001C4F06" w:rsidRPr="00E06095" w:rsidRDefault="001C4F06" w:rsidP="001E7D5C">
      <w:pPr>
        <w:pStyle w:val="ListParagraph"/>
        <w:numPr>
          <w:ilvl w:val="0"/>
          <w:numId w:val="5"/>
        </w:numPr>
      </w:pPr>
      <w:r w:rsidRPr="001C4F06">
        <w:t xml:space="preserve">House of Commons (2021). Police powers: Stop and Search. Available at: </w:t>
      </w:r>
      <w:hyperlink r:id="rId36" w:history="1">
        <w:r w:rsidRPr="002C729B">
          <w:rPr>
            <w:rStyle w:val="Hyperlink"/>
          </w:rPr>
          <w:t>https://commonslibrary.parliament.uk/</w:t>
        </w:r>
      </w:hyperlink>
      <w:r>
        <w:t xml:space="preserve"> </w:t>
      </w:r>
      <w:r w:rsidRPr="001C4F06">
        <w:t xml:space="preserve"> </w:t>
      </w:r>
      <w:r>
        <w:t>(</w:t>
      </w:r>
      <w:r w:rsidRPr="001C4F06">
        <w:t>Accessed 23</w:t>
      </w:r>
      <w:r>
        <w:t>/04/</w:t>
      </w:r>
      <w:r w:rsidRPr="001C4F06">
        <w:t>2021</w:t>
      </w:r>
      <w:r>
        <w:t>)</w:t>
      </w:r>
      <w:r w:rsidRPr="001C4F06">
        <w:t>.</w:t>
      </w:r>
    </w:p>
    <w:p w14:paraId="69A9CBE1" w14:textId="77777777" w:rsidR="00FF6F2F" w:rsidRPr="00E93A94" w:rsidRDefault="00FF6F2F" w:rsidP="001E7D5C">
      <w:pPr>
        <w:pStyle w:val="ListParagraph"/>
        <w:numPr>
          <w:ilvl w:val="0"/>
          <w:numId w:val="5"/>
        </w:numPr>
      </w:pPr>
      <w:r w:rsidRPr="00E93A94">
        <w:t xml:space="preserve">Hutton G, Gold E &amp; Conor P (2021) ‘General policing Duties’. Blackstone’s Police Manual. Oxford University Press. Volume 4. </w:t>
      </w:r>
    </w:p>
    <w:p w14:paraId="31FF6C14" w14:textId="77777777" w:rsidR="00FF6F2F" w:rsidRDefault="00FF6F2F" w:rsidP="001E7D5C">
      <w:pPr>
        <w:pStyle w:val="ListParagraph"/>
        <w:numPr>
          <w:ilvl w:val="0"/>
          <w:numId w:val="5"/>
        </w:numPr>
      </w:pPr>
      <w:r w:rsidRPr="00E93A94">
        <w:t xml:space="preserve">Johnston D &amp; Hutton G (2021) ‘Evidence and Procedure’. Blackstone’s police manual. Volume 2. Oxford University Press. </w:t>
      </w:r>
    </w:p>
    <w:p w14:paraId="2EE1FFFA" w14:textId="77777777" w:rsidR="00FF6F2F" w:rsidRDefault="00FF6F2F" w:rsidP="001E7D5C">
      <w:pPr>
        <w:pStyle w:val="ListParagraph"/>
        <w:numPr>
          <w:ilvl w:val="0"/>
          <w:numId w:val="5"/>
        </w:numPr>
      </w:pPr>
      <w:bookmarkStart w:id="7" w:name="_Hlk66967883"/>
      <w:r w:rsidRPr="00663A37">
        <w:t>Karen, S</w:t>
      </w:r>
      <w:r>
        <w:t xml:space="preserve"> &amp;</w:t>
      </w:r>
      <w:r w:rsidRPr="00663A37">
        <w:t xml:space="preserve"> Greene, C</w:t>
      </w:r>
      <w:r>
        <w:t xml:space="preserve"> </w:t>
      </w:r>
      <w:r w:rsidRPr="00663A37">
        <w:t>(2017)</w:t>
      </w:r>
      <w:bookmarkEnd w:id="7"/>
      <w:r>
        <w:t xml:space="preserve"> ‘</w:t>
      </w:r>
      <w:r w:rsidRPr="00663A37">
        <w:t>Protecting Vulnerable Persons and Reducing Demand of Police Time and Resources using Assistive Technology Evaluation</w:t>
      </w:r>
      <w:r>
        <w:t>’.</w:t>
      </w:r>
      <w:r w:rsidRPr="00663A37">
        <w:t xml:space="preserve"> Available at: </w:t>
      </w:r>
      <w:hyperlink r:id="rId37" w:history="1">
        <w:r w:rsidRPr="0016407A">
          <w:rPr>
            <w:rStyle w:val="Hyperlink"/>
          </w:rPr>
          <w:t>https://researchportal.port.ac.uk/portal/files/7508198/Evaluation_report_2.5.17.pdf</w:t>
        </w:r>
      </w:hyperlink>
      <w:r w:rsidRPr="00663A37">
        <w:t>.</w:t>
      </w:r>
      <w:r>
        <w:t xml:space="preserve"> (Accessed:19/03/2021). </w:t>
      </w:r>
    </w:p>
    <w:p w14:paraId="2F25E2F4" w14:textId="77777777" w:rsidR="00FF6F2F" w:rsidRPr="00E93A94" w:rsidRDefault="00FF6F2F" w:rsidP="001E7D5C">
      <w:pPr>
        <w:pStyle w:val="ListParagraph"/>
        <w:numPr>
          <w:ilvl w:val="0"/>
          <w:numId w:val="5"/>
        </w:numPr>
      </w:pPr>
      <w:r w:rsidRPr="008E5A80">
        <w:t xml:space="preserve">Keeling, P (2017). </w:t>
      </w:r>
      <w:r>
        <w:t>‘</w:t>
      </w:r>
      <w:r w:rsidRPr="008E5A80">
        <w:t>No respect: Young BAME men, the police and stop and search Briefing</w:t>
      </w:r>
      <w:r>
        <w:t>’</w:t>
      </w:r>
      <w:r w:rsidRPr="008E5A80">
        <w:t>.</w:t>
      </w:r>
      <w:r>
        <w:t xml:space="preserve"> </w:t>
      </w:r>
      <w:r w:rsidRPr="008E5A80">
        <w:t xml:space="preserve">Available at: </w:t>
      </w:r>
      <w:hyperlink r:id="rId38" w:history="1">
        <w:r w:rsidRPr="0016407A">
          <w:rPr>
            <w:rStyle w:val="Hyperlink"/>
          </w:rPr>
          <w:t>http://criminaljusticealliance.org/wp-content/uploads/2017/06/No-Respect-290617-1.pdf</w:t>
        </w:r>
      </w:hyperlink>
      <w:r>
        <w:t xml:space="preserve">. (Accessed:19/03/2021). </w:t>
      </w:r>
    </w:p>
    <w:p w14:paraId="5B8068E8" w14:textId="77777777" w:rsidR="00FF6F2F" w:rsidRDefault="00FF6F2F" w:rsidP="001E7D5C">
      <w:pPr>
        <w:pStyle w:val="ListParagraph"/>
        <w:numPr>
          <w:ilvl w:val="0"/>
          <w:numId w:val="5"/>
        </w:numPr>
      </w:pPr>
      <w:r w:rsidRPr="00E93A94">
        <w:t xml:space="preserve">Lammy, D (2018) ‘Stop and search is inherently unfair, unjust and ineffectual’. The Guardian. Available at: </w:t>
      </w:r>
      <w:hyperlink r:id="rId39" w:history="1">
        <w:r w:rsidRPr="00E93A94">
          <w:rPr>
            <w:rStyle w:val="Hyperlink"/>
          </w:rPr>
          <w:t>https://www.theguardian.com/law/2018/oct/13/stop-and-search-is-unjust-unfair-ineffectual-david-lammy</w:t>
        </w:r>
      </w:hyperlink>
      <w:r w:rsidRPr="00E93A94">
        <w:t xml:space="preserve"> (Accessed:17/03/2021). </w:t>
      </w:r>
    </w:p>
    <w:p w14:paraId="684563F2" w14:textId="00DDFEFB" w:rsidR="00FF6F2F" w:rsidRDefault="00FF6F2F" w:rsidP="001E7D5C">
      <w:pPr>
        <w:pStyle w:val="ListParagraph"/>
        <w:numPr>
          <w:ilvl w:val="0"/>
          <w:numId w:val="5"/>
        </w:numPr>
      </w:pPr>
      <w:r w:rsidRPr="00636F03">
        <w:t xml:space="preserve">LeCount, </w:t>
      </w:r>
      <w:r>
        <w:t>J</w:t>
      </w:r>
      <w:r w:rsidRPr="00636F03">
        <w:t xml:space="preserve"> (2017)</w:t>
      </w:r>
      <w:r>
        <w:t xml:space="preserve"> ‘</w:t>
      </w:r>
      <w:proofErr w:type="gramStart"/>
      <w:r w:rsidRPr="00636F03">
        <w:t>More Black</w:t>
      </w:r>
      <w:proofErr w:type="gramEnd"/>
      <w:r w:rsidRPr="00636F03">
        <w:t xml:space="preserve"> than Blue? Comparing the Racial Attitudes of Police to Citizens</w:t>
      </w:r>
      <w:r>
        <w:t xml:space="preserve">’. </w:t>
      </w:r>
      <w:r w:rsidRPr="00636F03">
        <w:t>Sociological Forum</w:t>
      </w:r>
      <w:r>
        <w:t xml:space="preserve">. Volume </w:t>
      </w:r>
      <w:r w:rsidRPr="00636F03">
        <w:t>32</w:t>
      </w:r>
      <w:r>
        <w:t xml:space="preserve">. </w:t>
      </w:r>
      <w:r w:rsidRPr="00636F03">
        <w:t>p.1051–1072.</w:t>
      </w:r>
    </w:p>
    <w:p w14:paraId="5F8B8BCB" w14:textId="03E7332C" w:rsidR="00A50BD2" w:rsidRDefault="00A50BD2" w:rsidP="001E7D5C">
      <w:pPr>
        <w:pStyle w:val="ListParagraph"/>
        <w:numPr>
          <w:ilvl w:val="0"/>
          <w:numId w:val="5"/>
        </w:numPr>
      </w:pPr>
      <w:r w:rsidRPr="00A50BD2">
        <w:t>Lea, J</w:t>
      </w:r>
      <w:r>
        <w:t xml:space="preserve"> &amp;</w:t>
      </w:r>
      <w:r w:rsidRPr="00A50BD2">
        <w:t xml:space="preserve"> </w:t>
      </w:r>
      <w:proofErr w:type="spellStart"/>
      <w:r w:rsidRPr="00A50BD2">
        <w:t>Hallsworth</w:t>
      </w:r>
      <w:proofErr w:type="spellEnd"/>
      <w:r w:rsidRPr="00A50BD2">
        <w:t>, S</w:t>
      </w:r>
      <w:r>
        <w:t xml:space="preserve"> </w:t>
      </w:r>
      <w:r w:rsidRPr="00A50BD2">
        <w:t>(2019)</w:t>
      </w:r>
      <w:r>
        <w:t xml:space="preserve"> ‘</w:t>
      </w:r>
      <w:r w:rsidRPr="00A50BD2">
        <w:t xml:space="preserve">Understanding the </w:t>
      </w:r>
      <w:proofErr w:type="gramStart"/>
      <w:r w:rsidRPr="00A50BD2">
        <w:t>riot</w:t>
      </w:r>
      <w:r>
        <w:t>s’</w:t>
      </w:r>
      <w:proofErr w:type="gramEnd"/>
      <w:r>
        <w:t>.</w:t>
      </w:r>
      <w:r w:rsidRPr="00A50BD2">
        <w:t xml:space="preserve"> Centre for Crime and Justice Studies. Available at: </w:t>
      </w:r>
      <w:hyperlink r:id="rId40" w:history="1">
        <w:r w:rsidRPr="00DE7AF9">
          <w:rPr>
            <w:rStyle w:val="Hyperlink"/>
          </w:rPr>
          <w:t>https://www.crimeandjustice.org.uk/publications/cjm/article/understanding-riots</w:t>
        </w:r>
      </w:hyperlink>
      <w:r>
        <w:t xml:space="preserve"> </w:t>
      </w:r>
      <w:r w:rsidRPr="00A50BD2">
        <w:t xml:space="preserve"> </w:t>
      </w:r>
      <w:r>
        <w:t>(</w:t>
      </w:r>
      <w:r w:rsidRPr="00A50BD2">
        <w:t xml:space="preserve">Accessed </w:t>
      </w:r>
      <w:r>
        <w:t>0</w:t>
      </w:r>
      <w:r w:rsidRPr="00A50BD2">
        <w:t>5</w:t>
      </w:r>
      <w:r>
        <w:t>/04/</w:t>
      </w:r>
      <w:r w:rsidRPr="00A50BD2">
        <w:t>2021</w:t>
      </w:r>
      <w:r>
        <w:t>)</w:t>
      </w:r>
      <w:r w:rsidRPr="00A50BD2">
        <w:t>.</w:t>
      </w:r>
    </w:p>
    <w:p w14:paraId="57A2CD97" w14:textId="5E80CDA4" w:rsidR="0066221E" w:rsidRDefault="0066221E" w:rsidP="001E7D5C">
      <w:pPr>
        <w:pStyle w:val="ListParagraph"/>
        <w:numPr>
          <w:ilvl w:val="0"/>
          <w:numId w:val="5"/>
        </w:numPr>
      </w:pPr>
      <w:r w:rsidRPr="0066221E">
        <w:t>Lord Scarman (1982). THE SCARMAN REPORT: II-A BRITISH VIEW. UK Government. The Political Quarterly, 53(2)</w:t>
      </w:r>
      <w:r>
        <w:t xml:space="preserve">. </w:t>
      </w:r>
    </w:p>
    <w:p w14:paraId="491828AF" w14:textId="77777777" w:rsidR="00FF6F2F" w:rsidRDefault="00FF6F2F" w:rsidP="001E7D5C">
      <w:pPr>
        <w:pStyle w:val="ListParagraph"/>
        <w:numPr>
          <w:ilvl w:val="0"/>
          <w:numId w:val="5"/>
        </w:numPr>
      </w:pPr>
      <w:r w:rsidRPr="00FD1C5D">
        <w:t xml:space="preserve">Matthews, D. (2009) </w:t>
      </w:r>
      <w:r>
        <w:t>‘</w:t>
      </w:r>
      <w:r w:rsidRPr="00FD1C5D">
        <w:t>Stop and search: what can we learn from history?</w:t>
      </w:r>
      <w:r>
        <w:t xml:space="preserve">’. </w:t>
      </w:r>
      <w:r w:rsidRPr="00FD1C5D">
        <w:t xml:space="preserve">History Extra. Available at: </w:t>
      </w:r>
      <w:hyperlink r:id="rId41" w:history="1">
        <w:r w:rsidRPr="00B00901">
          <w:rPr>
            <w:rStyle w:val="Hyperlink"/>
          </w:rPr>
          <w:t>https://www.historyextra.com/period/stop-and-search-what-can-we-learn-from-history/</w:t>
        </w:r>
      </w:hyperlink>
      <w:r>
        <w:t xml:space="preserve"> (</w:t>
      </w:r>
      <w:r w:rsidRPr="00FD1C5D">
        <w:t>Accesse</w:t>
      </w:r>
      <w:r>
        <w:t xml:space="preserve">d: </w:t>
      </w:r>
      <w:r w:rsidRPr="00FD1C5D">
        <w:t>18</w:t>
      </w:r>
      <w:r>
        <w:t>/03/</w:t>
      </w:r>
      <w:r w:rsidRPr="00FD1C5D">
        <w:t>2021</w:t>
      </w:r>
      <w:r>
        <w:t>)</w:t>
      </w:r>
      <w:r w:rsidRPr="00FD1C5D">
        <w:t>.</w:t>
      </w:r>
    </w:p>
    <w:p w14:paraId="3EDD9F63" w14:textId="2A64F62E" w:rsidR="00FF6F2F" w:rsidRDefault="00FF6F2F" w:rsidP="001E7D5C">
      <w:pPr>
        <w:pStyle w:val="ListParagraph"/>
        <w:numPr>
          <w:ilvl w:val="0"/>
          <w:numId w:val="5"/>
        </w:numPr>
      </w:pPr>
      <w:bookmarkStart w:id="8" w:name="_Hlk66964703"/>
      <w:r w:rsidRPr="00556327">
        <w:t>McFarland, J</w:t>
      </w:r>
      <w:r>
        <w:t xml:space="preserve"> et al </w:t>
      </w:r>
      <w:r w:rsidRPr="00556327">
        <w:t>(2018)</w:t>
      </w:r>
      <w:bookmarkEnd w:id="8"/>
      <w:r w:rsidRPr="00556327">
        <w:t>. Perceived Unfair Treatment by Police, Race, and Telomere Length: A Nashville Community-based Sample of Black and White Men. Journal of Health and Social Behaviour</w:t>
      </w:r>
      <w:r>
        <w:t xml:space="preserve">. Volume </w:t>
      </w:r>
      <w:r w:rsidRPr="00556327">
        <w:t>59</w:t>
      </w:r>
      <w:r>
        <w:t xml:space="preserve">, Issue </w:t>
      </w:r>
      <w:r w:rsidRPr="00556327">
        <w:t>4</w:t>
      </w:r>
      <w:r>
        <w:t>.</w:t>
      </w:r>
      <w:r w:rsidRPr="00556327">
        <w:t xml:space="preserve"> p.585–600.</w:t>
      </w:r>
    </w:p>
    <w:p w14:paraId="7E45113B" w14:textId="0DE51FDE" w:rsidR="007F74CF" w:rsidRDefault="007F74CF" w:rsidP="001E7D5C">
      <w:pPr>
        <w:pStyle w:val="ListParagraph"/>
        <w:numPr>
          <w:ilvl w:val="0"/>
          <w:numId w:val="5"/>
        </w:numPr>
      </w:pPr>
      <w:r w:rsidRPr="007F74CF">
        <w:t xml:space="preserve">Miller, J (2019) ‘The Touch of the State: Stop and Search in England’. History Workshop Journal. Volume 87. </w:t>
      </w:r>
      <w:r>
        <w:t>p</w:t>
      </w:r>
      <w:r w:rsidRPr="007F74CF">
        <w:t>.52–71.</w:t>
      </w:r>
      <w:r>
        <w:t xml:space="preserve"> </w:t>
      </w:r>
    </w:p>
    <w:p w14:paraId="57385C53" w14:textId="77777777" w:rsidR="00FF6F2F" w:rsidRPr="00E93A94" w:rsidRDefault="00FF6F2F" w:rsidP="001E7D5C">
      <w:pPr>
        <w:pStyle w:val="ListParagraph"/>
        <w:numPr>
          <w:ilvl w:val="0"/>
          <w:numId w:val="5"/>
        </w:numPr>
      </w:pPr>
      <w:bookmarkStart w:id="9" w:name="_Hlk66969456"/>
      <w:r w:rsidRPr="007F2E0D">
        <w:lastRenderedPageBreak/>
        <w:t>Murra</w:t>
      </w:r>
      <w:r>
        <w:t>y K, et al</w:t>
      </w:r>
      <w:r w:rsidRPr="007F2E0D">
        <w:t xml:space="preserve"> (2020)</w:t>
      </w:r>
      <w:bookmarkEnd w:id="9"/>
      <w:r w:rsidRPr="007F2E0D">
        <w:t>. Procedural justice, compliance with the law and police stop-and-search: a study of young people in England and Scotland. Policing and Society</w:t>
      </w:r>
      <w:r>
        <w:t xml:space="preserve">. </w:t>
      </w:r>
      <w:r w:rsidRPr="007F2E0D">
        <w:t>p.1–20.</w:t>
      </w:r>
    </w:p>
    <w:p w14:paraId="283AC14F" w14:textId="77777777" w:rsidR="00FF6F2F" w:rsidRPr="00E93A94" w:rsidRDefault="00FF6F2F" w:rsidP="001E7D5C">
      <w:pPr>
        <w:pStyle w:val="ListParagraph"/>
        <w:numPr>
          <w:ilvl w:val="0"/>
          <w:numId w:val="5"/>
        </w:numPr>
      </w:pPr>
      <w:r w:rsidRPr="00E93A94">
        <w:t xml:space="preserve">Nottinghamshire Police (2021) ‘Stop and Search’ Available at: </w:t>
      </w:r>
      <w:hyperlink r:id="rId42" w:history="1">
        <w:r w:rsidRPr="00E93A94">
          <w:rPr>
            <w:rStyle w:val="Hyperlink"/>
          </w:rPr>
          <w:t>https://www.nottinghamshire.police.uk/stopsearch</w:t>
        </w:r>
      </w:hyperlink>
      <w:r w:rsidRPr="00E93A94">
        <w:t xml:space="preserve"> (Accessed:17/03/2021). </w:t>
      </w:r>
    </w:p>
    <w:p w14:paraId="7116AF6A" w14:textId="381FEEDB" w:rsidR="00FF6F2F" w:rsidRDefault="00FF6F2F" w:rsidP="001E7D5C">
      <w:pPr>
        <w:pStyle w:val="ListParagraph"/>
        <w:numPr>
          <w:ilvl w:val="0"/>
          <w:numId w:val="5"/>
        </w:numPr>
      </w:pPr>
      <w:r w:rsidRPr="00E93A94">
        <w:t>Packer, H (1968) ‘The limits of the Criminal Sanction’. Stanford University Press. p.160.</w:t>
      </w:r>
    </w:p>
    <w:p w14:paraId="3C1B297E" w14:textId="5330C39E" w:rsidR="00B85F78" w:rsidRDefault="00B85F78" w:rsidP="001E7D5C">
      <w:pPr>
        <w:pStyle w:val="ListParagraph"/>
        <w:numPr>
          <w:ilvl w:val="0"/>
          <w:numId w:val="5"/>
        </w:numPr>
      </w:pPr>
      <w:r w:rsidRPr="00B85F78">
        <w:t>Russell, R</w:t>
      </w:r>
      <w:r>
        <w:t xml:space="preserve"> </w:t>
      </w:r>
      <w:r w:rsidRPr="00B85F78">
        <w:t xml:space="preserve">(2013) </w:t>
      </w:r>
      <w:r>
        <w:t>‘</w:t>
      </w:r>
      <w:r w:rsidRPr="00B85F78">
        <w:t>Census 2011: Detailed Characteristics of Ethnicity and Country of Birth at the Northern Ireland level</w:t>
      </w:r>
      <w:r>
        <w:t xml:space="preserve">’. </w:t>
      </w:r>
      <w:r w:rsidRPr="00B85F78">
        <w:t xml:space="preserve">Available at: </w:t>
      </w:r>
      <w:hyperlink r:id="rId43" w:history="1">
        <w:r w:rsidRPr="00241E87">
          <w:rPr>
            <w:rStyle w:val="Hyperlink"/>
          </w:rPr>
          <w:t>http://www.niassembly.gov.uk/globalassets/documents/raise/publications/2013/general/13813.pdf</w:t>
        </w:r>
      </w:hyperlink>
      <w:r w:rsidRPr="00B85F78">
        <w:t>.</w:t>
      </w:r>
      <w:r>
        <w:t xml:space="preserve"> (Accessed: 20/03/2021). </w:t>
      </w:r>
    </w:p>
    <w:p w14:paraId="0E546CCC" w14:textId="77777777" w:rsidR="00FF6F2F" w:rsidRDefault="00FF6F2F" w:rsidP="001E7D5C">
      <w:pPr>
        <w:pStyle w:val="ListParagraph"/>
        <w:numPr>
          <w:ilvl w:val="0"/>
          <w:numId w:val="5"/>
        </w:numPr>
      </w:pPr>
      <w:r w:rsidRPr="00004700">
        <w:t>Salisbury S, et al (2020) ‘The UK is not innocent’. Black Lives Matter, policing, and abolition in the UK. Volume 40, Issue 1.</w:t>
      </w:r>
      <w:r>
        <w:t xml:space="preserve"> </w:t>
      </w:r>
    </w:p>
    <w:p w14:paraId="57DE882D" w14:textId="77777777" w:rsidR="00FF6F2F" w:rsidRPr="00E93A94" w:rsidRDefault="00FF6F2F" w:rsidP="001E7D5C">
      <w:pPr>
        <w:pStyle w:val="ListParagraph"/>
        <w:numPr>
          <w:ilvl w:val="0"/>
          <w:numId w:val="5"/>
        </w:numPr>
      </w:pPr>
      <w:r w:rsidRPr="004B67C1">
        <w:t xml:space="preserve">Staffordshire Police (2020). Stop and Search Overview for Staffordshire Police. Available at: </w:t>
      </w:r>
      <w:hyperlink r:id="rId44" w:history="1">
        <w:r w:rsidRPr="0016407A">
          <w:rPr>
            <w:rStyle w:val="Hyperlink"/>
          </w:rPr>
          <w:t>https://www.staffordshire.police.uk/SysSiteAssets/media/images/staffordshire/news/staffordshire-stop-search-2019.pdf</w:t>
        </w:r>
      </w:hyperlink>
      <w:r>
        <w:t xml:space="preserve"> </w:t>
      </w:r>
      <w:r w:rsidRPr="004B67C1">
        <w:t xml:space="preserve"> </w:t>
      </w:r>
      <w:r>
        <w:t>(</w:t>
      </w:r>
      <w:r w:rsidRPr="004B67C1">
        <w:t>Accessed 18</w:t>
      </w:r>
      <w:r>
        <w:t>/03/2021)</w:t>
      </w:r>
      <w:r w:rsidRPr="004B67C1">
        <w:t>.</w:t>
      </w:r>
    </w:p>
    <w:p w14:paraId="0F1B1DC9" w14:textId="62AB54F4" w:rsidR="00FF6F2F" w:rsidRDefault="00FF6F2F" w:rsidP="001E7D5C">
      <w:pPr>
        <w:pStyle w:val="ListParagraph"/>
        <w:numPr>
          <w:ilvl w:val="0"/>
          <w:numId w:val="5"/>
        </w:numPr>
      </w:pPr>
      <w:proofErr w:type="spellStart"/>
      <w:r w:rsidRPr="00E93A94">
        <w:t>Starmer</w:t>
      </w:r>
      <w:proofErr w:type="spellEnd"/>
      <w:r w:rsidRPr="00E93A94">
        <w:t xml:space="preserve">, K (2007) ‘Monitoring the Performance of the Police Service in Northern Ireland in complying with the Human Rights Act 1998’. Policing: A Journal of Policy and Practice, Volume 1, Issue 1. Oxford University Press. </w:t>
      </w:r>
    </w:p>
    <w:p w14:paraId="61E71058" w14:textId="0B69550D" w:rsidR="000A0559" w:rsidRDefault="000A0559" w:rsidP="001E7D5C">
      <w:pPr>
        <w:pStyle w:val="ListParagraph"/>
        <w:numPr>
          <w:ilvl w:val="0"/>
          <w:numId w:val="5"/>
        </w:numPr>
      </w:pPr>
      <w:proofErr w:type="spellStart"/>
      <w:r w:rsidRPr="000A0559">
        <w:t>StopWatch</w:t>
      </w:r>
      <w:proofErr w:type="spellEnd"/>
      <w:r w:rsidRPr="000A0559">
        <w:t xml:space="preserve"> (2014). Viewed with Suspicion Open Society Justice Initiative and </w:t>
      </w:r>
      <w:proofErr w:type="spellStart"/>
      <w:r w:rsidRPr="000A0559">
        <w:t>StopWatch</w:t>
      </w:r>
      <w:proofErr w:type="spellEnd"/>
      <w:r w:rsidRPr="000A0559">
        <w:t xml:space="preserve"> ENGLAND &amp; WALES the Human Cost of Stop and Search</w:t>
      </w:r>
      <w:r>
        <w:t xml:space="preserve">. </w:t>
      </w:r>
      <w:r w:rsidRPr="000A0559">
        <w:t xml:space="preserve">Available at: </w:t>
      </w:r>
      <w:hyperlink r:id="rId45" w:history="1">
        <w:r w:rsidRPr="002C729B">
          <w:rPr>
            <w:rStyle w:val="Hyperlink"/>
          </w:rPr>
          <w:t>https://www.stop-watch.org/uploads/documents/vws-report.pdf</w:t>
        </w:r>
      </w:hyperlink>
      <w:r>
        <w:t xml:space="preserve"> (</w:t>
      </w:r>
      <w:r w:rsidRPr="000A0559">
        <w:t>Accessed 2</w:t>
      </w:r>
      <w:r>
        <w:t>3/04/</w:t>
      </w:r>
      <w:r w:rsidRPr="000A0559">
        <w:t>2021</w:t>
      </w:r>
      <w:r>
        <w:t>)</w:t>
      </w:r>
      <w:r w:rsidRPr="000A0559">
        <w:t>.</w:t>
      </w:r>
    </w:p>
    <w:p w14:paraId="60C52577" w14:textId="501E97BA" w:rsidR="002036E2" w:rsidRPr="00E93A94" w:rsidRDefault="002036E2" w:rsidP="001E7D5C">
      <w:pPr>
        <w:pStyle w:val="ListParagraph"/>
        <w:numPr>
          <w:ilvl w:val="0"/>
          <w:numId w:val="5"/>
        </w:numPr>
      </w:pPr>
      <w:r>
        <w:t xml:space="preserve">Stone, V. </w:t>
      </w:r>
      <w:r w:rsidR="000A0559">
        <w:t xml:space="preserve">&amp; </w:t>
      </w:r>
      <w:r>
        <w:t>Pettigrew, N. (2000), The Views of the Public on Stops and Searches, Police Research Series. Paper 129, Home Office: London.</w:t>
      </w:r>
    </w:p>
    <w:p w14:paraId="1E527007" w14:textId="77777777" w:rsidR="00FF6F2F" w:rsidRDefault="00FF6F2F" w:rsidP="001E7D5C">
      <w:pPr>
        <w:pStyle w:val="ListParagraph"/>
        <w:numPr>
          <w:ilvl w:val="0"/>
          <w:numId w:val="5"/>
        </w:numPr>
      </w:pPr>
      <w:r w:rsidRPr="00E93A94">
        <w:t xml:space="preserve">The Guardian (2020) ‘The Guardian view on stop and search: police people, don’t terrorise them’ Available at: </w:t>
      </w:r>
      <w:hyperlink r:id="rId46" w:history="1">
        <w:r w:rsidRPr="00E93A94">
          <w:rPr>
            <w:rStyle w:val="Hyperlink"/>
          </w:rPr>
          <w:t>https://www.theguardian.com/commentisfree/2020/jul/10/the-guardian-view-on-stop-and-search-police-people-dont-terrorise-them</w:t>
        </w:r>
      </w:hyperlink>
      <w:r w:rsidRPr="00E93A94">
        <w:t xml:space="preserve"> (Accessed:17/03/2021).  </w:t>
      </w:r>
    </w:p>
    <w:p w14:paraId="5BA0855F" w14:textId="217CC919" w:rsidR="00FF6F2F" w:rsidRDefault="00FF6F2F" w:rsidP="001E7D5C">
      <w:pPr>
        <w:pStyle w:val="ListParagraph"/>
        <w:numPr>
          <w:ilvl w:val="0"/>
          <w:numId w:val="5"/>
        </w:numPr>
      </w:pPr>
      <w:proofErr w:type="spellStart"/>
      <w:r w:rsidRPr="006F4E46">
        <w:t>Tiratelli</w:t>
      </w:r>
      <w:proofErr w:type="spellEnd"/>
      <w:r w:rsidRPr="006F4E46">
        <w:t>, M (2018)</w:t>
      </w:r>
      <w:r>
        <w:t xml:space="preserve"> ‘</w:t>
      </w:r>
      <w:r w:rsidRPr="006F4E46">
        <w:t>Does Stop and Search Deter Crime? Evidence From Ten Years of London-wide Data</w:t>
      </w:r>
      <w:r>
        <w:t>’</w:t>
      </w:r>
      <w:r w:rsidRPr="006F4E46">
        <w:t>. The British Journal of Criminology</w:t>
      </w:r>
      <w:r>
        <w:t>. Volume</w:t>
      </w:r>
      <w:r w:rsidRPr="006F4E46">
        <w:t xml:space="preserve"> 58</w:t>
      </w:r>
      <w:r>
        <w:t xml:space="preserve">, Issue </w:t>
      </w:r>
      <w:r w:rsidRPr="006F4E46">
        <w:t>5</w:t>
      </w:r>
      <w:r>
        <w:t xml:space="preserve">. </w:t>
      </w:r>
      <w:r w:rsidRPr="006F4E46">
        <w:t>p.1212–1231.</w:t>
      </w:r>
    </w:p>
    <w:p w14:paraId="4B3B845F" w14:textId="10F0CB17" w:rsidR="005E3709" w:rsidRDefault="005E3709" w:rsidP="001E7D5C">
      <w:pPr>
        <w:pStyle w:val="ListParagraph"/>
        <w:numPr>
          <w:ilvl w:val="0"/>
          <w:numId w:val="5"/>
        </w:numPr>
      </w:pPr>
      <w:r w:rsidRPr="005E3709">
        <w:t xml:space="preserve">Townsend, M (2019) ‘Police accused of abusing easier stop and search’. The Guardian. Available at: </w:t>
      </w:r>
      <w:hyperlink r:id="rId47" w:history="1">
        <w:r w:rsidRPr="00200AE1">
          <w:rPr>
            <w:rStyle w:val="Hyperlink"/>
          </w:rPr>
          <w:t>https://www.theguardian.com/uk-news/2019/apr/14/stop-and-search-metropolitan-police-sajid-javid</w:t>
        </w:r>
      </w:hyperlink>
      <w:r>
        <w:t xml:space="preserve"> </w:t>
      </w:r>
      <w:r w:rsidRPr="005E3709">
        <w:t>(Accessed: 19/03/2021).</w:t>
      </w:r>
    </w:p>
    <w:p w14:paraId="38297CA2" w14:textId="2A390FC8" w:rsidR="00FF6F2F" w:rsidRDefault="00FF6F2F" w:rsidP="001E7D5C">
      <w:pPr>
        <w:pStyle w:val="ListParagraph"/>
        <w:numPr>
          <w:ilvl w:val="0"/>
          <w:numId w:val="5"/>
        </w:numPr>
      </w:pPr>
      <w:proofErr w:type="spellStart"/>
      <w:r w:rsidRPr="00930BD9">
        <w:t>Vomfell</w:t>
      </w:r>
      <w:proofErr w:type="spellEnd"/>
      <w:r w:rsidRPr="00930BD9">
        <w:t xml:space="preserve">, L. </w:t>
      </w:r>
      <w:r>
        <w:t>&amp;</w:t>
      </w:r>
      <w:r w:rsidRPr="00930BD9">
        <w:t xml:space="preserve"> Stewart, N</w:t>
      </w:r>
      <w:r>
        <w:t xml:space="preserve"> </w:t>
      </w:r>
      <w:r w:rsidRPr="00930BD9">
        <w:t>(2021)</w:t>
      </w:r>
      <w:r>
        <w:t xml:space="preserve"> </w:t>
      </w:r>
      <w:r w:rsidRPr="00930BD9">
        <w:t>Officer bias, over-patrolling and ethnic disparities in stop and search. Nature Human Behaviour.</w:t>
      </w:r>
      <w:r>
        <w:t xml:space="preserve"> </w:t>
      </w:r>
    </w:p>
    <w:p w14:paraId="6A1F409F" w14:textId="582A383D" w:rsidR="005946E6" w:rsidRPr="00E93A94" w:rsidRDefault="005946E6" w:rsidP="001E7D5C">
      <w:pPr>
        <w:pStyle w:val="ListParagraph"/>
        <w:numPr>
          <w:ilvl w:val="0"/>
          <w:numId w:val="5"/>
        </w:numPr>
      </w:pPr>
      <w:r w:rsidRPr="005946E6">
        <w:t>Walker, A. (2020). Freedom of Information Publication Scheme Stop and Search -Q&amp;</w:t>
      </w:r>
      <w:proofErr w:type="gramStart"/>
      <w:r w:rsidRPr="005946E6">
        <w:t>As.</w:t>
      </w:r>
      <w:r>
        <w:t>.</w:t>
      </w:r>
      <w:proofErr w:type="gramEnd"/>
      <w:r>
        <w:t xml:space="preserve"> </w:t>
      </w:r>
      <w:r w:rsidRPr="005946E6">
        <w:t xml:space="preserve">Available at: </w:t>
      </w:r>
      <w:hyperlink r:id="rId48" w:history="1">
        <w:r w:rsidRPr="002C729B">
          <w:rPr>
            <w:rStyle w:val="Hyperlink"/>
          </w:rPr>
          <w:t>https://www.met.police.uk/SysSiteAssets/foi-media/metropolitan-police/policies/strategy-and-governance---stop-and-search-questions-and-answer</w:t>
        </w:r>
        <w:r w:rsidRPr="002C729B">
          <w:rPr>
            <w:rStyle w:val="Hyperlink"/>
          </w:rPr>
          <w:t>s</w:t>
        </w:r>
      </w:hyperlink>
      <w:r>
        <w:t xml:space="preserve"> (</w:t>
      </w:r>
      <w:r w:rsidRPr="005946E6">
        <w:t>Accessed 23</w:t>
      </w:r>
      <w:r>
        <w:t>/04/</w:t>
      </w:r>
      <w:r w:rsidRPr="005946E6">
        <w:t>2021</w:t>
      </w:r>
      <w:r>
        <w:t>)</w:t>
      </w:r>
      <w:r w:rsidRPr="005946E6">
        <w:t>.</w:t>
      </w:r>
    </w:p>
    <w:p w14:paraId="2A9F14A4" w14:textId="77777777" w:rsidR="00FF6F2F" w:rsidRPr="00E93A94" w:rsidRDefault="00FF6F2F" w:rsidP="001E7D5C">
      <w:pPr>
        <w:pStyle w:val="ListParagraph"/>
        <w:numPr>
          <w:ilvl w:val="0"/>
          <w:numId w:val="5"/>
        </w:numPr>
      </w:pPr>
      <w:r w:rsidRPr="00E93A94">
        <w:t xml:space="preserve">Walker C &amp; </w:t>
      </w:r>
      <w:proofErr w:type="spellStart"/>
      <w:r w:rsidRPr="00E93A94">
        <w:t>Starmer</w:t>
      </w:r>
      <w:proofErr w:type="spellEnd"/>
      <w:r w:rsidRPr="00E93A94">
        <w:t xml:space="preserve"> K (2004) ‘Miscarriages of Justice: A Review of Justice in Error’. Oxford University Press. p.39. </w:t>
      </w:r>
    </w:p>
    <w:p w14:paraId="33E79D7D" w14:textId="77777777" w:rsidR="00FF6F2F" w:rsidRDefault="00FF6F2F" w:rsidP="001E7D5C">
      <w:pPr>
        <w:pStyle w:val="ListParagraph"/>
        <w:numPr>
          <w:ilvl w:val="0"/>
          <w:numId w:val="5"/>
        </w:numPr>
      </w:pPr>
      <w:r w:rsidRPr="00E93A94">
        <w:t xml:space="preserve">Ward R &amp; Akhtar A (2011) ‘Walker &amp; Walker’s English Legal System’. 11th </w:t>
      </w:r>
      <w:proofErr w:type="spellStart"/>
      <w:r w:rsidRPr="00E93A94">
        <w:t>Edt</w:t>
      </w:r>
      <w:proofErr w:type="spellEnd"/>
      <w:r w:rsidRPr="00E93A94">
        <w:t xml:space="preserve">. Oxford University Press. p.438. </w:t>
      </w:r>
    </w:p>
    <w:p w14:paraId="579189F1" w14:textId="0E5E067D" w:rsidR="00FF6F2F" w:rsidRDefault="00FF6F2F" w:rsidP="001E7D5C">
      <w:pPr>
        <w:pStyle w:val="ListParagraph"/>
        <w:numPr>
          <w:ilvl w:val="0"/>
          <w:numId w:val="5"/>
        </w:numPr>
      </w:pPr>
      <w:r w:rsidRPr="004A31CA">
        <w:t xml:space="preserve">Weisburd, D. </w:t>
      </w:r>
      <w:r>
        <w:t xml:space="preserve">&amp; </w:t>
      </w:r>
      <w:r w:rsidRPr="004A31CA">
        <w:t>Braga</w:t>
      </w:r>
      <w:r>
        <w:t>, A</w:t>
      </w:r>
      <w:r w:rsidRPr="004A31CA">
        <w:t xml:space="preserve"> (2019).</w:t>
      </w:r>
      <w:r>
        <w:t xml:space="preserve"> </w:t>
      </w:r>
      <w:r w:rsidRPr="004A31CA">
        <w:t xml:space="preserve">Police Innovation: Contrasting Perspectives. Google Books. Cambridge University Press. Available at: </w:t>
      </w:r>
      <w:hyperlink r:id="rId49" w:anchor="v=onepage&amp;q=policing%20efficiency&amp;f=false" w:history="1">
        <w:r w:rsidRPr="0016407A">
          <w:rPr>
            <w:rStyle w:val="Hyperlink"/>
          </w:rPr>
          <w:t>https://books.google.co.uk/books?hl=en&amp;lr=&amp;id=Z7OQDwAAQBAJ&amp;oi=fnd&amp;pg=PA485&amp;dq=policing+efficiency&amp;ots=tOnrCNQAlo&amp;sig=5LEpo-3Pza8Vts-LzffKyO7Ypl0&amp;redir_esc=y#v=onepage&amp;q=policing%20efficiency&amp;f=false</w:t>
        </w:r>
      </w:hyperlink>
      <w:r>
        <w:t xml:space="preserve"> (</w:t>
      </w:r>
      <w:r w:rsidRPr="004A31CA">
        <w:t>Accessed</w:t>
      </w:r>
      <w:r>
        <w:t>: 19/03/</w:t>
      </w:r>
      <w:r w:rsidRPr="004A31CA">
        <w:t>2021</w:t>
      </w:r>
      <w:r>
        <w:t xml:space="preserve">). </w:t>
      </w:r>
    </w:p>
    <w:p w14:paraId="482BB131" w14:textId="6545EECB" w:rsidR="0066221E" w:rsidRPr="00E93A94" w:rsidRDefault="0066221E" w:rsidP="001E7D5C">
      <w:pPr>
        <w:pStyle w:val="ListParagraph"/>
        <w:numPr>
          <w:ilvl w:val="0"/>
          <w:numId w:val="5"/>
        </w:numPr>
      </w:pPr>
      <w:r w:rsidRPr="0066221E">
        <w:lastRenderedPageBreak/>
        <w:t xml:space="preserve">Whitelaw, W. (1981). Mr William Whitelaw. UK Government. [online] api.parliament.uk. Available at: https://api.parliament.uk/historic-hansard/people/mr-william-whitelaw-1/index.html </w:t>
      </w:r>
      <w:r>
        <w:t>(</w:t>
      </w:r>
      <w:r w:rsidRPr="0066221E">
        <w:t>Accessed</w:t>
      </w:r>
      <w:r>
        <w:t>: 23/04/</w:t>
      </w:r>
      <w:r w:rsidRPr="0066221E">
        <w:t>2021</w:t>
      </w:r>
      <w:r>
        <w:t xml:space="preserve">). </w:t>
      </w:r>
    </w:p>
    <w:p w14:paraId="12EA6B85" w14:textId="73C773A7" w:rsidR="00FF6F2F" w:rsidRDefault="00FF6F2F" w:rsidP="001E7D5C">
      <w:pPr>
        <w:pStyle w:val="ListParagraph"/>
        <w:numPr>
          <w:ilvl w:val="0"/>
          <w:numId w:val="5"/>
        </w:numPr>
      </w:pPr>
      <w:proofErr w:type="spellStart"/>
      <w:r w:rsidRPr="00E93A94">
        <w:t>Yesufu</w:t>
      </w:r>
      <w:proofErr w:type="spellEnd"/>
      <w:r w:rsidRPr="00E93A94">
        <w:t>, S (20</w:t>
      </w:r>
      <w:r w:rsidR="00181D2D">
        <w:t>20</w:t>
      </w:r>
      <w:r w:rsidRPr="00E93A94">
        <w:t xml:space="preserve">) ‘Discriminatory Use of Police Stop-and-Search Powers in London, UK’. Available at: </w:t>
      </w:r>
      <w:hyperlink r:id="rId50" w:history="1">
        <w:r w:rsidRPr="00E93A94">
          <w:rPr>
            <w:rStyle w:val="Hyperlink"/>
          </w:rPr>
          <w:t>https://journals.sagepub.com/doi/abs/10.1350/ijps.2013.15.4.318</w:t>
        </w:r>
      </w:hyperlink>
      <w:r w:rsidRPr="00E93A94">
        <w:t xml:space="preserve"> (Accessed: 16/03/2021). </w:t>
      </w:r>
    </w:p>
    <w:p w14:paraId="4DEC1DB3" w14:textId="261FF1D5" w:rsidR="00FF6F2F" w:rsidRPr="007F74CF" w:rsidRDefault="00FF6F2F" w:rsidP="001E7D5C">
      <w:pPr>
        <w:pStyle w:val="ListParagraph"/>
        <w:numPr>
          <w:ilvl w:val="0"/>
          <w:numId w:val="5"/>
        </w:numPr>
      </w:pPr>
      <w:r w:rsidRPr="00E93A94">
        <w:t xml:space="preserve">Zander, M (2014) ‘PACE (The Police and Criminal Evidence Act 1984): Past, Present and Future’. Available at: </w:t>
      </w:r>
      <w:hyperlink r:id="rId51" w:history="1">
        <w:r w:rsidRPr="00E93A94">
          <w:rPr>
            <w:rStyle w:val="Hyperlink"/>
          </w:rPr>
          <w:t>https://www.jstor.org/stable/44283738?seq=1</w:t>
        </w:r>
      </w:hyperlink>
      <w:r w:rsidRPr="00E93A94">
        <w:t xml:space="preserve"> (Accessed:</w:t>
      </w:r>
      <w:r w:rsidR="004D7643">
        <w:t xml:space="preserve">20/03/2021). </w:t>
      </w:r>
    </w:p>
    <w:sectPr w:rsidR="00FF6F2F" w:rsidRPr="007F74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9156A"/>
    <w:multiLevelType w:val="hybridMultilevel"/>
    <w:tmpl w:val="7640F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B196C"/>
    <w:multiLevelType w:val="hybridMultilevel"/>
    <w:tmpl w:val="13FE6D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5A71B5"/>
    <w:multiLevelType w:val="hybridMultilevel"/>
    <w:tmpl w:val="F0A68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59366A"/>
    <w:multiLevelType w:val="hybridMultilevel"/>
    <w:tmpl w:val="713A3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AB2B9D"/>
    <w:multiLevelType w:val="hybridMultilevel"/>
    <w:tmpl w:val="AA3AF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E36"/>
    <w:rsid w:val="000217B6"/>
    <w:rsid w:val="0002280E"/>
    <w:rsid w:val="00034887"/>
    <w:rsid w:val="0006009F"/>
    <w:rsid w:val="00066CA4"/>
    <w:rsid w:val="000755E5"/>
    <w:rsid w:val="00082EE2"/>
    <w:rsid w:val="00095489"/>
    <w:rsid w:val="000A0559"/>
    <w:rsid w:val="000A5346"/>
    <w:rsid w:val="000A76F4"/>
    <w:rsid w:val="000B0B38"/>
    <w:rsid w:val="000B0C1B"/>
    <w:rsid w:val="000B2B69"/>
    <w:rsid w:val="000D437C"/>
    <w:rsid w:val="000E2BFF"/>
    <w:rsid w:val="000E3EE7"/>
    <w:rsid w:val="00101119"/>
    <w:rsid w:val="00170EB7"/>
    <w:rsid w:val="00175315"/>
    <w:rsid w:val="00177348"/>
    <w:rsid w:val="00181D2D"/>
    <w:rsid w:val="001B11B0"/>
    <w:rsid w:val="001B71E4"/>
    <w:rsid w:val="001C4404"/>
    <w:rsid w:val="001C4F06"/>
    <w:rsid w:val="001E7D5C"/>
    <w:rsid w:val="002036E2"/>
    <w:rsid w:val="0020553E"/>
    <w:rsid w:val="00217AC1"/>
    <w:rsid w:val="00252D4C"/>
    <w:rsid w:val="00253E87"/>
    <w:rsid w:val="0026561A"/>
    <w:rsid w:val="00275F1D"/>
    <w:rsid w:val="002D464F"/>
    <w:rsid w:val="002D4E6A"/>
    <w:rsid w:val="00307AD6"/>
    <w:rsid w:val="003650FC"/>
    <w:rsid w:val="0046754B"/>
    <w:rsid w:val="004743F9"/>
    <w:rsid w:val="00492E36"/>
    <w:rsid w:val="004A339C"/>
    <w:rsid w:val="004C3802"/>
    <w:rsid w:val="004D7643"/>
    <w:rsid w:val="004E08FC"/>
    <w:rsid w:val="00503AE0"/>
    <w:rsid w:val="00504103"/>
    <w:rsid w:val="005946E6"/>
    <w:rsid w:val="005C25CB"/>
    <w:rsid w:val="005C622C"/>
    <w:rsid w:val="005E3709"/>
    <w:rsid w:val="00623275"/>
    <w:rsid w:val="006354D5"/>
    <w:rsid w:val="0066221E"/>
    <w:rsid w:val="006800A6"/>
    <w:rsid w:val="007047DC"/>
    <w:rsid w:val="00777D41"/>
    <w:rsid w:val="007B3F9E"/>
    <w:rsid w:val="007B4CAB"/>
    <w:rsid w:val="007C0321"/>
    <w:rsid w:val="007C7F4D"/>
    <w:rsid w:val="007D0AE6"/>
    <w:rsid w:val="007F74CF"/>
    <w:rsid w:val="00811486"/>
    <w:rsid w:val="00862796"/>
    <w:rsid w:val="00894EA5"/>
    <w:rsid w:val="008C18EA"/>
    <w:rsid w:val="008E0924"/>
    <w:rsid w:val="00900FCA"/>
    <w:rsid w:val="00910227"/>
    <w:rsid w:val="009176F9"/>
    <w:rsid w:val="00961FB8"/>
    <w:rsid w:val="0096637C"/>
    <w:rsid w:val="009A4C31"/>
    <w:rsid w:val="009B6F3C"/>
    <w:rsid w:val="00A50BD2"/>
    <w:rsid w:val="00A54D98"/>
    <w:rsid w:val="00A966DD"/>
    <w:rsid w:val="00A97595"/>
    <w:rsid w:val="00AB5FA4"/>
    <w:rsid w:val="00AF0F9F"/>
    <w:rsid w:val="00B0223D"/>
    <w:rsid w:val="00B15053"/>
    <w:rsid w:val="00B369F1"/>
    <w:rsid w:val="00B36F8E"/>
    <w:rsid w:val="00B568C3"/>
    <w:rsid w:val="00B85F78"/>
    <w:rsid w:val="00BC5DED"/>
    <w:rsid w:val="00BD7A18"/>
    <w:rsid w:val="00BE2552"/>
    <w:rsid w:val="00BF7BD6"/>
    <w:rsid w:val="00C15AE7"/>
    <w:rsid w:val="00C43E46"/>
    <w:rsid w:val="00C53B77"/>
    <w:rsid w:val="00C55620"/>
    <w:rsid w:val="00C913EA"/>
    <w:rsid w:val="00CA1346"/>
    <w:rsid w:val="00CD0281"/>
    <w:rsid w:val="00CD5535"/>
    <w:rsid w:val="00CE14CC"/>
    <w:rsid w:val="00CE7600"/>
    <w:rsid w:val="00CF3A6D"/>
    <w:rsid w:val="00D06930"/>
    <w:rsid w:val="00D25E72"/>
    <w:rsid w:val="00D710CB"/>
    <w:rsid w:val="00D951FA"/>
    <w:rsid w:val="00DC3F42"/>
    <w:rsid w:val="00DC6826"/>
    <w:rsid w:val="00DD694D"/>
    <w:rsid w:val="00E0059E"/>
    <w:rsid w:val="00E06095"/>
    <w:rsid w:val="00E616AA"/>
    <w:rsid w:val="00E80E3E"/>
    <w:rsid w:val="00EC4B66"/>
    <w:rsid w:val="00ED0BE3"/>
    <w:rsid w:val="00F00FBB"/>
    <w:rsid w:val="00F62A72"/>
    <w:rsid w:val="00FB0373"/>
    <w:rsid w:val="00FC7281"/>
    <w:rsid w:val="00FE4C04"/>
    <w:rsid w:val="00FF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5931E"/>
  <w15:chartTrackingRefBased/>
  <w15:docId w15:val="{24C7FF83-DD30-40F0-967B-B23249CAB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E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2E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E36"/>
    <w:rPr>
      <w:rFonts w:eastAsiaTheme="minorEastAsia"/>
      <w:lang w:val="en-US"/>
    </w:rPr>
  </w:style>
  <w:style w:type="paragraph" w:styleId="ListParagraph">
    <w:name w:val="List Paragraph"/>
    <w:basedOn w:val="Normal"/>
    <w:uiPriority w:val="34"/>
    <w:qFormat/>
    <w:rsid w:val="00FF6F2F"/>
    <w:pPr>
      <w:ind w:left="720"/>
      <w:contextualSpacing/>
    </w:pPr>
  </w:style>
  <w:style w:type="character" w:styleId="Hyperlink">
    <w:name w:val="Hyperlink"/>
    <w:basedOn w:val="DefaultParagraphFont"/>
    <w:uiPriority w:val="99"/>
    <w:unhideWhenUsed/>
    <w:rsid w:val="00FF6F2F"/>
    <w:rPr>
      <w:color w:val="0563C1" w:themeColor="hyperlink"/>
      <w:u w:val="single"/>
    </w:rPr>
  </w:style>
  <w:style w:type="character" w:styleId="UnresolvedMention">
    <w:name w:val="Unresolved Mention"/>
    <w:basedOn w:val="DefaultParagraphFont"/>
    <w:uiPriority w:val="99"/>
    <w:semiHidden/>
    <w:unhideWhenUsed/>
    <w:rsid w:val="007B4C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stop-and-search/professional/" TargetMode="External"/><Relationship Id="rId18" Type="http://schemas.openxmlformats.org/officeDocument/2006/relationships/hyperlink" Target="https://www.theguardian.com/uk-news/2020/oct/28/met-police-criticised-for-multiple-errors-in-stop-and-search-practice" TargetMode="External"/><Relationship Id="rId26" Type="http://schemas.openxmlformats.org/officeDocument/2006/relationships/hyperlink" Target="https://www.legislation.gov.uk/ukpga/1988/52/contents" TargetMode="External"/><Relationship Id="rId39" Type="http://schemas.openxmlformats.org/officeDocument/2006/relationships/hyperlink" Target="https://www.theguardian.com/law/2018/oct/13/stop-and-search-is-unjust-unfair-ineffectual-david-lammy" TargetMode="External"/><Relationship Id="rId3" Type="http://schemas.openxmlformats.org/officeDocument/2006/relationships/settings" Target="settings.xml"/><Relationship Id="rId21" Type="http://schemas.openxmlformats.org/officeDocument/2006/relationships/hyperlink" Target="http://www.diverse.cam.ac.uk/stories/ffrench/" TargetMode="External"/><Relationship Id="rId34" Type="http://schemas.openxmlformats.org/officeDocument/2006/relationships/hyperlink" Target="https://www.ethnicity-facts-figures.service.gov.uk/crime-justice-and-the-law/policing/stop-and-search/latest" TargetMode="External"/><Relationship Id="rId42" Type="http://schemas.openxmlformats.org/officeDocument/2006/relationships/hyperlink" Target="https://www.nottinghamshire.police.uk/stopsearch" TargetMode="External"/><Relationship Id="rId47" Type="http://schemas.openxmlformats.org/officeDocument/2006/relationships/hyperlink" Target="https://www.theguardian.com/uk-news/2019/apr/14/stop-and-search-metropolitan-police-sajid-javid" TargetMode="External"/><Relationship Id="rId50" Type="http://schemas.openxmlformats.org/officeDocument/2006/relationships/hyperlink" Target="https://journals.sagepub.com/doi/abs/10.1350/ijps.2013.15.4.318" TargetMode="External"/><Relationship Id="rId7" Type="http://schemas.openxmlformats.org/officeDocument/2006/relationships/hyperlink" Target="https://books.google.co.uk/books?hl=en&amp;lr=&amp;id=Yz4lDwAAQBAJ&amp;oi=fnd&amp;pg=PP1&amp;dq=fair+suspicion+stop+and+search&amp;ots=s2yZUjZeFM&amp;sig=CgizrAOg5YDebbfH5zJzK9Gw6Bs&amp;redir_esc=y" TargetMode="External"/><Relationship Id="rId12" Type="http://schemas.openxmlformats.org/officeDocument/2006/relationships/hyperlink" Target="https://journals.sagepub.com/doi/abs/10.1350/pojo.2014.87.2.671" TargetMode="External"/><Relationship Id="rId17" Type="http://schemas.openxmlformats.org/officeDocument/2006/relationships/hyperlink" Target="https://www.kingsleynapley.co.uk/insights/blogs/criminal-law-blog/gowisely-time-to-stop-and-think-about-stop-and-search" TargetMode="External"/><Relationship Id="rId25" Type="http://schemas.openxmlformats.org/officeDocument/2006/relationships/hyperlink" Target="https://www.legislation.gov.uk/ukpga/1971/38/contents" TargetMode="External"/><Relationship Id="rId33" Type="http://schemas.openxmlformats.org/officeDocument/2006/relationships/hyperlink" Target="https://www.legislation.gov.uk/ukpga/1998/42/schedule/1/part/I/chapter/4" TargetMode="External"/><Relationship Id="rId38" Type="http://schemas.openxmlformats.org/officeDocument/2006/relationships/hyperlink" Target="http://criminaljusticealliance.org/wp-content/uploads/2017/06/No-Respect-290617-1.pdf" TargetMode="External"/><Relationship Id="rId46" Type="http://schemas.openxmlformats.org/officeDocument/2006/relationships/hyperlink" Target="https://www.theguardian.com/commentisfree/2020/jul/10/the-guardian-view-on-stop-and-search-police-people-dont-terrorise-them" TargetMode="External"/><Relationship Id="rId2" Type="http://schemas.openxmlformats.org/officeDocument/2006/relationships/styles" Target="styles.xml"/><Relationship Id="rId16" Type="http://schemas.openxmlformats.org/officeDocument/2006/relationships/hyperlink" Target="https://www.justiceinspectorates.gov.uk/hmicfrs/our-work/article/stop-and-search/" TargetMode="External"/><Relationship Id="rId20" Type="http://schemas.openxmlformats.org/officeDocument/2006/relationships/hyperlink" Target="http://www.equalityhumanrights.com/sites/default/files/documents/raceinbritain/stop_and_think_again.pdf" TargetMode="External"/><Relationship Id="rId29" Type="http://schemas.openxmlformats.org/officeDocument/2006/relationships/hyperlink" Target="https://assets.publishing.service.gov.uk/government/uploads/system/uploads/attachment_data/file/384122/PaceCodeAWeb.pdf" TargetMode="External"/><Relationship Id="rId41" Type="http://schemas.openxmlformats.org/officeDocument/2006/relationships/hyperlink" Target="https://www.historyextra.com/period/stop-and-search-what-can-we-learn-from-history/"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leveland.police.uk/SysSiteAssets/media/downloads/force-content/cleveland/stats-and-data/stop-and-search/stop-and-search-infograph-december-20.pdf" TargetMode="External"/><Relationship Id="rId24" Type="http://schemas.openxmlformats.org/officeDocument/2006/relationships/hyperlink" Target="https://www.legislation.gov.uk/ukpga/Geo4/5/83/section/4" TargetMode="External"/><Relationship Id="rId32" Type="http://schemas.openxmlformats.org/officeDocument/2006/relationships/hyperlink" Target="https://www.legislation.gov.uk/ukpga/1994/33/contents" TargetMode="External"/><Relationship Id="rId37" Type="http://schemas.openxmlformats.org/officeDocument/2006/relationships/hyperlink" Target="https://researchportal.port.ac.uk/portal/files/7508198/Evaluation_report_2.5.17.pdf" TargetMode="External"/><Relationship Id="rId40" Type="http://schemas.openxmlformats.org/officeDocument/2006/relationships/hyperlink" Target="https://www.crimeandjustice.org.uk/publications/cjm/article/understanding-riots" TargetMode="External"/><Relationship Id="rId45" Type="http://schemas.openxmlformats.org/officeDocument/2006/relationships/hyperlink" Target="https://www.stop-watch.org/uploads/documents/vws-report.pdf" TargetMode="External"/><Relationship Id="rId53"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www.app.college.police.uk/app-content/investigations/investigative-strategies/search-powers-and-obtaining-and-executing-search-warrants/" TargetMode="External"/><Relationship Id="rId23" Type="http://schemas.openxmlformats.org/officeDocument/2006/relationships/hyperlink" Target="https://www.met.police.uk/sd/stats-and-data/" TargetMode="External"/><Relationship Id="rId28" Type="http://schemas.openxmlformats.org/officeDocument/2006/relationships/hyperlink" Target="https://www.ons.gov.uk/peoplepopulationandcommunity/culturalidentity/ethnicity/articles/2011censusanalysisethnicityandreligionofthenonukbornpopulationinenglandandwales/2015-06-18" TargetMode="External"/><Relationship Id="rId36" Type="http://schemas.openxmlformats.org/officeDocument/2006/relationships/hyperlink" Target="https://commonslibrary.parliament.uk/" TargetMode="External"/><Relationship Id="rId49" Type="http://schemas.openxmlformats.org/officeDocument/2006/relationships/hyperlink" Target="https://books.google.co.uk/books?hl=en&amp;lr=&amp;id=Z7OQDwAAQBAJ&amp;oi=fnd&amp;pg=PA485&amp;dq=policing+efficiency&amp;ots=tOnrCNQAlo&amp;sig=5LEpo-3Pza8Vts-LzffKyO7Ypl0&amp;redir_esc=y" TargetMode="External"/><Relationship Id="rId10" Type="http://schemas.openxmlformats.org/officeDocument/2006/relationships/hyperlink" Target="https://heinonline.org/HOL/LandingPage?handle=hein.journals/cambrilv3&amp;div=7&amp;id=&amp;page" TargetMode="External"/><Relationship Id="rId19" Type="http://schemas.openxmlformats.org/officeDocument/2006/relationships/hyperlink" Target="https://www.equalityhumanrights.com/sites/default/files/ehrc_stop_and_search_report.pdf" TargetMode="External"/><Relationship Id="rId31" Type="http://schemas.openxmlformats.org/officeDocument/2006/relationships/hyperlink" Target="https://www.legislation.gov.uk/ukpga/1968/27/contents" TargetMode="External"/><Relationship Id="rId44" Type="http://schemas.openxmlformats.org/officeDocument/2006/relationships/hyperlink" Target="https://www.staffordshire.police.uk/SysSiteAssets/media/images/staffordshire/news/staffordshire-stop-search-2019.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hl=en&amp;lr=&amp;id=q_bbBAAAQBAJ&amp;oi=fnd&amp;pg=PP1&amp;dq=warrants+and+summons+pace+act&amp;ots=wrnqnWIzSA&amp;sig=ZGjc6ZpLz2zQSHfDyfNSQfuawdU&amp;redir_esc=y" TargetMode="External"/><Relationship Id="rId14" Type="http://schemas.openxmlformats.org/officeDocument/2006/relationships/hyperlink" Target="https://whatworks.college.police.uk/Research_crime_report.pdf" TargetMode="External"/><Relationship Id="rId22" Type="http://schemas.openxmlformats.org/officeDocument/2006/relationships/hyperlink" Target="https://journals.sagepub.com/doi/abs/10.1177/1748895817720485" TargetMode="External"/><Relationship Id="rId27" Type="http://schemas.openxmlformats.org/officeDocument/2006/relationships/hyperlink" Target="https://www.legislation.gov.uk/ukpga/2000/11/contents" TargetMode="External"/><Relationship Id="rId30" Type="http://schemas.openxmlformats.org/officeDocument/2006/relationships/hyperlink" Target="https://assets.publishing.service.gov.uk/government/uploads/system/uploads/attachment_data/file/658099/police-powers-procedures-mar17-hosb2017.pdf" TargetMode="External"/><Relationship Id="rId35" Type="http://schemas.openxmlformats.org/officeDocument/2006/relationships/hyperlink" Target="https://www.legislation.gov.uk/ukpga/1994/33/section/60" TargetMode="External"/><Relationship Id="rId43" Type="http://schemas.openxmlformats.org/officeDocument/2006/relationships/hyperlink" Target="http://www.niassembly.gov.uk/globalassets/documents/raise/publications/2013/general/13813.pdf" TargetMode="External"/><Relationship Id="rId48" Type="http://schemas.openxmlformats.org/officeDocument/2006/relationships/hyperlink" Target="https://www.met.police.uk/SysSiteAssets/foi-media/metropolitan-police/policies/strategy-and-governance---stop-and-search-questions-and-answers" TargetMode="External"/><Relationship Id="rId8" Type="http://schemas.openxmlformats.org/officeDocument/2006/relationships/hyperlink" Target="https://journals.sagepub.com/doi/abs/10.1177/002580249403400210" TargetMode="External"/><Relationship Id="rId51" Type="http://schemas.openxmlformats.org/officeDocument/2006/relationships/hyperlink" Target="https://www.jstor.org/stable/44283738?seq=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BBB740EF12E477192804E0829F4F477"/>
        <w:category>
          <w:name w:val="General"/>
          <w:gallery w:val="placeholder"/>
        </w:category>
        <w:types>
          <w:type w:val="bbPlcHdr"/>
        </w:types>
        <w:behaviors>
          <w:behavior w:val="content"/>
        </w:behaviors>
        <w:guid w:val="{18C895E7-CB89-42B5-AEE0-172013E3C437}"/>
      </w:docPartPr>
      <w:docPartBody>
        <w:p w:rsidR="00ED27D1" w:rsidRDefault="00CF62A7" w:rsidP="00CF62A7">
          <w:pPr>
            <w:pStyle w:val="1BBB740EF12E477192804E0829F4F477"/>
          </w:pPr>
          <w:r>
            <w:rPr>
              <w:rFonts w:asciiTheme="majorHAnsi" w:eastAsiaTheme="majorEastAsia" w:hAnsiTheme="majorHAnsi" w:cstheme="majorBidi"/>
              <w:caps/>
              <w:color w:val="4472C4" w:themeColor="accent1"/>
              <w:sz w:val="80"/>
              <w:szCs w:val="80"/>
            </w:rPr>
            <w:t>[Document title]</w:t>
          </w:r>
        </w:p>
      </w:docPartBody>
    </w:docPart>
    <w:docPart>
      <w:docPartPr>
        <w:name w:val="EF292302A131470284E4FD1FABC16862"/>
        <w:category>
          <w:name w:val="General"/>
          <w:gallery w:val="placeholder"/>
        </w:category>
        <w:types>
          <w:type w:val="bbPlcHdr"/>
        </w:types>
        <w:behaviors>
          <w:behavior w:val="content"/>
        </w:behaviors>
        <w:guid w:val="{98543B71-DEFF-4421-9D3D-E19FFF6C77A2}"/>
      </w:docPartPr>
      <w:docPartBody>
        <w:p w:rsidR="00ED27D1" w:rsidRDefault="00CF62A7" w:rsidP="00CF62A7">
          <w:pPr>
            <w:pStyle w:val="EF292302A131470284E4FD1FABC1686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2A7"/>
    <w:rsid w:val="004103F6"/>
    <w:rsid w:val="0052411D"/>
    <w:rsid w:val="00CF62A7"/>
    <w:rsid w:val="00E565B8"/>
    <w:rsid w:val="00ED27D1"/>
    <w:rsid w:val="00F43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BB740EF12E477192804E0829F4F477">
    <w:name w:val="1BBB740EF12E477192804E0829F4F477"/>
    <w:rsid w:val="00CF62A7"/>
  </w:style>
  <w:style w:type="paragraph" w:customStyle="1" w:styleId="EF292302A131470284E4FD1FABC16862">
    <w:name w:val="EF292302A131470284E4FD1FABC16862"/>
    <w:rsid w:val="00CF62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14</Pages>
  <Words>5402</Words>
  <Characters>30796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The Evaluation of the use of Stop and Search powers by Police in England and Wales</vt:lpstr>
    </vt:vector>
  </TitlesOfParts>
  <Company/>
  <LinksUpToDate>false</LinksUpToDate>
  <CharactersWithSpaces>36126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Evaluation of the use of Stop and Search powers by Police in England and Wales</dc:title>
  <dc:subject>Jack Jones</dc:subject>
  <dc:creator>Jack Jones (1902835)</dc:creator>
  <cp:keywords/>
  <dc:description/>
  <cp:lastModifiedBy>Jack Jones (1902835)</cp:lastModifiedBy>
  <cp:revision>103</cp:revision>
  <dcterms:created xsi:type="dcterms:W3CDTF">2021-03-16T15:34:00Z</dcterms:created>
  <dcterms:modified xsi:type="dcterms:W3CDTF">2021-04-23T12:39:00Z</dcterms:modified>
</cp:coreProperties>
</file>