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53DF5FCF" w14:textId="77777777" w:rsidR="001465A9" w:rsidRPr="001465A9"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465A9" w:rsidRPr="001465A9">
              <w:rPr>
                <w:rFonts w:ascii="Times New Roman" w:hAnsi="Times New Roman" w:cs="Times New Roman"/>
                <w:bCs/>
                <w:color w:val="auto"/>
                <w:sz w:val="48"/>
              </w:rPr>
              <w:t xml:space="preserve">Chickeela Jones-Lewis </w:t>
            </w:r>
          </w:p>
          <w:p w14:paraId="02F8EE88" w14:textId="46956A71" w:rsidR="00986B43" w:rsidRPr="001465A9" w:rsidRDefault="001465A9" w:rsidP="005D3F07">
            <w:pPr>
              <w:overflowPunct/>
              <w:autoSpaceDE/>
              <w:autoSpaceDN/>
              <w:adjustRightInd/>
              <w:ind w:right="-957"/>
              <w:textAlignment w:val="auto"/>
              <w:rPr>
                <w:rFonts w:ascii="Times New Roman" w:hAnsi="Times New Roman" w:cs="Times New Roman"/>
                <w:bCs/>
                <w:color w:val="auto"/>
                <w:sz w:val="48"/>
              </w:rPr>
            </w:pPr>
            <w:r w:rsidRPr="001465A9">
              <w:rPr>
                <w:rFonts w:ascii="Times New Roman" w:hAnsi="Times New Roman" w:cs="Times New Roman"/>
                <w:bCs/>
                <w:color w:val="auto"/>
                <w:sz w:val="48"/>
              </w:rPr>
              <w:t>(Previously Bentham)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05BDC4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465A9">
              <w:rPr>
                <w:rFonts w:ascii="Times New Roman" w:hAnsi="Times New Roman" w:cs="Times New Roman"/>
                <w:b/>
                <w:color w:val="auto"/>
                <w:sz w:val="48"/>
              </w:rPr>
              <w:t xml:space="preserve"> </w:t>
            </w:r>
            <w:proofErr w:type="spellStart"/>
            <w:r w:rsidR="001465A9" w:rsidRPr="001465A9">
              <w:rPr>
                <w:rFonts w:ascii="Times New Roman" w:hAnsi="Times New Roman" w:cs="Times New Roman"/>
                <w:bCs/>
                <w:color w:val="auto"/>
                <w:sz w:val="48"/>
              </w:rPr>
              <w:t>ChickeelaJones-Lewis@ynysmon.llyw.cymru</w:t>
            </w:r>
            <w:proofErr w:type="spell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FB97BBA" w14:textId="5BE7351A" w:rsidR="001465A9" w:rsidRPr="001465A9" w:rsidRDefault="001465A9" w:rsidP="005D3F07">
            <w:pPr>
              <w:overflowPunct/>
              <w:autoSpaceDE/>
              <w:autoSpaceDN/>
              <w:adjustRightInd/>
              <w:ind w:right="-957"/>
              <w:textAlignment w:val="auto"/>
              <w:rPr>
                <w:rFonts w:ascii="Times New Roman" w:hAnsi="Times New Roman" w:cs="Times New Roman"/>
                <w:bCs/>
                <w:color w:val="auto"/>
                <w:sz w:val="48"/>
              </w:rPr>
            </w:pPr>
            <w:r w:rsidRPr="001465A9">
              <w:rPr>
                <w:rFonts w:ascii="Times New Roman" w:hAnsi="Times New Roman" w:cs="Times New Roman"/>
                <w:bCs/>
                <w:color w:val="auto"/>
                <w:sz w:val="48"/>
              </w:rPr>
              <w:t>2224233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Pr="003960CC">
              <w:rPr>
                <w:rFonts w:ascii="Times New Roman" w:hAnsi="Times New Roman" w:cs="Times New Roman"/>
                <w:bCs/>
                <w:color w:val="auto"/>
                <w:sz w:val="48"/>
              </w:rPr>
              <w:t>1</w:t>
            </w:r>
            <w:r w:rsidR="000F1A97" w:rsidRPr="003960CC">
              <w:rPr>
                <w:rFonts w:ascii="Times New Roman" w:hAnsi="Times New Roman" w:cs="Times New Roman"/>
                <w:bCs/>
                <w:color w:val="auto"/>
                <w:sz w:val="48"/>
              </w:rPr>
              <w:t>8</w:t>
            </w:r>
            <w:r w:rsidR="00AE6231" w:rsidRPr="003960CC">
              <w:rPr>
                <w:rFonts w:ascii="Times New Roman" w:hAnsi="Times New Roman" w:cs="Times New Roman"/>
                <w:bCs/>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20C4BAC" w14:textId="1F1D6D33" w:rsidR="007C1D94" w:rsidRPr="00DA5682" w:rsidRDefault="0098262C" w:rsidP="002D46C0">
      <w:pPr>
        <w:jc w:val="center"/>
        <w:rPr>
          <w:b/>
          <w:sz w:val="28"/>
          <w:szCs w:val="28"/>
        </w:rPr>
      </w:pPr>
      <w:r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56F0D69C" w14:textId="7A938F6A" w:rsidR="00E41A6A" w:rsidRPr="003960CC" w:rsidRDefault="002D65D2" w:rsidP="001465A9">
            <w:pPr>
              <w:spacing w:line="480" w:lineRule="auto"/>
              <w:jc w:val="both"/>
              <w:rPr>
                <w:b/>
                <w:bCs/>
                <w:i/>
                <w:iCs/>
                <w:sz w:val="24"/>
                <w:szCs w:val="24"/>
              </w:rPr>
            </w:pPr>
            <w:r w:rsidRPr="003960CC">
              <w:rPr>
                <w:b/>
                <w:bCs/>
                <w:i/>
                <w:iCs/>
                <w:sz w:val="24"/>
                <w:szCs w:val="24"/>
              </w:rPr>
              <w:t>Question</w:t>
            </w:r>
            <w:r w:rsidR="00330881" w:rsidRPr="003960CC">
              <w:rPr>
                <w:b/>
                <w:bCs/>
                <w:i/>
                <w:iCs/>
                <w:sz w:val="24"/>
                <w:szCs w:val="24"/>
              </w:rPr>
              <w:t>:</w:t>
            </w:r>
          </w:p>
          <w:p w14:paraId="701231C5" w14:textId="09F1DF01" w:rsidR="00D0274B" w:rsidRDefault="009B3E46" w:rsidP="001465A9">
            <w:pPr>
              <w:spacing w:line="480" w:lineRule="auto"/>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bookmarkEnd w:id="0"/>
          </w:p>
          <w:p w14:paraId="050C52B3" w14:textId="69DC5CFC" w:rsidR="00E35112" w:rsidRDefault="002F2185" w:rsidP="001465A9">
            <w:pPr>
              <w:numPr>
                <w:ilvl w:val="0"/>
                <w:numId w:val="52"/>
              </w:numPr>
              <w:spacing w:line="480" w:lineRule="auto"/>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1465A9">
            <w:pPr>
              <w:numPr>
                <w:ilvl w:val="0"/>
                <w:numId w:val="52"/>
              </w:numPr>
              <w:spacing w:line="480" w:lineRule="auto"/>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1465A9">
            <w:pPr>
              <w:numPr>
                <w:ilvl w:val="0"/>
                <w:numId w:val="52"/>
              </w:numPr>
              <w:spacing w:line="480" w:lineRule="auto"/>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1A64E116" w14:textId="77777777" w:rsidR="003960CC" w:rsidRDefault="003960CC" w:rsidP="001465A9">
            <w:pPr>
              <w:spacing w:line="480" w:lineRule="auto"/>
              <w:jc w:val="both"/>
              <w:rPr>
                <w:i/>
                <w:iCs/>
                <w:sz w:val="24"/>
                <w:szCs w:val="24"/>
              </w:rPr>
            </w:pPr>
          </w:p>
          <w:p w14:paraId="67C8ED90" w14:textId="1F04E8D4" w:rsidR="004F1E21" w:rsidRPr="00706BB5" w:rsidRDefault="000D2ED2" w:rsidP="001465A9">
            <w:pPr>
              <w:spacing w:line="480" w:lineRule="auto"/>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rsidP="001465A9">
            <w:pPr>
              <w:spacing w:line="480" w:lineRule="auto"/>
              <w:jc w:val="both"/>
              <w:rPr>
                <w:i/>
                <w:iCs/>
                <w:sz w:val="24"/>
                <w:szCs w:val="24"/>
              </w:rPr>
            </w:pPr>
          </w:p>
          <w:p w14:paraId="761B4275" w14:textId="77777777" w:rsidR="003960CC" w:rsidRDefault="003960CC" w:rsidP="001465A9">
            <w:pPr>
              <w:pStyle w:val="NormalGwe"/>
              <w:spacing w:line="480" w:lineRule="auto"/>
              <w:rPr>
                <w:rFonts w:ascii="Calibri" w:hAnsi="Calibri" w:cs="Calibri"/>
                <w:sz w:val="28"/>
                <w:szCs w:val="28"/>
              </w:rPr>
            </w:pPr>
            <w:r>
              <w:rPr>
                <w:rFonts w:ascii="Calibri" w:hAnsi="Calibri" w:cs="Calibri"/>
                <w:color w:val="000000"/>
                <w:sz w:val="28"/>
                <w:szCs w:val="28"/>
              </w:rPr>
              <w:lastRenderedPageBreak/>
              <w:t>Post</w:t>
            </w:r>
            <w:r w:rsidR="001465A9">
              <w:rPr>
                <w:rFonts w:ascii="Calibri" w:hAnsi="Calibri" w:cs="Calibri"/>
                <w:color w:val="000000"/>
                <w:sz w:val="28"/>
                <w:szCs w:val="28"/>
              </w:rPr>
              <w:t xml:space="preserve"> qualif</w:t>
            </w:r>
            <w:r>
              <w:rPr>
                <w:rFonts w:ascii="Calibri" w:hAnsi="Calibri" w:cs="Calibri"/>
                <w:color w:val="000000"/>
                <w:sz w:val="28"/>
                <w:szCs w:val="28"/>
              </w:rPr>
              <w:t>ication</w:t>
            </w:r>
            <w:r w:rsidR="001465A9">
              <w:rPr>
                <w:rFonts w:ascii="Calibri" w:hAnsi="Calibri" w:cs="Calibri"/>
                <w:color w:val="000000"/>
                <w:sz w:val="28"/>
                <w:szCs w:val="28"/>
              </w:rPr>
              <w:t>, I have been employed in a Community Resource Team (CRT) for adults with social workers, occupational therapists (OT) and health professionals serving those aged 18+.  CRTs are a strategy for cost effective care-coordination between social and health department as Thiel et al (2013) explain, “</w:t>
            </w:r>
            <w:r w:rsidR="001465A9">
              <w:rPr>
                <w:rFonts w:ascii="Calibri" w:hAnsi="Calibri" w:cs="Calibri"/>
                <w:i/>
                <w:iCs/>
                <w:sz w:val="28"/>
                <w:szCs w:val="28"/>
              </w:rPr>
              <w:t xml:space="preserve">Age-related chronic and complex medical conditions account for the largest and growing share of health care budgets in all </w:t>
            </w:r>
            <w:proofErr w:type="spellStart"/>
            <w:r w:rsidR="001465A9">
              <w:rPr>
                <w:rFonts w:ascii="Calibri" w:hAnsi="Calibri" w:cs="Calibri"/>
                <w:i/>
                <w:iCs/>
                <w:sz w:val="28"/>
                <w:szCs w:val="28"/>
              </w:rPr>
              <w:t>industrialised</w:t>
            </w:r>
            <w:proofErr w:type="spellEnd"/>
            <w:r w:rsidR="001465A9">
              <w:rPr>
                <w:rFonts w:ascii="Calibri" w:hAnsi="Calibri" w:cs="Calibri"/>
                <w:i/>
                <w:iCs/>
                <w:sz w:val="28"/>
                <w:szCs w:val="28"/>
              </w:rPr>
              <w:t xml:space="preserve"> nations</w:t>
            </w:r>
            <w:r w:rsidR="001465A9">
              <w:rPr>
                <w:rFonts w:ascii="Calibri" w:hAnsi="Calibri" w:cs="Calibri"/>
                <w:sz w:val="28"/>
                <w:szCs w:val="28"/>
              </w:rPr>
              <w:t>” (p4) with the aim helping to keep people in their homes not hospitals. The area I cover deals mostly with people over 70, compatible statistically with the Census (2021) for the county, including a high percentage living with dementia, cancer, or other chronic conditions (Thiel et al, 2013). This demographic is expanding whilst budgets are being decreased, with a prediction of 1.6 billion people being over the age of 65 by 2050 in the world (Hutchinson, 2017).</w:t>
            </w:r>
          </w:p>
          <w:p w14:paraId="159BD692" w14:textId="77777777" w:rsidR="003960CC" w:rsidRDefault="003960CC" w:rsidP="001465A9">
            <w:pPr>
              <w:pStyle w:val="NormalGwe"/>
              <w:spacing w:line="480" w:lineRule="auto"/>
              <w:rPr>
                <w:rFonts w:ascii="Calibri" w:hAnsi="Calibri" w:cs="Calibri"/>
                <w:color w:val="000000"/>
                <w:sz w:val="28"/>
                <w:szCs w:val="28"/>
              </w:rPr>
            </w:pPr>
          </w:p>
          <w:p w14:paraId="40A25A43" w14:textId="77777777" w:rsidR="003960CC" w:rsidRDefault="001465A9" w:rsidP="001465A9">
            <w:pPr>
              <w:pStyle w:val="NormalGwe"/>
              <w:spacing w:line="480" w:lineRule="auto"/>
              <w:rPr>
                <w:rFonts w:ascii="Calibri" w:hAnsi="Calibri" w:cs="Calibri"/>
                <w:color w:val="000000"/>
                <w:sz w:val="28"/>
                <w:szCs w:val="28"/>
              </w:rPr>
            </w:pPr>
            <w:r>
              <w:rPr>
                <w:rFonts w:ascii="Calibri" w:hAnsi="Calibri" w:cs="Calibri"/>
                <w:color w:val="000000"/>
                <w:sz w:val="28"/>
                <w:szCs w:val="28"/>
              </w:rPr>
              <w:t>Like any new starter, I have significant gaps in my knowledge and skills.  During regular supervisions with my Team Manager (TM) as stipulated by the Code of Professional Practice for Social Care (COPP) (SCW, 2017) and Continuing Professional Education &amp; Learning (CPEL) (SCW, 2015), an Individual Plan was agreed taking account of the learning needs identified in my second-year portfolio.  As Stanley (2018) states, “</w:t>
            </w:r>
            <w:r>
              <w:rPr>
                <w:rFonts w:ascii="Calibri" w:hAnsi="Calibri" w:cs="Calibri"/>
                <w:i/>
                <w:iCs/>
                <w:color w:val="0B0C0C"/>
                <w:sz w:val="28"/>
                <w:szCs w:val="28"/>
              </w:rPr>
              <w:t>supervision is central to effective social work</w:t>
            </w:r>
            <w:r>
              <w:rPr>
                <w:rFonts w:ascii="Calibri" w:hAnsi="Calibri" w:cs="Calibri"/>
                <w:color w:val="0B0C0C"/>
                <w:sz w:val="28"/>
                <w:szCs w:val="28"/>
              </w:rPr>
              <w:t xml:space="preserve">” (p1).  </w:t>
            </w:r>
            <w:r>
              <w:rPr>
                <w:rFonts w:ascii="Calibri" w:hAnsi="Calibri" w:cs="Calibri"/>
                <w:color w:val="000000"/>
                <w:sz w:val="28"/>
                <w:szCs w:val="28"/>
              </w:rPr>
              <w:t xml:space="preserve">We used the ERA cycle (Jasper, </w:t>
            </w:r>
            <w:r>
              <w:rPr>
                <w:rFonts w:ascii="Calibri" w:hAnsi="Calibri" w:cs="Calibri"/>
                <w:color w:val="000000"/>
                <w:sz w:val="28"/>
                <w:szCs w:val="28"/>
              </w:rPr>
              <w:lastRenderedPageBreak/>
              <w:t xml:space="preserve">2013) as a simple model of critical reflection – </w:t>
            </w:r>
            <w:r>
              <w:rPr>
                <w:rFonts w:ascii="Calibri" w:hAnsi="Calibri" w:cs="Calibri"/>
                <w:i/>
                <w:iCs/>
                <w:color w:val="000000"/>
                <w:sz w:val="28"/>
                <w:szCs w:val="28"/>
              </w:rPr>
              <w:t>Experience</w:t>
            </w:r>
            <w:r>
              <w:rPr>
                <w:rFonts w:ascii="Calibri" w:hAnsi="Calibri" w:cs="Calibri"/>
                <w:color w:val="000000"/>
                <w:sz w:val="28"/>
                <w:szCs w:val="28"/>
              </w:rPr>
              <w:t xml:space="preserve">, </w:t>
            </w:r>
            <w:r>
              <w:rPr>
                <w:rFonts w:ascii="Calibri" w:hAnsi="Calibri" w:cs="Calibri"/>
                <w:i/>
                <w:iCs/>
                <w:color w:val="000000"/>
                <w:sz w:val="28"/>
                <w:szCs w:val="28"/>
              </w:rPr>
              <w:t>Reflection</w:t>
            </w:r>
            <w:r>
              <w:rPr>
                <w:rFonts w:ascii="Calibri" w:hAnsi="Calibri" w:cs="Calibri"/>
                <w:color w:val="000000"/>
                <w:sz w:val="28"/>
                <w:szCs w:val="28"/>
              </w:rPr>
              <w:t xml:space="preserve">, </w:t>
            </w:r>
            <w:r>
              <w:rPr>
                <w:rFonts w:ascii="Calibri" w:hAnsi="Calibri" w:cs="Calibri"/>
                <w:i/>
                <w:iCs/>
                <w:color w:val="000000"/>
                <w:sz w:val="28"/>
                <w:szCs w:val="28"/>
              </w:rPr>
              <w:t>Action</w:t>
            </w:r>
            <w:r>
              <w:rPr>
                <w:rFonts w:ascii="Calibri" w:hAnsi="Calibri" w:cs="Calibri"/>
                <w:color w:val="000000"/>
                <w:sz w:val="28"/>
                <w:szCs w:val="28"/>
              </w:rPr>
              <w:t xml:space="preserve"> – to identify 3 areas of professional development.</w:t>
            </w:r>
          </w:p>
          <w:p w14:paraId="19EAE291" w14:textId="77777777" w:rsidR="003960CC" w:rsidRDefault="003960CC" w:rsidP="001465A9">
            <w:pPr>
              <w:pStyle w:val="NormalGwe"/>
              <w:spacing w:line="480" w:lineRule="auto"/>
              <w:rPr>
                <w:rFonts w:ascii="Calibri" w:hAnsi="Calibri" w:cs="Calibri"/>
                <w:color w:val="000000"/>
                <w:sz w:val="28"/>
                <w:szCs w:val="28"/>
              </w:rPr>
            </w:pPr>
          </w:p>
          <w:p w14:paraId="3EF5E946" w14:textId="763F6A1E" w:rsidR="001465A9" w:rsidRDefault="001465A9" w:rsidP="001465A9">
            <w:pPr>
              <w:pStyle w:val="NormalGwe"/>
              <w:spacing w:line="480" w:lineRule="auto"/>
            </w:pPr>
            <w:r>
              <w:rPr>
                <w:rFonts w:ascii="Calibri" w:hAnsi="Calibri" w:cs="Calibri"/>
                <w:color w:val="000000"/>
                <w:sz w:val="28"/>
                <w:szCs w:val="28"/>
              </w:rPr>
              <w:t xml:space="preserve">Firstly, Safeguarding. Whilst on second year placement I </w:t>
            </w:r>
            <w:r>
              <w:rPr>
                <w:rFonts w:ascii="Calibri" w:hAnsi="Calibri" w:cs="Calibri"/>
                <w:i/>
                <w:iCs/>
                <w:color w:val="000000"/>
                <w:sz w:val="28"/>
                <w:szCs w:val="28"/>
              </w:rPr>
              <w:t>experienced</w:t>
            </w:r>
            <w:r>
              <w:rPr>
                <w:rFonts w:ascii="Calibri" w:hAnsi="Calibri" w:cs="Calibri"/>
                <w:color w:val="000000"/>
                <w:sz w:val="28"/>
                <w:szCs w:val="28"/>
              </w:rPr>
              <w:t xml:space="preserve"> some aspects of the Wales Safeguarding Procedures (WSP, 2019) for Children. As the nominated social worker, I reported at a Child Protection Conference following a s47 investigation under The Children’s Act 1989 and a Strategy Discussion Meeting that agreed that 2 children were “at risk” </w:t>
            </w:r>
            <w:r w:rsidR="003960CC">
              <w:rPr>
                <w:rFonts w:ascii="Calibri" w:hAnsi="Calibri" w:cs="Calibri"/>
                <w:color w:val="000000"/>
                <w:sz w:val="28"/>
                <w:szCs w:val="28"/>
              </w:rPr>
              <w:t>leading</w:t>
            </w:r>
            <w:r>
              <w:rPr>
                <w:rFonts w:ascii="Calibri" w:hAnsi="Calibri" w:cs="Calibri"/>
                <w:color w:val="000000"/>
                <w:sz w:val="28"/>
                <w:szCs w:val="28"/>
              </w:rPr>
              <w:t xml:space="preserve"> </w:t>
            </w:r>
            <w:r w:rsidR="00394722">
              <w:rPr>
                <w:rFonts w:ascii="Calibri" w:hAnsi="Calibri" w:cs="Calibri"/>
                <w:color w:val="000000"/>
                <w:sz w:val="28"/>
                <w:szCs w:val="28"/>
              </w:rPr>
              <w:t xml:space="preserve">the completion of a </w:t>
            </w:r>
            <w:r>
              <w:rPr>
                <w:rFonts w:ascii="Calibri" w:hAnsi="Calibri" w:cs="Calibri"/>
                <w:color w:val="000000"/>
                <w:sz w:val="28"/>
                <w:szCs w:val="28"/>
              </w:rPr>
              <w:t xml:space="preserve">Care and Support Protection Plan as part of s37 of the Social Services and Well-being (Wales) Act 2014. On </w:t>
            </w:r>
            <w:r>
              <w:rPr>
                <w:rFonts w:ascii="Calibri" w:hAnsi="Calibri" w:cs="Calibri"/>
                <w:i/>
                <w:iCs/>
                <w:color w:val="000000"/>
                <w:sz w:val="28"/>
                <w:szCs w:val="28"/>
              </w:rPr>
              <w:t>reflection</w:t>
            </w:r>
            <w:r>
              <w:rPr>
                <w:rFonts w:ascii="Calibri" w:hAnsi="Calibri" w:cs="Calibri"/>
                <w:color w:val="000000"/>
                <w:sz w:val="28"/>
                <w:szCs w:val="28"/>
              </w:rPr>
              <w:t xml:space="preserve">, this gave me an insight into working collaboratively with children, parents, and professionals, this was set in the context of a child and not adult at risk. Online training and using the WSP application are valuable tools but as I am a kinesthetic learner who prefers direct experiences, the </w:t>
            </w:r>
            <w:r>
              <w:rPr>
                <w:rFonts w:ascii="Calibri" w:hAnsi="Calibri" w:cs="Calibri"/>
                <w:i/>
                <w:iCs/>
                <w:color w:val="000000"/>
                <w:sz w:val="28"/>
                <w:szCs w:val="28"/>
              </w:rPr>
              <w:t xml:space="preserve">action </w:t>
            </w:r>
            <w:r>
              <w:rPr>
                <w:rFonts w:ascii="Calibri" w:hAnsi="Calibri" w:cs="Calibri"/>
                <w:color w:val="000000"/>
                <w:sz w:val="28"/>
                <w:szCs w:val="28"/>
              </w:rPr>
              <w:t xml:space="preserve">required for better learning is to have my own safeguarding cases.  My TM agreed that I should be given low to mid-level safeguarding cases and where possible, I should ask colleagues to shadow them.  Greater exposure to safeguarding cases will better inform me on how to best intervene and work together with individuals, their </w:t>
            </w:r>
            <w:proofErr w:type="spellStart"/>
            <w:proofErr w:type="gramStart"/>
            <w:r>
              <w:rPr>
                <w:rFonts w:ascii="Calibri" w:hAnsi="Calibri" w:cs="Calibri"/>
                <w:color w:val="000000"/>
                <w:sz w:val="28"/>
                <w:szCs w:val="28"/>
              </w:rPr>
              <w:t>carers</w:t>
            </w:r>
            <w:proofErr w:type="spellEnd"/>
            <w:proofErr w:type="gramEnd"/>
            <w:r>
              <w:rPr>
                <w:rFonts w:ascii="Calibri" w:hAnsi="Calibri" w:cs="Calibri"/>
                <w:color w:val="000000"/>
                <w:sz w:val="28"/>
                <w:szCs w:val="28"/>
              </w:rPr>
              <w:t xml:space="preserve"> and professionals.</w:t>
            </w:r>
          </w:p>
          <w:p w14:paraId="3DEDA538" w14:textId="77777777" w:rsidR="001465A9" w:rsidRDefault="001465A9" w:rsidP="001465A9">
            <w:pPr>
              <w:pStyle w:val="NormalGwe"/>
              <w:spacing w:line="480" w:lineRule="auto"/>
            </w:pPr>
            <w:r>
              <w:rPr>
                <w:rFonts w:ascii="Calibri" w:hAnsi="Calibri" w:cs="Calibri"/>
                <w:color w:val="000000"/>
                <w:sz w:val="28"/>
                <w:szCs w:val="28"/>
              </w:rPr>
              <w:lastRenderedPageBreak/>
              <w:t xml:space="preserve">Secondly, knowing when and how to assess someone’s decision-making.  My first </w:t>
            </w:r>
            <w:r>
              <w:rPr>
                <w:rFonts w:ascii="Calibri" w:hAnsi="Calibri" w:cs="Calibri"/>
                <w:i/>
                <w:iCs/>
                <w:color w:val="000000"/>
                <w:sz w:val="28"/>
                <w:szCs w:val="28"/>
              </w:rPr>
              <w:t>experience</w:t>
            </w:r>
            <w:r>
              <w:rPr>
                <w:rFonts w:ascii="Calibri" w:hAnsi="Calibri" w:cs="Calibri"/>
                <w:color w:val="000000"/>
                <w:sz w:val="28"/>
                <w:szCs w:val="28"/>
              </w:rPr>
              <w:t xml:space="preserve"> of completing a Mental Capacity Assessment (MCA, 2005) was an ongoing process taken over several months to ascertain if they had the ability to make decisions surrounding finances. I disagreed strongly with a consultant and hospital OT during my second experience.  On </w:t>
            </w:r>
            <w:r>
              <w:rPr>
                <w:rFonts w:ascii="Calibri" w:hAnsi="Calibri" w:cs="Calibri"/>
                <w:i/>
                <w:iCs/>
                <w:color w:val="000000"/>
                <w:sz w:val="28"/>
                <w:szCs w:val="28"/>
              </w:rPr>
              <w:t>reflection</w:t>
            </w:r>
            <w:r>
              <w:rPr>
                <w:rFonts w:ascii="Calibri" w:hAnsi="Calibri" w:cs="Calibri"/>
                <w:color w:val="000000"/>
                <w:sz w:val="28"/>
                <w:szCs w:val="28"/>
              </w:rPr>
              <w:t>, I had been given the luxury of time with my first assessment and this was not the case with the second as it was delaying a hospital discharge. The medical staff were bias in their opinion.  They labeled the individual as a “</w:t>
            </w:r>
            <w:r>
              <w:rPr>
                <w:rFonts w:ascii="Calibri" w:hAnsi="Calibri" w:cs="Calibri"/>
                <w:i/>
                <w:iCs/>
                <w:color w:val="000000"/>
                <w:sz w:val="28"/>
                <w:szCs w:val="28"/>
              </w:rPr>
              <w:t>danger</w:t>
            </w:r>
            <w:r>
              <w:rPr>
                <w:rFonts w:ascii="Calibri" w:hAnsi="Calibri" w:cs="Calibri"/>
                <w:color w:val="000000"/>
                <w:sz w:val="28"/>
                <w:szCs w:val="28"/>
              </w:rPr>
              <w:t>” in the kitchen and wanted to sway other people’s views by describing them as “</w:t>
            </w:r>
            <w:r>
              <w:rPr>
                <w:rFonts w:ascii="Calibri" w:hAnsi="Calibri" w:cs="Calibri"/>
                <w:i/>
                <w:iCs/>
                <w:color w:val="000000"/>
                <w:sz w:val="28"/>
                <w:szCs w:val="28"/>
              </w:rPr>
              <w:t>very confused</w:t>
            </w:r>
            <w:r>
              <w:rPr>
                <w:rFonts w:ascii="Calibri" w:hAnsi="Calibri" w:cs="Calibri"/>
                <w:color w:val="000000"/>
                <w:sz w:val="28"/>
                <w:szCs w:val="28"/>
              </w:rPr>
              <w:t xml:space="preserve">” to influence other’s judgments (Beckett, 2010).  It is also a challenge when health professionals assessment forms are different to social services, tending to be shorter.  Again, further training, exposure to opportunities to assess, shadowing and peer-support is the </w:t>
            </w:r>
            <w:r>
              <w:rPr>
                <w:rFonts w:ascii="Calibri" w:hAnsi="Calibri" w:cs="Calibri"/>
                <w:i/>
                <w:iCs/>
                <w:color w:val="000000"/>
                <w:sz w:val="28"/>
                <w:szCs w:val="28"/>
              </w:rPr>
              <w:t>action</w:t>
            </w:r>
            <w:r>
              <w:rPr>
                <w:rFonts w:ascii="Calibri" w:hAnsi="Calibri" w:cs="Calibri"/>
                <w:color w:val="000000"/>
                <w:sz w:val="28"/>
                <w:szCs w:val="28"/>
              </w:rPr>
              <w:t xml:space="preserve"> required to develop understanding which will help judge when and how to complete mental capacity assessments and work with others.</w:t>
            </w:r>
          </w:p>
          <w:p w14:paraId="60E83314" w14:textId="77777777" w:rsidR="001465A9" w:rsidRDefault="001465A9" w:rsidP="001465A9">
            <w:pPr>
              <w:pStyle w:val="NormalGwe"/>
              <w:spacing w:line="480" w:lineRule="auto"/>
            </w:pPr>
          </w:p>
          <w:p w14:paraId="46FC6905" w14:textId="77777777" w:rsidR="001465A9" w:rsidRDefault="001465A9" w:rsidP="001465A9">
            <w:pPr>
              <w:pStyle w:val="NormalGwe"/>
              <w:spacing w:line="480" w:lineRule="auto"/>
            </w:pPr>
            <w:r>
              <w:rPr>
                <w:rFonts w:ascii="Calibri" w:hAnsi="Calibri" w:cs="Calibri"/>
                <w:color w:val="000000"/>
                <w:sz w:val="28"/>
                <w:szCs w:val="28"/>
              </w:rPr>
              <w:t xml:space="preserve">Thirdly, in both placements and still today, I have minimal </w:t>
            </w:r>
            <w:r>
              <w:rPr>
                <w:rFonts w:ascii="Calibri" w:hAnsi="Calibri" w:cs="Calibri"/>
                <w:i/>
                <w:iCs/>
                <w:color w:val="000000"/>
                <w:sz w:val="28"/>
                <w:szCs w:val="28"/>
              </w:rPr>
              <w:t>experience</w:t>
            </w:r>
            <w:r>
              <w:rPr>
                <w:rFonts w:ascii="Calibri" w:hAnsi="Calibri" w:cs="Calibri"/>
                <w:color w:val="000000"/>
                <w:sz w:val="28"/>
                <w:szCs w:val="28"/>
              </w:rPr>
              <w:t xml:space="preserve"> of working with a variety of culturally diverse cases. My “</w:t>
            </w:r>
            <w:r>
              <w:rPr>
                <w:rFonts w:ascii="Calibri" w:hAnsi="Calibri" w:cs="Calibri"/>
                <w:i/>
                <w:iCs/>
                <w:color w:val="000000"/>
                <w:sz w:val="28"/>
                <w:szCs w:val="28"/>
              </w:rPr>
              <w:t>personal self-knowledge</w:t>
            </w:r>
            <w:r>
              <w:rPr>
                <w:rFonts w:ascii="Calibri" w:hAnsi="Calibri" w:cs="Calibri"/>
                <w:color w:val="000000"/>
                <w:sz w:val="28"/>
                <w:szCs w:val="28"/>
              </w:rPr>
              <w:t xml:space="preserve">” (Dalrymple &amp; Burke, 1955) is that I live and work in a mainly white, Christian populated county offering restrictive chances of widening learning.  On </w:t>
            </w:r>
            <w:r>
              <w:rPr>
                <w:rFonts w:ascii="Calibri" w:hAnsi="Calibri" w:cs="Calibri"/>
                <w:i/>
                <w:iCs/>
                <w:color w:val="000000"/>
                <w:sz w:val="28"/>
                <w:szCs w:val="28"/>
              </w:rPr>
              <w:t>reflection</w:t>
            </w:r>
            <w:r>
              <w:rPr>
                <w:rFonts w:ascii="Calibri" w:hAnsi="Calibri" w:cs="Calibri"/>
                <w:color w:val="000000"/>
                <w:sz w:val="28"/>
                <w:szCs w:val="28"/>
              </w:rPr>
              <w:t xml:space="preserve">, the 2021 Census shows that just </w:t>
            </w:r>
            <w:r>
              <w:rPr>
                <w:rFonts w:ascii="Calibri" w:hAnsi="Calibri" w:cs="Calibri"/>
                <w:color w:val="000000"/>
                <w:sz w:val="28"/>
                <w:szCs w:val="28"/>
              </w:rPr>
              <w:lastRenderedPageBreak/>
              <w:t>5% of people in this county are from an ethnic minority group with the highest being Asian (491) and the lowest black (81) or “other” (45). This is reinforced by the statistics on religious beliefs with Hinduism, Sikhs and Jews being in the 40s (Census 2021).  In section 1.4 of the COPP, it explicitly refers to an individual’s culture and language with s1.5 saying that I must ensure “</w:t>
            </w:r>
            <w:r>
              <w:rPr>
                <w:rFonts w:ascii="Calibri" w:hAnsi="Calibri" w:cs="Calibri"/>
                <w:i/>
                <w:iCs/>
                <w:sz w:val="28"/>
                <w:szCs w:val="28"/>
              </w:rPr>
              <w:t xml:space="preserve">that your actions promote equality, diversity and inclusion”. </w:t>
            </w:r>
            <w:r>
              <w:rPr>
                <w:rFonts w:ascii="Calibri" w:hAnsi="Calibri" w:cs="Calibri"/>
                <w:color w:val="000000"/>
                <w:sz w:val="28"/>
                <w:szCs w:val="28"/>
              </w:rPr>
              <w:t xml:space="preserve">(SCW, 2017, p9).  The </w:t>
            </w:r>
            <w:r>
              <w:rPr>
                <w:rFonts w:ascii="Calibri" w:hAnsi="Calibri" w:cs="Calibri"/>
                <w:i/>
                <w:iCs/>
                <w:color w:val="000000"/>
                <w:sz w:val="28"/>
                <w:szCs w:val="28"/>
              </w:rPr>
              <w:t xml:space="preserve">action </w:t>
            </w:r>
            <w:r>
              <w:rPr>
                <w:rFonts w:ascii="Calibri" w:hAnsi="Calibri" w:cs="Calibri"/>
                <w:color w:val="000000"/>
                <w:sz w:val="28"/>
                <w:szCs w:val="28"/>
              </w:rPr>
              <w:t>needed to improve will be to attend any relevant training, seek ways to promote diverse engagement and request allocation of any case that is from a minority. This will assist with knowing how to better engage with difference religions and cultures.</w:t>
            </w:r>
          </w:p>
          <w:p w14:paraId="62D02A0F" w14:textId="77777777" w:rsidR="001465A9" w:rsidRDefault="001465A9" w:rsidP="001465A9">
            <w:pPr>
              <w:pStyle w:val="NormalGwe"/>
              <w:spacing w:line="480" w:lineRule="auto"/>
            </w:pPr>
            <w:r>
              <w:rPr>
                <w:rFonts w:ascii="Calibri" w:hAnsi="Calibri" w:cs="Calibri"/>
                <w:color w:val="000000"/>
                <w:sz w:val="28"/>
                <w:szCs w:val="28"/>
              </w:rPr>
              <w:t>Focusing on the areas above demonstrates my intent to build on Schon’s (1987) “</w:t>
            </w:r>
            <w:r>
              <w:rPr>
                <w:rFonts w:ascii="Calibri" w:hAnsi="Calibri" w:cs="Calibri"/>
                <w:i/>
                <w:iCs/>
                <w:color w:val="000000"/>
                <w:sz w:val="28"/>
                <w:szCs w:val="28"/>
              </w:rPr>
              <w:t>reflection-on-action</w:t>
            </w:r>
            <w:r>
              <w:rPr>
                <w:rFonts w:ascii="Calibri" w:hAnsi="Calibri" w:cs="Calibri"/>
                <w:color w:val="000000"/>
                <w:sz w:val="28"/>
                <w:szCs w:val="28"/>
              </w:rPr>
              <w:t>” and “reflection-in-action” towards “</w:t>
            </w:r>
            <w:r>
              <w:rPr>
                <w:rFonts w:ascii="Calibri" w:hAnsi="Calibri" w:cs="Calibri"/>
                <w:i/>
                <w:iCs/>
                <w:color w:val="000000"/>
                <w:sz w:val="28"/>
                <w:szCs w:val="28"/>
              </w:rPr>
              <w:t>reflection- for- action</w:t>
            </w:r>
            <w:r>
              <w:rPr>
                <w:rFonts w:ascii="Calibri" w:hAnsi="Calibri" w:cs="Calibri"/>
                <w:color w:val="000000"/>
                <w:sz w:val="28"/>
                <w:szCs w:val="28"/>
              </w:rPr>
              <w:t xml:space="preserve">” (Killion &amp; </w:t>
            </w:r>
            <w:proofErr w:type="spellStart"/>
            <w:r>
              <w:rPr>
                <w:rFonts w:ascii="Calibri" w:hAnsi="Calibri" w:cs="Calibri"/>
                <w:color w:val="000000"/>
                <w:sz w:val="28"/>
                <w:szCs w:val="28"/>
              </w:rPr>
              <w:t>Todnem</w:t>
            </w:r>
            <w:proofErr w:type="spellEnd"/>
            <w:r>
              <w:rPr>
                <w:rFonts w:ascii="Calibri" w:hAnsi="Calibri" w:cs="Calibri"/>
                <w:color w:val="000000"/>
                <w:sz w:val="28"/>
                <w:szCs w:val="28"/>
              </w:rPr>
              <w:t xml:space="preserve">, 1991) which will lead to applying greater analysis all my future assessments.  </w:t>
            </w:r>
          </w:p>
          <w:p w14:paraId="3F57F325" w14:textId="3F7A6AD6" w:rsidR="008C7770" w:rsidRPr="00706BB5" w:rsidRDefault="001465A9" w:rsidP="00443A66">
            <w:pPr>
              <w:pStyle w:val="NormalGwe"/>
              <w:spacing w:line="480" w:lineRule="auto"/>
              <w:rPr>
                <w:i/>
                <w:iCs/>
              </w:rPr>
            </w:pPr>
            <w:r>
              <w:rPr>
                <w:rFonts w:ascii="Calibri" w:hAnsi="Calibri" w:cs="Calibri"/>
                <w:color w:val="000000"/>
                <w:sz w:val="28"/>
                <w:szCs w:val="28"/>
              </w:rPr>
              <w:t xml:space="preserve">Word count = 810 </w:t>
            </w:r>
          </w:p>
        </w:tc>
      </w:tr>
    </w:tbl>
    <w:p w14:paraId="1FE07E5F" w14:textId="77777777" w:rsidR="00FF7784" w:rsidRPr="008B28E7" w:rsidRDefault="00FF7784" w:rsidP="00FF7EBB">
      <w:pPr>
        <w:jc w:val="both"/>
        <w:rPr>
          <w:sz w:val="24"/>
          <w:szCs w:val="24"/>
        </w:rPr>
      </w:pPr>
    </w:p>
    <w:p w14:paraId="57519978" w14:textId="77777777" w:rsidR="00214047" w:rsidRDefault="00214047" w:rsidP="00243DB0">
      <w:pPr>
        <w:rPr>
          <w:b/>
          <w:sz w:val="24"/>
          <w:szCs w:val="24"/>
        </w:rPr>
      </w:pPr>
    </w:p>
    <w:p w14:paraId="7234649E" w14:textId="77777777" w:rsidR="00443A66" w:rsidRDefault="00443A66" w:rsidP="00243DB0">
      <w:pPr>
        <w:rPr>
          <w:b/>
          <w:sz w:val="24"/>
          <w:szCs w:val="24"/>
        </w:rPr>
      </w:pPr>
    </w:p>
    <w:p w14:paraId="5D15AE62" w14:textId="77777777" w:rsidR="00443A66" w:rsidRDefault="00443A66" w:rsidP="00243DB0">
      <w:pPr>
        <w:rPr>
          <w:b/>
          <w:sz w:val="24"/>
          <w:szCs w:val="24"/>
        </w:rPr>
      </w:pPr>
    </w:p>
    <w:p w14:paraId="78541127" w14:textId="77777777" w:rsidR="00443A66" w:rsidRDefault="00443A66" w:rsidP="00243DB0">
      <w:pPr>
        <w:rPr>
          <w:b/>
          <w:sz w:val="24"/>
          <w:szCs w:val="24"/>
        </w:rPr>
      </w:pPr>
    </w:p>
    <w:p w14:paraId="767DC016" w14:textId="77777777" w:rsidR="00443A66" w:rsidRDefault="00443A66" w:rsidP="00243DB0">
      <w:pPr>
        <w:rPr>
          <w:b/>
          <w:sz w:val="24"/>
          <w:szCs w:val="24"/>
        </w:rPr>
      </w:pPr>
    </w:p>
    <w:p w14:paraId="79455D2F" w14:textId="77777777" w:rsidR="00443A66" w:rsidRDefault="00443A66" w:rsidP="00243DB0">
      <w:pPr>
        <w:rPr>
          <w:b/>
          <w:sz w:val="24"/>
          <w:szCs w:val="24"/>
        </w:rPr>
      </w:pPr>
    </w:p>
    <w:p w14:paraId="390CB18A" w14:textId="77777777" w:rsidR="00443A66" w:rsidRDefault="00443A66" w:rsidP="00243DB0">
      <w:pPr>
        <w:rPr>
          <w:b/>
          <w:sz w:val="24"/>
          <w:szCs w:val="24"/>
        </w:rPr>
      </w:pPr>
    </w:p>
    <w:p w14:paraId="2A5B9721" w14:textId="77777777" w:rsidR="00443A66" w:rsidRDefault="00443A66" w:rsidP="00243DB0">
      <w:pPr>
        <w:rPr>
          <w:b/>
          <w:sz w:val="24"/>
          <w:szCs w:val="24"/>
        </w:rPr>
      </w:pPr>
    </w:p>
    <w:p w14:paraId="1B7243FD" w14:textId="77777777" w:rsidR="00443A66" w:rsidRDefault="00443A66" w:rsidP="00243DB0">
      <w:pPr>
        <w:rPr>
          <w:b/>
          <w:sz w:val="24"/>
          <w:szCs w:val="24"/>
        </w:rPr>
      </w:pPr>
    </w:p>
    <w:p w14:paraId="64E34CAB" w14:textId="77777777" w:rsidR="00443A66" w:rsidRDefault="00443A66"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Pr="001465A9" w:rsidRDefault="00D3203C" w:rsidP="00FF7EBB">
            <w:pPr>
              <w:jc w:val="both"/>
              <w:rPr>
                <w:iCs/>
                <w:sz w:val="24"/>
                <w:szCs w:val="24"/>
              </w:rPr>
            </w:pPr>
          </w:p>
          <w:p w14:paraId="3AC2F4DE" w14:textId="2302F216"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sz w:val="28"/>
                <w:szCs w:val="28"/>
              </w:rPr>
              <w:t>Using Maclean’s (2015) “</w:t>
            </w:r>
            <w:r w:rsidRPr="001465A9">
              <w:rPr>
                <w:rFonts w:asciiTheme="minorHAnsi" w:hAnsiTheme="minorHAnsi" w:cstheme="minorHAnsi"/>
                <w:i/>
                <w:iCs/>
                <w:sz w:val="28"/>
                <w:szCs w:val="28"/>
              </w:rPr>
              <w:t>The Big 6</w:t>
            </w:r>
            <w:r w:rsidRPr="001465A9">
              <w:rPr>
                <w:rFonts w:asciiTheme="minorHAnsi" w:hAnsiTheme="minorHAnsi" w:cstheme="minorHAnsi"/>
                <w:sz w:val="28"/>
                <w:szCs w:val="28"/>
              </w:rPr>
              <w:t>” model of reflection I will look at the three learning outcomes in Part 1 (a) as Sheppard et al, (2000) declares how reflection is a “</w:t>
            </w:r>
            <w:r w:rsidRPr="001465A9">
              <w:rPr>
                <w:rFonts w:asciiTheme="minorHAnsi" w:hAnsiTheme="minorHAnsi" w:cstheme="minorHAnsi"/>
                <w:i/>
                <w:iCs/>
                <w:sz w:val="28"/>
                <w:szCs w:val="28"/>
              </w:rPr>
              <w:t>relationship between knowledge and practice</w:t>
            </w:r>
            <w:r w:rsidRPr="001465A9">
              <w:rPr>
                <w:rFonts w:asciiTheme="minorHAnsi" w:hAnsiTheme="minorHAnsi" w:cstheme="minorHAnsi"/>
                <w:sz w:val="28"/>
                <w:szCs w:val="28"/>
              </w:rPr>
              <w:t xml:space="preserve">” (p465) contrary to </w:t>
            </w:r>
            <w:proofErr w:type="spellStart"/>
            <w:r w:rsidRPr="001465A9">
              <w:rPr>
                <w:rFonts w:asciiTheme="minorHAnsi" w:hAnsiTheme="minorHAnsi" w:cstheme="minorHAnsi"/>
                <w:sz w:val="28"/>
                <w:szCs w:val="28"/>
              </w:rPr>
              <w:t>Ixer’s</w:t>
            </w:r>
            <w:proofErr w:type="spellEnd"/>
            <w:r w:rsidRPr="001465A9">
              <w:rPr>
                <w:rFonts w:asciiTheme="minorHAnsi" w:hAnsiTheme="minorHAnsi" w:cstheme="minorHAnsi"/>
                <w:sz w:val="28"/>
                <w:szCs w:val="28"/>
              </w:rPr>
              <w:t xml:space="preserve"> (1991) article entitled “</w:t>
            </w:r>
            <w:r w:rsidRPr="001465A9">
              <w:rPr>
                <w:rFonts w:asciiTheme="minorHAnsi" w:hAnsiTheme="minorHAnsi" w:cstheme="minorHAnsi"/>
                <w:i/>
                <w:iCs/>
                <w:sz w:val="28"/>
                <w:szCs w:val="28"/>
              </w:rPr>
              <w:t xml:space="preserve">There’s No Such Thing </w:t>
            </w:r>
            <w:proofErr w:type="gramStart"/>
            <w:r w:rsidRPr="001465A9">
              <w:rPr>
                <w:rFonts w:asciiTheme="minorHAnsi" w:hAnsiTheme="minorHAnsi" w:cstheme="minorHAnsi"/>
                <w:i/>
                <w:iCs/>
                <w:sz w:val="28"/>
                <w:szCs w:val="28"/>
              </w:rPr>
              <w:t>As</w:t>
            </w:r>
            <w:proofErr w:type="gramEnd"/>
            <w:r w:rsidRPr="001465A9">
              <w:rPr>
                <w:rFonts w:asciiTheme="minorHAnsi" w:hAnsiTheme="minorHAnsi" w:cstheme="minorHAnsi"/>
                <w:i/>
                <w:iCs/>
                <w:sz w:val="28"/>
                <w:szCs w:val="28"/>
              </w:rPr>
              <w:t xml:space="preserve"> Reflection</w:t>
            </w:r>
            <w:r w:rsidRPr="001465A9">
              <w:rPr>
                <w:rFonts w:asciiTheme="minorHAnsi" w:hAnsiTheme="minorHAnsi" w:cstheme="minorHAnsi"/>
                <w:sz w:val="28"/>
                <w:szCs w:val="28"/>
              </w:rPr>
              <w:t>”.</w:t>
            </w:r>
          </w:p>
          <w:p w14:paraId="6438B539" w14:textId="77777777" w:rsidR="001465A9" w:rsidRPr="001465A9" w:rsidRDefault="001465A9" w:rsidP="001465A9">
            <w:pPr>
              <w:pStyle w:val="Standard"/>
              <w:spacing w:line="480" w:lineRule="auto"/>
              <w:rPr>
                <w:rFonts w:asciiTheme="minorHAnsi" w:hAnsiTheme="minorHAnsi" w:cstheme="minorHAnsi"/>
                <w:sz w:val="28"/>
                <w:szCs w:val="28"/>
              </w:rPr>
            </w:pPr>
          </w:p>
          <w:p w14:paraId="6E8D3DF8" w14:textId="3828C829"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sz w:val="28"/>
                <w:szCs w:val="28"/>
              </w:rPr>
              <w:t xml:space="preserve">My </w:t>
            </w:r>
            <w:r w:rsidRPr="001465A9">
              <w:rPr>
                <w:rFonts w:asciiTheme="minorHAnsi" w:hAnsiTheme="minorHAnsi" w:cstheme="minorHAnsi"/>
                <w:i/>
                <w:iCs/>
                <w:sz w:val="28"/>
                <w:szCs w:val="28"/>
              </w:rPr>
              <w:t>knowledge</w:t>
            </w:r>
            <w:r w:rsidRPr="001465A9">
              <w:rPr>
                <w:rFonts w:asciiTheme="minorHAnsi" w:hAnsiTheme="minorHAnsi" w:cstheme="minorHAnsi"/>
                <w:sz w:val="28"/>
                <w:szCs w:val="28"/>
              </w:rPr>
              <w:t xml:space="preserve"> of safeguarding (outcome 1), particularly H</w:t>
            </w:r>
            <w:r w:rsidR="00443A66">
              <w:rPr>
                <w:rFonts w:asciiTheme="minorHAnsi" w:hAnsiTheme="minorHAnsi" w:cstheme="minorHAnsi"/>
                <w:sz w:val="28"/>
                <w:szCs w:val="28"/>
              </w:rPr>
              <w:t xml:space="preserve">oarding </w:t>
            </w:r>
            <w:r w:rsidRPr="001465A9">
              <w:rPr>
                <w:rFonts w:asciiTheme="minorHAnsi" w:hAnsiTheme="minorHAnsi" w:cstheme="minorHAnsi"/>
                <w:sz w:val="28"/>
                <w:szCs w:val="28"/>
              </w:rPr>
              <w:t>D</w:t>
            </w:r>
            <w:r w:rsidR="00443A66">
              <w:rPr>
                <w:rFonts w:asciiTheme="minorHAnsi" w:hAnsiTheme="minorHAnsi" w:cstheme="minorHAnsi"/>
                <w:sz w:val="28"/>
                <w:szCs w:val="28"/>
              </w:rPr>
              <w:t>isorder</w:t>
            </w:r>
            <w:r w:rsidRPr="001465A9">
              <w:rPr>
                <w:rFonts w:asciiTheme="minorHAnsi" w:hAnsiTheme="minorHAnsi" w:cstheme="minorHAnsi"/>
                <w:sz w:val="28"/>
                <w:szCs w:val="28"/>
              </w:rPr>
              <w:t xml:space="preserve">, has exponentially increased through working with Person 2 and the research undertaken to enlighten a greater appreciation of this condition, the risks associated, and the multi-faceted aspects of neglect (WSP, 2023). My </w:t>
            </w:r>
            <w:r w:rsidRPr="001465A9">
              <w:rPr>
                <w:rFonts w:asciiTheme="minorHAnsi" w:hAnsiTheme="minorHAnsi" w:cstheme="minorHAnsi"/>
                <w:i/>
                <w:iCs/>
                <w:sz w:val="28"/>
                <w:szCs w:val="28"/>
              </w:rPr>
              <w:t>knowledge</w:t>
            </w:r>
            <w:r w:rsidRPr="001465A9">
              <w:rPr>
                <w:rFonts w:asciiTheme="minorHAnsi" w:hAnsiTheme="minorHAnsi" w:cstheme="minorHAnsi"/>
                <w:sz w:val="28"/>
                <w:szCs w:val="28"/>
              </w:rPr>
              <w:t xml:space="preserve"> of Mental Capacity Assessments (outcome 2) has also improved, and confidence elevated as to </w:t>
            </w:r>
            <w:r w:rsidRPr="001465A9">
              <w:rPr>
                <w:rFonts w:asciiTheme="minorHAnsi" w:hAnsiTheme="minorHAnsi" w:cstheme="minorHAnsi"/>
                <w:sz w:val="28"/>
                <w:szCs w:val="28"/>
              </w:rPr>
              <w:lastRenderedPageBreak/>
              <w:t>when/how/who can conduct them as Person 2’s capacity was assessed for hospital discharge (Health) and will be again for any tenancy agreement with the council (Housing).  This has been aided by practical involvement and formal training in the Mental Capacity Act 2005.</w:t>
            </w:r>
          </w:p>
          <w:p w14:paraId="3B8F535F" w14:textId="77777777" w:rsidR="001465A9" w:rsidRPr="001465A9" w:rsidRDefault="001465A9" w:rsidP="001465A9">
            <w:pPr>
              <w:pStyle w:val="Standard"/>
              <w:spacing w:line="480" w:lineRule="auto"/>
              <w:rPr>
                <w:rFonts w:asciiTheme="minorHAnsi" w:hAnsiTheme="minorHAnsi" w:cstheme="minorHAnsi"/>
                <w:sz w:val="28"/>
                <w:szCs w:val="28"/>
              </w:rPr>
            </w:pPr>
          </w:p>
          <w:p w14:paraId="047E3C28" w14:textId="77777777"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i/>
                <w:iCs/>
                <w:sz w:val="28"/>
                <w:szCs w:val="28"/>
              </w:rPr>
              <w:t>Uncertainty</w:t>
            </w:r>
            <w:r w:rsidRPr="001465A9">
              <w:rPr>
                <w:rFonts w:asciiTheme="minorHAnsi" w:hAnsiTheme="minorHAnsi" w:cstheme="minorHAnsi"/>
                <w:sz w:val="28"/>
                <w:szCs w:val="28"/>
              </w:rPr>
              <w:t xml:space="preserve"> persists with my lack of experience with culturally diverse cases (outcome 3); however, independent learning has supported this.  Religious identity has been important to a few of my cases, e.g., Jehovah Witnesses, nonetheless, due to the demographic of the county, opportunity to advocate for all nine protected characteristics remains minimal and is still a work in progress (Equality Act, 2010).</w:t>
            </w:r>
          </w:p>
          <w:p w14:paraId="79D6796F" w14:textId="77777777" w:rsidR="001465A9" w:rsidRPr="001465A9" w:rsidRDefault="001465A9" w:rsidP="001465A9">
            <w:pPr>
              <w:pStyle w:val="Standard"/>
              <w:spacing w:line="480" w:lineRule="auto"/>
              <w:rPr>
                <w:rFonts w:asciiTheme="minorHAnsi" w:hAnsiTheme="minorHAnsi" w:cstheme="minorHAnsi"/>
                <w:sz w:val="28"/>
                <w:szCs w:val="28"/>
              </w:rPr>
            </w:pPr>
          </w:p>
          <w:p w14:paraId="33FD8C4A" w14:textId="4CBA7329"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sz w:val="28"/>
                <w:szCs w:val="28"/>
              </w:rPr>
              <w:t xml:space="preserve">Conversely, what has been </w:t>
            </w:r>
            <w:r w:rsidRPr="001465A9">
              <w:rPr>
                <w:rFonts w:asciiTheme="minorHAnsi" w:hAnsiTheme="minorHAnsi" w:cstheme="minorHAnsi"/>
                <w:i/>
                <w:iCs/>
                <w:sz w:val="28"/>
                <w:szCs w:val="28"/>
              </w:rPr>
              <w:t>certain</w:t>
            </w:r>
            <w:r w:rsidRPr="001465A9">
              <w:rPr>
                <w:rFonts w:asciiTheme="minorHAnsi" w:hAnsiTheme="minorHAnsi" w:cstheme="minorHAnsi"/>
                <w:sz w:val="28"/>
                <w:szCs w:val="28"/>
              </w:rPr>
              <w:t xml:space="preserve"> over the last twenty-two months are my CRT social worker colleagues and TM which have helped me settle, grow, and consistently offer support with their decades of wisdom.  I have developed productive relationships with Care Providers, District Nurse Teams, Occupational Therapists (Health and Social Services) and the Physiotherapy Team as well as Discharge Coordinators from acute/community hospitals.  </w:t>
            </w:r>
          </w:p>
          <w:p w14:paraId="20FBBB31" w14:textId="77777777" w:rsidR="001465A9" w:rsidRPr="001465A9" w:rsidRDefault="001465A9" w:rsidP="001465A9">
            <w:pPr>
              <w:pStyle w:val="Standard"/>
              <w:spacing w:line="480" w:lineRule="auto"/>
              <w:rPr>
                <w:rFonts w:asciiTheme="minorHAnsi" w:hAnsiTheme="minorHAnsi" w:cstheme="minorHAnsi"/>
                <w:sz w:val="28"/>
                <w:szCs w:val="28"/>
              </w:rPr>
            </w:pPr>
          </w:p>
          <w:p w14:paraId="74490523" w14:textId="77777777"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sz w:val="28"/>
                <w:szCs w:val="28"/>
              </w:rPr>
              <w:lastRenderedPageBreak/>
              <w:t xml:space="preserve">Demonstrating </w:t>
            </w:r>
            <w:r w:rsidRPr="001465A9">
              <w:rPr>
                <w:rFonts w:asciiTheme="minorHAnsi" w:hAnsiTheme="minorHAnsi" w:cstheme="minorHAnsi"/>
                <w:i/>
                <w:iCs/>
                <w:sz w:val="28"/>
                <w:szCs w:val="28"/>
              </w:rPr>
              <w:t>self-awareness</w:t>
            </w:r>
            <w:r w:rsidRPr="001465A9">
              <w:rPr>
                <w:rFonts w:asciiTheme="minorHAnsi" w:hAnsiTheme="minorHAnsi" w:cstheme="minorHAnsi"/>
                <w:sz w:val="28"/>
                <w:szCs w:val="28"/>
              </w:rPr>
              <w:t xml:space="preserve"> of my practice and building on the observed visit in Part 2 of this portfolio, I designed a simple, bilingual form with 6 optional questions asking respondents including caseload and professional mentioned above if they knew the purpose to any meeting, felt listened to, or make suggestions for improvements.  Twenty forms with free-post self-addressed envelopes to Head Quarters were printed and to date eleven have been handed out with nine being returned.  All have been positive. I will continue with all twenty forms and periodically repeat this to reflect on practice.  </w:t>
            </w:r>
          </w:p>
          <w:p w14:paraId="305714B7" w14:textId="77777777" w:rsidR="001465A9" w:rsidRPr="001465A9" w:rsidRDefault="001465A9" w:rsidP="001465A9">
            <w:pPr>
              <w:pStyle w:val="Standard"/>
              <w:spacing w:line="480" w:lineRule="auto"/>
              <w:rPr>
                <w:rFonts w:asciiTheme="minorHAnsi" w:hAnsiTheme="minorHAnsi" w:cstheme="minorHAnsi"/>
                <w:sz w:val="28"/>
                <w:szCs w:val="28"/>
              </w:rPr>
            </w:pPr>
          </w:p>
          <w:p w14:paraId="17C273D8" w14:textId="65B81EFF"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sz w:val="28"/>
                <w:szCs w:val="28"/>
              </w:rPr>
              <w:t xml:space="preserve">I have felt the </w:t>
            </w:r>
            <w:r w:rsidRPr="001465A9">
              <w:rPr>
                <w:rFonts w:asciiTheme="minorHAnsi" w:hAnsiTheme="minorHAnsi" w:cstheme="minorHAnsi"/>
                <w:i/>
                <w:iCs/>
                <w:sz w:val="28"/>
                <w:szCs w:val="28"/>
              </w:rPr>
              <w:t xml:space="preserve">power </w:t>
            </w:r>
            <w:r w:rsidRPr="001465A9">
              <w:rPr>
                <w:rFonts w:asciiTheme="minorHAnsi" w:hAnsiTheme="minorHAnsi" w:cstheme="minorHAnsi"/>
                <w:sz w:val="28"/>
                <w:szCs w:val="28"/>
              </w:rPr>
              <w:t>that other professionals have exerted over me and my caseload e.g., G. Ps, consultants etc., with a resistance to share vital information, and use of terminology that excludes participation from those they refer to as “patients” forgetting that they are primarily individuals (Littlechild, 2008)).  I have encountered prejudice from Health professionals who consider science and the medical model viewpoint focusing solely on impairments that need fixing (Maclean and Harrison, 2009) as being more prestigious than the social work and social model (</w:t>
            </w:r>
            <w:proofErr w:type="spellStart"/>
            <w:r w:rsidRPr="001465A9">
              <w:rPr>
                <w:rFonts w:asciiTheme="minorHAnsi" w:hAnsiTheme="minorHAnsi" w:cstheme="minorHAnsi"/>
                <w:sz w:val="28"/>
                <w:szCs w:val="28"/>
              </w:rPr>
              <w:t>Emmilsson</w:t>
            </w:r>
            <w:proofErr w:type="spellEnd"/>
            <w:r w:rsidRPr="001465A9">
              <w:rPr>
                <w:rFonts w:asciiTheme="minorHAnsi" w:hAnsiTheme="minorHAnsi" w:cstheme="minorHAnsi"/>
                <w:sz w:val="28"/>
                <w:szCs w:val="28"/>
              </w:rPr>
              <w:t xml:space="preserve">, 2013).  Positively, this has made my practice more conscious of power imbalance and I confirm understanding and agreement to every course of action regularly to ensure </w:t>
            </w:r>
            <w:r w:rsidRPr="001465A9">
              <w:rPr>
                <w:rFonts w:asciiTheme="minorHAnsi" w:hAnsiTheme="minorHAnsi" w:cstheme="minorHAnsi"/>
                <w:sz w:val="28"/>
                <w:szCs w:val="28"/>
              </w:rPr>
              <w:lastRenderedPageBreak/>
              <w:t>that the individual has “</w:t>
            </w:r>
            <w:r w:rsidRPr="001465A9">
              <w:rPr>
                <w:rFonts w:asciiTheme="minorHAnsi" w:hAnsiTheme="minorHAnsi" w:cstheme="minorHAnsi"/>
                <w:i/>
                <w:iCs/>
                <w:sz w:val="28"/>
                <w:szCs w:val="28"/>
              </w:rPr>
              <w:t>voice, choice and control</w:t>
            </w:r>
            <w:r w:rsidRPr="001465A9">
              <w:rPr>
                <w:rFonts w:asciiTheme="minorHAnsi" w:hAnsiTheme="minorHAnsi" w:cstheme="minorHAnsi"/>
                <w:sz w:val="28"/>
                <w:szCs w:val="28"/>
              </w:rPr>
              <w:t>” (D</w:t>
            </w:r>
            <w:r w:rsidR="00443A66">
              <w:rPr>
                <w:rFonts w:asciiTheme="minorHAnsi" w:hAnsiTheme="minorHAnsi" w:cstheme="minorHAnsi"/>
                <w:sz w:val="28"/>
                <w:szCs w:val="28"/>
              </w:rPr>
              <w:t xml:space="preserve">epartment </w:t>
            </w:r>
            <w:r w:rsidRPr="001465A9">
              <w:rPr>
                <w:rFonts w:asciiTheme="minorHAnsi" w:hAnsiTheme="minorHAnsi" w:cstheme="minorHAnsi"/>
                <w:sz w:val="28"/>
                <w:szCs w:val="28"/>
              </w:rPr>
              <w:t>o</w:t>
            </w:r>
            <w:r w:rsidR="00443A66">
              <w:rPr>
                <w:rFonts w:asciiTheme="minorHAnsi" w:hAnsiTheme="minorHAnsi" w:cstheme="minorHAnsi"/>
                <w:sz w:val="28"/>
                <w:szCs w:val="28"/>
              </w:rPr>
              <w:t xml:space="preserve">f </w:t>
            </w:r>
            <w:r w:rsidRPr="001465A9">
              <w:rPr>
                <w:rFonts w:asciiTheme="minorHAnsi" w:hAnsiTheme="minorHAnsi" w:cstheme="minorHAnsi"/>
                <w:sz w:val="28"/>
                <w:szCs w:val="28"/>
              </w:rPr>
              <w:t>H</w:t>
            </w:r>
            <w:r w:rsidR="00443A66">
              <w:rPr>
                <w:rFonts w:asciiTheme="minorHAnsi" w:hAnsiTheme="minorHAnsi" w:cstheme="minorHAnsi"/>
                <w:sz w:val="28"/>
                <w:szCs w:val="28"/>
              </w:rPr>
              <w:t>ealth</w:t>
            </w:r>
            <w:r w:rsidRPr="001465A9">
              <w:rPr>
                <w:rFonts w:asciiTheme="minorHAnsi" w:hAnsiTheme="minorHAnsi" w:cstheme="minorHAnsi"/>
                <w:sz w:val="28"/>
                <w:szCs w:val="28"/>
              </w:rPr>
              <w:t xml:space="preserve">, 2013) </w:t>
            </w:r>
            <w:r w:rsidRPr="001465A9">
              <w:rPr>
                <w:rFonts w:asciiTheme="minorHAnsi" w:hAnsiTheme="minorHAnsi" w:cstheme="minorHAnsi"/>
                <w:color w:val="00000A"/>
                <w:sz w:val="28"/>
                <w:szCs w:val="28"/>
              </w:rPr>
              <w:t>in their language of need (Davies, 2009) and through communication methods they prefer to establish successful transmission (</w:t>
            </w:r>
            <w:proofErr w:type="spellStart"/>
            <w:r w:rsidRPr="001465A9">
              <w:rPr>
                <w:rFonts w:asciiTheme="minorHAnsi" w:hAnsiTheme="minorHAnsi" w:cstheme="minorHAnsi"/>
                <w:color w:val="00000A"/>
                <w:sz w:val="28"/>
                <w:szCs w:val="28"/>
              </w:rPr>
              <w:t>Berlo</w:t>
            </w:r>
            <w:proofErr w:type="spellEnd"/>
            <w:r w:rsidRPr="001465A9">
              <w:rPr>
                <w:rFonts w:asciiTheme="minorHAnsi" w:hAnsiTheme="minorHAnsi" w:cstheme="minorHAnsi"/>
                <w:color w:val="00000A"/>
                <w:sz w:val="28"/>
                <w:szCs w:val="28"/>
              </w:rPr>
              <w:t>, 1960).</w:t>
            </w:r>
          </w:p>
          <w:p w14:paraId="19E2E443" w14:textId="77777777" w:rsidR="001465A9" w:rsidRPr="001465A9" w:rsidRDefault="001465A9" w:rsidP="001465A9">
            <w:pPr>
              <w:pStyle w:val="Standard"/>
              <w:spacing w:line="480" w:lineRule="auto"/>
              <w:rPr>
                <w:rFonts w:asciiTheme="minorHAnsi" w:hAnsiTheme="minorHAnsi" w:cstheme="minorHAnsi"/>
                <w:sz w:val="28"/>
                <w:szCs w:val="28"/>
              </w:rPr>
            </w:pPr>
          </w:p>
          <w:p w14:paraId="305B9A0F" w14:textId="0C085605"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sz w:val="28"/>
                <w:szCs w:val="28"/>
              </w:rPr>
              <w:t xml:space="preserve">My </w:t>
            </w:r>
            <w:r w:rsidRPr="001465A9">
              <w:rPr>
                <w:rFonts w:asciiTheme="minorHAnsi" w:hAnsiTheme="minorHAnsi" w:cstheme="minorHAnsi"/>
                <w:i/>
                <w:iCs/>
                <w:sz w:val="28"/>
                <w:szCs w:val="28"/>
              </w:rPr>
              <w:t xml:space="preserve">emotions </w:t>
            </w:r>
            <w:r w:rsidRPr="001465A9">
              <w:rPr>
                <w:rFonts w:asciiTheme="minorHAnsi" w:hAnsiTheme="minorHAnsi" w:cstheme="minorHAnsi"/>
                <w:sz w:val="28"/>
                <w:szCs w:val="28"/>
              </w:rPr>
              <w:t>have mainly been frustration and sadness and I openly share this with my TM during our 4-weekly supervisions. Over the last two years I have found that multi-disciplinary team working is not necessary equally proportioned and that social workers shoulder</w:t>
            </w:r>
            <w:r w:rsidR="00443A66">
              <w:rPr>
                <w:rFonts w:asciiTheme="minorHAnsi" w:hAnsiTheme="minorHAnsi" w:cstheme="minorHAnsi"/>
                <w:sz w:val="28"/>
                <w:szCs w:val="28"/>
              </w:rPr>
              <w:t xml:space="preserve"> m</w:t>
            </w:r>
            <w:r w:rsidRPr="001465A9">
              <w:rPr>
                <w:rFonts w:asciiTheme="minorHAnsi" w:hAnsiTheme="minorHAnsi" w:cstheme="minorHAnsi"/>
                <w:sz w:val="28"/>
                <w:szCs w:val="28"/>
              </w:rPr>
              <w:t xml:space="preserve">ost of the workload </w:t>
            </w:r>
            <w:r w:rsidRPr="001465A9">
              <w:rPr>
                <w:rFonts w:asciiTheme="minorHAnsi" w:hAnsiTheme="minorHAnsi" w:cstheme="minorHAnsi"/>
                <w:color w:val="00000A"/>
                <w:sz w:val="28"/>
                <w:szCs w:val="28"/>
              </w:rPr>
              <w:t>(Payne, 2000</w:t>
            </w:r>
            <w:r w:rsidRPr="001465A9">
              <w:rPr>
                <w:rFonts w:asciiTheme="minorHAnsi" w:hAnsiTheme="minorHAnsi" w:cstheme="minorHAnsi"/>
                <w:sz w:val="28"/>
                <w:szCs w:val="28"/>
              </w:rPr>
              <w:t>).  Again, this has been a prominent feature in Person 2’s case where I have physically presented myself to the Older People Mental Health Team twice to encourage co-working after unanswered emails spanning over 3 months and multiple telephone calls to the department (of position) have failed to elicit any response.  I fe</w:t>
            </w:r>
            <w:r>
              <w:rPr>
                <w:rFonts w:asciiTheme="minorHAnsi" w:hAnsiTheme="minorHAnsi" w:cstheme="minorHAnsi"/>
                <w:sz w:val="28"/>
                <w:szCs w:val="28"/>
              </w:rPr>
              <w:t>el</w:t>
            </w:r>
            <w:r w:rsidRPr="001465A9">
              <w:rPr>
                <w:rFonts w:asciiTheme="minorHAnsi" w:hAnsiTheme="minorHAnsi" w:cstheme="minorHAnsi"/>
                <w:sz w:val="28"/>
                <w:szCs w:val="28"/>
              </w:rPr>
              <w:t xml:space="preserve"> frustrated by the information I am required to share as part of the safeguarding protocol which would undoubtedly benefit Person 2</w:t>
            </w:r>
            <w:r w:rsidR="00EF21ED">
              <w:rPr>
                <w:rFonts w:asciiTheme="minorHAnsi" w:hAnsiTheme="minorHAnsi" w:cstheme="minorHAnsi"/>
                <w:sz w:val="28"/>
                <w:szCs w:val="28"/>
              </w:rPr>
              <w:t xml:space="preserve"> being ignored</w:t>
            </w:r>
            <w:r w:rsidRPr="001465A9">
              <w:rPr>
                <w:rFonts w:asciiTheme="minorHAnsi" w:hAnsiTheme="minorHAnsi" w:cstheme="minorHAnsi"/>
                <w:sz w:val="28"/>
                <w:szCs w:val="28"/>
              </w:rPr>
              <w:t>.  In general, I feel deep sadness with any missed opportunities for support and the scarcity of resources (e.g., EMI respite and permanent placements in the county) offered to my cases and grief when they die.  This is what Hochschild (1983) refers to “</w:t>
            </w:r>
            <w:r w:rsidRPr="001465A9">
              <w:rPr>
                <w:rFonts w:asciiTheme="minorHAnsi" w:hAnsiTheme="minorHAnsi" w:cstheme="minorHAnsi"/>
                <w:i/>
                <w:iCs/>
                <w:sz w:val="28"/>
                <w:szCs w:val="28"/>
              </w:rPr>
              <w:t>emotional labour</w:t>
            </w:r>
            <w:r w:rsidRPr="001465A9">
              <w:rPr>
                <w:rFonts w:asciiTheme="minorHAnsi" w:hAnsiTheme="minorHAnsi" w:cstheme="minorHAnsi"/>
                <w:sz w:val="28"/>
                <w:szCs w:val="28"/>
              </w:rPr>
              <w:t xml:space="preserve">” where my feelings become governed by my employer through specific procedures.  I may learn how to feel less </w:t>
            </w:r>
            <w:r w:rsidRPr="001465A9">
              <w:rPr>
                <w:rFonts w:asciiTheme="minorHAnsi" w:hAnsiTheme="minorHAnsi" w:cstheme="minorHAnsi"/>
                <w:sz w:val="28"/>
                <w:szCs w:val="28"/>
              </w:rPr>
              <w:lastRenderedPageBreak/>
              <w:t>frustrated, disappointed, sad etc., but that may be at the risk of losing my passion and enthusiasm for the work with a balance being required (Wharton, 2009).</w:t>
            </w:r>
          </w:p>
          <w:p w14:paraId="4532025F" w14:textId="77777777" w:rsidR="001465A9" w:rsidRPr="001465A9" w:rsidRDefault="001465A9" w:rsidP="001465A9">
            <w:pPr>
              <w:pStyle w:val="Standard"/>
              <w:spacing w:line="480" w:lineRule="auto"/>
              <w:rPr>
                <w:rFonts w:asciiTheme="minorHAnsi" w:hAnsiTheme="minorHAnsi" w:cstheme="minorHAnsi"/>
                <w:sz w:val="28"/>
                <w:szCs w:val="28"/>
              </w:rPr>
            </w:pPr>
          </w:p>
          <w:p w14:paraId="2A91D6F2" w14:textId="47254640"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sz w:val="28"/>
                <w:szCs w:val="28"/>
              </w:rPr>
              <w:t xml:space="preserve">My </w:t>
            </w:r>
            <w:r w:rsidRPr="001465A9">
              <w:rPr>
                <w:rFonts w:asciiTheme="minorHAnsi" w:hAnsiTheme="minorHAnsi" w:cstheme="minorHAnsi"/>
                <w:i/>
                <w:iCs/>
                <w:sz w:val="28"/>
                <w:szCs w:val="28"/>
              </w:rPr>
              <w:t>values</w:t>
            </w:r>
            <w:r w:rsidRPr="001465A9">
              <w:rPr>
                <w:rFonts w:asciiTheme="minorHAnsi" w:hAnsiTheme="minorHAnsi" w:cstheme="minorHAnsi"/>
                <w:sz w:val="28"/>
                <w:szCs w:val="28"/>
              </w:rPr>
              <w:t xml:space="preserve"> and ethics have been challenged by others e.g., when someone’s consent has not been gained and their mental capacity to decide has been </w:t>
            </w:r>
            <w:r w:rsidR="00EF21ED">
              <w:rPr>
                <w:rFonts w:asciiTheme="minorHAnsi" w:hAnsiTheme="minorHAnsi" w:cstheme="minorHAnsi"/>
                <w:sz w:val="28"/>
                <w:szCs w:val="28"/>
              </w:rPr>
              <w:t>overlook</w:t>
            </w:r>
            <w:r w:rsidRPr="001465A9">
              <w:rPr>
                <w:rFonts w:asciiTheme="minorHAnsi" w:hAnsiTheme="minorHAnsi" w:cstheme="minorHAnsi"/>
                <w:sz w:val="28"/>
                <w:szCs w:val="28"/>
              </w:rPr>
              <w:t>ed, resulting in a re-affirmation to defend their human rights and advocate vehemently on their behalf as I agreed to do when I signed the Code of Professional Practice (SCW, 2017).</w:t>
            </w:r>
          </w:p>
          <w:p w14:paraId="37EFD2FD" w14:textId="77777777" w:rsidR="001465A9" w:rsidRPr="001465A9" w:rsidRDefault="001465A9" w:rsidP="001465A9">
            <w:pPr>
              <w:pStyle w:val="Standard"/>
              <w:spacing w:line="480" w:lineRule="auto"/>
              <w:rPr>
                <w:rFonts w:asciiTheme="minorHAnsi" w:hAnsiTheme="minorHAnsi" w:cstheme="minorHAnsi"/>
                <w:sz w:val="28"/>
                <w:szCs w:val="28"/>
              </w:rPr>
            </w:pPr>
          </w:p>
          <w:p w14:paraId="067DFBEC" w14:textId="77777777" w:rsidR="001465A9" w:rsidRPr="001465A9" w:rsidRDefault="001465A9" w:rsidP="001465A9">
            <w:pPr>
              <w:pStyle w:val="Standard"/>
              <w:spacing w:line="480" w:lineRule="auto"/>
              <w:rPr>
                <w:rFonts w:asciiTheme="minorHAnsi" w:hAnsiTheme="minorHAnsi" w:cstheme="minorHAnsi"/>
                <w:sz w:val="28"/>
                <w:szCs w:val="28"/>
              </w:rPr>
            </w:pPr>
            <w:r w:rsidRPr="001465A9">
              <w:rPr>
                <w:rFonts w:asciiTheme="minorHAnsi" w:hAnsiTheme="minorHAnsi" w:cstheme="minorHAnsi"/>
                <w:sz w:val="28"/>
                <w:szCs w:val="28"/>
              </w:rPr>
              <w:t>During my last supervision, future training was discussed.  In addition to the three learning outcomes stated above a future goal would be to become a practice educator as I have an education and training certificate and possibly a Best Interest Assessors course in the next 5 years.</w:t>
            </w:r>
          </w:p>
          <w:p w14:paraId="2A362F34" w14:textId="77777777" w:rsidR="001465A9" w:rsidRPr="001465A9" w:rsidRDefault="001465A9" w:rsidP="001465A9">
            <w:pPr>
              <w:pStyle w:val="Standard"/>
              <w:rPr>
                <w:rFonts w:asciiTheme="minorHAnsi" w:hAnsiTheme="minorHAnsi" w:cstheme="minorHAnsi"/>
                <w:sz w:val="28"/>
                <w:szCs w:val="28"/>
              </w:rPr>
            </w:pPr>
          </w:p>
          <w:p w14:paraId="7BBDA6A5" w14:textId="77777777" w:rsidR="001465A9" w:rsidRPr="001465A9" w:rsidRDefault="001465A9" w:rsidP="001465A9">
            <w:pPr>
              <w:pStyle w:val="Standard"/>
              <w:rPr>
                <w:rFonts w:asciiTheme="minorHAnsi" w:hAnsiTheme="minorHAnsi" w:cstheme="minorHAnsi"/>
                <w:sz w:val="28"/>
                <w:szCs w:val="28"/>
              </w:rPr>
            </w:pPr>
          </w:p>
          <w:p w14:paraId="12835099" w14:textId="4A60D213" w:rsidR="00D3203C" w:rsidRDefault="001465A9" w:rsidP="00EF21ED">
            <w:pPr>
              <w:pStyle w:val="Standard"/>
              <w:rPr>
                <w:i/>
                <w:sz w:val="24"/>
                <w:szCs w:val="24"/>
              </w:rPr>
            </w:pPr>
            <w:r w:rsidRPr="001465A9">
              <w:rPr>
                <w:rFonts w:asciiTheme="minorHAnsi" w:hAnsiTheme="minorHAnsi" w:cstheme="minorHAnsi"/>
                <w:sz w:val="28"/>
                <w:szCs w:val="28"/>
              </w:rPr>
              <w:t>Word Count: 8</w:t>
            </w:r>
            <w:r w:rsidR="00EF21ED">
              <w:rPr>
                <w:rFonts w:asciiTheme="minorHAnsi" w:hAnsiTheme="minorHAnsi" w:cstheme="minorHAnsi"/>
                <w:sz w:val="28"/>
                <w:szCs w:val="28"/>
              </w:rPr>
              <w:t>22</w:t>
            </w: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66956" w14:textId="77777777" w:rsidR="00831DAE" w:rsidRDefault="00831DAE">
      <w:r>
        <w:separator/>
      </w:r>
    </w:p>
  </w:endnote>
  <w:endnote w:type="continuationSeparator" w:id="0">
    <w:p w14:paraId="3F44C695" w14:textId="77777777" w:rsidR="00831DAE" w:rsidRDefault="00831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AB3B3" w14:textId="77777777" w:rsidR="00831DAE" w:rsidRDefault="00831DAE">
      <w:r>
        <w:separator/>
      </w:r>
    </w:p>
  </w:footnote>
  <w:footnote w:type="continuationSeparator" w:id="0">
    <w:p w14:paraId="1BB8F814" w14:textId="77777777" w:rsidR="00831DAE" w:rsidRDefault="00831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65A9"/>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4722"/>
    <w:rsid w:val="003960CC"/>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3A66"/>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51A8"/>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A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1ED"/>
    <w:rsid w:val="00EF328C"/>
    <w:rsid w:val="00EF68BB"/>
    <w:rsid w:val="00F01F92"/>
    <w:rsid w:val="00F030D4"/>
    <w:rsid w:val="00F04053"/>
    <w:rsid w:val="00F06573"/>
    <w:rsid w:val="00F10A08"/>
    <w:rsid w:val="00F15354"/>
    <w:rsid w:val="00F16F53"/>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styleId="NormalGwe">
    <w:name w:val="Normal (Web)"/>
    <w:basedOn w:val="Normal"/>
    <w:rsid w:val="001465A9"/>
    <w:pPr>
      <w:suppressAutoHyphens/>
      <w:overflowPunct/>
      <w:autoSpaceDE/>
      <w:adjustRightInd/>
      <w:spacing w:before="100" w:after="100"/>
    </w:pPr>
    <w:rPr>
      <w:rFonts w:ascii="Times New Roman" w:hAnsi="Times New Roman" w:cs="Times New Roman"/>
      <w:color w:val="auto"/>
      <w:kern w:val="3"/>
      <w:sz w:val="24"/>
      <w:szCs w:val="24"/>
      <w:lang w:val="en-US" w:eastAsia="en-US"/>
    </w:rPr>
  </w:style>
  <w:style w:type="paragraph" w:customStyle="1" w:styleId="Standard">
    <w:name w:val="Standard"/>
    <w:rsid w:val="001465A9"/>
    <w:pPr>
      <w:suppressAutoHyphens/>
      <w:autoSpaceDN w:val="0"/>
      <w:textAlignment w:val="baseline"/>
    </w:pPr>
    <w:rPr>
      <w:rFonts w:ascii="Arial" w:hAnsi="Arial" w:cs="Arial"/>
      <w:color w:val="000000"/>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1974</Words>
  <Characters>11256</Characters>
  <Application>Microsoft Office Word</Application>
  <DocSecurity>0</DocSecurity>
  <Lines>93</Lines>
  <Paragraphs>26</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Chickeela Jones-Lewis</cp:lastModifiedBy>
  <cp:revision>7</cp:revision>
  <cp:lastPrinted>2020-02-11T19:20:00Z</cp:lastPrinted>
  <dcterms:created xsi:type="dcterms:W3CDTF">2022-09-29T11:34:00Z</dcterms:created>
  <dcterms:modified xsi:type="dcterms:W3CDTF">2023-10-20T08:25:00Z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