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21CF" w:rsidRDefault="00EA21CF" w:rsidP="00EA21CF">
      <w:pPr>
        <w:jc w:val="center"/>
        <w:rPr>
          <w:u w:val="single"/>
        </w:rPr>
      </w:pPr>
      <w:r w:rsidRPr="0090616F">
        <w:rPr>
          <w:u w:val="single"/>
        </w:rPr>
        <w:t>Saints Portfolio</w:t>
      </w:r>
    </w:p>
    <w:p w:rsidR="00EA21CF" w:rsidRDefault="00EA21CF" w:rsidP="00EA21CF">
      <w:pPr>
        <w:jc w:val="center"/>
        <w:rPr>
          <w:u w:val="single"/>
        </w:rPr>
      </w:pPr>
    </w:p>
    <w:p w:rsidR="00EA21CF" w:rsidRDefault="00EA21CF" w:rsidP="00EA21CF">
      <w:r>
        <w:t xml:space="preserve">When </w:t>
      </w:r>
      <w:r w:rsidR="00314815">
        <w:t>considering</w:t>
      </w:r>
      <w:r w:rsidR="00746A9D">
        <w:t xml:space="preserve"> the importance </w:t>
      </w:r>
      <w:r w:rsidR="00711557">
        <w:t>that</w:t>
      </w:r>
      <w:r w:rsidR="00746A9D">
        <w:t xml:space="preserve"> a compelling story</w:t>
      </w:r>
      <w:r w:rsidR="00711557">
        <w:t xml:space="preserve"> held</w:t>
      </w:r>
      <w:r w:rsidR="00746A9D">
        <w:t xml:space="preserve"> in the making of a saint</w:t>
      </w:r>
      <w:r w:rsidR="00700390">
        <w:t>,</w:t>
      </w:r>
      <w:r>
        <w:t xml:space="preserve"> this is no more apparent than when analysing the cult of St Erasmus. The story of the martyr who would not denounce his faith, regardless of the tortures he was put through, will have served as a </w:t>
      </w:r>
      <w:r w:rsidR="00C21E52">
        <w:t>testament</w:t>
      </w:r>
      <w:r>
        <w:t xml:space="preserve"> to those during the Middle Ages and beyond of the power of staying true to God, in return for the rewards of the afterlife. However, despite the little known about the man himself, ‘</w:t>
      </w:r>
      <w:r w:rsidRPr="002F7B5F">
        <w:t>Hagiographers and artists attempted to supply this deficiency with such effect that his cult spread through most of the Western world</w:t>
      </w:r>
      <w:r>
        <w:t>’.</w:t>
      </w:r>
      <w:r w:rsidR="00FA4239">
        <w:rPr>
          <w:rStyle w:val="FootnoteReference"/>
        </w:rPr>
        <w:footnoteReference w:id="1"/>
      </w:r>
      <w:r>
        <w:t xml:space="preserve"> The aim of this essay is to examine how these methods of spreading his legend represent his personal cause, particularly focusing on the artwork produced around him due to his graphic martyrdom, and what this can tell us about the cult of saints in a broader context. </w:t>
      </w:r>
    </w:p>
    <w:p w:rsidR="00EA21CF" w:rsidRDefault="00EA21CF" w:rsidP="00EA21CF">
      <w:pPr>
        <w:rPr>
          <w:u w:val="single"/>
        </w:rPr>
      </w:pPr>
    </w:p>
    <w:p w:rsidR="007A640F" w:rsidRDefault="007A640F" w:rsidP="009001D3">
      <w:pPr>
        <w:jc w:val="center"/>
        <w:rPr>
          <w:u w:val="single"/>
        </w:rPr>
      </w:pPr>
      <w:r w:rsidRPr="007865A8">
        <w:rPr>
          <w:u w:val="single"/>
        </w:rPr>
        <w:t>Textual Source</w:t>
      </w:r>
    </w:p>
    <w:p w:rsidR="00CB79EC" w:rsidRDefault="00CB79EC" w:rsidP="009001D3">
      <w:pPr>
        <w:jc w:val="center"/>
        <w:rPr>
          <w:u w:val="single"/>
        </w:rPr>
      </w:pPr>
    </w:p>
    <w:p w:rsidR="0068437B" w:rsidRDefault="00C44C89" w:rsidP="00C44C89">
      <w:r>
        <w:t>Despite</w:t>
      </w:r>
      <w:r w:rsidR="007A640F">
        <w:t xml:space="preserve"> an abundance of visual sources depicting St Erasmus and his martyrdom, textual sources of his life and miracles are more difficult to come across. The most important written record relating to him must be his passage in the Golden Legend. </w:t>
      </w:r>
      <w:r w:rsidR="0068437B">
        <w:t>Duffy emphasises the influence and popularity the book had, while also explaining that it was written ‘as an aid for busy priests and preachers’ who required something vivid to add to their sermons</w:t>
      </w:r>
      <w:r w:rsidR="00CA448E">
        <w:t>,</w:t>
      </w:r>
      <w:r w:rsidR="004D1D9D">
        <w:rPr>
          <w:rStyle w:val="FootnoteReference"/>
        </w:rPr>
        <w:footnoteReference w:id="2"/>
      </w:r>
      <w:r w:rsidR="00CA448E">
        <w:t xml:space="preserve"> and </w:t>
      </w:r>
      <w:r w:rsidR="002204F8">
        <w:t>t</w:t>
      </w:r>
      <w:r w:rsidR="0068437B">
        <w:t xml:space="preserve">his passage would have lent itself to the kind of messages delivered in a sermon. Duffy </w:t>
      </w:r>
      <w:r w:rsidR="003E0052">
        <w:t>c</w:t>
      </w:r>
      <w:r w:rsidR="0068437B">
        <w:t>laims that while the book</w:t>
      </w:r>
      <w:r>
        <w:t xml:space="preserve"> was</w:t>
      </w:r>
      <w:r w:rsidR="002567AF">
        <w:t xml:space="preserve"> </w:t>
      </w:r>
      <w:r w:rsidR="00746A9D">
        <w:t>somewhat disorganised in structure</w:t>
      </w:r>
      <w:r w:rsidR="0068437B">
        <w:t>,</w:t>
      </w:r>
      <w:r w:rsidR="0007285E">
        <w:rPr>
          <w:rStyle w:val="FootnoteReference"/>
        </w:rPr>
        <w:footnoteReference w:id="3"/>
      </w:r>
      <w:r w:rsidR="0068437B">
        <w:t xml:space="preserve"> it is the descriptions of martyrs which provided the most engaging writings</w:t>
      </w:r>
      <w:r w:rsidR="003E0052">
        <w:t>,</w:t>
      </w:r>
      <w:r w:rsidR="0068437B">
        <w:t xml:space="preserve"> le</w:t>
      </w:r>
      <w:r w:rsidR="003E0052">
        <w:t>a</w:t>
      </w:r>
      <w:r w:rsidR="0068437B">
        <w:t>d</w:t>
      </w:r>
      <w:r w:rsidR="003E0052">
        <w:t>ing</w:t>
      </w:r>
      <w:r w:rsidR="0068437B">
        <w:t xml:space="preserve"> to the book’s popularity and significance.</w:t>
      </w:r>
      <w:r w:rsidR="00672F49">
        <w:rPr>
          <w:rStyle w:val="FootnoteReference"/>
        </w:rPr>
        <w:footnoteReference w:id="4"/>
      </w:r>
      <w:r w:rsidR="0068437B">
        <w:t xml:space="preserve"> </w:t>
      </w:r>
      <w:r w:rsidR="009601A4">
        <w:t>The scope of the work is emphasised by Le Goff stating that, ‘it has come down to us in over a thousand medieval manuscripts, a figure that paces it second only to the Bible in its circulation in the Middle Ages’.</w:t>
      </w:r>
      <w:r w:rsidR="00082AF6">
        <w:rPr>
          <w:rStyle w:val="FootnoteReference"/>
        </w:rPr>
        <w:footnoteReference w:id="5"/>
      </w:r>
      <w:r w:rsidR="009601A4">
        <w:t xml:space="preserve"> Th</w:t>
      </w:r>
      <w:r w:rsidR="00082AF6">
        <w:t>is</w:t>
      </w:r>
      <w:r w:rsidR="009601A4">
        <w:t xml:space="preserve"> indicates a much wider audience than that of just preachers, instead including lay audiences and artists. </w:t>
      </w:r>
      <w:r w:rsidR="0068437B">
        <w:t xml:space="preserve">That the text influenced so many artists is not surprising given how easily these stories, </w:t>
      </w:r>
      <w:r w:rsidR="00CA448E">
        <w:t>especially</w:t>
      </w:r>
      <w:r w:rsidR="0068437B">
        <w:t xml:space="preserve"> of St Erasmus</w:t>
      </w:r>
      <w:r>
        <w:t xml:space="preserve">, </w:t>
      </w:r>
      <w:r w:rsidR="0068437B">
        <w:t>suit paintings and sculptures.</w:t>
      </w:r>
      <w:r w:rsidR="0016021F">
        <w:t xml:space="preserve"> The book should also be viewed in the context of ‘passions’. Roberts claims that when the persecutions of Christians ended, </w:t>
      </w:r>
      <w:r>
        <w:t>martyrs</w:t>
      </w:r>
      <w:r w:rsidR="0016021F">
        <w:t xml:space="preserve"> ‘enjoyed a new status’ as ‘larger than life’ personalities.</w:t>
      </w:r>
      <w:r w:rsidR="00FA4239">
        <w:rPr>
          <w:rStyle w:val="FootnoteReference"/>
        </w:rPr>
        <w:footnoteReference w:id="6"/>
      </w:r>
      <w:r w:rsidR="0016021F">
        <w:t xml:space="preserve"> He also explains that </w:t>
      </w:r>
      <w:r w:rsidR="00B10250">
        <w:t xml:space="preserve">detail and realism was given </w:t>
      </w:r>
      <w:r w:rsidR="006D4761">
        <w:t>less</w:t>
      </w:r>
      <w:r w:rsidR="00B10250">
        <w:t xml:space="preserve"> </w:t>
      </w:r>
      <w:r w:rsidR="006D4761">
        <w:t>priority</w:t>
      </w:r>
      <w:r w:rsidR="00B10250">
        <w:t xml:space="preserve"> </w:t>
      </w:r>
      <w:r w:rsidR="002567AF">
        <w:t>in</w:t>
      </w:r>
      <w:r w:rsidR="00B10250">
        <w:t xml:space="preserve"> the story</w:t>
      </w:r>
      <w:r w:rsidR="006D4761">
        <w:t xml:space="preserve"> being told</w:t>
      </w:r>
      <w:r w:rsidR="00B10250">
        <w:t>,</w:t>
      </w:r>
      <w:r w:rsidR="006D4761">
        <w:t xml:space="preserve"> which is</w:t>
      </w:r>
      <w:r w:rsidR="00B10250">
        <w:t xml:space="preserve"> relevant</w:t>
      </w:r>
      <w:r w:rsidR="003E0052">
        <w:t xml:space="preserve"> to Erasmus</w:t>
      </w:r>
      <w:r w:rsidR="00B10250">
        <w:t>, as his passion ‘has no historical basis’.</w:t>
      </w:r>
      <w:r w:rsidR="00FA4239">
        <w:rPr>
          <w:rStyle w:val="FootnoteReference"/>
        </w:rPr>
        <w:footnoteReference w:id="7"/>
      </w:r>
      <w:r w:rsidR="00E933D4">
        <w:t xml:space="preserve"> Bartlett focuses on the </w:t>
      </w:r>
      <w:r w:rsidR="003E0052">
        <w:t xml:space="preserve">way </w:t>
      </w:r>
      <w:r w:rsidR="00E933D4">
        <w:t>violence</w:t>
      </w:r>
      <w:r w:rsidR="003E0052">
        <w:t xml:space="preserve"> </w:t>
      </w:r>
      <w:r w:rsidR="003E0052">
        <w:lastRenderedPageBreak/>
        <w:t>was</w:t>
      </w:r>
      <w:r w:rsidR="00E933D4">
        <w:t xml:space="preserve"> described, </w:t>
      </w:r>
      <w:r w:rsidR="00AF55C1">
        <w:t>questioning</w:t>
      </w:r>
      <w:r w:rsidR="003E0052">
        <w:t xml:space="preserve"> ‘whether there might be some attempt to give readers a sadomasochistic gratification’.</w:t>
      </w:r>
      <w:r w:rsidR="002249FE">
        <w:rPr>
          <w:rStyle w:val="FootnoteReference"/>
        </w:rPr>
        <w:footnoteReference w:id="8"/>
      </w:r>
      <w:r w:rsidR="003E0052">
        <w:t xml:space="preserve"> This story of Erasmus is filled </w:t>
      </w:r>
      <w:r w:rsidR="002567AF">
        <w:t>throughout</w:t>
      </w:r>
      <w:r w:rsidR="003E0052">
        <w:t xml:space="preserve"> with gory details of </w:t>
      </w:r>
      <w:r w:rsidR="006D4761">
        <w:t>torture and</w:t>
      </w:r>
      <w:r w:rsidR="003E0052">
        <w:t xml:space="preserve"> </w:t>
      </w:r>
      <w:r w:rsidR="006D4761">
        <w:t xml:space="preserve">should be understood </w:t>
      </w:r>
      <w:r w:rsidR="003E0052">
        <w:t>in the context of being enjoyed as entertainment, emphasising the significance</w:t>
      </w:r>
      <w:r w:rsidR="006D4761">
        <w:t xml:space="preserve"> of</w:t>
      </w:r>
      <w:r w:rsidR="003E0052">
        <w:t xml:space="preserve"> an enthralling stor</w:t>
      </w:r>
      <w:r w:rsidR="006D4761">
        <w:t>y</w:t>
      </w:r>
      <w:r w:rsidR="003E0052">
        <w:t>.</w:t>
      </w:r>
      <w:r w:rsidR="00B10250">
        <w:t xml:space="preserve"> It helps our understanding of the cult of Erasmus when he is placed in this context of heroic men who were persecuted for their faith</w:t>
      </w:r>
      <w:r>
        <w:t xml:space="preserve">. </w:t>
      </w:r>
    </w:p>
    <w:p w:rsidR="007A640F" w:rsidRDefault="007A640F" w:rsidP="007A640F">
      <w:r>
        <w:t>The chapter begins by introducing Erasmus as a caring man chosen by God to spread his word. He is arrested on the command of the Emperor Diocletian</w:t>
      </w:r>
      <w:r w:rsidR="00B677F9">
        <w:t>,</w:t>
      </w:r>
      <w:r w:rsidR="00D71736">
        <w:rPr>
          <w:rStyle w:val="FootnoteReference"/>
        </w:rPr>
        <w:footnoteReference w:id="9"/>
      </w:r>
      <w:r>
        <w:t xml:space="preserve"> beco</w:t>
      </w:r>
      <w:r w:rsidR="00B677F9">
        <w:t>ming</w:t>
      </w:r>
      <w:r>
        <w:t xml:space="preserve"> a defender of his faith</w:t>
      </w:r>
      <w:r w:rsidR="00B677F9">
        <w:t>. W</w:t>
      </w:r>
      <w:r>
        <w:t>hen he is placed before a judge</w:t>
      </w:r>
      <w:r w:rsidR="00B677F9">
        <w:t xml:space="preserve"> Erasmus</w:t>
      </w:r>
      <w:r>
        <w:t xml:space="preserve"> is said to </w:t>
      </w:r>
      <w:r w:rsidR="00B677F9">
        <w:t>reply,</w:t>
      </w:r>
      <w:r>
        <w:t xml:space="preserve"> ‘meekly and softly’.</w:t>
      </w:r>
      <w:r w:rsidR="00CD6332">
        <w:rPr>
          <w:rStyle w:val="FootnoteReference"/>
        </w:rPr>
        <w:footnoteReference w:id="10"/>
      </w:r>
      <w:r>
        <w:t xml:space="preserve"> During the passage Erasmus is portrayed as softly spoken and calm, </w:t>
      </w:r>
      <w:r w:rsidR="00B677F9">
        <w:t xml:space="preserve">making </w:t>
      </w:r>
      <w:r>
        <w:t>his dedication to God throughout</w:t>
      </w:r>
      <w:r w:rsidR="00B677F9">
        <w:t xml:space="preserve"> everything </w:t>
      </w:r>
      <w:r>
        <w:t>all that more worthy of devotion. This demeanour is contrasted with the anger of the judge when he does not renounce his faith,</w:t>
      </w:r>
      <w:r w:rsidR="00461B70">
        <w:t xml:space="preserve"> and</w:t>
      </w:r>
      <w:r>
        <w:t xml:space="preserve"> </w:t>
      </w:r>
      <w:r w:rsidR="00461B70">
        <w:t>h</w:t>
      </w:r>
      <w:r>
        <w:t xml:space="preserve">is bravery </w:t>
      </w:r>
      <w:r w:rsidR="00461B70">
        <w:t>becomes</w:t>
      </w:r>
      <w:r>
        <w:t xml:space="preserve"> a weapon in itself, as those around him are desperate for Erasmus to denounce his God. In a few cases, the tortures h</w:t>
      </w:r>
      <w:r w:rsidR="00461B70">
        <w:t>e</w:t>
      </w:r>
      <w:r>
        <w:t xml:space="preserve"> is put though cause the deaths of those administrating them, and ‘many folk were turned into the Christian faith’.</w:t>
      </w:r>
      <w:r w:rsidR="00DC127D">
        <w:rPr>
          <w:rStyle w:val="FootnoteReference"/>
        </w:rPr>
        <w:footnoteReference w:id="11"/>
      </w:r>
      <w:r>
        <w:t xml:space="preserve"> During the text, the worse the treatment that Erasmus receives, the greater his efforts to preach and convert become. This </w:t>
      </w:r>
      <w:r w:rsidR="00C44C89">
        <w:t xml:space="preserve">is a </w:t>
      </w:r>
      <w:r>
        <w:t xml:space="preserve">strengthening of his resolve to spread the word of God, </w:t>
      </w:r>
      <w:r w:rsidR="002204F8">
        <w:t xml:space="preserve">sending a </w:t>
      </w:r>
      <w:r>
        <w:t xml:space="preserve">message to the reader that the more obstacles he faces the stronger his faith becomes. </w:t>
      </w:r>
      <w:r w:rsidR="00CD6332">
        <w:t xml:space="preserve">If preachers were the intended audience for this </w:t>
      </w:r>
      <w:r w:rsidR="00B677F9">
        <w:t>text,</w:t>
      </w:r>
      <w:r w:rsidR="00CD6332">
        <w:t xml:space="preserve"> then this would have </w:t>
      </w:r>
      <w:r w:rsidR="002204F8">
        <w:t xml:space="preserve">served as a reminder of </w:t>
      </w:r>
      <w:r w:rsidR="00CD6332">
        <w:t xml:space="preserve">the power of persevering with their faith in God throughout the difficulties of life. </w:t>
      </w:r>
      <w:r>
        <w:t xml:space="preserve">The relationship </w:t>
      </w:r>
      <w:r w:rsidR="00AF55C1">
        <w:t>between</w:t>
      </w:r>
      <w:r>
        <w:t xml:space="preserve"> Erasmus and God is emphasised by the </w:t>
      </w:r>
      <w:r w:rsidR="006E3D44">
        <w:t>saint</w:t>
      </w:r>
      <w:r>
        <w:t xml:space="preserve"> claiming, ‘for he me so much done and suffered more than I have deserved’.</w:t>
      </w:r>
      <w:r w:rsidR="00DC127D">
        <w:rPr>
          <w:rStyle w:val="FootnoteReference"/>
        </w:rPr>
        <w:footnoteReference w:id="12"/>
      </w:r>
      <w:r>
        <w:t xml:space="preserve"> Despite the tortures he is receiving </w:t>
      </w:r>
      <w:r w:rsidR="00AF55C1">
        <w:t>becoming</w:t>
      </w:r>
      <w:r>
        <w:t xml:space="preserve"> more brutal, Erasmus claims he will suffer whatever he has to for his God. </w:t>
      </w:r>
    </w:p>
    <w:p w:rsidR="007A640F" w:rsidRDefault="007A640F" w:rsidP="007A640F">
      <w:r>
        <w:t xml:space="preserve">The most significant </w:t>
      </w:r>
      <w:r w:rsidR="009F6764">
        <w:t xml:space="preserve">section </w:t>
      </w:r>
      <w:r w:rsidR="00B677F9">
        <w:t xml:space="preserve">concerns </w:t>
      </w:r>
      <w:r w:rsidR="00C44C89">
        <w:t>his</w:t>
      </w:r>
      <w:r>
        <w:t xml:space="preserve"> disembowelling, </w:t>
      </w:r>
      <w:r w:rsidR="009F6764">
        <w:t>which</w:t>
      </w:r>
      <w:r>
        <w:t xml:space="preserve"> is </w:t>
      </w:r>
      <w:r w:rsidR="009F6764">
        <w:t>Erasmus’</w:t>
      </w:r>
      <w:r>
        <w:t xml:space="preserve"> most common represent</w:t>
      </w:r>
      <w:r w:rsidR="00CA448E">
        <w:t>ation</w:t>
      </w:r>
      <w:r>
        <w:t xml:space="preserve"> in iconography</w:t>
      </w:r>
      <w:r w:rsidR="002204F8">
        <w:t>,</w:t>
      </w:r>
      <w:r w:rsidR="00CA448E">
        <w:t xml:space="preserve"> </w:t>
      </w:r>
      <w:r>
        <w:t>and has come under much scrutiny from historians as to whether this is</w:t>
      </w:r>
      <w:r w:rsidR="00C44C89">
        <w:t xml:space="preserve"> </w:t>
      </w:r>
      <w:r>
        <w:t>a part of his story to begin with. Here, it is mentioned briefly, as ‘they laid this holy martyr under the windlass all naked upon a table, and cut him upon his belly, and wound out his guts or bowels out of his blessed body’.</w:t>
      </w:r>
      <w:r w:rsidR="00DC127D">
        <w:rPr>
          <w:rStyle w:val="FootnoteReference"/>
        </w:rPr>
        <w:footnoteReference w:id="13"/>
      </w:r>
      <w:r>
        <w:t xml:space="preserve"> This particular description </w:t>
      </w:r>
      <w:r w:rsidR="00B677F9">
        <w:t>mirrors the</w:t>
      </w:r>
      <w:r>
        <w:t xml:space="preserve"> common representation that he is so often given. The windlass is mentioned, clearly identifying him with his role as the patron </w:t>
      </w:r>
      <w:r w:rsidR="006E3D44">
        <w:t>saint</w:t>
      </w:r>
      <w:r>
        <w:t xml:space="preserve"> of sailors. The gory details of his insides being taken out are clearly </w:t>
      </w:r>
      <w:r w:rsidR="00B677F9">
        <w:t>described</w:t>
      </w:r>
      <w:r>
        <w:t>, giving a credence to the many paintings of this act taking place. The very next sentence begins with, ‘But when this cruel emperor saw that they could not bring this holy man to death’, describ</w:t>
      </w:r>
      <w:r w:rsidR="003D17AE">
        <w:t>ing</w:t>
      </w:r>
      <w:r>
        <w:t xml:space="preserve"> him being chained and thrown into a pit.</w:t>
      </w:r>
      <w:r w:rsidR="00DC127D">
        <w:rPr>
          <w:rStyle w:val="FootnoteReference"/>
        </w:rPr>
        <w:footnoteReference w:id="14"/>
      </w:r>
      <w:r>
        <w:t xml:space="preserve"> </w:t>
      </w:r>
      <w:r w:rsidR="00B677F9">
        <w:t>W</w:t>
      </w:r>
      <w:r>
        <w:t>hile the idea of Erasmus being disembowelled might have provoked a strong reaction, it is amongst a list of many other tortures that would have also left an impact on the reader. Many descriptions of Erasmus mention that this was his cause of death</w:t>
      </w:r>
      <w:r w:rsidR="00CD6332">
        <w:rPr>
          <w:rStyle w:val="FootnoteReference"/>
        </w:rPr>
        <w:footnoteReference w:id="15"/>
      </w:r>
      <w:r>
        <w:t xml:space="preserve">, but </w:t>
      </w:r>
      <w:r w:rsidR="00C44C89">
        <w:t>here</w:t>
      </w:r>
      <w:r>
        <w:t xml:space="preserve"> he continues to liv</w:t>
      </w:r>
      <w:r w:rsidR="00905FA0">
        <w:t>e</w:t>
      </w:r>
      <w:r>
        <w:t xml:space="preserve">. </w:t>
      </w:r>
      <w:r w:rsidR="00B677F9">
        <w:t>A</w:t>
      </w:r>
      <w:r>
        <w:t xml:space="preserve">s horrible as the thought of being disembowelled is, the narrative loses </w:t>
      </w:r>
      <w:r>
        <w:lastRenderedPageBreak/>
        <w:t>significance if you consider that he continued to live afterwards. Its depiction in so many</w:t>
      </w:r>
      <w:r w:rsidR="009F6764">
        <w:t xml:space="preserve"> art</w:t>
      </w:r>
      <w:r>
        <w:t xml:space="preserve"> forms make for a striking and affecting </w:t>
      </w:r>
      <w:r w:rsidR="009F6764">
        <w:t>sight</w:t>
      </w:r>
      <w:r>
        <w:t xml:space="preserve">, and the idea of the sensory experience </w:t>
      </w:r>
      <w:r w:rsidR="003D17AE">
        <w:t>is so</w:t>
      </w:r>
      <w:r>
        <w:t xml:space="preserve"> important </w:t>
      </w:r>
      <w:r w:rsidR="00CD6332">
        <w:t>in</w:t>
      </w:r>
      <w:r>
        <w:t xml:space="preserve"> the cult of saints. </w:t>
      </w:r>
      <w:r w:rsidR="00B677F9">
        <w:t xml:space="preserve">This being </w:t>
      </w:r>
      <w:r>
        <w:t xml:space="preserve">the most common depiction of Erasmus, </w:t>
      </w:r>
      <w:r w:rsidR="009F6764">
        <w:t>supports</w:t>
      </w:r>
      <w:r>
        <w:t xml:space="preserve"> the idea that a compelling</w:t>
      </w:r>
      <w:r w:rsidR="00CD6332">
        <w:t xml:space="preserve"> and relatable</w:t>
      </w:r>
      <w:r>
        <w:t xml:space="preserve"> story is ultimately so </w:t>
      </w:r>
      <w:r w:rsidR="00CD6332">
        <w:t>important</w:t>
      </w:r>
      <w:r>
        <w:t xml:space="preserve"> </w:t>
      </w:r>
      <w:r w:rsidR="00CD6332">
        <w:t>in</w:t>
      </w:r>
      <w:r>
        <w:t xml:space="preserve"> establishing a </w:t>
      </w:r>
      <w:r w:rsidR="006E3D44">
        <w:t>s</w:t>
      </w:r>
      <w:r>
        <w:t xml:space="preserve">aint. In researching Erasmus, this description and scene is so often told and shown, </w:t>
      </w:r>
      <w:r w:rsidR="008B31AE">
        <w:t>you might</w:t>
      </w:r>
      <w:r>
        <w:t xml:space="preserve"> wonder what he would be known for if this story was not so closely associated with his memory. </w:t>
      </w:r>
    </w:p>
    <w:p w:rsidR="007A640F" w:rsidRDefault="007A640F" w:rsidP="007A640F">
      <w:r>
        <w:t xml:space="preserve">Not only does Erasmus survive, but he moves on to a town </w:t>
      </w:r>
      <w:r w:rsidR="00B677F9">
        <w:t>and</w:t>
      </w:r>
      <w:r>
        <w:t xml:space="preserve"> perform</w:t>
      </w:r>
      <w:r w:rsidR="00B677F9">
        <w:t>s</w:t>
      </w:r>
      <w:r>
        <w:t xml:space="preserve"> a resurrection miracle. This is the only time in this passage where he performs a miracle beyond being unable to </w:t>
      </w:r>
      <w:r w:rsidR="00DC127D">
        <w:t>die</w:t>
      </w:r>
      <w:r w:rsidR="00E933D4">
        <w:t>,</w:t>
      </w:r>
      <w:r w:rsidR="00DC127D">
        <w:t xml:space="preserve"> and</w:t>
      </w:r>
      <w:r>
        <w:t xml:space="preserve"> for a specific person. Given his death is mentioned soon afterwards, this feels like</w:t>
      </w:r>
      <w:r w:rsidR="00CA448E">
        <w:t xml:space="preserve"> a</w:t>
      </w:r>
      <w:r>
        <w:t xml:space="preserve"> necessary final act, rais</w:t>
      </w:r>
      <w:r w:rsidR="00B677F9">
        <w:t>ing</w:t>
      </w:r>
      <w:r>
        <w:t xml:space="preserve"> a child from the dead, once more convert</w:t>
      </w:r>
      <w:r w:rsidR="00B677F9">
        <w:t>ing</w:t>
      </w:r>
      <w:r>
        <w:t xml:space="preserve"> many people to his faith. In his interactions with God, Erasmus is again described as speaking meekly, compared to the ‘loud voice perfectly, coming from heaven’.</w:t>
      </w:r>
      <w:r w:rsidR="00DC127D">
        <w:rPr>
          <w:rStyle w:val="FootnoteReference"/>
        </w:rPr>
        <w:footnoteReference w:id="16"/>
      </w:r>
      <w:r>
        <w:t xml:space="preserve"> </w:t>
      </w:r>
      <w:r w:rsidR="003D17AE">
        <w:t>U</w:t>
      </w:r>
      <w:r>
        <w:t xml:space="preserve">ltimately the saint and martyr is not as strong or significant a presence as God, </w:t>
      </w:r>
      <w:r w:rsidR="003E0052">
        <w:t>and</w:t>
      </w:r>
      <w:r>
        <w:t xml:space="preserve"> the voice of God i</w:t>
      </w:r>
      <w:r w:rsidR="00E933D4">
        <w:t>s</w:t>
      </w:r>
      <w:r>
        <w:t xml:space="preserve"> to be the one that is heard above all others, </w:t>
      </w:r>
      <w:r w:rsidR="00E933D4">
        <w:t>with</w:t>
      </w:r>
      <w:r>
        <w:t xml:space="preserve"> Erasmus showing respect to this. Finally, he is described as ascending to the ‘the upper most plan of heaven: there he standeth with God, with all the holy company’.</w:t>
      </w:r>
      <w:r w:rsidR="00DC127D">
        <w:rPr>
          <w:rStyle w:val="FootnoteReference"/>
        </w:rPr>
        <w:footnoteReference w:id="17"/>
      </w:r>
      <w:r>
        <w:t xml:space="preserve"> This </w:t>
      </w:r>
      <w:r w:rsidR="003D17AE">
        <w:t>places</w:t>
      </w:r>
      <w:r>
        <w:t xml:space="preserve"> Erasmus</w:t>
      </w:r>
      <w:r w:rsidR="00CD6332">
        <w:t xml:space="preserve"> on</w:t>
      </w:r>
      <w:r>
        <w:t xml:space="preserve"> the ultimate level, standing with God and every other holy figure. He is represented as God’s chosen representative on earth, and it is difficult not to immediately see comparisons with descriptions of Jesus and the way Erasmus is portrayed here.</w:t>
      </w:r>
    </w:p>
    <w:p w:rsidR="00AD6A52" w:rsidRDefault="00AD6A52" w:rsidP="00AD6A52">
      <w:r>
        <w:t>Bynum describes a developing process during the Middle Ages of people taking a greater ownership of death, and the moment that they die in particular. This indicates control over their fate, emphasised by Bynum’s discussing the idea of ‘confidence in victory over the grave’.</w:t>
      </w:r>
      <w:r w:rsidR="00FA4239">
        <w:rPr>
          <w:rStyle w:val="FootnoteReference"/>
        </w:rPr>
        <w:footnoteReference w:id="18"/>
      </w:r>
      <w:r>
        <w:t xml:space="preserve"> Erasmus holds this during his story</w:t>
      </w:r>
      <w:r w:rsidR="00AF55C1">
        <w:t xml:space="preserve">, </w:t>
      </w:r>
      <w:r>
        <w:t>survi</w:t>
      </w:r>
      <w:r w:rsidR="00AF55C1">
        <w:t>ving</w:t>
      </w:r>
      <w:r>
        <w:t xml:space="preserve"> each torture without fear and</w:t>
      </w:r>
      <w:r w:rsidR="00E933D4">
        <w:t xml:space="preserve"> losing</w:t>
      </w:r>
      <w:r>
        <w:t xml:space="preserve"> his belief in God, and in the end is able to join the Lord as an equal. </w:t>
      </w:r>
      <w:r w:rsidR="008843C5">
        <w:t>There is the sense of his story as being a part of a greater plan, link</w:t>
      </w:r>
      <w:r w:rsidR="009F6764">
        <w:t>ing</w:t>
      </w:r>
      <w:r w:rsidR="008843C5">
        <w:t xml:space="preserve"> his story and that of Christ. Lee describes the death of Jesus as ‘not occasioned by chance or by a helpless victory of the evil forces in the world’, but as a ‘divine necessity’.</w:t>
      </w:r>
      <w:r w:rsidR="00FA4239">
        <w:rPr>
          <w:rStyle w:val="FootnoteReference"/>
        </w:rPr>
        <w:footnoteReference w:id="19"/>
      </w:r>
      <w:r w:rsidR="008843C5">
        <w:t xml:space="preserve"> In th</w:t>
      </w:r>
      <w:r w:rsidR="003E0052">
        <w:t>is</w:t>
      </w:r>
      <w:r w:rsidR="008843C5">
        <w:t xml:space="preserve"> story, his suffering is in turn converting many onto his faith, and thus becomes a part of God’s ultimate plan for the world. </w:t>
      </w:r>
    </w:p>
    <w:p w:rsidR="00AD6A52" w:rsidRDefault="00AD6A52" w:rsidP="007A640F"/>
    <w:p w:rsidR="00DC127D" w:rsidRDefault="00DC127D" w:rsidP="00DC127D"/>
    <w:p w:rsidR="00EA21CF" w:rsidRDefault="00EA21CF" w:rsidP="00AA6CF3">
      <w:pPr>
        <w:rPr>
          <w:u w:val="single"/>
        </w:rPr>
      </w:pPr>
    </w:p>
    <w:p w:rsidR="00AA6CF3" w:rsidRDefault="00AA6CF3" w:rsidP="00AA6CF3">
      <w:pPr>
        <w:rPr>
          <w:u w:val="single"/>
        </w:rPr>
      </w:pPr>
    </w:p>
    <w:p w:rsidR="00EA21CF" w:rsidRDefault="00EA21CF" w:rsidP="009001D3">
      <w:pPr>
        <w:jc w:val="center"/>
        <w:rPr>
          <w:u w:val="single"/>
        </w:rPr>
      </w:pPr>
    </w:p>
    <w:p w:rsidR="001B3AEC" w:rsidRDefault="001B3AEC" w:rsidP="009001D3">
      <w:pPr>
        <w:jc w:val="center"/>
        <w:rPr>
          <w:u w:val="single"/>
        </w:rPr>
      </w:pPr>
    </w:p>
    <w:p w:rsidR="00832035" w:rsidRDefault="00832035" w:rsidP="009001D3">
      <w:pPr>
        <w:jc w:val="center"/>
        <w:rPr>
          <w:u w:val="single"/>
        </w:rPr>
      </w:pPr>
    </w:p>
    <w:p w:rsidR="00832035" w:rsidRDefault="00832035" w:rsidP="009001D3">
      <w:pPr>
        <w:jc w:val="center"/>
        <w:rPr>
          <w:u w:val="single"/>
        </w:rPr>
      </w:pPr>
    </w:p>
    <w:p w:rsidR="007A640F" w:rsidRDefault="007A640F" w:rsidP="009001D3">
      <w:pPr>
        <w:jc w:val="center"/>
        <w:rPr>
          <w:u w:val="single"/>
        </w:rPr>
      </w:pPr>
      <w:r w:rsidRPr="005B49DB">
        <w:rPr>
          <w:u w:val="single"/>
        </w:rPr>
        <w:lastRenderedPageBreak/>
        <w:t>Visual Source</w:t>
      </w:r>
    </w:p>
    <w:p w:rsidR="00CB79EC" w:rsidRDefault="00CB79EC" w:rsidP="009001D3">
      <w:pPr>
        <w:jc w:val="center"/>
        <w:rPr>
          <w:u w:val="single"/>
        </w:rPr>
      </w:pPr>
    </w:p>
    <w:p w:rsidR="007A640F" w:rsidRPr="00DC4929" w:rsidRDefault="007A640F" w:rsidP="007A640F">
      <w:r>
        <w:t xml:space="preserve">Art depicting the acts of </w:t>
      </w:r>
      <w:r w:rsidR="001B3AEC">
        <w:t>s</w:t>
      </w:r>
      <w:r>
        <w:t>aints during the Middle Ages is hugely valuable</w:t>
      </w:r>
      <w:r w:rsidR="00E933D4">
        <w:t xml:space="preserve"> </w:t>
      </w:r>
      <w:r>
        <w:t xml:space="preserve">as </w:t>
      </w:r>
      <w:r w:rsidR="001B3AEC">
        <w:t>it is</w:t>
      </w:r>
      <w:r>
        <w:t xml:space="preserve"> a universal reminder of who these people were and why they were important. In the case of St Erasmus this is relevant, as the nature of his martyrdom lends itself to graphic portrayals in artwork and </w:t>
      </w:r>
      <w:r w:rsidR="001B3AEC">
        <w:t>would</w:t>
      </w:r>
      <w:r>
        <w:t xml:space="preserve"> have had a much greater effect on its audience than a written description, for those who would have been able to read it. </w:t>
      </w:r>
      <w:r w:rsidR="007658A5">
        <w:t>I</w:t>
      </w:r>
      <w:r>
        <w:t>t is worth remembering that as Asavei states that after the fourteenth</w:t>
      </w:r>
      <w:r w:rsidR="003D7351">
        <w:t>-</w:t>
      </w:r>
      <w:r>
        <w:t>century there were so many depicitions of him in this way ‘in spite of the fact that the majority of the official written histories about his life and death do not mention the evisceration as an experience the Saint had to endure’.</w:t>
      </w:r>
      <w:r w:rsidR="00DC127D">
        <w:rPr>
          <w:rStyle w:val="FootnoteReference"/>
        </w:rPr>
        <w:footnoteReference w:id="20"/>
      </w:r>
      <w:r w:rsidR="00E933D4">
        <w:t xml:space="preserve"> T</w:t>
      </w:r>
      <w:r>
        <w:t xml:space="preserve">his is definitely a problematic area, especially as even in a text which does make mention of the scene like the Golden Legend, it is not described as being the defining act of his life, especially as he </w:t>
      </w:r>
      <w:r w:rsidR="006E3D44">
        <w:t xml:space="preserve">survives, and </w:t>
      </w:r>
      <w:r>
        <w:t>continues to be tortured afterwards. Both of the</w:t>
      </w:r>
      <w:r w:rsidR="00D71736">
        <w:t>se</w:t>
      </w:r>
      <w:r>
        <w:t xml:space="preserve"> sources were created before the Golden Legend was released, </w:t>
      </w:r>
      <w:r w:rsidR="00AF3A57">
        <w:t>meaning</w:t>
      </w:r>
      <w:r>
        <w:t xml:space="preserve"> </w:t>
      </w:r>
      <w:r w:rsidR="00E933D4">
        <w:t>this</w:t>
      </w:r>
      <w:r>
        <w:t xml:space="preserve"> definitive account </w:t>
      </w:r>
      <w:r w:rsidR="00AF3A57">
        <w:t>referencing</w:t>
      </w:r>
      <w:r>
        <w:t xml:space="preserve"> the important disembowelling was not known to the artists. This is important because as Asavei states, it is argued that some writers used this art to inspire how they wrote of Saint Erasmus’ life.</w:t>
      </w:r>
      <w:r w:rsidR="00815B6B">
        <w:rPr>
          <w:rStyle w:val="FootnoteReference"/>
        </w:rPr>
        <w:footnoteReference w:id="21"/>
      </w:r>
      <w:r>
        <w:t xml:space="preserve"> </w:t>
      </w:r>
    </w:p>
    <w:p w:rsidR="007A640F" w:rsidRDefault="007A640F" w:rsidP="007A640F">
      <w:pPr>
        <w:rPr>
          <w:u w:val="single"/>
        </w:rPr>
      </w:pPr>
    </w:p>
    <w:p w:rsidR="007A640F" w:rsidRDefault="001919D3" w:rsidP="007A640F">
      <w:pPr>
        <w:rPr>
          <w:u w:val="single"/>
        </w:rPr>
      </w:pPr>
      <w:r>
        <w:rPr>
          <w:rFonts w:ascii="Arial" w:hAnsi="Arial" w:cs="Arial"/>
          <w:noProof/>
          <w:color w:val="1A0DAB"/>
          <w:sz w:val="20"/>
          <w:szCs w:val="20"/>
          <w:bdr w:val="none" w:sz="0" w:space="0" w:color="auto" w:frame="1"/>
        </w:rPr>
        <w:drawing>
          <wp:inline distT="0" distB="0" distL="0" distR="0" wp14:anchorId="1981BDD3" wp14:editId="61375318">
            <wp:extent cx="4998720" cy="2441634"/>
            <wp:effectExtent l="0" t="0" r="0" b="0"/>
            <wp:docPr id="3" name="Picture 3" descr="Related image">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4668" cy="2464078"/>
                    </a:xfrm>
                    <a:prstGeom prst="rect">
                      <a:avLst/>
                    </a:prstGeom>
                    <a:noFill/>
                    <a:ln>
                      <a:noFill/>
                    </a:ln>
                  </pic:spPr>
                </pic:pic>
              </a:graphicData>
            </a:graphic>
          </wp:inline>
        </w:drawing>
      </w:r>
      <w:r w:rsidR="00271C97" w:rsidRPr="00271C97">
        <w:rPr>
          <w:rStyle w:val="FootnoteReference"/>
        </w:rPr>
        <w:footnoteReference w:id="22"/>
      </w:r>
    </w:p>
    <w:p w:rsidR="004B3CEE" w:rsidRDefault="007A640F" w:rsidP="007A640F">
      <w:r>
        <w:t>Th</w:t>
      </w:r>
      <w:r w:rsidR="00E92673">
        <w:t>is</w:t>
      </w:r>
      <w:r>
        <w:t xml:space="preserve"> 1458 </w:t>
      </w:r>
      <w:r w:rsidR="003B1F6D">
        <w:t>triptych</w:t>
      </w:r>
      <w:r>
        <w:t xml:space="preserve"> of the martyrdom of St Erasmus by Bouts, is an example of the fascinating interpretations that surround </w:t>
      </w:r>
      <w:r w:rsidR="00E92673">
        <w:t>this</w:t>
      </w:r>
      <w:r>
        <w:t xml:space="preserve"> graphic story. </w:t>
      </w:r>
      <w:r w:rsidR="00812B3F">
        <w:t xml:space="preserve">The painting was commissioned </w:t>
      </w:r>
      <w:r w:rsidR="003B1F6D">
        <w:t xml:space="preserve">for St Peters’ first chapel of confraternity by Ghert van Smet. This is a hugely significant source as it was placed in an area that was used to pray for the dead, as well as serving as a place of devotion for the living. Champion states that Ghert donated masses intended to be sung on the feat days of the three saints portrayed, claiming this ‘shows how personal devotion to particular saints could shape the liturgical </w:t>
      </w:r>
      <w:r w:rsidR="00744B03">
        <w:t xml:space="preserve">time of the believer’s year, and how this time was shaped by the presence of devotional objects like </w:t>
      </w:r>
      <w:r w:rsidR="00744B03">
        <w:lastRenderedPageBreak/>
        <w:t>the altarpiece’.</w:t>
      </w:r>
      <w:r w:rsidR="00FA4239">
        <w:rPr>
          <w:rStyle w:val="FootnoteReference"/>
        </w:rPr>
        <w:footnoteReference w:id="23"/>
      </w:r>
      <w:r w:rsidR="00744B03">
        <w:t xml:space="preserve"> </w:t>
      </w:r>
      <w:r w:rsidR="00B677F9">
        <w:t>T</w:t>
      </w:r>
      <w:r w:rsidR="00744B03">
        <w:t>he source not only can tell us about the nature of St Erasmus’ cult, but also about the role that artwork he is represented in played in every</w:t>
      </w:r>
      <w:r w:rsidR="00746A9D">
        <w:t>-</w:t>
      </w:r>
      <w:r w:rsidR="00744B03">
        <w:t xml:space="preserve">day devotion. </w:t>
      </w:r>
    </w:p>
    <w:p w:rsidR="007A640F" w:rsidRDefault="007A640F" w:rsidP="007A640F">
      <w:r>
        <w:t>The significance of the image on first glance appears to be the lack of struggle or distress in the scene, as all of the figures involved, including Erasmus, appear unmoved by the horrific situation that is unfolding. As Lubbock states, the fact that someone could be taken apart in such a low-key manner is ‘a far greater disruption of human nature than being virtually hacked up’.</w:t>
      </w:r>
      <w:r w:rsidR="00DC127D">
        <w:rPr>
          <w:rStyle w:val="FootnoteReference"/>
        </w:rPr>
        <w:footnoteReference w:id="24"/>
      </w:r>
      <w:r>
        <w:t xml:space="preserve"> </w:t>
      </w:r>
      <w:r w:rsidR="00AF55C1">
        <w:t>C</w:t>
      </w:r>
      <w:r>
        <w:t>onsidering the description given of Erasmus in the Golden Legend, his strength in the face of such tortures is shown as his devotion to God, therefore not depicting him as being in pain or in great distress is designed to show how his faith in God is overcoming such torture.</w:t>
      </w:r>
      <w:r w:rsidR="00E92673">
        <w:t xml:space="preserve"> </w:t>
      </w:r>
      <w:r>
        <w:t>The use of St Jerome and Bernard of Clairvaux</w:t>
      </w:r>
      <w:r w:rsidR="00DF0EE8">
        <w:t>,</w:t>
      </w:r>
      <w:r w:rsidR="00DF0EE8">
        <w:rPr>
          <w:rStyle w:val="FootnoteReference"/>
        </w:rPr>
        <w:footnoteReference w:id="25"/>
      </w:r>
      <w:r>
        <w:t xml:space="preserve"> either side of the scene is described as the use of two ‘great monastic </w:t>
      </w:r>
      <w:r w:rsidR="006E3D44">
        <w:t>s</w:t>
      </w:r>
      <w:r>
        <w:t>aints and scholars’.</w:t>
      </w:r>
      <w:r w:rsidR="00DC127D">
        <w:rPr>
          <w:rStyle w:val="FootnoteReference"/>
        </w:rPr>
        <w:footnoteReference w:id="26"/>
      </w:r>
      <w:r>
        <w:t xml:space="preserve"> They are </w:t>
      </w:r>
      <w:r w:rsidR="00AF55C1">
        <w:t>i</w:t>
      </w:r>
      <w:r>
        <w:t xml:space="preserve">n front of the same backdrop of the </w:t>
      </w:r>
      <w:r w:rsidR="00DC127D">
        <w:t>scene but</w:t>
      </w:r>
      <w:r>
        <w:t xml:space="preserve"> play no part in the unfolding events</w:t>
      </w:r>
      <w:r w:rsidR="00AF55C1">
        <w:t>,</w:t>
      </w:r>
      <w:r>
        <w:t xml:space="preserve"> reflecti</w:t>
      </w:r>
      <w:r w:rsidR="00AF55C1">
        <w:t>ng</w:t>
      </w:r>
      <w:r>
        <w:t xml:space="preserve"> </w:t>
      </w:r>
      <w:r w:rsidR="00AF55C1">
        <w:t>an</w:t>
      </w:r>
      <w:r>
        <w:t xml:space="preserve"> aware</w:t>
      </w:r>
      <w:r w:rsidR="00AF55C1">
        <w:t>ness</w:t>
      </w:r>
      <w:r>
        <w:t xml:space="preserve"> that this needs to take place</w:t>
      </w:r>
      <w:r w:rsidR="00AF55C1">
        <w:t>.</w:t>
      </w:r>
      <w:r>
        <w:t xml:space="preserve"> Erasmus is being martyred for a purpose as he has been asked by God to spread his message in spite of </w:t>
      </w:r>
      <w:r w:rsidR="00E933D4">
        <w:t>what</w:t>
      </w:r>
      <w:r>
        <w:t xml:space="preserve"> he has experienced. To include these individuals who lived so far removed from the time the painting is depicting legitimis</w:t>
      </w:r>
      <w:r w:rsidR="00AF55C1">
        <w:t>es</w:t>
      </w:r>
      <w:r>
        <w:t xml:space="preserve"> his cause and him as a historical figure. We </w:t>
      </w:r>
      <w:r w:rsidR="00687325">
        <w:t>learn</w:t>
      </w:r>
      <w:r>
        <w:t xml:space="preserve"> from the Golden Legend that God kept telling him to carry on preaching despite what he was going through, which suggests that this is a part of a greater plan. </w:t>
      </w:r>
    </w:p>
    <w:p w:rsidR="007A640F" w:rsidRDefault="007A640F" w:rsidP="007A640F"/>
    <w:p w:rsidR="007A640F" w:rsidRDefault="007A640F" w:rsidP="007A640F">
      <w:r>
        <w:rPr>
          <w:rFonts w:ascii="Arial" w:hAnsi="Arial" w:cs="Arial"/>
          <w:noProof/>
          <w:color w:val="1A0DAB"/>
          <w:sz w:val="20"/>
          <w:szCs w:val="20"/>
          <w:bdr w:val="none" w:sz="0" w:space="0" w:color="auto" w:frame="1"/>
        </w:rPr>
        <w:drawing>
          <wp:inline distT="0" distB="0" distL="0" distR="0" wp14:anchorId="015E14D9" wp14:editId="1152830E">
            <wp:extent cx="1912620" cy="2748137"/>
            <wp:effectExtent l="0" t="0" r="0" b="0"/>
            <wp:docPr id="2" name="Picture 2" descr="Image result for erasmus cranach">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rasmus cranach">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53647" cy="2807087"/>
                    </a:xfrm>
                    <a:prstGeom prst="rect">
                      <a:avLst/>
                    </a:prstGeom>
                    <a:noFill/>
                    <a:ln>
                      <a:noFill/>
                    </a:ln>
                  </pic:spPr>
                </pic:pic>
              </a:graphicData>
            </a:graphic>
          </wp:inline>
        </w:drawing>
      </w:r>
      <w:r w:rsidR="00543155">
        <w:rPr>
          <w:rStyle w:val="FootnoteReference"/>
        </w:rPr>
        <w:footnoteReference w:id="27"/>
      </w:r>
    </w:p>
    <w:p w:rsidR="00DE071D" w:rsidRDefault="007A640F" w:rsidP="007A640F">
      <w:r>
        <w:lastRenderedPageBreak/>
        <w:t xml:space="preserve">This </w:t>
      </w:r>
      <w:r w:rsidR="008C6DB6">
        <w:t>woodcut</w:t>
      </w:r>
      <w:r>
        <w:t xml:space="preserve"> from Lucas Cranach the Elder is from 1506, and allows for a vivid comparison</w:t>
      </w:r>
      <w:r w:rsidR="00BA35CB">
        <w:t>, as</w:t>
      </w:r>
      <w:r>
        <w:t xml:space="preserve"> a significant contrast to Bouts’ portrayal of Erasmus’ martyrdom.</w:t>
      </w:r>
      <w:r w:rsidR="00DE071D">
        <w:t xml:space="preserve"> Huizinga </w:t>
      </w:r>
      <w:r w:rsidR="00BA35CB">
        <w:t>describes the introduction of the woodcut as, ‘</w:t>
      </w:r>
      <w:r w:rsidR="00BA35CB" w:rsidRPr="00BA35CB">
        <w:t xml:space="preserve">a new means of </w:t>
      </w:r>
      <w:r w:rsidR="00BA35CB">
        <w:t>in</w:t>
      </w:r>
      <w:r w:rsidR="00BA35CB" w:rsidRPr="00BA35CB">
        <w:t>culcat</w:t>
      </w:r>
      <w:r w:rsidR="00BA35CB">
        <w:t>in</w:t>
      </w:r>
      <w:r w:rsidR="00BA35CB" w:rsidRPr="00BA35CB">
        <w:t>g the a</w:t>
      </w:r>
      <w:r w:rsidR="00BA35CB">
        <w:t>w</w:t>
      </w:r>
      <w:r w:rsidR="00BA35CB" w:rsidRPr="00BA35CB">
        <w:t>ful thought into all m</w:t>
      </w:r>
      <w:r w:rsidR="00BA35CB">
        <w:t>in</w:t>
      </w:r>
      <w:r w:rsidR="00BA35CB" w:rsidRPr="00BA35CB">
        <w:t xml:space="preserve">ds was </w:t>
      </w:r>
      <w:r w:rsidR="00BA35CB">
        <w:t>adde</w:t>
      </w:r>
      <w:r w:rsidR="00BA35CB" w:rsidRPr="00BA35CB">
        <w:t>d to the words of the preacher</w:t>
      </w:r>
      <w:r w:rsidR="00BA35CB">
        <w:t>’,</w:t>
      </w:r>
      <w:r w:rsidR="00543155">
        <w:rPr>
          <w:rStyle w:val="FootnoteReference"/>
        </w:rPr>
        <w:footnoteReference w:id="28"/>
      </w:r>
      <w:r w:rsidR="00BA35CB">
        <w:t xml:space="preserve"> explaining that due to the limitations to the material, it could only present death in an arresting way. </w:t>
      </w:r>
    </w:p>
    <w:p w:rsidR="007A640F" w:rsidRDefault="007A640F" w:rsidP="007A640F">
      <w:r>
        <w:t xml:space="preserve">It is interesting to consider Lubbock’s assertion that </w:t>
      </w:r>
      <w:r w:rsidR="00A80A0D">
        <w:t>Bouts’</w:t>
      </w:r>
      <w:r>
        <w:t xml:space="preserve"> painting is more effective because of the dispassionate way the scene is portrayed, because this image from Cranach has taken the opposite approach. We see the martyr in great pain and discomfort, with someone actually reaching into his stomach, in a very graphic representation. That this painting shows the </w:t>
      </w:r>
      <w:r w:rsidR="006E3D44">
        <w:t>s</w:t>
      </w:r>
      <w:r>
        <w:t>aint in pain is a very different approach to the stoicism of Bouts work, but in this instance the effectiveness for the intended audience could have been to emphasise just how much he had suffered for them, and for God. That his arms are shown as being forced down above his head also indicate</w:t>
      </w:r>
      <w:r w:rsidR="00521FA3">
        <w:t>s</w:t>
      </w:r>
      <w:r>
        <w:t xml:space="preserve"> a similarity to the crucifixion. </w:t>
      </w:r>
      <w:r w:rsidR="00521FA3">
        <w:t>This is relevant as Bynum explains that so much discussion relating to death in the Middle Ages related to the ‘glorious suffering of the dying Christ’.</w:t>
      </w:r>
      <w:r w:rsidR="00543155">
        <w:rPr>
          <w:rStyle w:val="FootnoteReference"/>
        </w:rPr>
        <w:footnoteReference w:id="29"/>
      </w:r>
      <w:r w:rsidR="00521FA3">
        <w:t xml:space="preserve"> To evoke the </w:t>
      </w:r>
      <w:r w:rsidR="0053212C">
        <w:t>image of the suffering Jesus, p</w:t>
      </w:r>
      <w:r w:rsidR="00AF55C1">
        <w:t>lace</w:t>
      </w:r>
      <w:r w:rsidR="0053212C">
        <w:t xml:space="preserve">s Erasmus on a higher level, </w:t>
      </w:r>
      <w:r w:rsidR="00AF55C1">
        <w:t xml:space="preserve">as </w:t>
      </w:r>
      <w:r w:rsidR="0053212C">
        <w:t xml:space="preserve">artworks at this time </w:t>
      </w:r>
      <w:r w:rsidR="00AF55C1">
        <w:t>that</w:t>
      </w:r>
      <w:r w:rsidR="0053212C">
        <w:t xml:space="preserve"> represent</w:t>
      </w:r>
      <w:r w:rsidR="007658A5">
        <w:t>ed</w:t>
      </w:r>
      <w:r w:rsidR="0053212C">
        <w:t xml:space="preserve"> Christ on the cross</w:t>
      </w:r>
      <w:r w:rsidR="00AF55C1">
        <w:t xml:space="preserve"> </w:t>
      </w:r>
      <w:r w:rsidR="0053212C">
        <w:t xml:space="preserve">would have been such a common part of </w:t>
      </w:r>
      <w:r w:rsidR="00DC6F6D">
        <w:t>people’s</w:t>
      </w:r>
      <w:r w:rsidR="0053212C">
        <w:t xml:space="preserve"> lives it would have been difficult not to make the link. </w:t>
      </w:r>
    </w:p>
    <w:p w:rsidR="007A640F" w:rsidRDefault="007A640F" w:rsidP="007A640F">
      <w:r>
        <w:t>Unlike Bouts</w:t>
      </w:r>
      <w:r w:rsidR="006C55F1">
        <w:t>’</w:t>
      </w:r>
      <w:r>
        <w:t xml:space="preserve"> painting, the scene does not take place in a deserted area, as there are houses clearly shown in the background. This perhaps places the torture into a different context, taking place so close to where people are living their lives. Erasmus is surrounded by a group of angry looking people, much like a baying mob, which only adds to the helplessness of his situation. This image appears to focus much more on a realistic and relatable portrayal of the scene, with the lack of colour used highlighting the bleakness of what is happening. </w:t>
      </w:r>
    </w:p>
    <w:p w:rsidR="00CB79EC" w:rsidRDefault="007A640F" w:rsidP="00CB79EC">
      <w:r>
        <w:t xml:space="preserve">Returning to Asavei’s analysis, she </w:t>
      </w:r>
      <w:r w:rsidR="00E933D4">
        <w:t>states</w:t>
      </w:r>
      <w:r>
        <w:t xml:space="preserve"> that</w:t>
      </w:r>
      <w:r w:rsidR="00E933D4">
        <w:t xml:space="preserve"> as</w:t>
      </w:r>
      <w:r>
        <w:t xml:space="preserve"> Erasmus is the patron saint of sailors, his evisceration particularly evokes the</w:t>
      </w:r>
      <w:r w:rsidR="007658A5">
        <w:t xml:space="preserve"> ‘visceral’ </w:t>
      </w:r>
      <w:r>
        <w:t>fears that they faced during their time at sea.</w:t>
      </w:r>
      <w:r w:rsidR="007658A5" w:rsidRPr="007658A5">
        <w:rPr>
          <w:rStyle w:val="FootnoteReference"/>
        </w:rPr>
        <w:t xml:space="preserve"> </w:t>
      </w:r>
      <w:r w:rsidR="007658A5">
        <w:rPr>
          <w:rStyle w:val="FootnoteReference"/>
        </w:rPr>
        <w:footnoteReference w:id="30"/>
      </w:r>
      <w:r w:rsidR="007658A5">
        <w:t xml:space="preserve"> </w:t>
      </w:r>
      <w:r>
        <w:t>The story of Henry Walter, injured in battle at sea, who had a vision of St Erasmus reflects this. It was claimed Henry saw the Saint in the fashion that he was ‘often represented in churches as being tortured by his executioners’,</w:t>
      </w:r>
      <w:r w:rsidR="00DC127D">
        <w:rPr>
          <w:rStyle w:val="FootnoteReference"/>
        </w:rPr>
        <w:footnoteReference w:id="31"/>
      </w:r>
      <w:r>
        <w:t xml:space="preserve"> with Melrose focusing on the solidarity in pain the man felt, stating ‘from that time entertained no little confidence that he could hope for recovery’.</w:t>
      </w:r>
      <w:r w:rsidR="00DC127D">
        <w:rPr>
          <w:rStyle w:val="FootnoteReference"/>
        </w:rPr>
        <w:footnoteReference w:id="32"/>
      </w:r>
      <w:r>
        <w:t xml:space="preserve"> </w:t>
      </w:r>
      <w:r w:rsidR="007658A5">
        <w:t>I</w:t>
      </w:r>
      <w:r>
        <w:t xml:space="preserve">n viewing </w:t>
      </w:r>
      <w:r w:rsidR="002567AF">
        <w:t xml:space="preserve">depictions of </w:t>
      </w:r>
      <w:r>
        <w:t xml:space="preserve">Erasmus so often, </w:t>
      </w:r>
      <w:r w:rsidR="006C55F1">
        <w:t>Walter</w:t>
      </w:r>
      <w:r w:rsidR="007658A5">
        <w:t xml:space="preserve"> </w:t>
      </w:r>
      <w:r>
        <w:t>remembered what he was martyred for,</w:t>
      </w:r>
      <w:r w:rsidR="00E2535B">
        <w:t xml:space="preserve"> s</w:t>
      </w:r>
      <w:r>
        <w:t>how</w:t>
      </w:r>
      <w:r w:rsidR="00E2535B">
        <w:t>ing</w:t>
      </w:r>
      <w:r>
        <w:t xml:space="preserve"> the power these depictions had in </w:t>
      </w:r>
      <w:r w:rsidR="002567AF">
        <w:t>people’s</w:t>
      </w:r>
      <w:r>
        <w:t xml:space="preserve"> memorie</w:t>
      </w:r>
      <w:r w:rsidR="002567AF">
        <w:t>s</w:t>
      </w:r>
      <w:r>
        <w:t xml:space="preserve">. This is relevant with Cranach’s painting because the discomfort Erasmus is shown as feeling supports the idea that he was in solidarity with those who had the same issues, giving him a human vulnerability, which is a vital part of connecting an ordinary person to a saintly figure. </w:t>
      </w:r>
    </w:p>
    <w:p w:rsidR="00CB79EC" w:rsidRPr="00CB79EC" w:rsidRDefault="00CB79EC" w:rsidP="00CB79EC"/>
    <w:p w:rsidR="004639D3" w:rsidRDefault="004639D3" w:rsidP="00AA6CF3">
      <w:pPr>
        <w:rPr>
          <w:u w:val="single"/>
        </w:rPr>
      </w:pPr>
    </w:p>
    <w:p w:rsidR="00AA6CF3" w:rsidRDefault="00AA6CF3" w:rsidP="00AA6CF3">
      <w:pPr>
        <w:rPr>
          <w:u w:val="single"/>
        </w:rPr>
      </w:pPr>
    </w:p>
    <w:p w:rsidR="003769B0" w:rsidRDefault="00EA21CF" w:rsidP="003769B0">
      <w:pPr>
        <w:jc w:val="center"/>
        <w:rPr>
          <w:u w:val="single"/>
        </w:rPr>
      </w:pPr>
      <w:r w:rsidRPr="00EA21CF">
        <w:rPr>
          <w:u w:val="single"/>
        </w:rPr>
        <w:lastRenderedPageBreak/>
        <w:t>Historiography</w:t>
      </w:r>
    </w:p>
    <w:p w:rsidR="00EA21CF" w:rsidRDefault="00EA21CF" w:rsidP="00EA21CF"/>
    <w:p w:rsidR="00EA21CF" w:rsidRDefault="00EA21CF" w:rsidP="00473768">
      <w:r>
        <w:t xml:space="preserve">When looking at the historiography of St Erasmus, many historians are uncertain of the exact details of his life. </w:t>
      </w:r>
      <w:r w:rsidR="005B42F3">
        <w:t>For example, Boyle states that ‘the passio compiled probably at the turn of the sixth century is legendary rather than historical’.</w:t>
      </w:r>
      <w:r w:rsidR="00CB79EC">
        <w:rPr>
          <w:rStyle w:val="FootnoteReference"/>
        </w:rPr>
        <w:footnoteReference w:id="33"/>
      </w:r>
      <w:r w:rsidR="005B42F3">
        <w:t xml:space="preserve"> In researching St Erasmus, it is clear that there are gaps in his story, and it is difficult to find many written accounts of his life and intercession. This is not hugely detrimental to the study of his story because it allows us to ask why a saint with an uncertain history is represented in the way that he is, and ultimately presents the idea that a compelling story, with a message and a purpose is far more important than certain facts. </w:t>
      </w:r>
    </w:p>
    <w:p w:rsidR="00C14C7E" w:rsidRDefault="00EA21CF" w:rsidP="00EA21CF">
      <w:r>
        <w:t xml:space="preserve">In an interesting take on the </w:t>
      </w:r>
      <w:r w:rsidR="007A308B">
        <w:t>s</w:t>
      </w:r>
      <w:r>
        <w:t xml:space="preserve">aint, Edes chooses to open her article on Erasmus focusing on the more compelling aspects of his legend. </w:t>
      </w:r>
      <w:r w:rsidR="00473768">
        <w:t>The description of these</w:t>
      </w:r>
      <w:r w:rsidR="00481B0B">
        <w:t xml:space="preserve"> tales appears to be written sceptically, as she later goes onto to </w:t>
      </w:r>
      <w:r w:rsidR="00E6720A">
        <w:t xml:space="preserve">describe how </w:t>
      </w:r>
      <w:r w:rsidR="00AB5C3C">
        <w:t xml:space="preserve">some felt that St Erasmus was credited with the miracles of other saints. </w:t>
      </w:r>
      <w:r w:rsidR="00CE47D9">
        <w:t xml:space="preserve">The aspects of his life are evidence of the wildly different tales that are told of Erasmus, as she makes mention of </w:t>
      </w:r>
      <w:r w:rsidR="00CE5593">
        <w:t>‘the most savage wild beasts’ that</w:t>
      </w:r>
      <w:r w:rsidR="006C55F1">
        <w:t xml:space="preserve"> obeyed him</w:t>
      </w:r>
      <w:r w:rsidR="00CE5593">
        <w:t>, as well as a raven that supposedly looked after the saint, which makes its way into some descriptions of him.</w:t>
      </w:r>
      <w:r w:rsidR="00CB79EC">
        <w:rPr>
          <w:rStyle w:val="FootnoteReference"/>
        </w:rPr>
        <w:footnoteReference w:id="34"/>
      </w:r>
      <w:r w:rsidR="00CE5593">
        <w:t xml:space="preserve"> This is interesting as the primary text used for this s</w:t>
      </w:r>
      <w:r w:rsidR="00FE4EB8">
        <w:t>tudy</w:t>
      </w:r>
      <w:r w:rsidR="00CE5593">
        <w:t xml:space="preserve">, the Golden Legend, does not make a single mention of these aspects, as there is very little detail that surrounds his time between tortures. That one of the clearer, more focused histories of St Erasmus is from 1889 suggests that there has not been an extensive amount of modern scholarship on him and his </w:t>
      </w:r>
      <w:r w:rsidR="00267A9D">
        <w:t>influence and</w:t>
      </w:r>
      <w:r w:rsidR="00CE5593">
        <w:t xml:space="preserve"> is an area that could be looked into to a far greater extent. One of the interesting elements of the article is Edes’ description of the sixteenth century ‘masterpiece’ painted by Nicholas Poussin</w:t>
      </w:r>
      <w:r w:rsidR="00D71D17">
        <w:t>, an image that remains today</w:t>
      </w:r>
      <w:r w:rsidR="00CE5593">
        <w:t xml:space="preserve"> in St Peter’s basilica</w:t>
      </w:r>
      <w:r w:rsidR="00D71D17">
        <w:t xml:space="preserve"> as a mosaic copy. </w:t>
      </w:r>
    </w:p>
    <w:p w:rsidR="0025403C" w:rsidRDefault="0025403C" w:rsidP="00EA21CF"/>
    <w:p w:rsidR="00CE5593" w:rsidRDefault="0025403C" w:rsidP="00EA21CF">
      <w:pPr>
        <w:rPr>
          <w:noProof/>
        </w:rPr>
      </w:pPr>
      <w:r>
        <w:rPr>
          <w:rFonts w:ascii="Arial" w:hAnsi="Arial" w:cs="Arial"/>
          <w:noProof/>
          <w:color w:val="1A0DAB"/>
          <w:sz w:val="20"/>
          <w:szCs w:val="20"/>
          <w:bdr w:val="none" w:sz="0" w:space="0" w:color="auto" w:frame="1"/>
        </w:rPr>
        <w:drawing>
          <wp:inline distT="0" distB="0" distL="0" distR="0" wp14:anchorId="2DB9B359" wp14:editId="7347C06B">
            <wp:extent cx="1524000" cy="2676605"/>
            <wp:effectExtent l="0" t="0" r="0" b="9525"/>
            <wp:docPr id="4" name="Picture 4" descr="Image result for poussin erasmus">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oussin erasmus">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28904" cy="2685217"/>
                    </a:xfrm>
                    <a:prstGeom prst="rect">
                      <a:avLst/>
                    </a:prstGeom>
                    <a:noFill/>
                    <a:ln>
                      <a:noFill/>
                    </a:ln>
                  </pic:spPr>
                </pic:pic>
              </a:graphicData>
            </a:graphic>
          </wp:inline>
        </w:drawing>
      </w:r>
      <w:r>
        <w:rPr>
          <w:rStyle w:val="FootnoteReference"/>
          <w:noProof/>
        </w:rPr>
        <w:t xml:space="preserve"> </w:t>
      </w:r>
      <w:r w:rsidR="00CB79EC">
        <w:rPr>
          <w:rStyle w:val="FootnoteReference"/>
          <w:noProof/>
        </w:rPr>
        <w:footnoteReference w:id="35"/>
      </w:r>
      <w:r w:rsidR="00267A9D" w:rsidRPr="00267A9D">
        <w:rPr>
          <w:noProof/>
        </w:rPr>
        <w:t xml:space="preserve"> </w:t>
      </w:r>
    </w:p>
    <w:p w:rsidR="004729BB" w:rsidRDefault="004B3CEE" w:rsidP="00EA21CF">
      <w:pPr>
        <w:rPr>
          <w:noProof/>
        </w:rPr>
      </w:pPr>
      <w:r>
        <w:rPr>
          <w:noProof/>
        </w:rPr>
        <w:lastRenderedPageBreak/>
        <w:t xml:space="preserve">This piece of artwork is </w:t>
      </w:r>
      <w:r w:rsidR="00D941AE">
        <w:rPr>
          <w:noProof/>
        </w:rPr>
        <w:t>returned to so often by art historians</w:t>
      </w:r>
      <w:r w:rsidR="00D044CB">
        <w:rPr>
          <w:noProof/>
        </w:rPr>
        <w:t>,</w:t>
      </w:r>
      <w:r w:rsidR="00D044CB">
        <w:rPr>
          <w:rStyle w:val="FootnoteReference"/>
          <w:noProof/>
        </w:rPr>
        <w:footnoteReference w:id="36"/>
      </w:r>
      <w:r w:rsidR="00D941AE">
        <w:rPr>
          <w:noProof/>
        </w:rPr>
        <w:t xml:space="preserve"> and t</w:t>
      </w:r>
      <w:r w:rsidR="00B2660D">
        <w:rPr>
          <w:noProof/>
        </w:rPr>
        <w:t>hat it is mention</w:t>
      </w:r>
      <w:r w:rsidR="00D71D17">
        <w:rPr>
          <w:noProof/>
        </w:rPr>
        <w:t>e</w:t>
      </w:r>
      <w:r w:rsidR="00B2660D">
        <w:rPr>
          <w:noProof/>
        </w:rPr>
        <w:t xml:space="preserve">d in a book titled </w:t>
      </w:r>
      <w:r w:rsidR="00B2660D" w:rsidRPr="006C55F1">
        <w:rPr>
          <w:i/>
          <w:noProof/>
        </w:rPr>
        <w:t>Sacred and Legendary Art</w:t>
      </w:r>
      <w:r w:rsidR="00B2660D">
        <w:rPr>
          <w:noProof/>
        </w:rPr>
        <w:t xml:space="preserve"> is an indication of the esteem it is held</w:t>
      </w:r>
      <w:r w:rsidR="00D941AE">
        <w:rPr>
          <w:noProof/>
        </w:rPr>
        <w:t>. As</w:t>
      </w:r>
      <w:r w:rsidR="00B2660D">
        <w:rPr>
          <w:noProof/>
        </w:rPr>
        <w:t xml:space="preserve"> Jameson states of Poussin, ‘how his tender and refined mind could be brought to study all the details of a subject so abominable is difficult to concieve’.</w:t>
      </w:r>
      <w:r w:rsidR="00CB79EC">
        <w:rPr>
          <w:rStyle w:val="FootnoteReference"/>
          <w:noProof/>
        </w:rPr>
        <w:footnoteReference w:id="37"/>
      </w:r>
      <w:r w:rsidR="00A322AA">
        <w:rPr>
          <w:noProof/>
        </w:rPr>
        <w:t xml:space="preserve"> Even to a nineteenth</w:t>
      </w:r>
      <w:r w:rsidR="00746A9D">
        <w:rPr>
          <w:noProof/>
        </w:rPr>
        <w:t>-</w:t>
      </w:r>
      <w:r w:rsidR="00A322AA">
        <w:rPr>
          <w:noProof/>
        </w:rPr>
        <w:t xml:space="preserve">century </w:t>
      </w:r>
      <w:r w:rsidR="001542C7">
        <w:rPr>
          <w:noProof/>
        </w:rPr>
        <w:t xml:space="preserve">author the issues surrounding the respresentation of Erasmus’ martyrdom are complex and difficult to fully comprehend, which shows us how striking and memorable these images </w:t>
      </w:r>
      <w:r w:rsidR="00410378">
        <w:rPr>
          <w:noProof/>
        </w:rPr>
        <w:t xml:space="preserve">would have been to those in the Middle Ages and beyond. Even today, an emotive image like this in such a famous and celebrated location gives St Erasmus a prominence and exposure that ensures his legend will continue to be seen. </w:t>
      </w:r>
      <w:r w:rsidR="00F2797C">
        <w:rPr>
          <w:noProof/>
        </w:rPr>
        <w:t>Jameson also makes sure however to cast her own doubt on the saint’s story, refering to Erasmus’ ‘supposed martyrdom – for the affrighted imagination is obliged to take refuge in doubt or incredulity’.</w:t>
      </w:r>
      <w:r w:rsidR="00CB79EC">
        <w:rPr>
          <w:rStyle w:val="FootnoteReference"/>
          <w:noProof/>
        </w:rPr>
        <w:footnoteReference w:id="38"/>
      </w:r>
      <w:r w:rsidR="00F2797C">
        <w:rPr>
          <w:noProof/>
        </w:rPr>
        <w:t xml:space="preserve"> Reading the passage it is very similar to a great deal of material on Erasmus as it contains a clear doubt on the nature of the story, but the </w:t>
      </w:r>
      <w:r w:rsidR="00FE4EB8">
        <w:rPr>
          <w:noProof/>
        </w:rPr>
        <w:t xml:space="preserve">idea of </w:t>
      </w:r>
      <w:r w:rsidR="00F2797C">
        <w:rPr>
          <w:noProof/>
        </w:rPr>
        <w:t xml:space="preserve">being so violently tortured is affecting enough to be what you ultimately focus on and remember. Jameson’s description of the painting is a clear indication of how Erasmus’ story is so suited to such vivid artwork, and therefore so memorable. </w:t>
      </w:r>
    </w:p>
    <w:p w:rsidR="001848AE" w:rsidRDefault="00EA21CF" w:rsidP="00EA21CF">
      <w:r>
        <w:t>Wind takes a different approach in discussing St Erasmus, as he links together the venerated saint and the renaissance humanist</w:t>
      </w:r>
      <w:r w:rsidRPr="00EA21CF">
        <w:t xml:space="preserve"> Desideriu</w:t>
      </w:r>
      <w:r>
        <w:t xml:space="preserve">s Erasmus. He discusses </w:t>
      </w:r>
      <w:r w:rsidR="00D44E47">
        <w:t xml:space="preserve">how </w:t>
      </w:r>
      <w:r>
        <w:t xml:space="preserve">St Erasmus </w:t>
      </w:r>
      <w:r w:rsidR="00D44E47">
        <w:t>began to be worshipped by Albrecht von Brandenburg in Halle</w:t>
      </w:r>
      <w:r w:rsidR="00924A73">
        <w:t xml:space="preserve"> in the early sixteenth century</w:t>
      </w:r>
      <w:r w:rsidR="006C55F1">
        <w:t xml:space="preserve"> and</w:t>
      </w:r>
      <w:r w:rsidR="00924A73">
        <w:t xml:space="preserve"> how ‘it was Albrecht’s admiration for the man Erasmus which prompted him to place himself under the protection of Erasmus the Saint’.</w:t>
      </w:r>
      <w:r w:rsidR="00CB79EC">
        <w:rPr>
          <w:rStyle w:val="FootnoteReference"/>
        </w:rPr>
        <w:footnoteReference w:id="39"/>
      </w:r>
      <w:r w:rsidR="00924A73">
        <w:t xml:space="preserve"> Wind continues by stating that although we today might view how this ‘act of devotion may seem to resemble a frivolous pun’, it is important to remember that ‘a name and a word mean to a religious mind far more than to a purely rational one’.</w:t>
      </w:r>
      <w:r w:rsidR="00CB79EC">
        <w:rPr>
          <w:rStyle w:val="FootnoteReference"/>
        </w:rPr>
        <w:footnoteReference w:id="40"/>
      </w:r>
      <w:r w:rsidR="00924A73">
        <w:t xml:space="preserve"> This is significant to consider because no other sources considered for this study stated that the reason for St Erasmus to be venerated was because he had the same name as a contemporary, rather than a connection to his story and martyrdom. </w:t>
      </w:r>
      <w:r w:rsidR="00473768">
        <w:t xml:space="preserve">When analysing the cult of saints, the use of a name carries such significance is not a surprise that someone would feel an attachment to a </w:t>
      </w:r>
      <w:r w:rsidR="00D76105">
        <w:t>s</w:t>
      </w:r>
      <w:r w:rsidR="00473768">
        <w:t xml:space="preserve">aint </w:t>
      </w:r>
      <w:r w:rsidR="00E6720A">
        <w:t>because of something they had in common with something else they held to be important.</w:t>
      </w:r>
      <w:r w:rsidR="002249FE">
        <w:rPr>
          <w:rStyle w:val="FootnoteReference"/>
        </w:rPr>
        <w:footnoteReference w:id="41"/>
      </w:r>
      <w:r w:rsidR="00E6720A">
        <w:t xml:space="preserve"> This was a particularly engaging source, because it not only provides a fresh perspective on St Erasmus, but also places him at a unique point in history, as Wind states ‘there is in this arrangement a curious crossing of medievalism and modernity’</w:t>
      </w:r>
      <w:r w:rsidR="001B0992">
        <w:t>, as the Humanists were interested in a firmly medieval thought process.</w:t>
      </w:r>
      <w:r w:rsidR="00CB79EC">
        <w:rPr>
          <w:rStyle w:val="FootnoteReference"/>
        </w:rPr>
        <w:footnoteReference w:id="42"/>
      </w:r>
      <w:r w:rsidR="00E6720A">
        <w:t xml:space="preserve"> </w:t>
      </w:r>
      <w:r w:rsidR="00EB1081">
        <w:t xml:space="preserve">The article does a good job of framing </w:t>
      </w:r>
      <w:r w:rsidR="00375571">
        <w:t xml:space="preserve">the importance of invoking a saint’s name, and </w:t>
      </w:r>
      <w:r w:rsidR="00EB1081">
        <w:t xml:space="preserve">placing St Erasmus as an important figure </w:t>
      </w:r>
      <w:r w:rsidR="00375571" w:rsidRPr="00375571">
        <w:t>in relation to the end of the medieval period</w:t>
      </w:r>
      <w:r w:rsidR="00375571">
        <w:t xml:space="preserve"> and the beginning of the renaissance. </w:t>
      </w:r>
    </w:p>
    <w:p w:rsidR="009F1B87" w:rsidRPr="009F1B87" w:rsidRDefault="009F1B87" w:rsidP="00EA21CF"/>
    <w:p w:rsidR="001848AE" w:rsidRDefault="001848AE" w:rsidP="00EA21CF">
      <w:pPr>
        <w:rPr>
          <w:u w:val="single"/>
        </w:rPr>
      </w:pPr>
    </w:p>
    <w:p w:rsidR="0005477F" w:rsidRDefault="0005477F" w:rsidP="0005477F">
      <w:pPr>
        <w:jc w:val="center"/>
        <w:rPr>
          <w:u w:val="single"/>
        </w:rPr>
      </w:pPr>
      <w:r>
        <w:rPr>
          <w:u w:val="single"/>
        </w:rPr>
        <w:lastRenderedPageBreak/>
        <w:t>Essay</w:t>
      </w:r>
    </w:p>
    <w:p w:rsidR="0005477F" w:rsidRDefault="0005477F" w:rsidP="0005477F">
      <w:pPr>
        <w:jc w:val="center"/>
        <w:rPr>
          <w:u w:val="single"/>
        </w:rPr>
      </w:pPr>
    </w:p>
    <w:p w:rsidR="0097694E" w:rsidRDefault="0005477F" w:rsidP="0005477F">
      <w:r>
        <w:t xml:space="preserve">This section will analyse St Erasmus in the wider context of the cult of </w:t>
      </w:r>
      <w:r w:rsidR="003F7EF2">
        <w:t>s</w:t>
      </w:r>
      <w:r>
        <w:t>aints, in asking</w:t>
      </w:r>
      <w:r w:rsidR="00E07594">
        <w:t xml:space="preserve"> to what extent the representations of him reflect the evolving attitudes and perceptions of death during the Middle Ages</w:t>
      </w:r>
      <w:r w:rsidR="0097694E">
        <w:t>. In dividing up this analysis, it will look at the importance that having a good story is in the ‘making’ of a Saint, as well as medieval attitudes towards death and the moment of dying, and how this relates to Erasmus. The way that death and suffering was represented and approached then leads onto</w:t>
      </w:r>
      <w:r>
        <w:t xml:space="preserve"> the notion of affective piety, described by Keitt as ‘vividly pictorial, highly emotional and deeply embodied raptures and revelations’.</w:t>
      </w:r>
      <w:r w:rsidR="00CB79EC">
        <w:rPr>
          <w:rStyle w:val="FootnoteReference"/>
        </w:rPr>
        <w:footnoteReference w:id="43"/>
      </w:r>
      <w:r>
        <w:t xml:space="preserve"> </w:t>
      </w:r>
      <w:r w:rsidR="00232DC8">
        <w:t xml:space="preserve">This concept is relevant to this study as the depiction of Erasmus in various art throughout </w:t>
      </w:r>
      <w:r w:rsidR="00E07594">
        <w:t xml:space="preserve">medieval period </w:t>
      </w:r>
      <w:r w:rsidR="00232DC8">
        <w:t>is central to his story, with his particular martyrdom lending itself suitably to a ubiquitous and easily relatable format</w:t>
      </w:r>
      <w:r w:rsidR="0097694E">
        <w:t xml:space="preserve">. </w:t>
      </w:r>
    </w:p>
    <w:p w:rsidR="00C21E52" w:rsidRDefault="00BA35CB" w:rsidP="0005477F">
      <w:r>
        <w:t xml:space="preserve">Key to understanding these sources must be an analysis of medieval attitudes to death. </w:t>
      </w:r>
      <w:r w:rsidR="008843C5">
        <w:t>Bynum explains that over time ‘dying became an intense physical and emotional experience, associated with suffering, affective response and self-understanding’.</w:t>
      </w:r>
      <w:r w:rsidR="00CB79EC">
        <w:rPr>
          <w:rStyle w:val="FootnoteReference"/>
        </w:rPr>
        <w:footnoteReference w:id="44"/>
      </w:r>
      <w:r w:rsidR="008843C5">
        <w:t xml:space="preserve"> Artwork depicting Erasmus</w:t>
      </w:r>
      <w:r w:rsidR="001234EF">
        <w:t xml:space="preserve"> fits this description very well, with the physical nature of the way his martyrdom is represented </w:t>
      </w:r>
      <w:r w:rsidR="00930CA8">
        <w:t>focusing on suffering, and it is this suffering which leads to the self-understanding of the people viewing it, because he d</w:t>
      </w:r>
      <w:r w:rsidR="00833F90">
        <w:t>id</w:t>
      </w:r>
      <w:r w:rsidR="00930CA8">
        <w:t xml:space="preserve"> this for them. </w:t>
      </w:r>
      <w:r w:rsidR="00CE47D9">
        <w:t>These are the same emotions that are connected to images of Christ on the cross, as he died for the sins of the world. The changing attitudes to death that Bynum mentions are important because as Kinch states, ‘to say that death is mediated by images is not to deny the reality of death, but to emphasize that death’s reality is inaccessible’.</w:t>
      </w:r>
      <w:r w:rsidR="00CB79EC">
        <w:rPr>
          <w:rStyle w:val="FootnoteReference"/>
        </w:rPr>
        <w:footnoteReference w:id="45"/>
      </w:r>
      <w:r w:rsidR="00CE47D9">
        <w:t xml:space="preserve"> People in the Middle Ages would have been surrounded by death, not only images of it but questions as to what would happens afterwards, with the threat of the final judgement. </w:t>
      </w:r>
      <w:r w:rsidR="00833F90">
        <w:t>A</w:t>
      </w:r>
      <w:r w:rsidR="00CB673C">
        <w:t>s Kinch says, death and deceased bodies ‘trigger powerful responses in us and unleash emotional energy that we struggle to contain’.</w:t>
      </w:r>
      <w:r w:rsidR="00CB79EC">
        <w:rPr>
          <w:rStyle w:val="FootnoteReference"/>
        </w:rPr>
        <w:footnoteReference w:id="46"/>
      </w:r>
      <w:r w:rsidR="00CB673C">
        <w:t xml:space="preserve"> Even though many accounts tell us that Erasmus survives being disembowelled, the image given to people seeing these images will have naturally conveyed the idea of death and suffering. There is a reason why many of these paintings focus on the moment his insides are being taken out, and not beforehand, or after he has survived. This is a point of maximum impact, and as Kinch </w:t>
      </w:r>
      <w:r w:rsidR="00D71736">
        <w:t>discusses</w:t>
      </w:r>
      <w:r w:rsidR="00CB673C">
        <w:t xml:space="preserve">, the kind of impact that people do not even have a control over. </w:t>
      </w:r>
      <w:r w:rsidR="00263F34">
        <w:t>Another aspect</w:t>
      </w:r>
      <w:r w:rsidR="00D71736">
        <w:t xml:space="preserve"> to</w:t>
      </w:r>
      <w:r w:rsidR="00263F34">
        <w:t xml:space="preserve"> consider is Huzinga’s assertion that </w:t>
      </w:r>
      <w:r w:rsidR="003D04B3">
        <w:t>‘a</w:t>
      </w:r>
      <w:r w:rsidR="003D04B3" w:rsidRPr="003D04B3">
        <w:t>t the close of the Middle Ages the whole vision of death, m</w:t>
      </w:r>
      <w:r w:rsidR="003D04B3">
        <w:t>a</w:t>
      </w:r>
      <w:r w:rsidR="003D04B3" w:rsidRPr="003D04B3">
        <w:t>y be summed u</w:t>
      </w:r>
      <w:r w:rsidR="003D04B3">
        <w:t>p</w:t>
      </w:r>
      <w:r w:rsidR="003D04B3" w:rsidRPr="003D04B3">
        <w:t xml:space="preserve"> </w:t>
      </w:r>
      <w:r w:rsidR="003D04B3">
        <w:t>in</w:t>
      </w:r>
      <w:r w:rsidR="003D04B3" w:rsidRPr="003D04B3">
        <w:t xml:space="preserve"> the word macabre</w:t>
      </w:r>
      <w:r w:rsidR="003D04B3">
        <w:t>’.</w:t>
      </w:r>
      <w:r w:rsidR="00CB79EC">
        <w:rPr>
          <w:rStyle w:val="FootnoteReference"/>
        </w:rPr>
        <w:footnoteReference w:id="47"/>
      </w:r>
      <w:r w:rsidR="003D04B3">
        <w:t xml:space="preserve"> This means that the process which has taken place throughout this period has ultimately seen depictions of death and the process of someone dying take the form of harsh and realistic portrayals, with Huzinga suggesting that this was centred around fear. These ideas are very relevant when discussing St Erasmus because </w:t>
      </w:r>
      <w:r w:rsidR="00D226B4">
        <w:t>his story lends itself to the macabre</w:t>
      </w:r>
      <w:r w:rsidR="00D71736">
        <w:t xml:space="preserve"> as</w:t>
      </w:r>
      <w:r w:rsidR="00D226B4">
        <w:t xml:space="preserve"> </w:t>
      </w:r>
      <w:r w:rsidR="00D71736">
        <w:t>w</w:t>
      </w:r>
      <w:r w:rsidR="00D226B4">
        <w:t>hat is being depicted is to an unknowing eye, the process of someone being tortured to deat</w:t>
      </w:r>
      <w:r w:rsidR="00D71736">
        <w:t>h.</w:t>
      </w:r>
      <w:r w:rsidR="00D226B4">
        <w:t xml:space="preserve"> </w:t>
      </w:r>
      <w:r w:rsidR="00D71736">
        <w:t>This</w:t>
      </w:r>
      <w:r w:rsidR="00D226B4">
        <w:t xml:space="preserve"> would have evoked feelings of fear in people, with the hope then that they see why this saint </w:t>
      </w:r>
      <w:r w:rsidR="00903290">
        <w:t>died and</w:t>
      </w:r>
      <w:r w:rsidR="00D226B4">
        <w:t xml:space="preserve"> venerate him for his </w:t>
      </w:r>
      <w:r w:rsidR="00E44657">
        <w:t>cause</w:t>
      </w:r>
      <w:r w:rsidR="00D226B4">
        <w:t xml:space="preserve">. </w:t>
      </w:r>
    </w:p>
    <w:p w:rsidR="00072436" w:rsidRDefault="00976EDE" w:rsidP="0005477F">
      <w:r>
        <w:rPr>
          <w:rFonts w:ascii="Arial" w:hAnsi="Arial" w:cs="Arial"/>
          <w:noProof/>
          <w:color w:val="1A0DAB"/>
          <w:sz w:val="20"/>
          <w:szCs w:val="20"/>
          <w:bdr w:val="none" w:sz="0" w:space="0" w:color="auto" w:frame="1"/>
        </w:rPr>
        <w:lastRenderedPageBreak/>
        <w:drawing>
          <wp:inline distT="0" distB="0" distL="0" distR="0" wp14:anchorId="0D947D56" wp14:editId="14991321">
            <wp:extent cx="5249668" cy="8008620"/>
            <wp:effectExtent l="0" t="0" r="8255" b="0"/>
            <wp:docPr id="1" name="Picture 1" descr="Image result for st erasmus images">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 erasmus images">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75115" cy="8199995"/>
                    </a:xfrm>
                    <a:prstGeom prst="rect">
                      <a:avLst/>
                    </a:prstGeom>
                    <a:noFill/>
                    <a:ln>
                      <a:noFill/>
                    </a:ln>
                  </pic:spPr>
                </pic:pic>
              </a:graphicData>
            </a:graphic>
          </wp:inline>
        </w:drawing>
      </w:r>
      <w:r w:rsidR="00CB79EC">
        <w:rPr>
          <w:rStyle w:val="FootnoteReference"/>
        </w:rPr>
        <w:footnoteReference w:id="48"/>
      </w:r>
    </w:p>
    <w:p w:rsidR="00263F34" w:rsidRDefault="003769B0" w:rsidP="0005477F">
      <w:r>
        <w:lastRenderedPageBreak/>
        <w:t>The above image comes from a Flemish book of hours, from around the 1450s.</w:t>
      </w:r>
      <w:r w:rsidR="003D03D5">
        <w:rPr>
          <w:rStyle w:val="FootnoteReference"/>
        </w:rPr>
        <w:footnoteReference w:id="49"/>
      </w:r>
      <w:r w:rsidR="00CF22B5">
        <w:t xml:space="preserve"> It is difficult to determine who would have owned a text such as this, but that the image is not as dominant and detailed as other examples suggests that this was not</w:t>
      </w:r>
      <w:r w:rsidR="007A308B">
        <w:t xml:space="preserve"> just</w:t>
      </w:r>
      <w:r w:rsidR="00CF22B5">
        <w:t xml:space="preserve"> exclusive to the wealthiest people around at the time. The book was created around twenty years before what is considered the ‘great era’ for Flemish manuscript art,</w:t>
      </w:r>
      <w:r w:rsidR="00CB79EC">
        <w:rPr>
          <w:rStyle w:val="FootnoteReference"/>
        </w:rPr>
        <w:footnoteReference w:id="50"/>
      </w:r>
      <w:r w:rsidR="00CF22B5">
        <w:t xml:space="preserve"> so would not be considered one of the more famous works of its kind, but the extract used here has enough for it to be a hugely valuable source. </w:t>
      </w:r>
      <w:r w:rsidR="00F437BC">
        <w:t>The most significant aspect of this as a source is</w:t>
      </w:r>
      <w:r w:rsidR="00E44657">
        <w:t xml:space="preserve"> naturally</w:t>
      </w:r>
      <w:r w:rsidR="00F437BC">
        <w:t xml:space="preserve"> the way a book can be used when compared to a paintin</w:t>
      </w:r>
      <w:r w:rsidR="00833F90">
        <w:t>g</w:t>
      </w:r>
      <w:r w:rsidR="00F437BC">
        <w:t xml:space="preserve">. This would have been used for a more private devotion and would need someone who was literate to be fully appreciated, which is why the detail of this image is less important compared to the other images </w:t>
      </w:r>
      <w:r w:rsidR="00833F90">
        <w:t>referenced</w:t>
      </w:r>
      <w:r w:rsidR="00F437BC">
        <w:t xml:space="preserve"> in this study, which without words attempted to convey fully the unmistakable tortures Erasmus suffered. The fact that a book can be borrowed and taken anywhere indicates that many people could have been able to use it regardless of whether they were around a church or not. </w:t>
      </w:r>
    </w:p>
    <w:p w:rsidR="00F53494" w:rsidRDefault="003769B0" w:rsidP="00B92A87">
      <w:r>
        <w:t xml:space="preserve">The image itself is another graphic interpretation of St Erasmus’ martyrdom. Unlike the sources used in the above sections, this image shows Erasmus as still wearing his </w:t>
      </w:r>
      <w:r w:rsidRPr="003769B0">
        <w:t>Epimedium</w:t>
      </w:r>
      <w:r>
        <w:t>, allowing him a greater dignity and position</w:t>
      </w:r>
      <w:r w:rsidR="00521FA3">
        <w:t xml:space="preserve">. </w:t>
      </w:r>
      <w:r w:rsidR="0053212C">
        <w:t xml:space="preserve">The picture is juxtaposed with a reflective piece attributed to the saint himself, </w:t>
      </w:r>
      <w:r w:rsidR="00DE071D">
        <w:t xml:space="preserve">as he </w:t>
      </w:r>
      <w:r w:rsidR="00990DD8">
        <w:t>speaks to his</w:t>
      </w:r>
      <w:r w:rsidR="00BA35CB">
        <w:t>,</w:t>
      </w:r>
      <w:r w:rsidR="00DE071D">
        <w:t xml:space="preserve"> ‘Omnipotent God’, </w:t>
      </w:r>
      <w:r w:rsidR="00990DD8">
        <w:t xml:space="preserve">asking </w:t>
      </w:r>
      <w:r w:rsidR="00DE071D">
        <w:t>that after going through his ‘anguish and tribulations’,</w:t>
      </w:r>
      <w:r w:rsidR="00BA35CB">
        <w:t xml:space="preserve"> that</w:t>
      </w:r>
      <w:r w:rsidR="00DE071D">
        <w:t xml:space="preserve"> he </w:t>
      </w:r>
      <w:r w:rsidR="00990DD8">
        <w:t>be</w:t>
      </w:r>
      <w:r w:rsidR="00DE071D">
        <w:t xml:space="preserve"> allowed to have a ‘good death’</w:t>
      </w:r>
      <w:r w:rsidR="00990DD8">
        <w:t>.</w:t>
      </w:r>
      <w:r w:rsidR="00CB79EC">
        <w:rPr>
          <w:rStyle w:val="FootnoteReference"/>
        </w:rPr>
        <w:footnoteReference w:id="51"/>
      </w:r>
      <w:r w:rsidR="00990DD8">
        <w:t xml:space="preserve"> </w:t>
      </w:r>
      <w:r w:rsidR="00F2797C">
        <w:t xml:space="preserve">The picture itself </w:t>
      </w:r>
      <w:r w:rsidR="00263F34">
        <w:t xml:space="preserve">is another </w:t>
      </w:r>
      <w:r w:rsidR="00204C18">
        <w:t>macabre</w:t>
      </w:r>
      <w:r w:rsidR="00263F34">
        <w:t xml:space="preserve"> image of the saint with the colours particularly illuminating</w:t>
      </w:r>
      <w:r w:rsidR="00F437BC">
        <w:t xml:space="preserve"> the stomach of Erasmus, not hiding away from the brutality, in contrast to the work of Bouts used earlier which appeared to consciously remove </w:t>
      </w:r>
      <w:r w:rsidR="008E6066">
        <w:t>these gorier elements. The picture itself does not need such detail as the text helps paint this picture. This source links to this section as it indicates control over death, as Erasmus knows that there is a purpose to what is happening to him and that God is in charge of it. However, he still desires his death to be good, which links into attitudes prevalent in the medieval period</w:t>
      </w:r>
      <w:r w:rsidR="00204C18">
        <w:t xml:space="preserve"> in taking ownership of the moment of death and being received by God.</w:t>
      </w:r>
      <w:r w:rsidR="00A8486E">
        <w:rPr>
          <w:rStyle w:val="FootnoteReference"/>
        </w:rPr>
        <w:footnoteReference w:id="52"/>
      </w:r>
      <w:r w:rsidR="00204C18">
        <w:t xml:space="preserve"> The description of Erasmus’ death in the Golden Legend is one of ascending to heaven in a moment of great joy and celebration, complimenting this passage. The text also marks Erasmus out as a figure deserving of devotion because it is acknowledged he has suffered</w:t>
      </w:r>
      <w:r w:rsidR="00125FD7">
        <w:t xml:space="preserve"> </w:t>
      </w:r>
      <w:r w:rsidR="00204C18">
        <w:t>for a purpose, giv</w:t>
      </w:r>
      <w:r w:rsidR="00125FD7">
        <w:t>ing</w:t>
      </w:r>
      <w:r w:rsidR="00204C18">
        <w:t xml:space="preserve"> him a great, relatable story</w:t>
      </w:r>
      <w:r w:rsidR="00E44657">
        <w:t xml:space="preserve"> a</w:t>
      </w:r>
      <w:r w:rsidR="00125FD7">
        <w:t>nd</w:t>
      </w:r>
      <w:r w:rsidR="00E44657">
        <w:t xml:space="preserve"> compelling reason to</w:t>
      </w:r>
      <w:r w:rsidR="00125FD7">
        <w:t xml:space="preserve"> be</w:t>
      </w:r>
      <w:r w:rsidR="00E44657">
        <w:t xml:space="preserve"> worship</w:t>
      </w:r>
      <w:r w:rsidR="00125FD7">
        <w:t>ped</w:t>
      </w:r>
      <w:r w:rsidR="00E44657">
        <w:t xml:space="preserve">. </w:t>
      </w:r>
      <w:r w:rsidR="00204C18">
        <w:t xml:space="preserve">We can link this to affective piety as the simple but effective image is accompanied by an emotional text, describing the saint as </w:t>
      </w:r>
      <w:r w:rsidR="003D04B3">
        <w:t xml:space="preserve">asking God for the mercy of a death befitting what he has done during his life. The image </w:t>
      </w:r>
      <w:r w:rsidR="00E44657">
        <w:t>subtly supports</w:t>
      </w:r>
      <w:r w:rsidR="003D04B3">
        <w:t xml:space="preserve"> this because to just describe ‘anguish’ is not as effective as showing Erasmus being disembowelled</w:t>
      </w:r>
      <w:r w:rsidR="0037016F">
        <w:t>,</w:t>
      </w:r>
      <w:r w:rsidR="003D04B3">
        <w:t xml:space="preserve"> which focuses the mind and stays with someone, making the message a hugely memorable one. </w:t>
      </w:r>
    </w:p>
    <w:p w:rsidR="00B92A87" w:rsidRDefault="00F774C2" w:rsidP="00B92A87">
      <w:r>
        <w:rPr>
          <w:noProof/>
        </w:rPr>
        <w:lastRenderedPageBreak/>
        <w:drawing>
          <wp:anchor distT="0" distB="0" distL="0" distR="0" simplePos="0" relativeHeight="251659264" behindDoc="0" locked="0" layoutInCell="1" allowOverlap="0" wp14:anchorId="4DBC7C30" wp14:editId="04442E96">
            <wp:simplePos x="0" y="0"/>
            <wp:positionH relativeFrom="margin">
              <wp:posOffset>220980</wp:posOffset>
            </wp:positionH>
            <wp:positionV relativeFrom="paragraph">
              <wp:posOffset>7620</wp:posOffset>
            </wp:positionV>
            <wp:extent cx="5389245" cy="7239000"/>
            <wp:effectExtent l="0" t="0" r="1905" b="0"/>
            <wp:wrapSquare wrapText="bothSides"/>
            <wp:docPr id="9" name="Picture 9" descr="The Martyrdom of Saint Erasmus, circa 146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Martyrdom of Saint Erasmus, circa 1460/7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89245" cy="7239000"/>
                    </a:xfrm>
                    <a:prstGeom prst="rect">
                      <a:avLst/>
                    </a:prstGeom>
                    <a:noFill/>
                    <a:ln>
                      <a:noFill/>
                    </a:ln>
                  </pic:spPr>
                </pic:pic>
              </a:graphicData>
            </a:graphic>
            <wp14:sizeRelH relativeFrom="page">
              <wp14:pctWidth>0</wp14:pctWidth>
            </wp14:sizeRelH>
            <wp14:sizeRelV relativeFrom="page">
              <wp14:pctHeight>0</wp14:pctHeight>
            </wp14:sizeRelV>
          </wp:anchor>
        </w:drawing>
      </w:r>
      <w:r w:rsidR="00CB79EC">
        <w:rPr>
          <w:rStyle w:val="FootnoteReference"/>
        </w:rPr>
        <w:footnoteReference w:id="53"/>
      </w:r>
    </w:p>
    <w:p w:rsidR="00F53494" w:rsidRDefault="00F53494" w:rsidP="00B92A87"/>
    <w:p w:rsidR="00F53494" w:rsidRDefault="00F53494" w:rsidP="00B92A87"/>
    <w:p w:rsidR="00B92A87" w:rsidRDefault="00B92A87" w:rsidP="00B92A87">
      <w:r>
        <w:lastRenderedPageBreak/>
        <w:t>This image from c.1460, ‘The Tortures of St Erasmus’, described as ‘one of the first printed comics’,</w:t>
      </w:r>
      <w:r w:rsidR="00CB79EC">
        <w:rPr>
          <w:rStyle w:val="FootnoteReference"/>
        </w:rPr>
        <w:footnoteReference w:id="54"/>
      </w:r>
      <w:r>
        <w:t xml:space="preserve"> is a very different way of portraying the story. It is thought to be a forerunner to the Dutch tradition of printed sheets </w:t>
      </w:r>
      <w:r w:rsidR="00B242BD">
        <w:t>depicting holy individuals.</w:t>
      </w:r>
      <w:r w:rsidR="00E44657">
        <w:rPr>
          <w:rStyle w:val="FootnoteReference"/>
        </w:rPr>
        <w:footnoteReference w:id="55"/>
      </w:r>
      <w:r w:rsidR="00F446D0">
        <w:t xml:space="preserve"> As </w:t>
      </w:r>
      <w:r w:rsidR="001D0924">
        <w:t>a medium that could be distributed it is very different to analyse when compared to paintings and other monuments, because</w:t>
      </w:r>
      <w:r w:rsidR="00903290">
        <w:t xml:space="preserve"> like the book of hours</w:t>
      </w:r>
      <w:r w:rsidR="001D0924">
        <w:t xml:space="preserve"> someone did not need to </w:t>
      </w:r>
      <w:r w:rsidR="00903290">
        <w:t xml:space="preserve">travel to a church to see this portrayal. </w:t>
      </w:r>
      <w:r w:rsidR="009536C9">
        <w:t xml:space="preserve">The effect of this </w:t>
      </w:r>
      <w:r w:rsidR="00442F22">
        <w:t xml:space="preserve">devotion changing to a secular context is that the myth and legend of the story would have assumed a much greater prominence and could have spread from word of mouth, not directly from preachers. </w:t>
      </w:r>
    </w:p>
    <w:p w:rsidR="00F00ACB" w:rsidRDefault="00714329" w:rsidP="00976EDE">
      <w:r>
        <w:t xml:space="preserve">The nature of this source underlines the value of an engaging narrative in promoting the devotion of a saint. </w:t>
      </w:r>
      <w:r w:rsidR="00B92A87">
        <w:t>Whereas other images and artwork discussed in this study isolate a specific moment of Erasmus having his insides taken out, this source is able to tell a broader tale in less detail. As Wetmore Jr states, it is ‘an example of the blend of image and text in which the whole is greater than the su</w:t>
      </w:r>
      <w:r w:rsidR="00125FD7">
        <w:t>m</w:t>
      </w:r>
      <w:r w:rsidR="00B92A87">
        <w:t xml:space="preserve"> of the parts’.</w:t>
      </w:r>
      <w:r w:rsidR="00CB79EC">
        <w:rPr>
          <w:rStyle w:val="FootnoteReference"/>
        </w:rPr>
        <w:footnoteReference w:id="56"/>
      </w:r>
      <w:r w:rsidR="00B92A87">
        <w:t xml:space="preserve"> Although the text is not visible here, we can clearly see what is portrayed in the source, as Erasmus is brought before Emperor Diocletian, and is then made to suffer various tortures in punishment.</w:t>
      </w:r>
      <w:r w:rsidR="00B242BD">
        <w:t xml:space="preserve"> Much like the other sources explored, Erasmus is shown to be stoic and calm throughout, and given he does not seem to be resisting or defending himself in any of the pictures, he appears almost as a willing participant. The disadvantage of a source such as this would be that it does not have the same level of detail as work such as Cranach for instance, where all the elements such as the surrounding people</w:t>
      </w:r>
      <w:r w:rsidR="00D71736">
        <w:t xml:space="preserve"> </w:t>
      </w:r>
      <w:r w:rsidR="00B242BD">
        <w:t>and buildings in the background build up a certain scene around the detailed</w:t>
      </w:r>
      <w:r w:rsidR="00903290">
        <w:t>,</w:t>
      </w:r>
      <w:r w:rsidR="00B242BD">
        <w:t xml:space="preserve"> gruesome torture. Here, as Wetmore Jr alludes to, that detail is sacrificed to tell a broader story. </w:t>
      </w:r>
      <w:r w:rsidR="009949AA">
        <w:t xml:space="preserve">The key to the source is not the </w:t>
      </w:r>
      <w:r w:rsidR="001270B8">
        <w:t>brutality of an isolated moment but is evidence of how often Erasmus was tortured.</w:t>
      </w:r>
      <w:r w:rsidR="003F7EF2">
        <w:t xml:space="preserve"> A si</w:t>
      </w:r>
      <w:r w:rsidR="0054653A">
        <w:t>ngle</w:t>
      </w:r>
      <w:r w:rsidR="001270B8">
        <w:t xml:space="preserve"> brutal image is perhaps more striking, but to show that someone suffered again and again for their faith is equally as important. To </w:t>
      </w:r>
      <w:r w:rsidR="00C15C9F">
        <w:t>reveal</w:t>
      </w:r>
      <w:r w:rsidR="001270B8">
        <w:t xml:space="preserve"> how much Erasmus went through would have been an example to those looking at this source of his bravery but also his strength of </w:t>
      </w:r>
      <w:r w:rsidR="00C15C9F">
        <w:t>belief</w:t>
      </w:r>
      <w:r w:rsidR="001270B8">
        <w:t>. This links into the ideas of affective piety because there is a clear emotional connection to somebody that is being persecuted for their religion. Davidson describes the story of Erasmus as placing ‘violent acts against the saint within the context of a world in which a hostile paganism acts in the violation of the norms of Christianity’.</w:t>
      </w:r>
      <w:r w:rsidR="00CB79EC">
        <w:rPr>
          <w:rStyle w:val="FootnoteReference"/>
        </w:rPr>
        <w:footnoteReference w:id="57"/>
      </w:r>
      <w:r w:rsidR="001270B8">
        <w:t xml:space="preserve"> </w:t>
      </w:r>
      <w:r w:rsidR="00990DD8">
        <w:t xml:space="preserve">This is why the second panel across the top is important, as it shows Erasmus being brought in front of his persecutor, meaning that is in the background of the rest of the source as the purpose behind it. This source also links to ideas surrounding control over death, </w:t>
      </w:r>
      <w:r w:rsidR="00D71736">
        <w:t>with each</w:t>
      </w:r>
      <w:r w:rsidR="00990DD8">
        <w:t xml:space="preserve"> picture show</w:t>
      </w:r>
      <w:r w:rsidR="00D71736">
        <w:t>ing</w:t>
      </w:r>
      <w:r w:rsidR="00990DD8">
        <w:t xml:space="preserve"> Erasmus to maintain a calm demeanour regardless of what he is being put through. Also, that there are so many pictures is clear evidence that he is surviving these incidents, which would have</w:t>
      </w:r>
      <w:r w:rsidR="00C15C9F">
        <w:t xml:space="preserve"> served as</w:t>
      </w:r>
      <w:r w:rsidR="00990DD8">
        <w:t xml:space="preserve"> a testament to his power as a saint. In the respect of inspiring devotion in people, showing someone overcoming death that many times would have been a great story to be told, and this is crucial in spreading the message of the particular individual.</w:t>
      </w:r>
      <w:r w:rsidR="00976EDE" w:rsidRPr="00976EDE">
        <w:t xml:space="preserve"> </w:t>
      </w:r>
      <w:r w:rsidR="00976EDE">
        <w:t>Erasmus was being tortured for not giving up his faith, and</w:t>
      </w:r>
      <w:r w:rsidR="00990DD8">
        <w:t xml:space="preserve"> </w:t>
      </w:r>
      <w:r w:rsidR="00976EDE">
        <w:t>Cunningham describes martyrdom as ‘the high point of moral truth’.</w:t>
      </w:r>
      <w:r w:rsidR="00CB79EC">
        <w:rPr>
          <w:rStyle w:val="FootnoteReference"/>
        </w:rPr>
        <w:footnoteReference w:id="58"/>
      </w:r>
      <w:r w:rsidR="00976EDE">
        <w:t xml:space="preserve"> Key to this story is </w:t>
      </w:r>
      <w:r w:rsidR="00976EDE">
        <w:lastRenderedPageBreak/>
        <w:t xml:space="preserve">that Erasmus was a part of a greater purpose, to spread the word of God and convert as many people to his faith as possible, </w:t>
      </w:r>
      <w:r w:rsidR="002214A4">
        <w:t>regardless of</w:t>
      </w:r>
      <w:r w:rsidR="00976EDE">
        <w:t xml:space="preserve"> the punishments he received. </w:t>
      </w:r>
    </w:p>
    <w:p w:rsidR="003A2CB8" w:rsidRDefault="009A3F30" w:rsidP="0005477F">
      <w:r>
        <w:t xml:space="preserve">Overall, the story of St Erasmus is one which was perfect for shocking, affecting artwork, suited to speak to the fears and emotions of people during the Middle Ages. The emotive nature of affective piety </w:t>
      </w:r>
      <w:r w:rsidR="0099095A">
        <w:t>relates to his story as the image of someone being persecuted for their religion and remaining fully committed to God is a powerful one, and easy to identify with. That he is written as doing these extraordinary things and shown to have undergone these awful punishments gives Erasmus an engaging story, key to helping a saint develop a following and be worshipped.</w:t>
      </w:r>
      <w:r w:rsidR="00531415">
        <w:t xml:space="preserve"> </w:t>
      </w:r>
      <w:r w:rsidR="0099095A">
        <w:t>The changing nature of attitudes towards death and the moment of dying during the medieval period lend</w:t>
      </w:r>
      <w:r w:rsidR="00531415">
        <w:t xml:space="preserve"> themselves to Erasmus’ story as he was depicted in a dark, brutal and macabre fashion, which would have remained in the minds of those who viewed these works regardless of the facts behind them. </w:t>
      </w:r>
      <w:r w:rsidR="0099095A">
        <w:t xml:space="preserve">The alternative sources used in this section, such as the book of hours and early comic strip are a further indication as to how easily the story of Erasmus lends itself to so many different formats, while in each being able to clearly follow the themes that have been discussed throughout. What these sources also show is that devotion to saints could either be a public or private endeavour, and despite the fact that Erasmus’ relics have not formed a part of this study he was still a saint that people could venerate because of the universal appeal of how he was portrayed, and what </w:t>
      </w:r>
      <w:r w:rsidR="00903290">
        <w:t xml:space="preserve">he was shown to represent. A patron saint of sailors and of abdominal pain could be invoked by those in these situations, and the images that people saw of him would have stuck in the memory and furthered his legend. </w:t>
      </w:r>
    </w:p>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AA6CF3" w:rsidRDefault="00AA6CF3" w:rsidP="0005477F"/>
    <w:p w:rsidR="009F1B87" w:rsidRDefault="009F1B87" w:rsidP="0005477F"/>
    <w:p w:rsidR="00AA6CF3" w:rsidRPr="00AA6CF3" w:rsidRDefault="00AA6CF3" w:rsidP="00AA6CF3">
      <w:pPr>
        <w:jc w:val="center"/>
        <w:rPr>
          <w:u w:val="single"/>
        </w:rPr>
      </w:pPr>
      <w:r w:rsidRPr="00AA6CF3">
        <w:rPr>
          <w:u w:val="single"/>
        </w:rPr>
        <w:lastRenderedPageBreak/>
        <w:t>Bibliography</w:t>
      </w:r>
    </w:p>
    <w:p w:rsidR="00AA6CF3" w:rsidRPr="00AA6CF3" w:rsidRDefault="00AA6CF3" w:rsidP="00AA6CF3">
      <w:pPr>
        <w:rPr>
          <w:u w:val="single"/>
        </w:rPr>
      </w:pPr>
    </w:p>
    <w:p w:rsidR="00AA6CF3" w:rsidRPr="00AA6CF3" w:rsidRDefault="00AA6CF3" w:rsidP="00AA6CF3">
      <w:pPr>
        <w:rPr>
          <w:u w:val="single"/>
        </w:rPr>
      </w:pPr>
      <w:r w:rsidRPr="00AA6CF3">
        <w:rPr>
          <w:u w:val="single"/>
        </w:rPr>
        <w:t>Primary Sources</w:t>
      </w:r>
    </w:p>
    <w:p w:rsidR="00AA6CF3" w:rsidRPr="00AA6CF3" w:rsidRDefault="00AA6CF3" w:rsidP="00AA6CF3">
      <w:pPr>
        <w:rPr>
          <w:u w:val="single"/>
        </w:rPr>
      </w:pPr>
      <w:r w:rsidRPr="00AA6CF3">
        <w:t xml:space="preserve">Arnold of Bonneval &amp; Geoffrey of Auxerre, William of Saint-Thierry, </w:t>
      </w:r>
      <w:r w:rsidRPr="00AA6CF3">
        <w:rPr>
          <w:i/>
        </w:rPr>
        <w:t xml:space="preserve">The First Life of Bernard of Clairvaux </w:t>
      </w:r>
      <w:r w:rsidRPr="00AA6CF3">
        <w:t>(2015, Cistercian Publications, Ohio).</w:t>
      </w:r>
    </w:p>
    <w:p w:rsidR="00AA6CF3" w:rsidRPr="00AA6CF3" w:rsidRDefault="00AA6CF3" w:rsidP="00AA6CF3">
      <w:r w:rsidRPr="00AA6CF3">
        <w:t xml:space="preserve">Bouts, Dierec. </w:t>
      </w:r>
      <w:r w:rsidRPr="00AA6CF3">
        <w:rPr>
          <w:i/>
        </w:rPr>
        <w:t xml:space="preserve">Martyrdom of Saint Erasmus, </w:t>
      </w:r>
      <w:r w:rsidRPr="00AA6CF3">
        <w:t>1458.  en.most-famous-paintings.com/MostFamousPaintings.nsf/A?Open&amp;A=8XXT9H [Last Accessed: 3</w:t>
      </w:r>
      <w:r w:rsidRPr="00AA6CF3">
        <w:rPr>
          <w:vertAlign w:val="superscript"/>
        </w:rPr>
        <w:t>rd</w:t>
      </w:r>
      <w:r w:rsidRPr="00AA6CF3">
        <w:t xml:space="preserve"> April 2019].</w:t>
      </w:r>
    </w:p>
    <w:p w:rsidR="00AA6CF3" w:rsidRPr="00AA6CF3" w:rsidRDefault="00AA6CF3" w:rsidP="00AA6CF3">
      <w:r w:rsidRPr="00AA6CF3">
        <w:t xml:space="preserve">de Varagine, Jacobus. </w:t>
      </w:r>
      <w:r w:rsidRPr="00AA6CF3">
        <w:rPr>
          <w:i/>
        </w:rPr>
        <w:t>The Golden Legend Vols. VI &amp; VII</w:t>
      </w:r>
      <w:r w:rsidRPr="00AA6CF3">
        <w:t xml:space="preserve"> (Ed.) F. S. Ellis</w:t>
      </w:r>
      <w:r w:rsidRPr="00AA6CF3">
        <w:rPr>
          <w:i/>
        </w:rPr>
        <w:t xml:space="preserve"> </w:t>
      </w:r>
      <w:r w:rsidRPr="00AA6CF3">
        <w:t>(1973, AMS Press, New York).</w:t>
      </w:r>
    </w:p>
    <w:p w:rsidR="00AA6CF3" w:rsidRPr="00AA6CF3" w:rsidRDefault="00AA6CF3" w:rsidP="00AA6CF3">
      <w:r w:rsidRPr="00AA6CF3">
        <w:t xml:space="preserve">Lucas Cranach the Elder, </w:t>
      </w:r>
      <w:r w:rsidRPr="00AA6CF3">
        <w:rPr>
          <w:i/>
        </w:rPr>
        <w:t>Martyrdom of St. Erasmus</w:t>
      </w:r>
      <w:r w:rsidRPr="00AA6CF3">
        <w:t xml:space="preserve">, 1506. </w:t>
      </w:r>
      <w:hyperlink r:id="rId16" w:history="1">
        <w:r w:rsidRPr="00AA6CF3">
          <w:rPr>
            <w:rStyle w:val="Hyperlink"/>
          </w:rPr>
          <w:t>http://www.hellenicaworld.com/Art/Paintings/en/Part5254.html</w:t>
        </w:r>
      </w:hyperlink>
      <w:r w:rsidRPr="00AA6CF3">
        <w:t xml:space="preserve"> [Last Accessed: 3</w:t>
      </w:r>
      <w:r w:rsidRPr="00AA6CF3">
        <w:rPr>
          <w:vertAlign w:val="superscript"/>
        </w:rPr>
        <w:t>rd</w:t>
      </w:r>
      <w:r w:rsidRPr="00AA6CF3">
        <w:t xml:space="preserve"> April 2019].</w:t>
      </w:r>
    </w:p>
    <w:p w:rsidR="00AA6CF3" w:rsidRPr="00AA6CF3" w:rsidRDefault="00AA6CF3" w:rsidP="00AA6CF3">
      <w:r w:rsidRPr="00AA6CF3">
        <w:t xml:space="preserve">Master of the Llangattock Hours, </w:t>
      </w:r>
      <w:r w:rsidRPr="00AA6CF3">
        <w:rPr>
          <w:i/>
        </w:rPr>
        <w:t>The Martyrdom of Saint Erasmus</w:t>
      </w:r>
      <w:r w:rsidRPr="00AA6CF3">
        <w:t xml:space="preserve">, c. 1450s. </w:t>
      </w:r>
      <w:hyperlink r:id="rId17" w:history="1">
        <w:r w:rsidRPr="00AA6CF3">
          <w:rPr>
            <w:rStyle w:val="Hyperlink"/>
          </w:rPr>
          <w:t>www.getty.edu/art/collection/objects/3577/master-of-the-llangattock-hours-initial-o-the-martyrdom-of-saint-erasmus-flemish-1450s/</w:t>
        </w:r>
      </w:hyperlink>
      <w:r w:rsidRPr="00AA6CF3">
        <w:t xml:space="preserve"> [Last Accessed: 12</w:t>
      </w:r>
      <w:r w:rsidRPr="00AA6CF3">
        <w:rPr>
          <w:vertAlign w:val="superscript"/>
        </w:rPr>
        <w:t>th</w:t>
      </w:r>
      <w:r w:rsidRPr="00AA6CF3">
        <w:t xml:space="preserve"> April 2019].</w:t>
      </w:r>
    </w:p>
    <w:p w:rsidR="00AA6CF3" w:rsidRPr="00AA6CF3" w:rsidRDefault="00AA6CF3" w:rsidP="00AA6CF3">
      <w:r w:rsidRPr="00AA6CF3">
        <w:t xml:space="preserve">Poussin, Nicholas. The Martyrdom of Saint Erasmus, 1628. </w:t>
      </w:r>
      <w:hyperlink r:id="rId18" w:history="1">
        <w:r w:rsidRPr="00AA6CF3">
          <w:rPr>
            <w:rStyle w:val="Hyperlink"/>
          </w:rPr>
          <w:t>https://mydailyartdisplay.wordpress.com/2011/09/23/the-martyrdom-of-saint-erasmus-by-nicolas-poussin/</w:t>
        </w:r>
      </w:hyperlink>
      <w:r w:rsidRPr="00AA6CF3">
        <w:t xml:space="preserve"> [Last Accessed: 10</w:t>
      </w:r>
      <w:r w:rsidRPr="00AA6CF3">
        <w:rPr>
          <w:vertAlign w:val="superscript"/>
        </w:rPr>
        <w:t>th</w:t>
      </w:r>
      <w:r w:rsidRPr="00AA6CF3">
        <w:t xml:space="preserve"> April 2019].</w:t>
      </w:r>
    </w:p>
    <w:p w:rsidR="00AA6CF3" w:rsidRPr="00AA6CF3" w:rsidRDefault="00AA6CF3" w:rsidP="00AA6CF3">
      <w:r w:rsidRPr="00AA6CF3">
        <w:rPr>
          <w:i/>
        </w:rPr>
        <w:t>The Tortures of Saint Erasmus</w:t>
      </w:r>
      <w:r w:rsidRPr="00AA6CF3">
        <w:t xml:space="preserve">, c. 1460. </w:t>
      </w:r>
      <w:hyperlink r:id="rId19" w:history="1">
        <w:r w:rsidRPr="00AA6CF3">
          <w:rPr>
            <w:rStyle w:val="Hyperlink"/>
          </w:rPr>
          <w:t>https://www.lambiek.net/dutchcomics/1800.htm</w:t>
        </w:r>
      </w:hyperlink>
      <w:r w:rsidRPr="00AA6CF3">
        <w:t xml:space="preserve"> [Last Accessed: 10</w:t>
      </w:r>
      <w:r w:rsidRPr="00AA6CF3">
        <w:rPr>
          <w:vertAlign w:val="superscript"/>
        </w:rPr>
        <w:t>th</w:t>
      </w:r>
      <w:r w:rsidRPr="00AA6CF3">
        <w:t xml:space="preserve"> April 2019].</w:t>
      </w:r>
    </w:p>
    <w:p w:rsidR="00AA6CF3" w:rsidRDefault="00AA6CF3" w:rsidP="00AA6CF3">
      <w:pPr>
        <w:rPr>
          <w:u w:val="single"/>
        </w:rPr>
      </w:pPr>
    </w:p>
    <w:p w:rsidR="00AA6CF3" w:rsidRPr="00AA6CF3" w:rsidRDefault="00AA6CF3" w:rsidP="00AA6CF3">
      <w:pPr>
        <w:rPr>
          <w:u w:val="single"/>
        </w:rPr>
      </w:pPr>
      <w:r w:rsidRPr="00AA6CF3">
        <w:rPr>
          <w:u w:val="single"/>
        </w:rPr>
        <w:t>Secondary Sources</w:t>
      </w:r>
    </w:p>
    <w:p w:rsidR="00AA6CF3" w:rsidRPr="00AA6CF3" w:rsidRDefault="00AA6CF3" w:rsidP="00AA6CF3">
      <w:r w:rsidRPr="00AA6CF3">
        <w:t xml:space="preserve">Adams, Gwenfair Walters. </w:t>
      </w:r>
      <w:r w:rsidRPr="00AA6CF3">
        <w:rPr>
          <w:i/>
        </w:rPr>
        <w:t>Visions in Late Medieval England: Lay Spirituality and Sacred Glimpses of the Hidden Worlds of Faith</w:t>
      </w:r>
      <w:r w:rsidRPr="00AA6CF3">
        <w:t xml:space="preserve"> (2007, Brill, Boston).</w:t>
      </w:r>
    </w:p>
    <w:p w:rsidR="00AA6CF3" w:rsidRPr="00AA6CF3" w:rsidRDefault="00AA6CF3" w:rsidP="00AA6CF3">
      <w:r w:rsidRPr="00AA6CF3">
        <w:t xml:space="preserve">Asavei, Maria-Alina. Sacred Cruelty in Contemporary Art and Popular Culture, </w:t>
      </w:r>
      <w:r w:rsidRPr="00AA6CF3">
        <w:rPr>
          <w:i/>
        </w:rPr>
        <w:t>Lithuanian Journal of Anthropology</w:t>
      </w:r>
      <w:r w:rsidRPr="00AA6CF3">
        <w:t>, 2014, 1.</w:t>
      </w:r>
    </w:p>
    <w:p w:rsidR="00AA6CF3" w:rsidRPr="00AA6CF3" w:rsidRDefault="00AA6CF3" w:rsidP="00AA6CF3">
      <w:r w:rsidRPr="00AA6CF3">
        <w:t xml:space="preserve">Bartlett, Robert. </w:t>
      </w:r>
      <w:r w:rsidRPr="00AA6CF3">
        <w:rPr>
          <w:i/>
        </w:rPr>
        <w:t xml:space="preserve">Why Can the Dead Do Such Great </w:t>
      </w:r>
      <w:proofErr w:type="gramStart"/>
      <w:r w:rsidRPr="00AA6CF3">
        <w:rPr>
          <w:i/>
        </w:rPr>
        <w:t>Things?:</w:t>
      </w:r>
      <w:proofErr w:type="gramEnd"/>
      <w:r w:rsidRPr="00AA6CF3">
        <w:rPr>
          <w:i/>
        </w:rPr>
        <w:t xml:space="preserve"> Saints and Worshippers from the Martyrs to the Reformation</w:t>
      </w:r>
      <w:r w:rsidRPr="00AA6CF3">
        <w:t xml:space="preserve"> (2015, Princeton University Press, Oxfordshire).</w:t>
      </w:r>
    </w:p>
    <w:p w:rsidR="00AA6CF3" w:rsidRPr="00AA6CF3" w:rsidRDefault="00AA6CF3" w:rsidP="00AA6CF3">
      <w:r w:rsidRPr="00AA6CF3">
        <w:t xml:space="preserve">Blum, Shirley Neilsen. </w:t>
      </w:r>
      <w:r w:rsidRPr="00AA6CF3">
        <w:rPr>
          <w:i/>
        </w:rPr>
        <w:t xml:space="preserve">Early Netherlandish Triptychs: A Study in Patronage </w:t>
      </w:r>
      <w:r w:rsidRPr="00AA6CF3">
        <w:t>(1969, University of California Press, Los Angles).</w:t>
      </w:r>
    </w:p>
    <w:p w:rsidR="00AA6CF3" w:rsidRPr="00AA6CF3" w:rsidRDefault="00AA6CF3" w:rsidP="00AA6CF3">
      <w:r w:rsidRPr="00AA6CF3">
        <w:t xml:space="preserve">Boyle, Marjorie O'Rourke. The Eponyms of `Desiderius Erasmus', </w:t>
      </w:r>
      <w:r w:rsidRPr="00AA6CF3">
        <w:rPr>
          <w:i/>
        </w:rPr>
        <w:t xml:space="preserve">Renaissance Quarterly, </w:t>
      </w:r>
      <w:r w:rsidRPr="00AA6CF3">
        <w:t>Vol 30, No 1, Spring 1977.</w:t>
      </w:r>
    </w:p>
    <w:p w:rsidR="00AA6CF3" w:rsidRPr="00AA6CF3" w:rsidRDefault="00AA6CF3" w:rsidP="00AA6CF3">
      <w:r w:rsidRPr="00AA6CF3">
        <w:t xml:space="preserve">Bynum, Caroline Walker. Death and Resurrection in the Middle Ages: Some Modem Implications, </w:t>
      </w:r>
      <w:r w:rsidRPr="00AA6CF3">
        <w:rPr>
          <w:i/>
        </w:rPr>
        <w:t>Proceedings of the American Philosophical Society</w:t>
      </w:r>
      <w:r w:rsidRPr="00AA6CF3">
        <w:t>, Vol 142, No 4, Dec 1998.</w:t>
      </w:r>
    </w:p>
    <w:p w:rsidR="00AA6CF3" w:rsidRPr="00AA6CF3" w:rsidRDefault="00AA6CF3" w:rsidP="00AA6CF3">
      <w:r w:rsidRPr="00AA6CF3">
        <w:t xml:space="preserve">Clifford Davidson, </w:t>
      </w:r>
      <w:r w:rsidRPr="00AA6CF3">
        <w:rPr>
          <w:i/>
        </w:rPr>
        <w:t xml:space="preserve">Selected Studies in Drama and Renaissance Literature </w:t>
      </w:r>
      <w:r w:rsidRPr="00AA6CF3">
        <w:t>(2006, AMS Press).</w:t>
      </w:r>
    </w:p>
    <w:p w:rsidR="00AA6CF3" w:rsidRDefault="00AA6CF3" w:rsidP="00AA6CF3">
      <w:r w:rsidRPr="00AA6CF3">
        <w:t xml:space="preserve">Cunningham, Lawrence S. Saints and Martyrs: Some Contemporary Considerations, </w:t>
      </w:r>
      <w:r w:rsidRPr="00AA6CF3">
        <w:rPr>
          <w:i/>
        </w:rPr>
        <w:t>Theological Studies</w:t>
      </w:r>
      <w:r w:rsidRPr="00AA6CF3">
        <w:t>, Vol 60, Issue 3, 1999.</w:t>
      </w:r>
    </w:p>
    <w:p w:rsidR="00B95B4C" w:rsidRPr="00B95B4C" w:rsidRDefault="00B95B4C" w:rsidP="00AA6CF3">
      <w:pPr>
        <w:rPr>
          <w:sz w:val="20"/>
          <w:szCs w:val="20"/>
        </w:rPr>
      </w:pPr>
      <w:proofErr w:type="spellStart"/>
      <w:r>
        <w:rPr>
          <w:sz w:val="20"/>
          <w:szCs w:val="20"/>
        </w:rPr>
        <w:t>Daniell</w:t>
      </w:r>
      <w:proofErr w:type="spellEnd"/>
      <w:r>
        <w:rPr>
          <w:sz w:val="20"/>
          <w:szCs w:val="20"/>
        </w:rPr>
        <w:t xml:space="preserve">, </w:t>
      </w:r>
      <w:bookmarkStart w:id="10" w:name="_GoBack"/>
      <w:bookmarkEnd w:id="10"/>
      <w:r w:rsidRPr="00B95B4C">
        <w:rPr>
          <w:sz w:val="20"/>
          <w:szCs w:val="20"/>
        </w:rPr>
        <w:t>Christopher</w:t>
      </w:r>
      <w:r>
        <w:rPr>
          <w:sz w:val="20"/>
          <w:szCs w:val="20"/>
        </w:rPr>
        <w:t>.</w:t>
      </w:r>
      <w:r w:rsidRPr="00B95B4C">
        <w:rPr>
          <w:sz w:val="20"/>
          <w:szCs w:val="20"/>
        </w:rPr>
        <w:t xml:space="preserve"> Death and Burial in Medieval England 1066-1550 (1997, Routledge, London). </w:t>
      </w:r>
    </w:p>
    <w:p w:rsidR="00AA6CF3" w:rsidRPr="00AA6CF3" w:rsidRDefault="00AA6CF3" w:rsidP="00AA6CF3">
      <w:r w:rsidRPr="00AA6CF3">
        <w:lastRenderedPageBreak/>
        <w:t xml:space="preserve">Edes, Ella B. Art. V.-"The Holy Helpers"-SS. Blaise and Erasmus, </w:t>
      </w:r>
      <w:r w:rsidRPr="00AA6CF3">
        <w:rPr>
          <w:i/>
        </w:rPr>
        <w:t>The Dublin review, 1836-1910</w:t>
      </w:r>
      <w:r w:rsidRPr="00AA6CF3">
        <w:t>, Vol 22, Issue 2, Oct 1889.</w:t>
      </w:r>
    </w:p>
    <w:p w:rsidR="00AA6CF3" w:rsidRDefault="00AA6CF3" w:rsidP="00AA6CF3">
      <w:pPr>
        <w:pStyle w:val="FootnoteText"/>
        <w:rPr>
          <w:sz w:val="22"/>
          <w:szCs w:val="22"/>
        </w:rPr>
      </w:pPr>
      <w:r w:rsidRPr="00AA6CF3">
        <w:rPr>
          <w:sz w:val="22"/>
          <w:szCs w:val="22"/>
        </w:rPr>
        <w:t xml:space="preserve">Faith ND, </w:t>
      </w:r>
      <w:r w:rsidRPr="00AA6CF3">
        <w:rPr>
          <w:i/>
          <w:sz w:val="22"/>
          <w:szCs w:val="22"/>
        </w:rPr>
        <w:t xml:space="preserve">St. Erasmus </w:t>
      </w:r>
      <w:hyperlink r:id="rId20" w:history="1">
        <w:r w:rsidRPr="00AA6CF3">
          <w:rPr>
            <w:rStyle w:val="Hyperlink"/>
            <w:sz w:val="22"/>
            <w:szCs w:val="22"/>
          </w:rPr>
          <w:t>http://faith.nd.edu/s/1210/faith/interior.aspx?sid=1210&amp;gid=609&amp;pgid=20299&amp;cid=39870&amp;ecid=39870&amp;crid=0&amp;calpgid=61&amp;calcid=53508</w:t>
        </w:r>
      </w:hyperlink>
      <w:r w:rsidRPr="00AA6CF3">
        <w:rPr>
          <w:i/>
          <w:sz w:val="22"/>
          <w:szCs w:val="22"/>
        </w:rPr>
        <w:t xml:space="preserve"> </w:t>
      </w:r>
      <w:r w:rsidRPr="00AA6CF3">
        <w:rPr>
          <w:sz w:val="22"/>
          <w:szCs w:val="22"/>
        </w:rPr>
        <w:t>[Last Accessed: 3</w:t>
      </w:r>
      <w:r w:rsidRPr="00AA6CF3">
        <w:rPr>
          <w:sz w:val="22"/>
          <w:szCs w:val="22"/>
          <w:vertAlign w:val="superscript"/>
        </w:rPr>
        <w:t>rd</w:t>
      </w:r>
      <w:r w:rsidRPr="00AA6CF3">
        <w:rPr>
          <w:sz w:val="22"/>
          <w:szCs w:val="22"/>
        </w:rPr>
        <w:t xml:space="preserve"> April 2019]. </w:t>
      </w:r>
    </w:p>
    <w:p w:rsidR="00AC1FD4" w:rsidRDefault="00AC1FD4" w:rsidP="00AA6CF3">
      <w:pPr>
        <w:pStyle w:val="FootnoteText"/>
        <w:rPr>
          <w:sz w:val="22"/>
          <w:szCs w:val="22"/>
        </w:rPr>
      </w:pPr>
    </w:p>
    <w:p w:rsidR="00AC1FD4" w:rsidRPr="00AC1FD4" w:rsidRDefault="00AC1FD4" w:rsidP="00AC1FD4">
      <w:pPr>
        <w:pStyle w:val="FootnoteText"/>
        <w:rPr>
          <w:sz w:val="22"/>
          <w:szCs w:val="22"/>
        </w:rPr>
      </w:pPr>
      <w:r w:rsidRPr="00AC1FD4">
        <w:rPr>
          <w:sz w:val="22"/>
          <w:szCs w:val="22"/>
        </w:rPr>
        <w:t xml:space="preserve">Harris, </w:t>
      </w:r>
      <w:r w:rsidRPr="00AC1FD4">
        <w:rPr>
          <w:sz w:val="22"/>
          <w:szCs w:val="22"/>
        </w:rPr>
        <w:t>Ann Sutherland</w:t>
      </w:r>
      <w:r w:rsidRPr="00AC1FD4">
        <w:rPr>
          <w:sz w:val="22"/>
          <w:szCs w:val="22"/>
        </w:rPr>
        <w:t>.</w:t>
      </w:r>
      <w:r w:rsidRPr="00AC1FD4">
        <w:rPr>
          <w:sz w:val="22"/>
          <w:szCs w:val="22"/>
        </w:rPr>
        <w:t xml:space="preserve"> </w:t>
      </w:r>
      <w:r w:rsidRPr="00AC1FD4">
        <w:rPr>
          <w:i/>
          <w:sz w:val="22"/>
          <w:szCs w:val="22"/>
        </w:rPr>
        <w:t xml:space="preserve">Seventeenth-Century Art and Architecture </w:t>
      </w:r>
      <w:r w:rsidRPr="00AC1FD4">
        <w:rPr>
          <w:sz w:val="22"/>
          <w:szCs w:val="22"/>
        </w:rPr>
        <w:t xml:space="preserve">(2005, Laurence King, London). </w:t>
      </w:r>
    </w:p>
    <w:p w:rsidR="00AC1FD4" w:rsidRPr="00AA6CF3" w:rsidRDefault="00AC1FD4" w:rsidP="00AA6CF3">
      <w:pPr>
        <w:pStyle w:val="FootnoteText"/>
        <w:rPr>
          <w:sz w:val="22"/>
          <w:szCs w:val="22"/>
        </w:rPr>
      </w:pPr>
    </w:p>
    <w:p w:rsidR="00AA6CF3" w:rsidRPr="00AA6CF3" w:rsidRDefault="00AA6CF3" w:rsidP="00AA6CF3">
      <w:pPr>
        <w:pStyle w:val="FootnoteText"/>
        <w:rPr>
          <w:sz w:val="22"/>
          <w:szCs w:val="22"/>
        </w:rPr>
      </w:pPr>
      <w:r w:rsidRPr="00AA6CF3">
        <w:rPr>
          <w:sz w:val="22"/>
          <w:szCs w:val="22"/>
        </w:rPr>
        <w:t xml:space="preserve">Huizinga, Johan. </w:t>
      </w:r>
      <w:r w:rsidRPr="00AA6CF3">
        <w:rPr>
          <w:i/>
          <w:sz w:val="22"/>
          <w:szCs w:val="22"/>
        </w:rPr>
        <w:t xml:space="preserve">The Waning of the Middle Ages </w:t>
      </w:r>
      <w:r w:rsidRPr="00AA6CF3">
        <w:rPr>
          <w:sz w:val="22"/>
          <w:szCs w:val="22"/>
        </w:rPr>
        <w:t>(2018, Cluny Media).</w:t>
      </w:r>
    </w:p>
    <w:p w:rsidR="00AA6CF3" w:rsidRPr="00AA6CF3" w:rsidRDefault="00AA6CF3" w:rsidP="00AA6CF3">
      <w:pPr>
        <w:pStyle w:val="FootnoteText"/>
        <w:rPr>
          <w:sz w:val="22"/>
          <w:szCs w:val="22"/>
        </w:rPr>
      </w:pPr>
    </w:p>
    <w:p w:rsidR="00AA6CF3" w:rsidRPr="00AA6CF3" w:rsidRDefault="00AA6CF3" w:rsidP="00AA6CF3">
      <w:r w:rsidRPr="00AA6CF3">
        <w:t xml:space="preserve">Introduction by Duffy, Eamon. </w:t>
      </w:r>
      <w:r w:rsidRPr="00AA6CF3">
        <w:rPr>
          <w:i/>
        </w:rPr>
        <w:t>The Golden Legend: Readings on the Saints</w:t>
      </w:r>
      <w:r w:rsidRPr="00AA6CF3">
        <w:t>,</w:t>
      </w:r>
      <w:r w:rsidRPr="00AA6CF3">
        <w:rPr>
          <w:i/>
        </w:rPr>
        <w:t xml:space="preserve"> </w:t>
      </w:r>
      <w:r w:rsidRPr="00AA6CF3">
        <w:t xml:space="preserve">Jacobus de Voragine (2012, Princeton University Press, Oxfordshire). pp. xi – xx. </w:t>
      </w:r>
    </w:p>
    <w:p w:rsidR="00AA6CF3" w:rsidRPr="00AA6CF3" w:rsidRDefault="00AA6CF3" w:rsidP="00AA6CF3">
      <w:pPr>
        <w:pStyle w:val="FootnoteText"/>
        <w:rPr>
          <w:sz w:val="22"/>
          <w:szCs w:val="22"/>
        </w:rPr>
      </w:pPr>
      <w:r w:rsidRPr="00AA6CF3">
        <w:rPr>
          <w:sz w:val="22"/>
          <w:szCs w:val="22"/>
        </w:rPr>
        <w:t xml:space="preserve">Jameson, Anna. </w:t>
      </w:r>
      <w:r w:rsidRPr="00AA6CF3">
        <w:rPr>
          <w:i/>
          <w:sz w:val="22"/>
          <w:szCs w:val="22"/>
        </w:rPr>
        <w:t xml:space="preserve">Sacred and Legendary Art – Vol II </w:t>
      </w:r>
      <w:r w:rsidRPr="00AA6CF3">
        <w:rPr>
          <w:sz w:val="22"/>
          <w:szCs w:val="22"/>
        </w:rPr>
        <w:t>(1868, University Press: Welch, Bigelow, and Company, Cambridge).</w:t>
      </w:r>
    </w:p>
    <w:p w:rsidR="00AA6CF3" w:rsidRPr="00AA6CF3" w:rsidRDefault="00AA6CF3" w:rsidP="00AA6CF3">
      <w:pPr>
        <w:pStyle w:val="FootnoteText"/>
        <w:rPr>
          <w:sz w:val="22"/>
          <w:szCs w:val="22"/>
        </w:rPr>
      </w:pPr>
    </w:p>
    <w:p w:rsidR="00AA6CF3" w:rsidRPr="00AA6CF3" w:rsidRDefault="00AA6CF3" w:rsidP="00AA6CF3">
      <w:r w:rsidRPr="00AA6CF3">
        <w:t>Kee Lee, Young. God’s mission in suffering and martyrdom,</w:t>
      </w:r>
      <w:r w:rsidRPr="00AA6CF3">
        <w:rPr>
          <w:i/>
        </w:rPr>
        <w:t xml:space="preserve"> </w:t>
      </w:r>
      <w:r w:rsidRPr="00AA6CF3">
        <w:t xml:space="preserve">(Ed.) Christof Sauer &amp; Richard Howell. </w:t>
      </w:r>
      <w:r w:rsidRPr="00AA6CF3">
        <w:rPr>
          <w:i/>
        </w:rPr>
        <w:t>Religious Freedom Series</w:t>
      </w:r>
      <w:r w:rsidRPr="00AA6CF3">
        <w:t>, Vol 2.</w:t>
      </w:r>
    </w:p>
    <w:p w:rsidR="00AA6CF3" w:rsidRPr="00AA6CF3" w:rsidRDefault="00AA6CF3" w:rsidP="00AA6CF3">
      <w:r w:rsidRPr="00AA6CF3">
        <w:t xml:space="preserve">Keitt, Andrew W. </w:t>
      </w:r>
      <w:r w:rsidRPr="00AA6CF3">
        <w:rPr>
          <w:i/>
        </w:rPr>
        <w:t xml:space="preserve">Inventing the Sacred: Imposture, Inquisition, And the Boundaries of the Supernatural in Golden Age Spain </w:t>
      </w:r>
      <w:r w:rsidRPr="00AA6CF3">
        <w:t>(2005, Brill, London).</w:t>
      </w:r>
    </w:p>
    <w:p w:rsidR="00AA6CF3" w:rsidRPr="00AA6CF3" w:rsidRDefault="00AA6CF3" w:rsidP="00AA6CF3">
      <w:r w:rsidRPr="00AA6CF3">
        <w:t xml:space="preserve">Kren, Thomas &amp; McKendrick, Scot. </w:t>
      </w:r>
      <w:r w:rsidRPr="00AA6CF3">
        <w:rPr>
          <w:i/>
        </w:rPr>
        <w:t>Illuminating the Renaissance: The Triumph of Flemish Manuscript Painting in Europe</w:t>
      </w:r>
      <w:r w:rsidRPr="00AA6CF3">
        <w:t xml:space="preserve"> (2003, Getty Publications, Los Angeles).</w:t>
      </w:r>
    </w:p>
    <w:p w:rsidR="00AA6CF3" w:rsidRPr="00AA6CF3" w:rsidRDefault="00AA6CF3" w:rsidP="00AA6CF3">
      <w:r w:rsidRPr="00AA6CF3">
        <w:t xml:space="preserve">Kinch, Ashby. </w:t>
      </w:r>
      <w:r w:rsidRPr="00AA6CF3">
        <w:rPr>
          <w:i/>
        </w:rPr>
        <w:t xml:space="preserve">Imago Mortis: Mediating Images of Death in Late Medieval Culture </w:t>
      </w:r>
      <w:r w:rsidRPr="00AA6CF3">
        <w:t>(2013, Brill, London).</w:t>
      </w:r>
    </w:p>
    <w:p w:rsidR="00AA6CF3" w:rsidRPr="00AA6CF3" w:rsidRDefault="00AA6CF3" w:rsidP="00AA6CF3">
      <w:r w:rsidRPr="00AA6CF3">
        <w:t xml:space="preserve">Lambiek, </w:t>
      </w:r>
      <w:r w:rsidRPr="00AA6CF3">
        <w:rPr>
          <w:i/>
        </w:rPr>
        <w:t xml:space="preserve">Early Dutch Comics </w:t>
      </w:r>
      <w:hyperlink r:id="rId21" w:history="1">
        <w:r w:rsidRPr="00AA6CF3">
          <w:rPr>
            <w:rStyle w:val="Hyperlink"/>
          </w:rPr>
          <w:t>https://www.lambiek.net/dutchcomics/1800.htm</w:t>
        </w:r>
      </w:hyperlink>
      <w:r w:rsidRPr="00AA6CF3">
        <w:t xml:space="preserve"> [Last Accessed: 10th April 2019].</w:t>
      </w:r>
    </w:p>
    <w:p w:rsidR="00AA6CF3" w:rsidRPr="00AA6CF3" w:rsidRDefault="00AA6CF3" w:rsidP="00AA6CF3">
      <w:r w:rsidRPr="00AA6CF3">
        <w:t xml:space="preserve">Lanzi, Fernando &amp; Lanzi, Gioia. </w:t>
      </w:r>
      <w:r w:rsidRPr="00AA6CF3">
        <w:rPr>
          <w:i/>
        </w:rPr>
        <w:t>Saints and Their Symbols: Recognizing Saints in Art and in Popular Images</w:t>
      </w:r>
      <w:r w:rsidRPr="00AA6CF3">
        <w:t xml:space="preserve"> (2004, Liturgical Press, Minnesota).</w:t>
      </w:r>
    </w:p>
    <w:p w:rsidR="00AA6CF3" w:rsidRPr="00AA6CF3" w:rsidRDefault="00AA6CF3" w:rsidP="00AA6CF3">
      <w:pPr>
        <w:pStyle w:val="FootnoteText"/>
        <w:rPr>
          <w:sz w:val="22"/>
          <w:szCs w:val="22"/>
        </w:rPr>
      </w:pPr>
      <w:r w:rsidRPr="00AA6CF3">
        <w:rPr>
          <w:sz w:val="22"/>
          <w:szCs w:val="22"/>
        </w:rPr>
        <w:t xml:space="preserve">Le Goff, Jacques. </w:t>
      </w:r>
      <w:r w:rsidRPr="00AA6CF3">
        <w:rPr>
          <w:i/>
          <w:sz w:val="22"/>
          <w:szCs w:val="22"/>
        </w:rPr>
        <w:t xml:space="preserve">In Search of Sacred Time: Jacobus de Voragine and The Golden Legend </w:t>
      </w:r>
      <w:r w:rsidRPr="00AA6CF3">
        <w:rPr>
          <w:sz w:val="22"/>
          <w:szCs w:val="22"/>
        </w:rPr>
        <w:t>(2014, Princeton University Press, Princeton).</w:t>
      </w:r>
    </w:p>
    <w:p w:rsidR="00AA6CF3" w:rsidRPr="00AA6CF3" w:rsidRDefault="00AA6CF3" w:rsidP="00AA6CF3">
      <w:pPr>
        <w:pStyle w:val="FootnoteText"/>
        <w:rPr>
          <w:sz w:val="22"/>
          <w:szCs w:val="22"/>
        </w:rPr>
      </w:pPr>
    </w:p>
    <w:p w:rsidR="00AA6CF3" w:rsidRPr="00AA6CF3" w:rsidRDefault="00AA6CF3" w:rsidP="00AA6CF3">
      <w:pPr>
        <w:pStyle w:val="FootnoteText"/>
        <w:rPr>
          <w:sz w:val="22"/>
          <w:szCs w:val="22"/>
        </w:rPr>
      </w:pPr>
      <w:r w:rsidRPr="00AA6CF3">
        <w:rPr>
          <w:sz w:val="22"/>
          <w:szCs w:val="22"/>
        </w:rPr>
        <w:t xml:space="preserve">Lubbock, Tom. </w:t>
      </w:r>
      <w:r w:rsidRPr="00AA6CF3">
        <w:rPr>
          <w:i/>
          <w:sz w:val="22"/>
          <w:szCs w:val="22"/>
        </w:rPr>
        <w:t xml:space="preserve">Bouts, Dieric: Martyrdom of St Erasmus - Triptych (c1458) </w:t>
      </w:r>
      <w:r w:rsidRPr="00AA6CF3">
        <w:rPr>
          <w:sz w:val="22"/>
          <w:szCs w:val="22"/>
        </w:rPr>
        <w:t>(30</w:t>
      </w:r>
      <w:r w:rsidRPr="00AA6CF3">
        <w:rPr>
          <w:sz w:val="22"/>
          <w:szCs w:val="22"/>
          <w:vertAlign w:val="superscript"/>
        </w:rPr>
        <w:t>th</w:t>
      </w:r>
      <w:r w:rsidRPr="00AA6CF3">
        <w:rPr>
          <w:sz w:val="22"/>
          <w:szCs w:val="22"/>
        </w:rPr>
        <w:t xml:space="preserve"> June 2006) </w:t>
      </w:r>
      <w:hyperlink r:id="rId22" w:history="1">
        <w:r w:rsidRPr="00AA6CF3">
          <w:rPr>
            <w:rStyle w:val="Hyperlink"/>
            <w:sz w:val="22"/>
            <w:szCs w:val="22"/>
          </w:rPr>
          <w:t>https://www.independent.co.uk/arts-entertainment/art/great-works/bouts-dieric-martyrdom-of-st-erasmus-triptych-c1458-795379.html</w:t>
        </w:r>
      </w:hyperlink>
      <w:r w:rsidRPr="00AA6CF3">
        <w:rPr>
          <w:sz w:val="22"/>
          <w:szCs w:val="22"/>
        </w:rPr>
        <w:t xml:space="preserve"> [Last Accessed: 3</w:t>
      </w:r>
      <w:r w:rsidRPr="00AA6CF3">
        <w:rPr>
          <w:sz w:val="22"/>
          <w:szCs w:val="22"/>
          <w:vertAlign w:val="superscript"/>
        </w:rPr>
        <w:t>rd</w:t>
      </w:r>
      <w:r w:rsidRPr="00AA6CF3">
        <w:rPr>
          <w:sz w:val="22"/>
          <w:szCs w:val="22"/>
        </w:rPr>
        <w:t xml:space="preserve"> April 2019].</w:t>
      </w:r>
    </w:p>
    <w:p w:rsidR="00AA6CF3" w:rsidRPr="00AA6CF3" w:rsidRDefault="00AA6CF3" w:rsidP="00AA6CF3">
      <w:pPr>
        <w:pStyle w:val="FootnoteText"/>
        <w:rPr>
          <w:sz w:val="22"/>
          <w:szCs w:val="22"/>
        </w:rPr>
      </w:pPr>
    </w:p>
    <w:p w:rsidR="00AA6CF3" w:rsidRPr="00AA6CF3" w:rsidRDefault="00AA6CF3" w:rsidP="00AA6CF3">
      <w:pPr>
        <w:pStyle w:val="FootnoteText"/>
        <w:rPr>
          <w:sz w:val="22"/>
          <w:szCs w:val="22"/>
        </w:rPr>
      </w:pPr>
      <w:r w:rsidRPr="00AA6CF3">
        <w:rPr>
          <w:sz w:val="22"/>
          <w:szCs w:val="22"/>
        </w:rPr>
        <w:t xml:space="preserve">Oxford Reference, </w:t>
      </w:r>
      <w:r w:rsidRPr="00AA6CF3">
        <w:rPr>
          <w:i/>
          <w:sz w:val="22"/>
          <w:szCs w:val="22"/>
        </w:rPr>
        <w:t xml:space="preserve">Erasmus </w:t>
      </w:r>
      <w:hyperlink r:id="rId23" w:history="1">
        <w:r w:rsidRPr="00AA6CF3">
          <w:rPr>
            <w:rStyle w:val="Hyperlink"/>
            <w:sz w:val="22"/>
            <w:szCs w:val="22"/>
          </w:rPr>
          <w:t>http://www.oxfordreference.com.ezproxy.uwtsd.ac.uk/view/10.1093/oi/authority.20110803095756823?rskey=I5PwLh&amp;result=14</w:t>
        </w:r>
      </w:hyperlink>
      <w:r w:rsidRPr="00AA6CF3">
        <w:rPr>
          <w:sz w:val="22"/>
          <w:szCs w:val="22"/>
        </w:rPr>
        <w:t xml:space="preserve"> [Last Accessed: 10</w:t>
      </w:r>
      <w:r w:rsidRPr="00AA6CF3">
        <w:rPr>
          <w:sz w:val="22"/>
          <w:szCs w:val="22"/>
          <w:vertAlign w:val="superscript"/>
        </w:rPr>
        <w:t>th</w:t>
      </w:r>
      <w:r w:rsidRPr="00AA6CF3">
        <w:rPr>
          <w:sz w:val="22"/>
          <w:szCs w:val="22"/>
        </w:rPr>
        <w:t xml:space="preserve"> April 2019]. </w:t>
      </w:r>
    </w:p>
    <w:p w:rsidR="00AA6CF3" w:rsidRPr="00AA6CF3" w:rsidRDefault="00AA6CF3" w:rsidP="00AA6CF3">
      <w:pPr>
        <w:pStyle w:val="FootnoteText"/>
        <w:rPr>
          <w:sz w:val="22"/>
          <w:szCs w:val="22"/>
        </w:rPr>
      </w:pPr>
    </w:p>
    <w:p w:rsidR="00AA6CF3" w:rsidRPr="00AA6CF3" w:rsidRDefault="00AA6CF3" w:rsidP="00AA6CF3">
      <w:pPr>
        <w:pStyle w:val="FootnoteText"/>
        <w:rPr>
          <w:sz w:val="22"/>
          <w:szCs w:val="22"/>
        </w:rPr>
      </w:pPr>
      <w:r w:rsidRPr="00AA6CF3">
        <w:rPr>
          <w:sz w:val="22"/>
          <w:szCs w:val="22"/>
        </w:rPr>
        <w:t xml:space="preserve">Petras, Kathryn &amp; Petras, Ross. </w:t>
      </w:r>
      <w:r w:rsidRPr="00AA6CF3">
        <w:rPr>
          <w:i/>
          <w:sz w:val="22"/>
          <w:szCs w:val="22"/>
        </w:rPr>
        <w:t xml:space="preserve">World Access: The Handbook for Citizens of the Earth </w:t>
      </w:r>
      <w:r w:rsidRPr="00AA6CF3">
        <w:rPr>
          <w:sz w:val="22"/>
          <w:szCs w:val="22"/>
        </w:rPr>
        <w:t>(1996, Fireside, New York).</w:t>
      </w:r>
    </w:p>
    <w:p w:rsidR="00AA6CF3" w:rsidRPr="00AA6CF3" w:rsidRDefault="00AA6CF3" w:rsidP="00AA6CF3">
      <w:pPr>
        <w:pStyle w:val="FootnoteText"/>
        <w:rPr>
          <w:sz w:val="22"/>
          <w:szCs w:val="22"/>
        </w:rPr>
      </w:pPr>
    </w:p>
    <w:p w:rsidR="00AA6CF3" w:rsidRPr="00AA6CF3" w:rsidRDefault="00AA6CF3" w:rsidP="00AA6CF3">
      <w:pPr>
        <w:pStyle w:val="FootnoteText"/>
        <w:rPr>
          <w:sz w:val="22"/>
          <w:szCs w:val="22"/>
        </w:rPr>
      </w:pPr>
      <w:r w:rsidRPr="00AA6CF3">
        <w:rPr>
          <w:sz w:val="22"/>
          <w:szCs w:val="22"/>
        </w:rPr>
        <w:t xml:space="preserve">Roberts, Michael John. </w:t>
      </w:r>
      <w:r w:rsidRPr="00AA6CF3">
        <w:rPr>
          <w:i/>
          <w:sz w:val="22"/>
          <w:szCs w:val="22"/>
        </w:rPr>
        <w:t>Poetry and the Cult of the Martyrs: The Liber Peristephanon of Prudentius</w:t>
      </w:r>
      <w:r w:rsidRPr="00AA6CF3">
        <w:rPr>
          <w:sz w:val="22"/>
          <w:szCs w:val="22"/>
        </w:rPr>
        <w:t xml:space="preserve"> (1993, University of Michigan Press, Ann Arbor). </w:t>
      </w:r>
    </w:p>
    <w:p w:rsidR="00AA6CF3" w:rsidRPr="00AA6CF3" w:rsidRDefault="00AA6CF3" w:rsidP="00AA6CF3">
      <w:pPr>
        <w:pStyle w:val="FootnoteText"/>
        <w:rPr>
          <w:sz w:val="22"/>
          <w:szCs w:val="22"/>
        </w:rPr>
      </w:pPr>
    </w:p>
    <w:p w:rsidR="00AA6CF3" w:rsidRPr="00AA6CF3" w:rsidRDefault="00AA6CF3" w:rsidP="00AA6CF3">
      <w:pPr>
        <w:pStyle w:val="FootnoteText"/>
        <w:rPr>
          <w:sz w:val="22"/>
          <w:szCs w:val="22"/>
        </w:rPr>
      </w:pPr>
      <w:r w:rsidRPr="00AA6CF3">
        <w:rPr>
          <w:rFonts w:cstheme="minorHAnsi"/>
          <w:sz w:val="22"/>
          <w:szCs w:val="22"/>
        </w:rPr>
        <w:lastRenderedPageBreak/>
        <w:t xml:space="preserve">Robin Melrose, </w:t>
      </w:r>
      <w:r w:rsidRPr="00AA6CF3">
        <w:rPr>
          <w:rFonts w:cstheme="minorHAnsi"/>
          <w:bCs/>
          <w:i/>
          <w:color w:val="333333"/>
          <w:sz w:val="22"/>
          <w:szCs w:val="22"/>
        </w:rPr>
        <w:t xml:space="preserve">Magic in Britain: A History of Medieval and Earlier Practices </w:t>
      </w:r>
      <w:r w:rsidRPr="00AA6CF3">
        <w:rPr>
          <w:rFonts w:cstheme="minorHAnsi"/>
          <w:bCs/>
          <w:color w:val="333333"/>
          <w:sz w:val="22"/>
          <w:szCs w:val="22"/>
        </w:rPr>
        <w:t>(2018, MacFarland &amp; Company, North Carolina).</w:t>
      </w:r>
    </w:p>
    <w:p w:rsidR="00AA6CF3" w:rsidRPr="00AA6CF3" w:rsidRDefault="00AA6CF3" w:rsidP="00AA6CF3">
      <w:pPr>
        <w:pStyle w:val="FootnoteText"/>
        <w:rPr>
          <w:sz w:val="22"/>
          <w:szCs w:val="22"/>
        </w:rPr>
      </w:pPr>
    </w:p>
    <w:p w:rsidR="00AA6CF3" w:rsidRPr="00AA6CF3" w:rsidRDefault="00AA6CF3" w:rsidP="00AA6CF3">
      <w:pPr>
        <w:pStyle w:val="FootnoteText"/>
        <w:rPr>
          <w:sz w:val="22"/>
          <w:szCs w:val="22"/>
        </w:rPr>
      </w:pPr>
      <w:r w:rsidRPr="00AA6CF3">
        <w:rPr>
          <w:sz w:val="22"/>
          <w:szCs w:val="22"/>
        </w:rPr>
        <w:t xml:space="preserve">Wetmore Jr, Kevin J. </w:t>
      </w:r>
      <w:r w:rsidRPr="00AA6CF3">
        <w:rPr>
          <w:i/>
          <w:sz w:val="22"/>
          <w:szCs w:val="22"/>
        </w:rPr>
        <w:t xml:space="preserve">Shakespeare and Youth Culture </w:t>
      </w:r>
      <w:r w:rsidRPr="00AA6CF3">
        <w:rPr>
          <w:sz w:val="22"/>
          <w:szCs w:val="22"/>
        </w:rPr>
        <w:t>(2006, Palgrave Macmillan, New York).</w:t>
      </w:r>
    </w:p>
    <w:p w:rsidR="00AA6CF3" w:rsidRPr="00AA6CF3" w:rsidRDefault="00AA6CF3" w:rsidP="00AA6CF3">
      <w:pPr>
        <w:pStyle w:val="FootnoteText"/>
        <w:rPr>
          <w:sz w:val="22"/>
          <w:szCs w:val="22"/>
        </w:rPr>
      </w:pPr>
    </w:p>
    <w:p w:rsidR="00AA6CF3" w:rsidRPr="00AA6CF3" w:rsidRDefault="00AA6CF3" w:rsidP="00AA6CF3">
      <w:pPr>
        <w:pStyle w:val="FootnoteText"/>
        <w:rPr>
          <w:sz w:val="22"/>
          <w:szCs w:val="22"/>
        </w:rPr>
      </w:pPr>
      <w:r w:rsidRPr="00AA6CF3">
        <w:rPr>
          <w:sz w:val="22"/>
          <w:szCs w:val="22"/>
        </w:rPr>
        <w:t xml:space="preserve">Wind, Edgar. Albrecht von Brandenburg as St. Erasmus, </w:t>
      </w:r>
      <w:r w:rsidRPr="00AA6CF3">
        <w:rPr>
          <w:i/>
          <w:sz w:val="22"/>
          <w:szCs w:val="22"/>
        </w:rPr>
        <w:t xml:space="preserve">Journal of the Warburg Institute, </w:t>
      </w:r>
      <w:r w:rsidRPr="00AA6CF3">
        <w:rPr>
          <w:sz w:val="22"/>
          <w:szCs w:val="22"/>
        </w:rPr>
        <w:t>Vol 1, No 2, Oct 1937.</w:t>
      </w:r>
    </w:p>
    <w:p w:rsidR="00AA6CF3" w:rsidRPr="00254195" w:rsidRDefault="00AA6CF3" w:rsidP="00AA6CF3"/>
    <w:p w:rsidR="00AA6CF3" w:rsidRPr="0005477F" w:rsidRDefault="00AA6CF3" w:rsidP="0005477F"/>
    <w:sectPr w:rsidR="00AA6CF3" w:rsidRPr="000547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391C" w:rsidRDefault="000B391C" w:rsidP="00DC127D">
      <w:pPr>
        <w:spacing w:after="0" w:line="240" w:lineRule="auto"/>
      </w:pPr>
      <w:r>
        <w:separator/>
      </w:r>
    </w:p>
  </w:endnote>
  <w:endnote w:type="continuationSeparator" w:id="0">
    <w:p w:rsidR="000B391C" w:rsidRDefault="000B391C" w:rsidP="00DC12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391C" w:rsidRDefault="000B391C" w:rsidP="00DC127D">
      <w:pPr>
        <w:spacing w:after="0" w:line="240" w:lineRule="auto"/>
      </w:pPr>
      <w:r>
        <w:separator/>
      </w:r>
    </w:p>
  </w:footnote>
  <w:footnote w:type="continuationSeparator" w:id="0">
    <w:p w:rsidR="000B391C" w:rsidRDefault="000B391C" w:rsidP="00DC127D">
      <w:pPr>
        <w:spacing w:after="0" w:line="240" w:lineRule="auto"/>
      </w:pPr>
      <w:r>
        <w:continuationSeparator/>
      </w:r>
    </w:p>
  </w:footnote>
  <w:footnote w:id="1">
    <w:p w:rsidR="00FA4239" w:rsidRPr="00314815" w:rsidRDefault="00FA4239">
      <w:pPr>
        <w:pStyle w:val="FootnoteText"/>
      </w:pPr>
      <w:r>
        <w:rPr>
          <w:rStyle w:val="FootnoteReference"/>
        </w:rPr>
        <w:footnoteRef/>
      </w:r>
      <w:r>
        <w:t xml:space="preserve"> </w:t>
      </w:r>
      <w:r w:rsidR="00314815">
        <w:t xml:space="preserve">Oxford Reference, </w:t>
      </w:r>
      <w:r w:rsidR="00314815" w:rsidRPr="00314815">
        <w:rPr>
          <w:i/>
        </w:rPr>
        <w:t>Erasmus</w:t>
      </w:r>
      <w:r w:rsidR="00501076">
        <w:rPr>
          <w:i/>
        </w:rPr>
        <w:t xml:space="preserve"> </w:t>
      </w:r>
      <w:hyperlink r:id="rId1" w:history="1">
        <w:r w:rsidR="00501076" w:rsidRPr="00486EAD">
          <w:rPr>
            <w:rStyle w:val="Hyperlink"/>
          </w:rPr>
          <w:t>http://www.oxfordreference.com.ezproxy.uwtsd.ac.uk/view/10.1093/oi/authority.20110803095756823?rskey=I5PwLh&amp;result=14</w:t>
        </w:r>
      </w:hyperlink>
      <w:r w:rsidR="00314815">
        <w:t xml:space="preserve"> [Last Accessed: 10</w:t>
      </w:r>
      <w:r w:rsidR="00314815" w:rsidRPr="00314815">
        <w:rPr>
          <w:vertAlign w:val="superscript"/>
        </w:rPr>
        <w:t>th</w:t>
      </w:r>
      <w:r w:rsidR="00314815">
        <w:t xml:space="preserve"> April 2019]. </w:t>
      </w:r>
    </w:p>
  </w:footnote>
  <w:footnote w:id="2">
    <w:p w:rsidR="004D1D9D" w:rsidRPr="00314815" w:rsidRDefault="004D1D9D">
      <w:pPr>
        <w:pStyle w:val="FootnoteText"/>
      </w:pPr>
      <w:r>
        <w:rPr>
          <w:rStyle w:val="FootnoteReference"/>
        </w:rPr>
        <w:footnoteRef/>
      </w:r>
      <w:r>
        <w:t xml:space="preserve"> </w:t>
      </w:r>
      <w:r w:rsidR="00314815">
        <w:t xml:space="preserve">Introduction by Eamon Duffy, </w:t>
      </w:r>
      <w:bookmarkStart w:id="0" w:name="_Hlk5787763"/>
      <w:bookmarkStart w:id="1" w:name="_Hlk5895236"/>
      <w:r w:rsidR="00314815" w:rsidRPr="00314815">
        <w:rPr>
          <w:i/>
        </w:rPr>
        <w:t>The Golden Legend</w:t>
      </w:r>
      <w:bookmarkEnd w:id="0"/>
      <w:r w:rsidR="00314815" w:rsidRPr="00314815">
        <w:rPr>
          <w:i/>
        </w:rPr>
        <w:t>: Readings on the Saints</w:t>
      </w:r>
      <w:bookmarkEnd w:id="1"/>
      <w:r w:rsidR="00314815">
        <w:t>,</w:t>
      </w:r>
      <w:r w:rsidR="00314815">
        <w:rPr>
          <w:i/>
        </w:rPr>
        <w:t xml:space="preserve"> </w:t>
      </w:r>
      <w:r w:rsidR="00314815">
        <w:t xml:space="preserve">Jacobus de Voragine (2012, Princeton University Press, Oxfordshire). p. xi. </w:t>
      </w:r>
    </w:p>
  </w:footnote>
  <w:footnote w:id="3">
    <w:p w:rsidR="0007285E" w:rsidRPr="00254036" w:rsidRDefault="0007285E">
      <w:pPr>
        <w:pStyle w:val="FootnoteText"/>
      </w:pPr>
      <w:r>
        <w:rPr>
          <w:rStyle w:val="FootnoteReference"/>
        </w:rPr>
        <w:footnoteRef/>
      </w:r>
      <w:r>
        <w:t xml:space="preserve"> ‘At first sight modern readers might find this remarkable medieval popularity a bit of a puzzle. </w:t>
      </w:r>
      <w:r w:rsidRPr="0007285E">
        <w:rPr>
          <w:i/>
        </w:rPr>
        <w:t xml:space="preserve">The </w:t>
      </w:r>
      <w:r w:rsidR="00254036">
        <w:rPr>
          <w:i/>
        </w:rPr>
        <w:t>L</w:t>
      </w:r>
      <w:r w:rsidRPr="0007285E">
        <w:rPr>
          <w:i/>
        </w:rPr>
        <w:t>egenda</w:t>
      </w:r>
      <w:r>
        <w:t xml:space="preserve"> </w:t>
      </w:r>
      <w:r w:rsidR="00254036" w:rsidRPr="00254036">
        <w:rPr>
          <w:i/>
        </w:rPr>
        <w:t>Aurea</w:t>
      </w:r>
      <w:r w:rsidR="00254036">
        <w:t xml:space="preserve"> is not an easy book to use.’ </w:t>
      </w:r>
      <w:r>
        <w:t xml:space="preserve">Duffy, </w:t>
      </w:r>
      <w:r w:rsidRPr="00314815">
        <w:rPr>
          <w:i/>
        </w:rPr>
        <w:t>The Golden Legend: Readings on the Saints</w:t>
      </w:r>
      <w:r w:rsidR="00254036">
        <w:t xml:space="preserve">, p. xii. </w:t>
      </w:r>
    </w:p>
  </w:footnote>
  <w:footnote w:id="4">
    <w:p w:rsidR="00672F49" w:rsidRPr="00314815" w:rsidRDefault="00672F49">
      <w:pPr>
        <w:pStyle w:val="FootnoteText"/>
      </w:pPr>
      <w:r>
        <w:rPr>
          <w:rStyle w:val="FootnoteReference"/>
        </w:rPr>
        <w:footnoteRef/>
      </w:r>
      <w:r>
        <w:t xml:space="preserve"> ‘These lives of the martyr saints, filled as they are with vivid detail of gruesome sufferings, with defiance and rejection of the world, are lorded with spectacular miracles, undoubtedly appeal to a medieval taste for romance, excitement, and pious entertainment.’ </w:t>
      </w:r>
      <w:r w:rsidR="00314815">
        <w:t xml:space="preserve">Duffy, </w:t>
      </w:r>
      <w:r w:rsidR="00314815" w:rsidRPr="00314815">
        <w:rPr>
          <w:i/>
        </w:rPr>
        <w:t>The Golden Legend</w:t>
      </w:r>
      <w:r w:rsidR="00482CE7" w:rsidRPr="00314815">
        <w:rPr>
          <w:i/>
        </w:rPr>
        <w:t>: Readings on the Saints</w:t>
      </w:r>
      <w:r w:rsidR="00314815">
        <w:rPr>
          <w:i/>
        </w:rPr>
        <w:t xml:space="preserve">. </w:t>
      </w:r>
      <w:r w:rsidR="00314815">
        <w:t xml:space="preserve">p. xv. </w:t>
      </w:r>
    </w:p>
  </w:footnote>
  <w:footnote w:id="5">
    <w:p w:rsidR="00082AF6" w:rsidRPr="00082AF6" w:rsidRDefault="00082AF6">
      <w:pPr>
        <w:pStyle w:val="FootnoteText"/>
      </w:pPr>
      <w:r>
        <w:rPr>
          <w:rStyle w:val="FootnoteReference"/>
        </w:rPr>
        <w:footnoteRef/>
      </w:r>
      <w:r>
        <w:t xml:space="preserve"> Jacques Le Goff, </w:t>
      </w:r>
      <w:r w:rsidRPr="00082AF6">
        <w:rPr>
          <w:i/>
        </w:rPr>
        <w:t>In Search of Sacred Time: Jacobus de Voragine and The Golden Legend</w:t>
      </w:r>
      <w:r>
        <w:rPr>
          <w:i/>
        </w:rPr>
        <w:t xml:space="preserve"> </w:t>
      </w:r>
      <w:r>
        <w:t xml:space="preserve">(2014, Princeton University Press, Princeton). </w:t>
      </w:r>
      <w:r w:rsidR="002E14DA">
        <w:t xml:space="preserve">p. ix. </w:t>
      </w:r>
    </w:p>
  </w:footnote>
  <w:footnote w:id="6">
    <w:p w:rsidR="00FA4239" w:rsidRPr="00314815" w:rsidRDefault="00FA4239">
      <w:pPr>
        <w:pStyle w:val="FootnoteText"/>
      </w:pPr>
      <w:r>
        <w:rPr>
          <w:rStyle w:val="FootnoteReference"/>
        </w:rPr>
        <w:footnoteRef/>
      </w:r>
      <w:r>
        <w:t xml:space="preserve"> </w:t>
      </w:r>
      <w:r w:rsidR="00314815">
        <w:t xml:space="preserve">Michael John Roberts, </w:t>
      </w:r>
      <w:r w:rsidR="00314815" w:rsidRPr="00314815">
        <w:rPr>
          <w:i/>
        </w:rPr>
        <w:t>Poetry and the Cult of the Martyrs: The Liber Peristephanon of Prudentius</w:t>
      </w:r>
      <w:r w:rsidR="00501076">
        <w:t xml:space="preserve"> (1993, University of Michigan Press, Ann Arbor). p. 41. </w:t>
      </w:r>
    </w:p>
  </w:footnote>
  <w:footnote w:id="7">
    <w:p w:rsidR="00FA4239" w:rsidRDefault="00FA4239">
      <w:pPr>
        <w:pStyle w:val="FootnoteText"/>
      </w:pPr>
      <w:r>
        <w:rPr>
          <w:rStyle w:val="FootnoteReference"/>
        </w:rPr>
        <w:footnoteRef/>
      </w:r>
      <w:r>
        <w:t xml:space="preserve"> </w:t>
      </w:r>
      <w:r w:rsidR="00501076" w:rsidRPr="00501076">
        <w:t>Fernando Lanzi</w:t>
      </w:r>
      <w:r w:rsidR="00501076">
        <w:t xml:space="preserve"> &amp;</w:t>
      </w:r>
      <w:r w:rsidR="00501076" w:rsidRPr="00501076">
        <w:t xml:space="preserve"> Gioia Lanzi</w:t>
      </w:r>
      <w:r w:rsidR="00501076">
        <w:t xml:space="preserve">, </w:t>
      </w:r>
      <w:r w:rsidR="00501076" w:rsidRPr="00501076">
        <w:rPr>
          <w:i/>
        </w:rPr>
        <w:t>Saints and Their Symbols: Recognizing Saints in Art and in Popular Images</w:t>
      </w:r>
      <w:r w:rsidR="00501076">
        <w:t xml:space="preserve"> (</w:t>
      </w:r>
      <w:r w:rsidR="00CE6DF2">
        <w:t xml:space="preserve">2004, Liturgical Press, Minnesota). p. 85. </w:t>
      </w:r>
    </w:p>
  </w:footnote>
  <w:footnote w:id="8">
    <w:p w:rsidR="002249FE" w:rsidRPr="00E16B9F" w:rsidRDefault="002249FE">
      <w:pPr>
        <w:pStyle w:val="FootnoteText"/>
      </w:pPr>
      <w:r>
        <w:rPr>
          <w:rStyle w:val="FootnoteReference"/>
        </w:rPr>
        <w:footnoteRef/>
      </w:r>
      <w:r>
        <w:t xml:space="preserve"> Robert Bartlett, </w:t>
      </w:r>
      <w:r w:rsidR="00E16B9F" w:rsidRPr="00E16B9F">
        <w:rPr>
          <w:i/>
        </w:rPr>
        <w:t xml:space="preserve">Why Can the Dead Do Such Great </w:t>
      </w:r>
      <w:proofErr w:type="gramStart"/>
      <w:r w:rsidR="00E16B9F" w:rsidRPr="00E16B9F">
        <w:rPr>
          <w:i/>
        </w:rPr>
        <w:t>Things?:</w:t>
      </w:r>
      <w:proofErr w:type="gramEnd"/>
      <w:r w:rsidR="00E16B9F" w:rsidRPr="00E16B9F">
        <w:rPr>
          <w:i/>
        </w:rPr>
        <w:t xml:space="preserve"> Saints and Worshippers from the Martyrs to the Reformation</w:t>
      </w:r>
      <w:r w:rsidR="00E16B9F">
        <w:rPr>
          <w:i/>
        </w:rPr>
        <w:t xml:space="preserve"> </w:t>
      </w:r>
      <w:r w:rsidR="00E16B9F">
        <w:t xml:space="preserve">(2015, Princeton University Press, Oxfordshire). p. 535. </w:t>
      </w:r>
    </w:p>
  </w:footnote>
  <w:footnote w:id="9">
    <w:p w:rsidR="00D71736" w:rsidRPr="00C26507" w:rsidRDefault="00D71736">
      <w:pPr>
        <w:pStyle w:val="FootnoteText"/>
      </w:pPr>
      <w:r>
        <w:rPr>
          <w:rStyle w:val="FootnoteReference"/>
        </w:rPr>
        <w:footnoteRef/>
      </w:r>
      <w:r>
        <w:t xml:space="preserve"> ‘</w:t>
      </w:r>
      <w:r w:rsidR="007A308B">
        <w:t>a</w:t>
      </w:r>
      <w:r>
        <w:t xml:space="preserve"> great persecutor of Christ’s people’</w:t>
      </w:r>
      <w:r w:rsidR="00C26507">
        <w:t xml:space="preserve">. Jacobus de Varagine, </w:t>
      </w:r>
      <w:r w:rsidR="00C26507" w:rsidRPr="00C26507">
        <w:rPr>
          <w:i/>
        </w:rPr>
        <w:t>The Golden Legend</w:t>
      </w:r>
      <w:r w:rsidR="00C26507">
        <w:rPr>
          <w:i/>
        </w:rPr>
        <w:t xml:space="preserve"> Vols. VI &amp; VII</w:t>
      </w:r>
      <w:r w:rsidR="00C26507">
        <w:t xml:space="preserve"> (Ed.) F. S. Ellis</w:t>
      </w:r>
      <w:r w:rsidR="00C26507">
        <w:rPr>
          <w:i/>
        </w:rPr>
        <w:t xml:space="preserve"> </w:t>
      </w:r>
      <w:r w:rsidR="00C26507">
        <w:t xml:space="preserve">(1973, AMS Press, New York). p. 267. </w:t>
      </w:r>
    </w:p>
  </w:footnote>
  <w:footnote w:id="10">
    <w:p w:rsidR="00CD6332" w:rsidRPr="00E756CB" w:rsidRDefault="00CD6332">
      <w:pPr>
        <w:pStyle w:val="FootnoteText"/>
      </w:pPr>
      <w:r>
        <w:rPr>
          <w:rStyle w:val="FootnoteReference"/>
        </w:rPr>
        <w:footnoteRef/>
      </w:r>
      <w:r>
        <w:t xml:space="preserve"> </w:t>
      </w:r>
      <w:r w:rsidR="00E756CB" w:rsidRPr="00E756CB">
        <w:rPr>
          <w:i/>
        </w:rPr>
        <w:t>Golden Legend</w:t>
      </w:r>
      <w:r w:rsidR="00E756CB">
        <w:t xml:space="preserve">, p. 268. </w:t>
      </w:r>
    </w:p>
  </w:footnote>
  <w:footnote w:id="11">
    <w:p w:rsidR="00DC127D" w:rsidRPr="00E756CB" w:rsidRDefault="00DC127D">
      <w:pPr>
        <w:pStyle w:val="FootnoteText"/>
      </w:pPr>
      <w:r>
        <w:rPr>
          <w:rStyle w:val="FootnoteReference"/>
        </w:rPr>
        <w:footnoteRef/>
      </w:r>
      <w:r>
        <w:t xml:space="preserve"> </w:t>
      </w:r>
      <w:r w:rsidR="00E756CB" w:rsidRPr="00E756CB">
        <w:rPr>
          <w:i/>
        </w:rPr>
        <w:t>Golden Legend</w:t>
      </w:r>
      <w:r w:rsidR="00E756CB">
        <w:t xml:space="preserve">, p. 269. </w:t>
      </w:r>
    </w:p>
  </w:footnote>
  <w:footnote w:id="12">
    <w:p w:rsidR="00DC127D" w:rsidRPr="00E756CB" w:rsidRDefault="00DC127D">
      <w:pPr>
        <w:pStyle w:val="FootnoteText"/>
      </w:pPr>
      <w:r>
        <w:rPr>
          <w:rStyle w:val="FootnoteReference"/>
        </w:rPr>
        <w:footnoteRef/>
      </w:r>
      <w:r>
        <w:t xml:space="preserve"> </w:t>
      </w:r>
      <w:r w:rsidR="00E756CB" w:rsidRPr="00E756CB">
        <w:rPr>
          <w:i/>
        </w:rPr>
        <w:t>Golden Legend</w:t>
      </w:r>
      <w:r w:rsidR="00E756CB">
        <w:t xml:space="preserve">, p. 270. </w:t>
      </w:r>
    </w:p>
  </w:footnote>
  <w:footnote w:id="13">
    <w:p w:rsidR="00DC127D" w:rsidRDefault="00DC127D">
      <w:pPr>
        <w:pStyle w:val="FootnoteText"/>
      </w:pPr>
      <w:r>
        <w:rPr>
          <w:rStyle w:val="FootnoteReference"/>
        </w:rPr>
        <w:footnoteRef/>
      </w:r>
      <w:r>
        <w:t xml:space="preserve"> </w:t>
      </w:r>
      <w:r w:rsidR="00E756CB" w:rsidRPr="00E756CB">
        <w:rPr>
          <w:i/>
        </w:rPr>
        <w:t>Golden Legend</w:t>
      </w:r>
      <w:r w:rsidR="00E756CB">
        <w:t xml:space="preserve">, p. 272. </w:t>
      </w:r>
    </w:p>
  </w:footnote>
  <w:footnote w:id="14">
    <w:p w:rsidR="00DC127D" w:rsidRDefault="00DC127D">
      <w:pPr>
        <w:pStyle w:val="FootnoteText"/>
      </w:pPr>
      <w:r>
        <w:rPr>
          <w:rStyle w:val="FootnoteReference"/>
        </w:rPr>
        <w:footnoteRef/>
      </w:r>
      <w:r>
        <w:t xml:space="preserve"> </w:t>
      </w:r>
      <w:proofErr w:type="gramStart"/>
      <w:r w:rsidR="00E756CB" w:rsidRPr="00E756CB">
        <w:rPr>
          <w:i/>
        </w:rPr>
        <w:t>Ibid</w:t>
      </w:r>
      <w:r w:rsidR="00E756CB">
        <w:t>,</w:t>
      </w:r>
      <w:r w:rsidR="00E756CB" w:rsidRPr="00E756CB">
        <w:rPr>
          <w:i/>
        </w:rPr>
        <w:t>.</w:t>
      </w:r>
      <w:proofErr w:type="gramEnd"/>
    </w:p>
  </w:footnote>
  <w:footnote w:id="15">
    <w:p w:rsidR="00CD6332" w:rsidRPr="00891FDB" w:rsidRDefault="00CD6332">
      <w:pPr>
        <w:pStyle w:val="FootnoteText"/>
      </w:pPr>
      <w:r>
        <w:rPr>
          <w:rStyle w:val="FootnoteReference"/>
        </w:rPr>
        <w:footnoteRef/>
      </w:r>
      <w:r>
        <w:t xml:space="preserve"> </w:t>
      </w:r>
      <w:r w:rsidR="00891FDB">
        <w:t>‘</w:t>
      </w:r>
      <w:r w:rsidR="00891FDB" w:rsidRPr="00891FDB">
        <w:t xml:space="preserve">It was believed he eventually died by disembowelment, so he is invoked by women in </w:t>
      </w:r>
      <w:proofErr w:type="spellStart"/>
      <w:r w:rsidR="00891FDB" w:rsidRPr="00891FDB">
        <w:t>labor</w:t>
      </w:r>
      <w:proofErr w:type="spellEnd"/>
      <w:r w:rsidR="00891FDB" w:rsidRPr="00891FDB">
        <w:t xml:space="preserve"> and those experiencing intestinal disorders, including appendicitis. As is the case with many martyrs, he is depicted here holding the instrument of his death, a windlass around which is wound his intestines.</w:t>
      </w:r>
      <w:r w:rsidR="00891FDB">
        <w:t xml:space="preserve">’ Faith ND, </w:t>
      </w:r>
      <w:r w:rsidR="00891FDB" w:rsidRPr="00891FDB">
        <w:rPr>
          <w:i/>
        </w:rPr>
        <w:t>St. Erasmus</w:t>
      </w:r>
      <w:r w:rsidR="00891FDB">
        <w:rPr>
          <w:i/>
        </w:rPr>
        <w:t xml:space="preserve"> </w:t>
      </w:r>
      <w:hyperlink r:id="rId2" w:history="1">
        <w:r w:rsidR="00891FDB" w:rsidRPr="00891FDB">
          <w:rPr>
            <w:rStyle w:val="Hyperlink"/>
          </w:rPr>
          <w:t>http://faith.nd.edu/s/1210/faith/interior.aspx?sid=1210&amp;gid=609&amp;pgid=20299&amp;cid=39870&amp;ecid=39870&amp;crid=0&amp;calpgid=61&amp;calcid=53508</w:t>
        </w:r>
      </w:hyperlink>
      <w:r w:rsidR="00891FDB">
        <w:rPr>
          <w:i/>
        </w:rPr>
        <w:t xml:space="preserve"> </w:t>
      </w:r>
      <w:r w:rsidR="00891FDB">
        <w:t>[Last Accessed: 3</w:t>
      </w:r>
      <w:r w:rsidR="00891FDB" w:rsidRPr="00891FDB">
        <w:rPr>
          <w:vertAlign w:val="superscript"/>
        </w:rPr>
        <w:t>rd</w:t>
      </w:r>
      <w:r w:rsidR="00891FDB">
        <w:t xml:space="preserve"> April 2019]. </w:t>
      </w:r>
    </w:p>
  </w:footnote>
  <w:footnote w:id="16">
    <w:p w:rsidR="00DC127D" w:rsidRDefault="00DC127D">
      <w:pPr>
        <w:pStyle w:val="FootnoteText"/>
      </w:pPr>
      <w:r>
        <w:rPr>
          <w:rStyle w:val="FootnoteReference"/>
        </w:rPr>
        <w:footnoteRef/>
      </w:r>
      <w:r>
        <w:t xml:space="preserve"> </w:t>
      </w:r>
      <w:r w:rsidR="00E756CB" w:rsidRPr="00E756CB">
        <w:rPr>
          <w:i/>
        </w:rPr>
        <w:t>Golden Legend</w:t>
      </w:r>
      <w:r w:rsidR="00E756CB">
        <w:t xml:space="preserve">, p. 273. </w:t>
      </w:r>
    </w:p>
  </w:footnote>
  <w:footnote w:id="17">
    <w:p w:rsidR="00DC127D" w:rsidRDefault="00DC127D">
      <w:pPr>
        <w:pStyle w:val="FootnoteText"/>
      </w:pPr>
      <w:r>
        <w:rPr>
          <w:rStyle w:val="FootnoteReference"/>
        </w:rPr>
        <w:footnoteRef/>
      </w:r>
      <w:r>
        <w:t xml:space="preserve"> </w:t>
      </w:r>
      <w:proofErr w:type="gramStart"/>
      <w:r w:rsidR="00E756CB" w:rsidRPr="00E756CB">
        <w:rPr>
          <w:i/>
        </w:rPr>
        <w:t>Ibid,.</w:t>
      </w:r>
      <w:proofErr w:type="gramEnd"/>
    </w:p>
  </w:footnote>
  <w:footnote w:id="18">
    <w:p w:rsidR="00FA4239" w:rsidRPr="002925A8" w:rsidRDefault="00FA4239">
      <w:pPr>
        <w:pStyle w:val="FootnoteText"/>
      </w:pPr>
      <w:r>
        <w:rPr>
          <w:rStyle w:val="FootnoteReference"/>
        </w:rPr>
        <w:footnoteRef/>
      </w:r>
      <w:r>
        <w:t xml:space="preserve"> </w:t>
      </w:r>
      <w:r w:rsidR="002925A8">
        <w:t xml:space="preserve">Caroline Walker Bynum, </w:t>
      </w:r>
      <w:bookmarkStart w:id="2" w:name="_Hlk5793550"/>
      <w:r w:rsidR="002925A8" w:rsidRPr="002925A8">
        <w:t>Death and Resurrection in the Middle Ages</w:t>
      </w:r>
      <w:bookmarkEnd w:id="2"/>
      <w:r w:rsidR="002925A8" w:rsidRPr="002925A8">
        <w:t>: Some Modem Implications</w:t>
      </w:r>
      <w:r w:rsidR="002925A8">
        <w:t xml:space="preserve">, </w:t>
      </w:r>
      <w:r w:rsidR="002925A8" w:rsidRPr="002925A8">
        <w:rPr>
          <w:i/>
        </w:rPr>
        <w:t>Proceedings of the American Philosophical Society</w:t>
      </w:r>
      <w:r w:rsidR="002925A8">
        <w:t xml:space="preserve">, Vol 142, No 4, Dec 1998. p. 595. </w:t>
      </w:r>
    </w:p>
  </w:footnote>
  <w:footnote w:id="19">
    <w:p w:rsidR="00FA4239" w:rsidRPr="00543155" w:rsidRDefault="00FA4239" w:rsidP="00543155">
      <w:pPr>
        <w:pStyle w:val="FootnoteText"/>
        <w:rPr>
          <w:i/>
        </w:rPr>
      </w:pPr>
      <w:r>
        <w:rPr>
          <w:rStyle w:val="FootnoteReference"/>
        </w:rPr>
        <w:footnoteRef/>
      </w:r>
      <w:r>
        <w:t xml:space="preserve"> </w:t>
      </w:r>
      <w:r w:rsidR="008712B0">
        <w:t xml:space="preserve">Young Kee Lee, </w:t>
      </w:r>
      <w:r w:rsidR="00543155" w:rsidRPr="00543155">
        <w:t>God’s mission in suffering and martyrdom</w:t>
      </w:r>
      <w:r w:rsidR="00543155">
        <w:t>,</w:t>
      </w:r>
      <w:r w:rsidR="00543155">
        <w:rPr>
          <w:i/>
        </w:rPr>
        <w:t xml:space="preserve"> </w:t>
      </w:r>
      <w:r w:rsidR="00543155">
        <w:t xml:space="preserve">(Ed.) Christof Sauer &amp; Richard Howell. </w:t>
      </w:r>
      <w:r w:rsidR="00543155" w:rsidRPr="00543155">
        <w:rPr>
          <w:i/>
        </w:rPr>
        <w:t>Religious Freedom Series</w:t>
      </w:r>
      <w:r w:rsidR="00543155">
        <w:t xml:space="preserve">, Vol 2. p. 215. </w:t>
      </w:r>
    </w:p>
  </w:footnote>
  <w:footnote w:id="20">
    <w:p w:rsidR="00DC127D" w:rsidRPr="00271C97" w:rsidRDefault="00DC127D" w:rsidP="00A07FE5">
      <w:pPr>
        <w:rPr>
          <w:sz w:val="20"/>
          <w:szCs w:val="20"/>
        </w:rPr>
      </w:pPr>
      <w:r w:rsidRPr="00271C97">
        <w:rPr>
          <w:rStyle w:val="FootnoteReference"/>
          <w:sz w:val="20"/>
          <w:szCs w:val="20"/>
        </w:rPr>
        <w:footnoteRef/>
      </w:r>
      <w:r w:rsidRPr="00271C97">
        <w:rPr>
          <w:sz w:val="20"/>
          <w:szCs w:val="20"/>
        </w:rPr>
        <w:t xml:space="preserve"> </w:t>
      </w:r>
      <w:r w:rsidR="004862C7" w:rsidRPr="00271C97">
        <w:rPr>
          <w:sz w:val="20"/>
          <w:szCs w:val="20"/>
        </w:rPr>
        <w:t>Maria-Alina Asavei, S</w:t>
      </w:r>
      <w:r w:rsidR="00A07FE5" w:rsidRPr="00271C97">
        <w:rPr>
          <w:sz w:val="20"/>
          <w:szCs w:val="20"/>
        </w:rPr>
        <w:t>acred</w:t>
      </w:r>
      <w:r w:rsidR="004862C7" w:rsidRPr="00271C97">
        <w:rPr>
          <w:sz w:val="20"/>
          <w:szCs w:val="20"/>
        </w:rPr>
        <w:t xml:space="preserve"> </w:t>
      </w:r>
      <w:r w:rsidR="00A07FE5" w:rsidRPr="00271C97">
        <w:rPr>
          <w:sz w:val="20"/>
          <w:szCs w:val="20"/>
        </w:rPr>
        <w:t>Cruelty</w:t>
      </w:r>
      <w:r w:rsidR="004862C7" w:rsidRPr="00271C97">
        <w:rPr>
          <w:sz w:val="20"/>
          <w:szCs w:val="20"/>
        </w:rPr>
        <w:t xml:space="preserve"> </w:t>
      </w:r>
      <w:r w:rsidR="00A07FE5" w:rsidRPr="00271C97">
        <w:rPr>
          <w:sz w:val="20"/>
          <w:szCs w:val="20"/>
        </w:rPr>
        <w:t>in</w:t>
      </w:r>
      <w:r w:rsidR="004862C7" w:rsidRPr="00271C97">
        <w:rPr>
          <w:sz w:val="20"/>
          <w:szCs w:val="20"/>
        </w:rPr>
        <w:t xml:space="preserve"> </w:t>
      </w:r>
      <w:r w:rsidR="00A07FE5" w:rsidRPr="00271C97">
        <w:rPr>
          <w:sz w:val="20"/>
          <w:szCs w:val="20"/>
        </w:rPr>
        <w:t>Contemporary</w:t>
      </w:r>
      <w:r w:rsidR="004862C7" w:rsidRPr="00271C97">
        <w:rPr>
          <w:sz w:val="20"/>
          <w:szCs w:val="20"/>
        </w:rPr>
        <w:t xml:space="preserve"> </w:t>
      </w:r>
      <w:r w:rsidR="00A07FE5" w:rsidRPr="00271C97">
        <w:rPr>
          <w:sz w:val="20"/>
          <w:szCs w:val="20"/>
        </w:rPr>
        <w:t>Art</w:t>
      </w:r>
      <w:r w:rsidR="004862C7" w:rsidRPr="00271C97">
        <w:rPr>
          <w:sz w:val="20"/>
          <w:szCs w:val="20"/>
        </w:rPr>
        <w:t xml:space="preserve"> </w:t>
      </w:r>
      <w:r w:rsidR="00A07FE5" w:rsidRPr="00271C97">
        <w:rPr>
          <w:sz w:val="20"/>
          <w:szCs w:val="20"/>
        </w:rPr>
        <w:t>and</w:t>
      </w:r>
      <w:r w:rsidR="004862C7" w:rsidRPr="00271C97">
        <w:rPr>
          <w:sz w:val="20"/>
          <w:szCs w:val="20"/>
        </w:rPr>
        <w:t xml:space="preserve"> </w:t>
      </w:r>
      <w:r w:rsidR="00A07FE5" w:rsidRPr="00271C97">
        <w:rPr>
          <w:sz w:val="20"/>
          <w:szCs w:val="20"/>
        </w:rPr>
        <w:t>Popular</w:t>
      </w:r>
      <w:r w:rsidR="004862C7" w:rsidRPr="00271C97">
        <w:rPr>
          <w:sz w:val="20"/>
          <w:szCs w:val="20"/>
        </w:rPr>
        <w:t xml:space="preserve"> </w:t>
      </w:r>
      <w:r w:rsidR="00A07FE5" w:rsidRPr="00271C97">
        <w:rPr>
          <w:sz w:val="20"/>
          <w:szCs w:val="20"/>
        </w:rPr>
        <w:t xml:space="preserve">Culture, </w:t>
      </w:r>
      <w:r w:rsidR="00A07FE5" w:rsidRPr="00271C97">
        <w:rPr>
          <w:i/>
          <w:sz w:val="20"/>
          <w:szCs w:val="20"/>
        </w:rPr>
        <w:t>Lithuanian Journal of Anthropology</w:t>
      </w:r>
      <w:r w:rsidR="00A07FE5" w:rsidRPr="00271C97">
        <w:rPr>
          <w:sz w:val="20"/>
          <w:szCs w:val="20"/>
        </w:rPr>
        <w:t>, 2014, 1. p. 7.</w:t>
      </w:r>
    </w:p>
  </w:footnote>
  <w:footnote w:id="21">
    <w:p w:rsidR="00815B6B" w:rsidRDefault="00815B6B">
      <w:pPr>
        <w:pStyle w:val="FootnoteText"/>
      </w:pPr>
      <w:r>
        <w:rPr>
          <w:rStyle w:val="FootnoteReference"/>
        </w:rPr>
        <w:footnoteRef/>
      </w:r>
      <w:r>
        <w:t xml:space="preserve"> </w:t>
      </w:r>
      <w:r w:rsidR="005C254D">
        <w:t>‘</w:t>
      </w:r>
      <w:r w:rsidRPr="00815B6B">
        <w:t>Some art historians argue that the writers of the 1695 Acta Sanctorum took their inspiration in describing Saint Erasmus’s evisceration from the visual representations they have had in front of their eyes.</w:t>
      </w:r>
      <w:r w:rsidR="005C254D">
        <w:t xml:space="preserve">’ </w:t>
      </w:r>
      <w:r w:rsidR="005C254D" w:rsidRPr="005C254D">
        <w:t>Asavei, Sacred Cruelty in Contemporary Art and Popular Culture</w:t>
      </w:r>
      <w:r w:rsidR="005C254D">
        <w:t xml:space="preserve">, p. 8. </w:t>
      </w:r>
    </w:p>
  </w:footnote>
  <w:footnote w:id="22">
    <w:p w:rsidR="00543155" w:rsidRPr="00543155" w:rsidRDefault="00271C97" w:rsidP="00543155">
      <w:pPr>
        <w:rPr>
          <w:sz w:val="20"/>
          <w:szCs w:val="20"/>
        </w:rPr>
      </w:pPr>
      <w:r w:rsidRPr="00271C97">
        <w:rPr>
          <w:rStyle w:val="FootnoteReference"/>
          <w:sz w:val="20"/>
          <w:szCs w:val="20"/>
        </w:rPr>
        <w:footnoteRef/>
      </w:r>
      <w:r w:rsidRPr="00271C97">
        <w:rPr>
          <w:sz w:val="20"/>
          <w:szCs w:val="20"/>
        </w:rPr>
        <w:t xml:space="preserve"> Dierec Bouts, </w:t>
      </w:r>
      <w:r w:rsidRPr="00271C97">
        <w:rPr>
          <w:i/>
          <w:sz w:val="20"/>
          <w:szCs w:val="20"/>
        </w:rPr>
        <w:t xml:space="preserve">Martyrdom of Saint Erasmus, </w:t>
      </w:r>
      <w:r w:rsidRPr="00271C97">
        <w:rPr>
          <w:sz w:val="20"/>
          <w:szCs w:val="20"/>
        </w:rPr>
        <w:t>1458.  en.most-famous-paintings.com/MostFamousPaintings.nsf/A?Open&amp;A=8XXT9H</w:t>
      </w:r>
      <w:r w:rsidR="00543155">
        <w:rPr>
          <w:sz w:val="20"/>
          <w:szCs w:val="20"/>
        </w:rPr>
        <w:t xml:space="preserve"> </w:t>
      </w:r>
      <w:r w:rsidRPr="00271C97">
        <w:rPr>
          <w:sz w:val="20"/>
          <w:szCs w:val="20"/>
        </w:rPr>
        <w:t>[Last Accessed: 3</w:t>
      </w:r>
      <w:r w:rsidRPr="00271C97">
        <w:rPr>
          <w:sz w:val="20"/>
          <w:szCs w:val="20"/>
          <w:vertAlign w:val="superscript"/>
        </w:rPr>
        <w:t>rd</w:t>
      </w:r>
      <w:r w:rsidRPr="00271C97">
        <w:rPr>
          <w:sz w:val="20"/>
          <w:szCs w:val="20"/>
        </w:rPr>
        <w:t xml:space="preserve"> April 2019]</w:t>
      </w:r>
      <w:r w:rsidR="00543155">
        <w:rPr>
          <w:sz w:val="20"/>
          <w:szCs w:val="20"/>
        </w:rPr>
        <w:t>.</w:t>
      </w:r>
    </w:p>
  </w:footnote>
  <w:footnote w:id="23">
    <w:p w:rsidR="00FA4239" w:rsidRPr="00543155" w:rsidRDefault="00FA4239">
      <w:pPr>
        <w:pStyle w:val="FootnoteText"/>
      </w:pPr>
      <w:r>
        <w:rPr>
          <w:rStyle w:val="FootnoteReference"/>
        </w:rPr>
        <w:footnoteRef/>
      </w:r>
      <w:r>
        <w:t xml:space="preserve"> </w:t>
      </w:r>
      <w:r w:rsidR="00543155">
        <w:t xml:space="preserve">Matthew S. Champion, </w:t>
      </w:r>
      <w:r w:rsidR="00543155" w:rsidRPr="00543155">
        <w:rPr>
          <w:i/>
        </w:rPr>
        <w:t>The Fullness of Time: Temporalities of the Fifteenth-Century Low Countries</w:t>
      </w:r>
      <w:r w:rsidR="00543155">
        <w:t xml:space="preserve"> (2017, University of Chicago Press, London). p. 86. </w:t>
      </w:r>
    </w:p>
  </w:footnote>
  <w:footnote w:id="24">
    <w:p w:rsidR="00DC127D" w:rsidRPr="00030FEE" w:rsidRDefault="00DC127D">
      <w:pPr>
        <w:pStyle w:val="FootnoteText"/>
      </w:pPr>
      <w:r>
        <w:rPr>
          <w:rStyle w:val="FootnoteReference"/>
        </w:rPr>
        <w:footnoteRef/>
      </w:r>
      <w:r>
        <w:t xml:space="preserve"> </w:t>
      </w:r>
      <w:r w:rsidR="00030FEE">
        <w:t xml:space="preserve">Tom Lubbock, </w:t>
      </w:r>
      <w:r w:rsidR="00030FEE" w:rsidRPr="00030FEE">
        <w:rPr>
          <w:i/>
        </w:rPr>
        <w:t>Bouts, Dieric: Martyrdom of St Erasmus - Triptych (c1458)</w:t>
      </w:r>
      <w:r w:rsidR="00030FEE">
        <w:rPr>
          <w:i/>
        </w:rPr>
        <w:t xml:space="preserve"> </w:t>
      </w:r>
      <w:r w:rsidR="00030FEE">
        <w:t>(30</w:t>
      </w:r>
      <w:r w:rsidR="00030FEE" w:rsidRPr="00030FEE">
        <w:rPr>
          <w:vertAlign w:val="superscript"/>
        </w:rPr>
        <w:t>th</w:t>
      </w:r>
      <w:r w:rsidR="00030FEE">
        <w:t xml:space="preserve"> June 2006) </w:t>
      </w:r>
      <w:hyperlink r:id="rId3" w:history="1">
        <w:r w:rsidR="00030FEE" w:rsidRPr="004157EE">
          <w:rPr>
            <w:rStyle w:val="Hyperlink"/>
          </w:rPr>
          <w:t>https://www.independent.co.uk/arts-entertainment/art/great-works/bouts-dieric-martyrdom-of-st-erasmus-triptych-c1458-795379.html</w:t>
        </w:r>
      </w:hyperlink>
      <w:r w:rsidR="00030FEE">
        <w:t xml:space="preserve"> [Last Accessed: 3</w:t>
      </w:r>
      <w:r w:rsidR="00030FEE" w:rsidRPr="00030FEE">
        <w:rPr>
          <w:vertAlign w:val="superscript"/>
        </w:rPr>
        <w:t>rd</w:t>
      </w:r>
      <w:r w:rsidR="00030FEE">
        <w:t xml:space="preserve"> April 2019]. </w:t>
      </w:r>
    </w:p>
  </w:footnote>
  <w:footnote w:id="25">
    <w:p w:rsidR="00DF0EE8" w:rsidRPr="00DF0EE8" w:rsidRDefault="00DF0EE8">
      <w:pPr>
        <w:pStyle w:val="FootnoteText"/>
      </w:pPr>
      <w:r>
        <w:rPr>
          <w:rStyle w:val="FootnoteReference"/>
        </w:rPr>
        <w:footnoteRef/>
      </w:r>
      <w:r>
        <w:t xml:space="preserve"> </w:t>
      </w:r>
      <w:r w:rsidR="00E66DCF">
        <w:t>Bernard was known for his own suffering, giving him a relevance to Erasmus; ‘In spite of being so weak and exhausted, he would by no means allow himself to be excused during the day or at night from the common work of the brothers or from the duties and tasks of his ministry.’</w:t>
      </w:r>
      <w:r>
        <w:t xml:space="preserve"> </w:t>
      </w:r>
      <w:r w:rsidRPr="00DF0EE8">
        <w:t>William of Saint-Thierry, Arnold of Bonneval</w:t>
      </w:r>
      <w:r>
        <w:t xml:space="preserve"> &amp;</w:t>
      </w:r>
      <w:r w:rsidRPr="00DF0EE8">
        <w:t xml:space="preserve"> Geoffrey of Auxerre</w:t>
      </w:r>
      <w:r>
        <w:t xml:space="preserve">, </w:t>
      </w:r>
      <w:r w:rsidRPr="00DF0EE8">
        <w:rPr>
          <w:i/>
        </w:rPr>
        <w:t>The First Life of Bernard of Clairvaux</w:t>
      </w:r>
      <w:r>
        <w:rPr>
          <w:i/>
        </w:rPr>
        <w:t xml:space="preserve"> </w:t>
      </w:r>
      <w:r>
        <w:t>(2015, Cistercian Publications, Ohio). p. 44.</w:t>
      </w:r>
    </w:p>
  </w:footnote>
  <w:footnote w:id="26">
    <w:p w:rsidR="00DC127D" w:rsidRPr="00771B09" w:rsidRDefault="00DC127D">
      <w:pPr>
        <w:pStyle w:val="FootnoteText"/>
      </w:pPr>
      <w:r>
        <w:rPr>
          <w:rStyle w:val="FootnoteReference"/>
        </w:rPr>
        <w:footnoteRef/>
      </w:r>
      <w:r>
        <w:t xml:space="preserve"> </w:t>
      </w:r>
      <w:r w:rsidR="00771B09" w:rsidRPr="00771B09">
        <w:t>Shirley Neilsen Blum</w:t>
      </w:r>
      <w:r w:rsidR="00771B09">
        <w:t xml:space="preserve">, </w:t>
      </w:r>
      <w:r w:rsidR="00771B09" w:rsidRPr="00771B09">
        <w:rPr>
          <w:i/>
        </w:rPr>
        <w:t>Early Netherlandish Triptychs: A Study in Patronage</w:t>
      </w:r>
      <w:r w:rsidR="00771B09">
        <w:rPr>
          <w:i/>
        </w:rPr>
        <w:t xml:space="preserve"> </w:t>
      </w:r>
      <w:r w:rsidR="00771B09">
        <w:t xml:space="preserve">(1969, University of California Press, Los Angles). p. 73. </w:t>
      </w:r>
    </w:p>
  </w:footnote>
  <w:footnote w:id="27">
    <w:p w:rsidR="00543155" w:rsidRDefault="00543155" w:rsidP="00543155">
      <w:r>
        <w:rPr>
          <w:rStyle w:val="FootnoteReference"/>
        </w:rPr>
        <w:footnoteRef/>
      </w:r>
      <w:r>
        <w:t xml:space="preserve"> </w:t>
      </w:r>
      <w:r w:rsidRPr="00543155">
        <w:rPr>
          <w:sz w:val="20"/>
          <w:szCs w:val="20"/>
        </w:rPr>
        <w:t xml:space="preserve">Lucas Cranach the Elder, </w:t>
      </w:r>
      <w:r w:rsidRPr="00543155">
        <w:rPr>
          <w:i/>
          <w:sz w:val="20"/>
          <w:szCs w:val="20"/>
        </w:rPr>
        <w:t>Martyrdom of St. Erasmus</w:t>
      </w:r>
      <w:r w:rsidRPr="00543155">
        <w:rPr>
          <w:sz w:val="20"/>
          <w:szCs w:val="20"/>
        </w:rPr>
        <w:t xml:space="preserve">, 1506. </w:t>
      </w:r>
      <w:hyperlink r:id="rId4" w:history="1">
        <w:r w:rsidRPr="00543155">
          <w:rPr>
            <w:rStyle w:val="Hyperlink"/>
            <w:sz w:val="20"/>
            <w:szCs w:val="20"/>
          </w:rPr>
          <w:t>http://www.hellenicaworld.com/Art/Paintings/en/Part5254.html</w:t>
        </w:r>
      </w:hyperlink>
      <w:r w:rsidRPr="00543155">
        <w:rPr>
          <w:sz w:val="20"/>
          <w:szCs w:val="20"/>
        </w:rPr>
        <w:t xml:space="preserve"> [Last Accessed: 3</w:t>
      </w:r>
      <w:r w:rsidRPr="00543155">
        <w:rPr>
          <w:sz w:val="20"/>
          <w:szCs w:val="20"/>
          <w:vertAlign w:val="superscript"/>
        </w:rPr>
        <w:t>rd</w:t>
      </w:r>
      <w:r w:rsidRPr="00543155">
        <w:rPr>
          <w:sz w:val="20"/>
          <w:szCs w:val="20"/>
        </w:rPr>
        <w:t xml:space="preserve"> April 2019].</w:t>
      </w:r>
      <w:r>
        <w:t xml:space="preserve"> </w:t>
      </w:r>
    </w:p>
  </w:footnote>
  <w:footnote w:id="28">
    <w:p w:rsidR="00543155" w:rsidRPr="00DC6F6D" w:rsidRDefault="00543155">
      <w:pPr>
        <w:pStyle w:val="FootnoteText"/>
      </w:pPr>
      <w:r>
        <w:rPr>
          <w:rStyle w:val="FootnoteReference"/>
        </w:rPr>
        <w:footnoteRef/>
      </w:r>
      <w:r>
        <w:t xml:space="preserve"> </w:t>
      </w:r>
      <w:r w:rsidR="00DC6F6D">
        <w:t xml:space="preserve">Johan </w:t>
      </w:r>
      <w:bookmarkStart w:id="3" w:name="_Hlk5796739"/>
      <w:r w:rsidR="00DC6F6D">
        <w:t xml:space="preserve">Huizinga, </w:t>
      </w:r>
      <w:r w:rsidR="00DC6F6D">
        <w:rPr>
          <w:i/>
        </w:rPr>
        <w:t xml:space="preserve">The Waning of the Middle Ages </w:t>
      </w:r>
      <w:bookmarkEnd w:id="3"/>
      <w:r w:rsidR="00DC6F6D">
        <w:t xml:space="preserve">(2018, Cluny Media). p. 124. </w:t>
      </w:r>
    </w:p>
  </w:footnote>
  <w:footnote w:id="29">
    <w:p w:rsidR="00543155" w:rsidRDefault="00543155">
      <w:pPr>
        <w:pStyle w:val="FootnoteText"/>
      </w:pPr>
      <w:r>
        <w:rPr>
          <w:rStyle w:val="FootnoteReference"/>
        </w:rPr>
        <w:footnoteRef/>
      </w:r>
      <w:r>
        <w:t xml:space="preserve"> </w:t>
      </w:r>
      <w:r w:rsidR="00DC6F6D">
        <w:t xml:space="preserve">Bynum, </w:t>
      </w:r>
      <w:r w:rsidR="00DC6F6D" w:rsidRPr="00D43712">
        <w:rPr>
          <w:i/>
        </w:rPr>
        <w:t>Death and Resurrection in the Middle Ages</w:t>
      </w:r>
      <w:r w:rsidR="00DC6F6D">
        <w:t xml:space="preserve">, p. 592. </w:t>
      </w:r>
    </w:p>
  </w:footnote>
  <w:footnote w:id="30">
    <w:p w:rsidR="007658A5" w:rsidRDefault="007658A5" w:rsidP="007658A5">
      <w:pPr>
        <w:pStyle w:val="FootnoteText"/>
      </w:pPr>
      <w:r>
        <w:rPr>
          <w:rStyle w:val="FootnoteReference"/>
        </w:rPr>
        <w:footnoteRef/>
      </w:r>
      <w:r>
        <w:t xml:space="preserve"> Asavei, </w:t>
      </w:r>
      <w:r w:rsidRPr="00BE3608">
        <w:t>Sacred Cruelty in Contemporary Art and Popular Culture</w:t>
      </w:r>
      <w:r>
        <w:t xml:space="preserve">. p. 9. </w:t>
      </w:r>
    </w:p>
  </w:footnote>
  <w:footnote w:id="31">
    <w:p w:rsidR="00DC127D" w:rsidRDefault="00DC127D">
      <w:pPr>
        <w:pStyle w:val="FootnoteText"/>
      </w:pPr>
      <w:r>
        <w:rPr>
          <w:rStyle w:val="FootnoteReference"/>
        </w:rPr>
        <w:footnoteRef/>
      </w:r>
      <w:r>
        <w:t xml:space="preserve"> </w:t>
      </w:r>
      <w:r w:rsidR="00514F07">
        <w:t>Gwe</w:t>
      </w:r>
      <w:r w:rsidR="00F452EC">
        <w:t xml:space="preserve">nfair Walters Adams, </w:t>
      </w:r>
      <w:r w:rsidR="00F452EC" w:rsidRPr="00F452EC">
        <w:rPr>
          <w:i/>
        </w:rPr>
        <w:t>Visions in Late Medieval England: Lay Spirituality and Sacred Glimpses of the Hidden Worlds of Faith</w:t>
      </w:r>
      <w:r w:rsidR="00F452EC">
        <w:t xml:space="preserve"> (2007, Brill, Boston). p. 70. </w:t>
      </w:r>
    </w:p>
  </w:footnote>
  <w:footnote w:id="32">
    <w:p w:rsidR="00DC127D" w:rsidRPr="00F452EC" w:rsidRDefault="00DC127D">
      <w:pPr>
        <w:pStyle w:val="FootnoteText"/>
      </w:pPr>
      <w:r>
        <w:rPr>
          <w:rStyle w:val="FootnoteReference"/>
        </w:rPr>
        <w:footnoteRef/>
      </w:r>
      <w:r>
        <w:t xml:space="preserve"> </w:t>
      </w:r>
      <w:r w:rsidR="00F452EC" w:rsidRPr="00F452EC">
        <w:rPr>
          <w:rFonts w:cstheme="minorHAnsi"/>
        </w:rPr>
        <w:t xml:space="preserve">Robin Melrose, </w:t>
      </w:r>
      <w:r w:rsidR="00F452EC" w:rsidRPr="00F452EC">
        <w:rPr>
          <w:rFonts w:cstheme="minorHAnsi"/>
          <w:bCs/>
          <w:i/>
          <w:color w:val="333333"/>
        </w:rPr>
        <w:t xml:space="preserve">Magic in Britain: A History of Medieval and Earlier Practices </w:t>
      </w:r>
      <w:r w:rsidR="00F452EC" w:rsidRPr="00F452EC">
        <w:rPr>
          <w:rFonts w:cstheme="minorHAnsi"/>
          <w:bCs/>
          <w:color w:val="333333"/>
        </w:rPr>
        <w:t>(2018, MacFarland &amp; Company,</w:t>
      </w:r>
      <w:r w:rsidR="00F452EC" w:rsidRPr="00F452EC">
        <w:rPr>
          <w:rFonts w:cstheme="minorHAnsi"/>
          <w:bCs/>
          <w:color w:val="333333"/>
          <w:sz w:val="18"/>
          <w:szCs w:val="18"/>
        </w:rPr>
        <w:t xml:space="preserve"> </w:t>
      </w:r>
      <w:r w:rsidR="00F452EC" w:rsidRPr="00F452EC">
        <w:rPr>
          <w:rFonts w:cstheme="minorHAnsi"/>
          <w:bCs/>
          <w:color w:val="333333"/>
          <w:szCs w:val="18"/>
        </w:rPr>
        <w:t>North Carolina</w:t>
      </w:r>
      <w:r w:rsidR="00F452EC">
        <w:rPr>
          <w:rFonts w:cstheme="minorHAnsi"/>
          <w:bCs/>
          <w:color w:val="333333"/>
          <w:szCs w:val="18"/>
        </w:rPr>
        <w:t xml:space="preserve">). p. 212. </w:t>
      </w:r>
    </w:p>
  </w:footnote>
  <w:footnote w:id="33">
    <w:p w:rsidR="00CB79EC" w:rsidRPr="00DC6F6D" w:rsidRDefault="00CB79EC">
      <w:pPr>
        <w:pStyle w:val="FootnoteText"/>
      </w:pPr>
      <w:r>
        <w:rPr>
          <w:rStyle w:val="FootnoteReference"/>
        </w:rPr>
        <w:footnoteRef/>
      </w:r>
      <w:r>
        <w:t xml:space="preserve"> </w:t>
      </w:r>
      <w:r w:rsidR="00DC6F6D" w:rsidRPr="00DC6F6D">
        <w:t>Marjorie O'Rourke Boyle</w:t>
      </w:r>
      <w:r w:rsidR="00DC6F6D">
        <w:t xml:space="preserve">, </w:t>
      </w:r>
      <w:r w:rsidR="00DC6F6D" w:rsidRPr="00DC6F6D">
        <w:t>The Eponyms of `Desiderius Erasmus'</w:t>
      </w:r>
      <w:r w:rsidR="00DC6F6D">
        <w:t xml:space="preserve">, </w:t>
      </w:r>
      <w:r w:rsidR="00DC6F6D" w:rsidRPr="00DC6F6D">
        <w:rPr>
          <w:i/>
        </w:rPr>
        <w:t>Renaissance Quarterly</w:t>
      </w:r>
      <w:r w:rsidR="00D43712">
        <w:rPr>
          <w:i/>
        </w:rPr>
        <w:t>,</w:t>
      </w:r>
      <w:r w:rsidR="00DC6F6D">
        <w:rPr>
          <w:i/>
        </w:rPr>
        <w:t xml:space="preserve"> </w:t>
      </w:r>
      <w:r w:rsidR="00DC6F6D">
        <w:t xml:space="preserve">Vol 30, No 1, Spring 1977. p. </w:t>
      </w:r>
      <w:r w:rsidR="007108D5">
        <w:t xml:space="preserve">13. </w:t>
      </w:r>
    </w:p>
  </w:footnote>
  <w:footnote w:id="34">
    <w:p w:rsidR="00CB79EC" w:rsidRPr="007108D5" w:rsidRDefault="00CB79EC">
      <w:pPr>
        <w:pStyle w:val="FootnoteText"/>
      </w:pPr>
      <w:r>
        <w:rPr>
          <w:rStyle w:val="FootnoteReference"/>
        </w:rPr>
        <w:footnoteRef/>
      </w:r>
      <w:r>
        <w:t xml:space="preserve"> </w:t>
      </w:r>
      <w:r w:rsidR="007108D5">
        <w:t xml:space="preserve">Ella B Edes, </w:t>
      </w:r>
      <w:r w:rsidR="007108D5" w:rsidRPr="007108D5">
        <w:t>A</w:t>
      </w:r>
      <w:r w:rsidR="007108D5">
        <w:t>rt</w:t>
      </w:r>
      <w:r w:rsidR="007108D5" w:rsidRPr="007108D5">
        <w:t>. V.-"T</w:t>
      </w:r>
      <w:r w:rsidR="007108D5">
        <w:t>he</w:t>
      </w:r>
      <w:r w:rsidR="007108D5" w:rsidRPr="007108D5">
        <w:t xml:space="preserve"> </w:t>
      </w:r>
      <w:r w:rsidR="007108D5">
        <w:t>Holy</w:t>
      </w:r>
      <w:r w:rsidR="007108D5" w:rsidRPr="007108D5">
        <w:t xml:space="preserve"> </w:t>
      </w:r>
      <w:r w:rsidR="007108D5">
        <w:t>Helpers</w:t>
      </w:r>
      <w:r w:rsidR="007108D5" w:rsidRPr="007108D5">
        <w:t>"-SS. B</w:t>
      </w:r>
      <w:r w:rsidR="007108D5">
        <w:t>laise</w:t>
      </w:r>
      <w:r w:rsidR="007108D5" w:rsidRPr="007108D5">
        <w:t xml:space="preserve"> </w:t>
      </w:r>
      <w:r w:rsidR="007108D5">
        <w:t>and</w:t>
      </w:r>
      <w:r w:rsidR="007108D5" w:rsidRPr="007108D5">
        <w:t xml:space="preserve"> E</w:t>
      </w:r>
      <w:r w:rsidR="007108D5">
        <w:t xml:space="preserve">rasmus, </w:t>
      </w:r>
      <w:r w:rsidR="007108D5" w:rsidRPr="007108D5">
        <w:rPr>
          <w:i/>
        </w:rPr>
        <w:t>The Dublin review, 1836-1910</w:t>
      </w:r>
      <w:r w:rsidR="007108D5">
        <w:t xml:space="preserve">, Vol 22, Issue 2, Oct 1889. p. 347. </w:t>
      </w:r>
    </w:p>
  </w:footnote>
  <w:footnote w:id="35">
    <w:p w:rsidR="00CB79EC" w:rsidRDefault="00CB79EC">
      <w:pPr>
        <w:pStyle w:val="FootnoteText"/>
      </w:pPr>
      <w:r>
        <w:rPr>
          <w:rStyle w:val="FootnoteReference"/>
        </w:rPr>
        <w:footnoteRef/>
      </w:r>
      <w:r>
        <w:t xml:space="preserve"> </w:t>
      </w:r>
      <w:r w:rsidR="0025403C">
        <w:t xml:space="preserve">Nicholas Poussin, </w:t>
      </w:r>
      <w:r w:rsidR="0025403C" w:rsidRPr="0025403C">
        <w:t>The Martyrdom of Saint Erasmus</w:t>
      </w:r>
      <w:r w:rsidR="0025403C">
        <w:t xml:space="preserve">, 1628. </w:t>
      </w:r>
      <w:hyperlink r:id="rId5" w:history="1">
        <w:r w:rsidR="0025403C" w:rsidRPr="00486EAD">
          <w:rPr>
            <w:rStyle w:val="Hyperlink"/>
          </w:rPr>
          <w:t>https://mydailyartdisplay.wordpress.com/2011/09/23/the-martyrdom-of-saint-erasmus-by-nicolas-poussin/</w:t>
        </w:r>
      </w:hyperlink>
      <w:r w:rsidR="0025403C">
        <w:t xml:space="preserve"> [Last Accessed: 10</w:t>
      </w:r>
      <w:r w:rsidR="0025403C" w:rsidRPr="0025403C">
        <w:rPr>
          <w:vertAlign w:val="superscript"/>
        </w:rPr>
        <w:t>th</w:t>
      </w:r>
      <w:r w:rsidR="0025403C">
        <w:t xml:space="preserve"> April 2019]. </w:t>
      </w:r>
    </w:p>
  </w:footnote>
  <w:footnote w:id="36">
    <w:p w:rsidR="00D044CB" w:rsidRPr="00D044CB" w:rsidRDefault="00D044CB">
      <w:pPr>
        <w:pStyle w:val="FootnoteText"/>
      </w:pPr>
      <w:r>
        <w:rPr>
          <w:rStyle w:val="FootnoteReference"/>
        </w:rPr>
        <w:footnoteRef/>
      </w:r>
      <w:r>
        <w:t xml:space="preserve"> ‘this prestigious commission for St. Peter’s established Poussin as one of the best of a new generation of painters in Rome’ </w:t>
      </w:r>
      <w:bookmarkStart w:id="4" w:name="_Hlk6139125"/>
      <w:r w:rsidRPr="00D044CB">
        <w:t>Ann Sutherland Harris</w:t>
      </w:r>
      <w:r>
        <w:t xml:space="preserve">, </w:t>
      </w:r>
      <w:r w:rsidRPr="00D044CB">
        <w:rPr>
          <w:i/>
        </w:rPr>
        <w:t>Seventeenth-</w:t>
      </w:r>
      <w:r w:rsidRPr="00D044CB">
        <w:rPr>
          <w:i/>
        </w:rPr>
        <w:t>C</w:t>
      </w:r>
      <w:r w:rsidRPr="00D044CB">
        <w:rPr>
          <w:i/>
        </w:rPr>
        <w:t>entury Art and Architecture</w:t>
      </w:r>
      <w:r>
        <w:rPr>
          <w:i/>
        </w:rPr>
        <w:t xml:space="preserve"> </w:t>
      </w:r>
      <w:r>
        <w:t>(</w:t>
      </w:r>
      <w:r w:rsidR="00AC1FD4">
        <w:t xml:space="preserve">2005, Laurence King, London). </w:t>
      </w:r>
    </w:p>
    <w:bookmarkEnd w:id="4"/>
  </w:footnote>
  <w:footnote w:id="37">
    <w:p w:rsidR="00CB79EC" w:rsidRPr="004A1115" w:rsidRDefault="00CB79EC">
      <w:pPr>
        <w:pStyle w:val="FootnoteText"/>
      </w:pPr>
      <w:r>
        <w:rPr>
          <w:rStyle w:val="FootnoteReference"/>
        </w:rPr>
        <w:footnoteRef/>
      </w:r>
      <w:r>
        <w:t xml:space="preserve"> </w:t>
      </w:r>
      <w:r w:rsidR="004A1115">
        <w:t xml:space="preserve">Anna Jameson, </w:t>
      </w:r>
      <w:r w:rsidR="004A1115" w:rsidRPr="004A1115">
        <w:rPr>
          <w:i/>
        </w:rPr>
        <w:t xml:space="preserve">Sacred and Legendary Art – Vol II </w:t>
      </w:r>
      <w:r w:rsidR="004A1115">
        <w:t xml:space="preserve">(1868, University Press: Welch, Bigelow, and Company, Cambridge). p. 317. </w:t>
      </w:r>
    </w:p>
  </w:footnote>
  <w:footnote w:id="38">
    <w:p w:rsidR="00CB79EC" w:rsidRDefault="00CB79EC">
      <w:pPr>
        <w:pStyle w:val="FootnoteText"/>
      </w:pPr>
      <w:r>
        <w:rPr>
          <w:rStyle w:val="FootnoteReference"/>
        </w:rPr>
        <w:footnoteRef/>
      </w:r>
      <w:r>
        <w:t xml:space="preserve"> </w:t>
      </w:r>
      <w:proofErr w:type="gramStart"/>
      <w:r w:rsidR="00877021" w:rsidRPr="00877021">
        <w:rPr>
          <w:i/>
        </w:rPr>
        <w:t>Ibid,.</w:t>
      </w:r>
      <w:proofErr w:type="gramEnd"/>
      <w:r w:rsidR="00877021" w:rsidRPr="00877021">
        <w:rPr>
          <w:i/>
        </w:rPr>
        <w:t xml:space="preserve"> </w:t>
      </w:r>
    </w:p>
  </w:footnote>
  <w:footnote w:id="39">
    <w:p w:rsidR="00CB79EC" w:rsidRPr="00734C7B" w:rsidRDefault="00CB79EC">
      <w:pPr>
        <w:pStyle w:val="FootnoteText"/>
      </w:pPr>
      <w:r>
        <w:rPr>
          <w:rStyle w:val="FootnoteReference"/>
        </w:rPr>
        <w:footnoteRef/>
      </w:r>
      <w:r>
        <w:t xml:space="preserve"> </w:t>
      </w:r>
      <w:r w:rsidR="00753E95">
        <w:t xml:space="preserve">Edgar Wind, </w:t>
      </w:r>
      <w:bookmarkStart w:id="5" w:name="_Hlk5795955"/>
      <w:r w:rsidR="00753E95" w:rsidRPr="00753E95">
        <w:t>Albrecht von Brandenburg as St. Erasmus</w:t>
      </w:r>
      <w:bookmarkEnd w:id="5"/>
      <w:r w:rsidR="00734C7B">
        <w:t xml:space="preserve">, </w:t>
      </w:r>
      <w:r w:rsidR="00734C7B" w:rsidRPr="00734C7B">
        <w:rPr>
          <w:i/>
        </w:rPr>
        <w:t>Journal of the Warburg Institute</w:t>
      </w:r>
      <w:r w:rsidR="00734C7B">
        <w:rPr>
          <w:i/>
        </w:rPr>
        <w:t xml:space="preserve">, </w:t>
      </w:r>
      <w:r w:rsidR="00734C7B">
        <w:t xml:space="preserve">Vol 1, No 2, Oct 1937. p. 152. </w:t>
      </w:r>
    </w:p>
  </w:footnote>
  <w:footnote w:id="40">
    <w:p w:rsidR="00CB79EC" w:rsidRDefault="00CB79EC">
      <w:pPr>
        <w:pStyle w:val="FootnoteText"/>
      </w:pPr>
      <w:r>
        <w:rPr>
          <w:rStyle w:val="FootnoteReference"/>
        </w:rPr>
        <w:footnoteRef/>
      </w:r>
      <w:r w:rsidR="00734C7B">
        <w:t xml:space="preserve"> </w:t>
      </w:r>
      <w:proofErr w:type="gramStart"/>
      <w:r w:rsidR="00734C7B" w:rsidRPr="00734C7B">
        <w:rPr>
          <w:i/>
        </w:rPr>
        <w:t>Ibid,.</w:t>
      </w:r>
      <w:proofErr w:type="gramEnd"/>
      <w:r w:rsidR="00734C7B">
        <w:t xml:space="preserve"> </w:t>
      </w:r>
    </w:p>
  </w:footnote>
  <w:footnote w:id="41">
    <w:p w:rsidR="002249FE" w:rsidRPr="00FF1563" w:rsidRDefault="002249FE">
      <w:pPr>
        <w:pStyle w:val="FootnoteText"/>
      </w:pPr>
      <w:r>
        <w:rPr>
          <w:rStyle w:val="FootnoteReference"/>
        </w:rPr>
        <w:footnoteRef/>
      </w:r>
      <w:r>
        <w:t xml:space="preserve"> </w:t>
      </w:r>
      <w:r w:rsidR="00FF1563">
        <w:t>‘</w:t>
      </w:r>
      <w:r w:rsidR="009F31E7">
        <w:t>To name a child after a saint created a permanent special bond between them</w:t>
      </w:r>
      <w:r w:rsidR="00FF1563">
        <w:t>.</w:t>
      </w:r>
      <w:r w:rsidR="009F31E7">
        <w:t xml:space="preserve"> It was a long-lasting custom.</w:t>
      </w:r>
      <w:r w:rsidR="00FF1563">
        <w:t xml:space="preserve">’ </w:t>
      </w:r>
      <w:r>
        <w:t>Bartlett</w:t>
      </w:r>
      <w:r w:rsidR="00FF1563">
        <w:t xml:space="preserve">, </w:t>
      </w:r>
      <w:r w:rsidR="00E16B9F" w:rsidRPr="00E16B9F">
        <w:rPr>
          <w:i/>
        </w:rPr>
        <w:t>Why Can the Dead Do Such Great Things?</w:t>
      </w:r>
      <w:r w:rsidR="00E16B9F">
        <w:rPr>
          <w:i/>
        </w:rPr>
        <w:t xml:space="preserve"> </w:t>
      </w:r>
      <w:r w:rsidR="00FF1563">
        <w:t>p. 4</w:t>
      </w:r>
      <w:r w:rsidR="009F31E7">
        <w:t>60</w:t>
      </w:r>
      <w:r w:rsidR="00FF1563">
        <w:t xml:space="preserve">. </w:t>
      </w:r>
    </w:p>
  </w:footnote>
  <w:footnote w:id="42">
    <w:p w:rsidR="00CB79EC" w:rsidRDefault="00CB79EC">
      <w:pPr>
        <w:pStyle w:val="FootnoteText"/>
      </w:pPr>
      <w:r>
        <w:rPr>
          <w:rStyle w:val="FootnoteReference"/>
        </w:rPr>
        <w:footnoteRef/>
      </w:r>
      <w:r>
        <w:t xml:space="preserve"> </w:t>
      </w:r>
      <w:r w:rsidR="00734C7B">
        <w:t xml:space="preserve">Wind, </w:t>
      </w:r>
      <w:r w:rsidR="00734C7B" w:rsidRPr="00734C7B">
        <w:t>Albrecht von Brandenburg as St. Erasmus</w:t>
      </w:r>
      <w:r w:rsidR="00734C7B">
        <w:t xml:space="preserve">, p. 151. </w:t>
      </w:r>
    </w:p>
  </w:footnote>
  <w:footnote w:id="43">
    <w:p w:rsidR="00CB79EC" w:rsidRDefault="00CB79EC">
      <w:pPr>
        <w:pStyle w:val="FootnoteText"/>
      </w:pPr>
      <w:r>
        <w:rPr>
          <w:rStyle w:val="FootnoteReference"/>
        </w:rPr>
        <w:footnoteRef/>
      </w:r>
      <w:r>
        <w:t xml:space="preserve"> </w:t>
      </w:r>
      <w:r w:rsidR="00734C7B">
        <w:t xml:space="preserve">Andrew W. Keitt, </w:t>
      </w:r>
      <w:r w:rsidR="00734C7B" w:rsidRPr="0096049C">
        <w:rPr>
          <w:i/>
        </w:rPr>
        <w:t xml:space="preserve">Inventing the Sacred: Imposture, Inquisition, And the Boundaries of the Supernatural in Golden Age Spain </w:t>
      </w:r>
      <w:r w:rsidR="00734C7B">
        <w:t xml:space="preserve">(2005, </w:t>
      </w:r>
      <w:r w:rsidR="002B3C35">
        <w:t xml:space="preserve">Brill, London). p. </w:t>
      </w:r>
      <w:r w:rsidR="0060302A">
        <w:t xml:space="preserve">68. </w:t>
      </w:r>
    </w:p>
  </w:footnote>
  <w:footnote w:id="44">
    <w:p w:rsidR="00CB79EC" w:rsidRDefault="00CB79EC">
      <w:pPr>
        <w:pStyle w:val="FootnoteText"/>
      </w:pPr>
      <w:r>
        <w:rPr>
          <w:rStyle w:val="FootnoteReference"/>
        </w:rPr>
        <w:footnoteRef/>
      </w:r>
      <w:r>
        <w:t xml:space="preserve"> </w:t>
      </w:r>
      <w:bookmarkStart w:id="6" w:name="_Hlk6138266"/>
      <w:r w:rsidR="0060302A">
        <w:t xml:space="preserve">Bynum, </w:t>
      </w:r>
      <w:r w:rsidR="0060302A" w:rsidRPr="0096049C">
        <w:rPr>
          <w:i/>
        </w:rPr>
        <w:t>Death and Resurrection in the Middle Ages</w:t>
      </w:r>
      <w:r w:rsidR="0096049C">
        <w:t>,</w:t>
      </w:r>
      <w:r w:rsidR="0060302A" w:rsidRPr="0060302A">
        <w:t xml:space="preserve"> p. 5</w:t>
      </w:r>
      <w:r w:rsidR="0060302A">
        <w:t xml:space="preserve">92. </w:t>
      </w:r>
      <w:bookmarkEnd w:id="6"/>
    </w:p>
  </w:footnote>
  <w:footnote w:id="45">
    <w:p w:rsidR="00CB79EC" w:rsidRPr="0060302A" w:rsidRDefault="00CB79EC">
      <w:pPr>
        <w:pStyle w:val="FootnoteText"/>
      </w:pPr>
      <w:r>
        <w:rPr>
          <w:rStyle w:val="FootnoteReference"/>
        </w:rPr>
        <w:footnoteRef/>
      </w:r>
      <w:r>
        <w:t xml:space="preserve"> </w:t>
      </w:r>
      <w:r w:rsidR="0060302A">
        <w:t xml:space="preserve">Ashby Kinch, </w:t>
      </w:r>
      <w:r w:rsidR="0060302A" w:rsidRPr="0060302A">
        <w:rPr>
          <w:i/>
        </w:rPr>
        <w:t>Imago Mortis: Mediating Images of Death in Late Medieval Culture</w:t>
      </w:r>
      <w:r w:rsidR="0060302A">
        <w:rPr>
          <w:i/>
        </w:rPr>
        <w:t xml:space="preserve"> </w:t>
      </w:r>
      <w:r w:rsidR="0060302A">
        <w:t xml:space="preserve">(2013, Brill, London). p. 1. </w:t>
      </w:r>
    </w:p>
  </w:footnote>
  <w:footnote w:id="46">
    <w:p w:rsidR="00CB79EC" w:rsidRDefault="00CB79EC">
      <w:pPr>
        <w:pStyle w:val="FootnoteText"/>
      </w:pPr>
      <w:r>
        <w:rPr>
          <w:rStyle w:val="FootnoteReference"/>
        </w:rPr>
        <w:footnoteRef/>
      </w:r>
      <w:r>
        <w:t xml:space="preserve"> </w:t>
      </w:r>
      <w:proofErr w:type="gramStart"/>
      <w:r w:rsidR="0060302A" w:rsidRPr="0060302A">
        <w:rPr>
          <w:i/>
        </w:rPr>
        <w:t>Ibid,.</w:t>
      </w:r>
      <w:proofErr w:type="gramEnd"/>
    </w:p>
  </w:footnote>
  <w:footnote w:id="47">
    <w:p w:rsidR="00CB79EC" w:rsidRPr="0060302A" w:rsidRDefault="00CB79EC">
      <w:pPr>
        <w:pStyle w:val="FootnoteText"/>
      </w:pPr>
      <w:r>
        <w:rPr>
          <w:rStyle w:val="FootnoteReference"/>
        </w:rPr>
        <w:footnoteRef/>
      </w:r>
      <w:r>
        <w:t xml:space="preserve"> </w:t>
      </w:r>
      <w:r w:rsidR="0060302A">
        <w:t xml:space="preserve">Huizinga, </w:t>
      </w:r>
      <w:r w:rsidR="0060302A">
        <w:rPr>
          <w:i/>
        </w:rPr>
        <w:t>The Waning of the Middle Ages</w:t>
      </w:r>
      <w:r w:rsidR="0060302A">
        <w:t xml:space="preserve">, p. 129. </w:t>
      </w:r>
    </w:p>
  </w:footnote>
  <w:footnote w:id="48">
    <w:p w:rsidR="00CB79EC" w:rsidRPr="00163DBC" w:rsidRDefault="00CB79EC">
      <w:pPr>
        <w:pStyle w:val="FootnoteText"/>
      </w:pPr>
      <w:r>
        <w:rPr>
          <w:rStyle w:val="FootnoteReference"/>
        </w:rPr>
        <w:footnoteRef/>
      </w:r>
      <w:r>
        <w:t xml:space="preserve"> </w:t>
      </w:r>
      <w:r w:rsidR="00163DBC" w:rsidRPr="00163DBC">
        <w:t>Master of the Llangattock Hours</w:t>
      </w:r>
      <w:r w:rsidR="00163DBC">
        <w:t xml:space="preserve">, </w:t>
      </w:r>
      <w:bookmarkStart w:id="7" w:name="_Hlk5797946"/>
      <w:r w:rsidR="00163DBC" w:rsidRPr="00163DBC">
        <w:rPr>
          <w:i/>
        </w:rPr>
        <w:t>The Martyrdom of Saint Erasmus</w:t>
      </w:r>
      <w:r w:rsidR="00163DBC">
        <w:t xml:space="preserve">, c. 1450s. </w:t>
      </w:r>
      <w:bookmarkEnd w:id="7"/>
      <w:r w:rsidR="00163DBC">
        <w:fldChar w:fldCharType="begin"/>
      </w:r>
      <w:r w:rsidR="00163DBC">
        <w:instrText xml:space="preserve"> HYPERLINK "http://</w:instrText>
      </w:r>
      <w:r w:rsidR="00163DBC" w:rsidRPr="00163DBC">
        <w:instrText>www.getty.edu/art/collection/objects/3577/master-of-the-llangattock-hours-initial-o-the-martyrdom-of-saint-erasmus-flemish-1450s/</w:instrText>
      </w:r>
      <w:r w:rsidR="00163DBC">
        <w:instrText xml:space="preserve">" </w:instrText>
      </w:r>
      <w:r w:rsidR="00163DBC">
        <w:fldChar w:fldCharType="separate"/>
      </w:r>
      <w:r w:rsidR="00163DBC" w:rsidRPr="00486EAD">
        <w:rPr>
          <w:rStyle w:val="Hyperlink"/>
        </w:rPr>
        <w:t>www.getty.edu/art/collection/objects/3577/master-of-the-llangattock-hours-initial-o-the-martyrdom-of-saint-erasmus-flemish-1450s/</w:t>
      </w:r>
      <w:r w:rsidR="00163DBC">
        <w:fldChar w:fldCharType="end"/>
      </w:r>
      <w:r w:rsidR="00163DBC">
        <w:t xml:space="preserve"> [Last Accessed: 1</w:t>
      </w:r>
      <w:r w:rsidR="003D03D5">
        <w:t>2</w:t>
      </w:r>
      <w:r w:rsidR="00163DBC" w:rsidRPr="00163DBC">
        <w:rPr>
          <w:vertAlign w:val="superscript"/>
        </w:rPr>
        <w:t>th</w:t>
      </w:r>
      <w:r w:rsidR="00163DBC">
        <w:t xml:space="preserve"> April 2019]. </w:t>
      </w:r>
    </w:p>
  </w:footnote>
  <w:footnote w:id="49">
    <w:p w:rsidR="003D03D5" w:rsidRDefault="003D03D5">
      <w:pPr>
        <w:pStyle w:val="FootnoteText"/>
      </w:pPr>
      <w:r>
        <w:rPr>
          <w:rStyle w:val="FootnoteReference"/>
        </w:rPr>
        <w:footnoteRef/>
      </w:r>
      <w:r>
        <w:t xml:space="preserve"> The Dimensions of the book are given as </w:t>
      </w:r>
      <w:r w:rsidRPr="003D03D5">
        <w:t>26.4 × 18.4 cm</w:t>
      </w:r>
      <w:r>
        <w:t xml:space="preserve">, meaning it would have been much easier to transport and to keep than a large manuscript for instance. </w:t>
      </w:r>
      <w:hyperlink r:id="rId6" w:history="1">
        <w:r w:rsidRPr="00F60903">
          <w:rPr>
            <w:rStyle w:val="Hyperlink"/>
          </w:rPr>
          <w:t>www.getty.edu/art/collection/objects/3577/master-of-the-llangattock-hours-initial-o-the-martyrdom-of-saint-erasmus-flemish-1450s/</w:t>
        </w:r>
      </w:hyperlink>
      <w:r>
        <w:t xml:space="preserve"> [Last Accessed: 12</w:t>
      </w:r>
      <w:r w:rsidRPr="003D03D5">
        <w:rPr>
          <w:vertAlign w:val="superscript"/>
        </w:rPr>
        <w:t>th</w:t>
      </w:r>
      <w:r>
        <w:t xml:space="preserve"> April 2019]. </w:t>
      </w:r>
    </w:p>
  </w:footnote>
  <w:footnote w:id="50">
    <w:p w:rsidR="00CB79EC" w:rsidRPr="00163DBC" w:rsidRDefault="00CB79EC">
      <w:pPr>
        <w:pStyle w:val="FootnoteText"/>
      </w:pPr>
      <w:r>
        <w:rPr>
          <w:rStyle w:val="FootnoteReference"/>
        </w:rPr>
        <w:footnoteRef/>
      </w:r>
      <w:r>
        <w:t xml:space="preserve"> </w:t>
      </w:r>
      <w:r w:rsidR="00163DBC" w:rsidRPr="00163DBC">
        <w:t>Thomas Kren</w:t>
      </w:r>
      <w:r w:rsidR="00163DBC">
        <w:t xml:space="preserve"> &amp;</w:t>
      </w:r>
      <w:r w:rsidR="00163DBC" w:rsidRPr="00163DBC">
        <w:t xml:space="preserve"> Scot McKendrick</w:t>
      </w:r>
      <w:r w:rsidR="00163DBC">
        <w:t xml:space="preserve">, </w:t>
      </w:r>
      <w:r w:rsidR="00163DBC" w:rsidRPr="00163DBC">
        <w:rPr>
          <w:i/>
        </w:rPr>
        <w:t>Illuminating the Renaissance: The Triumph of Flemish Manuscript Painting in Europe</w:t>
      </w:r>
      <w:r w:rsidR="00163DBC">
        <w:t xml:space="preserve"> (2003, Getty Publications, Los Angeles). p. 1. </w:t>
      </w:r>
    </w:p>
  </w:footnote>
  <w:footnote w:id="51">
    <w:p w:rsidR="00CB79EC" w:rsidRDefault="00CB79EC">
      <w:pPr>
        <w:pStyle w:val="FootnoteText"/>
      </w:pPr>
      <w:r>
        <w:rPr>
          <w:rStyle w:val="FootnoteReference"/>
        </w:rPr>
        <w:footnoteRef/>
      </w:r>
      <w:r>
        <w:t xml:space="preserve"> </w:t>
      </w:r>
      <w:r w:rsidR="00163DBC">
        <w:t xml:space="preserve">‘Et pro omni tribulatine et angustia mea. Rogo deum omnipotentum ut det michi finem bonum cum vera fide et sincera de’. </w:t>
      </w:r>
      <w:r w:rsidR="00163DBC" w:rsidRPr="00163DBC">
        <w:rPr>
          <w:i/>
        </w:rPr>
        <w:t>The Martyrdom of Saint Erasmus</w:t>
      </w:r>
      <w:r w:rsidR="00163DBC">
        <w:t>, c. 1450s.</w:t>
      </w:r>
    </w:p>
  </w:footnote>
  <w:footnote w:id="52">
    <w:p w:rsidR="00A8486E" w:rsidRPr="00026C84" w:rsidRDefault="00A8486E">
      <w:pPr>
        <w:pStyle w:val="FootnoteText"/>
      </w:pPr>
      <w:r>
        <w:rPr>
          <w:rStyle w:val="FootnoteReference"/>
        </w:rPr>
        <w:footnoteRef/>
      </w:r>
      <w:r>
        <w:t xml:space="preserve"> </w:t>
      </w:r>
      <w:r w:rsidRPr="00A8486E">
        <w:t xml:space="preserve"> </w:t>
      </w:r>
      <w:r w:rsidR="00026C84">
        <w:t xml:space="preserve">‘A ‘good death’ – emphasised by the popular </w:t>
      </w:r>
      <w:r w:rsidR="00026C84" w:rsidRPr="00026C84">
        <w:rPr>
          <w:i/>
        </w:rPr>
        <w:t>Ars Moriendi</w:t>
      </w:r>
      <w:r w:rsidR="00026C84">
        <w:rPr>
          <w:i/>
        </w:rPr>
        <w:t xml:space="preserve"> </w:t>
      </w:r>
      <w:r w:rsidR="00026C84">
        <w:t xml:space="preserve">– accepted bodily suffering patiently and without complaint, which in turn led to salvation.’ </w:t>
      </w:r>
      <w:bookmarkStart w:id="8" w:name="_Hlk6140979"/>
      <w:r w:rsidR="00B95B4C" w:rsidRPr="00B95B4C">
        <w:t xml:space="preserve">Christopher </w:t>
      </w:r>
      <w:proofErr w:type="spellStart"/>
      <w:r w:rsidR="00B95B4C" w:rsidRPr="00B95B4C">
        <w:t>Daniell</w:t>
      </w:r>
      <w:proofErr w:type="spellEnd"/>
      <w:r w:rsidR="00B95B4C">
        <w:t xml:space="preserve">, </w:t>
      </w:r>
      <w:r w:rsidR="00B95B4C" w:rsidRPr="00B95B4C">
        <w:t>Death and Burial in Medieval England 1066-1550</w:t>
      </w:r>
      <w:r w:rsidR="00B95B4C">
        <w:t xml:space="preserve"> (1997, Routledge, London). p. 36. </w:t>
      </w:r>
      <w:bookmarkEnd w:id="8"/>
    </w:p>
  </w:footnote>
  <w:footnote w:id="53">
    <w:p w:rsidR="00CB79EC" w:rsidRDefault="00CB79EC">
      <w:pPr>
        <w:pStyle w:val="FootnoteText"/>
      </w:pPr>
      <w:r>
        <w:rPr>
          <w:rStyle w:val="FootnoteReference"/>
        </w:rPr>
        <w:footnoteRef/>
      </w:r>
      <w:r>
        <w:t xml:space="preserve"> </w:t>
      </w:r>
      <w:r w:rsidR="006E5EDB" w:rsidRPr="006E5EDB">
        <w:rPr>
          <w:i/>
        </w:rPr>
        <w:t>The Tortures of Saint Erasmus</w:t>
      </w:r>
      <w:r w:rsidR="006E5EDB">
        <w:t xml:space="preserve">, c. 1460. </w:t>
      </w:r>
      <w:bookmarkStart w:id="9" w:name="_Hlk5802243"/>
      <w:r w:rsidR="006E5EDB">
        <w:fldChar w:fldCharType="begin"/>
      </w:r>
      <w:r w:rsidR="006E5EDB">
        <w:instrText xml:space="preserve"> HYPERLINK "</w:instrText>
      </w:r>
      <w:r w:rsidR="006E5EDB" w:rsidRPr="006E5EDB">
        <w:instrText>https://www.lambiek.net/dutchcomics/1800.htm</w:instrText>
      </w:r>
      <w:r w:rsidR="006E5EDB">
        <w:instrText xml:space="preserve">" </w:instrText>
      </w:r>
      <w:r w:rsidR="006E5EDB">
        <w:fldChar w:fldCharType="separate"/>
      </w:r>
      <w:r w:rsidR="006E5EDB" w:rsidRPr="00486EAD">
        <w:rPr>
          <w:rStyle w:val="Hyperlink"/>
        </w:rPr>
        <w:t>https://www.lambiek.net/dutchcomics/1800.htm</w:t>
      </w:r>
      <w:r w:rsidR="006E5EDB">
        <w:fldChar w:fldCharType="end"/>
      </w:r>
      <w:r w:rsidR="006E5EDB">
        <w:t xml:space="preserve"> [Last Accessed: </w:t>
      </w:r>
      <w:r w:rsidR="00FE49A0">
        <w:t>10</w:t>
      </w:r>
      <w:r w:rsidR="00FE49A0" w:rsidRPr="00FE49A0">
        <w:rPr>
          <w:vertAlign w:val="superscript"/>
        </w:rPr>
        <w:t>th</w:t>
      </w:r>
      <w:r w:rsidR="00FE49A0">
        <w:t xml:space="preserve"> April 2019]. </w:t>
      </w:r>
    </w:p>
    <w:bookmarkEnd w:id="9"/>
  </w:footnote>
  <w:footnote w:id="54">
    <w:p w:rsidR="00CB79EC" w:rsidRPr="00FE49A0" w:rsidRDefault="00CB79EC">
      <w:pPr>
        <w:pStyle w:val="FootnoteText"/>
      </w:pPr>
      <w:r>
        <w:rPr>
          <w:rStyle w:val="FootnoteReference"/>
        </w:rPr>
        <w:footnoteRef/>
      </w:r>
      <w:r>
        <w:t xml:space="preserve"> </w:t>
      </w:r>
      <w:r w:rsidR="00FE49A0" w:rsidRPr="00FE49A0">
        <w:t>Kathryn Petras</w:t>
      </w:r>
      <w:r w:rsidR="00FE49A0">
        <w:t xml:space="preserve"> &amp;</w:t>
      </w:r>
      <w:r w:rsidR="00FE49A0" w:rsidRPr="00FE49A0">
        <w:t xml:space="preserve"> Ross Petras</w:t>
      </w:r>
      <w:r w:rsidR="00FE49A0">
        <w:t xml:space="preserve">, </w:t>
      </w:r>
      <w:r w:rsidR="00FE49A0" w:rsidRPr="00FE49A0">
        <w:rPr>
          <w:i/>
        </w:rPr>
        <w:t>World Access: The Handbook for Citizens of the Earth</w:t>
      </w:r>
      <w:r w:rsidR="00FE49A0">
        <w:rPr>
          <w:i/>
        </w:rPr>
        <w:t xml:space="preserve"> </w:t>
      </w:r>
      <w:r w:rsidR="00FE49A0">
        <w:t xml:space="preserve">(1996, Fireside, New York). p. 324. </w:t>
      </w:r>
    </w:p>
  </w:footnote>
  <w:footnote w:id="55">
    <w:p w:rsidR="00E44657" w:rsidRDefault="00E44657">
      <w:pPr>
        <w:pStyle w:val="FootnoteText"/>
      </w:pPr>
      <w:r>
        <w:rPr>
          <w:rStyle w:val="FootnoteReference"/>
        </w:rPr>
        <w:footnoteRef/>
      </w:r>
      <w:r>
        <w:t xml:space="preserve"> </w:t>
      </w:r>
      <w:r w:rsidR="002F5830">
        <w:t>‘</w:t>
      </w:r>
      <w:r w:rsidR="002F5830" w:rsidRPr="002F5830">
        <w:t>Another striking example of an early forerunner of modern comics is the so-called centsprent or mannekesprent. These printed sheets were made public since the 1500s, and often depicted the lives of holy-men.</w:t>
      </w:r>
      <w:r w:rsidR="002F5830">
        <w:t>’ Lambiek,</w:t>
      </w:r>
      <w:r>
        <w:t xml:space="preserve"> </w:t>
      </w:r>
      <w:r w:rsidRPr="00E44657">
        <w:rPr>
          <w:i/>
        </w:rPr>
        <w:t xml:space="preserve">Early Dutch Comics </w:t>
      </w:r>
      <w:hyperlink r:id="rId7" w:history="1">
        <w:r w:rsidRPr="00486EAD">
          <w:rPr>
            <w:rStyle w:val="Hyperlink"/>
          </w:rPr>
          <w:t>https://www.lambiek.net/dutchcomics/1800.htm</w:t>
        </w:r>
      </w:hyperlink>
      <w:r>
        <w:t xml:space="preserve"> </w:t>
      </w:r>
      <w:r w:rsidRPr="00E44657">
        <w:t>[Last Accessed: 10th April 2019].</w:t>
      </w:r>
    </w:p>
  </w:footnote>
  <w:footnote w:id="56">
    <w:p w:rsidR="00CB79EC" w:rsidRPr="00D03155" w:rsidRDefault="00CB79EC">
      <w:pPr>
        <w:pStyle w:val="FootnoteText"/>
      </w:pPr>
      <w:r>
        <w:rPr>
          <w:rStyle w:val="FootnoteReference"/>
        </w:rPr>
        <w:footnoteRef/>
      </w:r>
      <w:r>
        <w:t xml:space="preserve"> </w:t>
      </w:r>
      <w:r w:rsidR="00D03155">
        <w:t xml:space="preserve">Kevin J. Wetmore Jr, </w:t>
      </w:r>
      <w:r w:rsidR="00D03155" w:rsidRPr="00D03155">
        <w:rPr>
          <w:i/>
        </w:rPr>
        <w:t>Shakespeare and Youth Culture</w:t>
      </w:r>
      <w:r w:rsidR="00D03155">
        <w:rPr>
          <w:i/>
        </w:rPr>
        <w:t xml:space="preserve"> </w:t>
      </w:r>
      <w:r w:rsidR="00D03155">
        <w:t xml:space="preserve">(2006, Palgrave Macmillan, New York). p. 173. </w:t>
      </w:r>
    </w:p>
  </w:footnote>
  <w:footnote w:id="57">
    <w:p w:rsidR="00CB79EC" w:rsidRPr="00C35C3C" w:rsidRDefault="00CB79EC">
      <w:pPr>
        <w:pStyle w:val="FootnoteText"/>
      </w:pPr>
      <w:r>
        <w:rPr>
          <w:rStyle w:val="FootnoteReference"/>
        </w:rPr>
        <w:footnoteRef/>
      </w:r>
      <w:r>
        <w:t xml:space="preserve"> </w:t>
      </w:r>
      <w:r w:rsidR="00C35C3C">
        <w:t xml:space="preserve">Clifford Davidson, </w:t>
      </w:r>
      <w:r w:rsidR="00C35C3C" w:rsidRPr="00C35C3C">
        <w:rPr>
          <w:i/>
        </w:rPr>
        <w:t>Selected Studies in Drama and Renaissance Literature</w:t>
      </w:r>
      <w:r w:rsidR="00C35C3C">
        <w:rPr>
          <w:i/>
        </w:rPr>
        <w:t xml:space="preserve"> </w:t>
      </w:r>
      <w:r w:rsidR="00C35C3C">
        <w:t xml:space="preserve">(2006, AMS Press). p. 47. </w:t>
      </w:r>
    </w:p>
  </w:footnote>
  <w:footnote w:id="58">
    <w:p w:rsidR="00CB79EC" w:rsidRPr="00D03155" w:rsidRDefault="00CB79EC">
      <w:pPr>
        <w:pStyle w:val="FootnoteText"/>
      </w:pPr>
      <w:r>
        <w:rPr>
          <w:rStyle w:val="FootnoteReference"/>
        </w:rPr>
        <w:footnoteRef/>
      </w:r>
      <w:r>
        <w:t xml:space="preserve"> </w:t>
      </w:r>
      <w:r w:rsidR="00D03155">
        <w:t xml:space="preserve">Lawrence S. Cunningham, </w:t>
      </w:r>
      <w:r w:rsidR="00D03155" w:rsidRPr="00D03155">
        <w:t>S</w:t>
      </w:r>
      <w:r w:rsidR="00D03155">
        <w:t>aints</w:t>
      </w:r>
      <w:r w:rsidR="00D03155" w:rsidRPr="00D03155">
        <w:t xml:space="preserve"> </w:t>
      </w:r>
      <w:r w:rsidR="00D03155">
        <w:t>and</w:t>
      </w:r>
      <w:r w:rsidR="00D03155" w:rsidRPr="00D03155">
        <w:t xml:space="preserve"> </w:t>
      </w:r>
      <w:r w:rsidR="00D03155">
        <w:t>Martyrs</w:t>
      </w:r>
      <w:r w:rsidR="00D03155" w:rsidRPr="00D03155">
        <w:t>: S</w:t>
      </w:r>
      <w:r w:rsidR="00D03155">
        <w:t>ome</w:t>
      </w:r>
      <w:r w:rsidR="00D03155" w:rsidRPr="00D03155">
        <w:t xml:space="preserve"> C</w:t>
      </w:r>
      <w:r w:rsidR="00D03155">
        <w:t>ontemporary</w:t>
      </w:r>
      <w:r w:rsidR="00D03155" w:rsidRPr="00D03155">
        <w:t xml:space="preserve"> C</w:t>
      </w:r>
      <w:r w:rsidR="00D03155">
        <w:t xml:space="preserve">onsiderations, </w:t>
      </w:r>
      <w:r w:rsidR="00D03155" w:rsidRPr="00D03155">
        <w:rPr>
          <w:i/>
        </w:rPr>
        <w:t>Theological Studies</w:t>
      </w:r>
      <w:r w:rsidR="00D03155">
        <w:t xml:space="preserve">, Vol 60, Issue 3, 1999. p. 535.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53408"/>
    <w:multiLevelType w:val="multilevel"/>
    <w:tmpl w:val="BA7CD3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40F"/>
    <w:rsid w:val="000040A9"/>
    <w:rsid w:val="00026C84"/>
    <w:rsid w:val="00026E49"/>
    <w:rsid w:val="00030FEE"/>
    <w:rsid w:val="0005352E"/>
    <w:rsid w:val="0005477F"/>
    <w:rsid w:val="000549B9"/>
    <w:rsid w:val="00072436"/>
    <w:rsid w:val="0007285E"/>
    <w:rsid w:val="00081BAE"/>
    <w:rsid w:val="00082AF6"/>
    <w:rsid w:val="000A4B03"/>
    <w:rsid w:val="000B391C"/>
    <w:rsid w:val="000B68DE"/>
    <w:rsid w:val="000D74E4"/>
    <w:rsid w:val="000E3A44"/>
    <w:rsid w:val="00103A6B"/>
    <w:rsid w:val="00114FD3"/>
    <w:rsid w:val="001234EF"/>
    <w:rsid w:val="001242F9"/>
    <w:rsid w:val="00125FD7"/>
    <w:rsid w:val="001270B8"/>
    <w:rsid w:val="001542C7"/>
    <w:rsid w:val="001563AC"/>
    <w:rsid w:val="0016021F"/>
    <w:rsid w:val="00163DBC"/>
    <w:rsid w:val="001848AE"/>
    <w:rsid w:val="001919D3"/>
    <w:rsid w:val="001A418C"/>
    <w:rsid w:val="001B0992"/>
    <w:rsid w:val="001B3AEC"/>
    <w:rsid w:val="001C19EE"/>
    <w:rsid w:val="001D0924"/>
    <w:rsid w:val="00203B23"/>
    <w:rsid w:val="00204C18"/>
    <w:rsid w:val="002204F8"/>
    <w:rsid w:val="002214A4"/>
    <w:rsid w:val="002249FE"/>
    <w:rsid w:val="00232DC8"/>
    <w:rsid w:val="00254036"/>
    <w:rsid w:val="0025403C"/>
    <w:rsid w:val="002567AF"/>
    <w:rsid w:val="00263F34"/>
    <w:rsid w:val="00267A9D"/>
    <w:rsid w:val="00271C97"/>
    <w:rsid w:val="002925A8"/>
    <w:rsid w:val="00295224"/>
    <w:rsid w:val="002A6382"/>
    <w:rsid w:val="002B3C35"/>
    <w:rsid w:val="002B4E87"/>
    <w:rsid w:val="002E0CEA"/>
    <w:rsid w:val="002E14DA"/>
    <w:rsid w:val="002F5830"/>
    <w:rsid w:val="00314815"/>
    <w:rsid w:val="003306F8"/>
    <w:rsid w:val="0037016F"/>
    <w:rsid w:val="00375571"/>
    <w:rsid w:val="003769B0"/>
    <w:rsid w:val="003A2CB8"/>
    <w:rsid w:val="003A70E8"/>
    <w:rsid w:val="003B1F6D"/>
    <w:rsid w:val="003D03D5"/>
    <w:rsid w:val="003D04B3"/>
    <w:rsid w:val="003D17AE"/>
    <w:rsid w:val="003D7351"/>
    <w:rsid w:val="003E0052"/>
    <w:rsid w:val="003F3DA2"/>
    <w:rsid w:val="003F7EF2"/>
    <w:rsid w:val="00410378"/>
    <w:rsid w:val="00415122"/>
    <w:rsid w:val="00420EC3"/>
    <w:rsid w:val="00425B65"/>
    <w:rsid w:val="00442F22"/>
    <w:rsid w:val="00461B70"/>
    <w:rsid w:val="004639D3"/>
    <w:rsid w:val="00465662"/>
    <w:rsid w:val="004729BB"/>
    <w:rsid w:val="00473768"/>
    <w:rsid w:val="004756C4"/>
    <w:rsid w:val="00481B0B"/>
    <w:rsid w:val="00482AD0"/>
    <w:rsid w:val="00482CE7"/>
    <w:rsid w:val="004862C7"/>
    <w:rsid w:val="004A1115"/>
    <w:rsid w:val="004B3CEE"/>
    <w:rsid w:val="004D1D9D"/>
    <w:rsid w:val="00501076"/>
    <w:rsid w:val="00502AD6"/>
    <w:rsid w:val="00514F07"/>
    <w:rsid w:val="00521FA3"/>
    <w:rsid w:val="00531415"/>
    <w:rsid w:val="0053212C"/>
    <w:rsid w:val="00543155"/>
    <w:rsid w:val="00543285"/>
    <w:rsid w:val="0054653A"/>
    <w:rsid w:val="005935A1"/>
    <w:rsid w:val="005B42F3"/>
    <w:rsid w:val="005C254D"/>
    <w:rsid w:val="0060302A"/>
    <w:rsid w:val="00624646"/>
    <w:rsid w:val="00644137"/>
    <w:rsid w:val="00662279"/>
    <w:rsid w:val="00672F49"/>
    <w:rsid w:val="0068437B"/>
    <w:rsid w:val="00687325"/>
    <w:rsid w:val="006875A6"/>
    <w:rsid w:val="006A2673"/>
    <w:rsid w:val="006C55F1"/>
    <w:rsid w:val="006D4761"/>
    <w:rsid w:val="006E3D44"/>
    <w:rsid w:val="006E5EDB"/>
    <w:rsid w:val="00700390"/>
    <w:rsid w:val="007108D5"/>
    <w:rsid w:val="00711557"/>
    <w:rsid w:val="00712C59"/>
    <w:rsid w:val="00714329"/>
    <w:rsid w:val="00734C7B"/>
    <w:rsid w:val="00744B03"/>
    <w:rsid w:val="00746A9D"/>
    <w:rsid w:val="00753E95"/>
    <w:rsid w:val="007658A5"/>
    <w:rsid w:val="00771B09"/>
    <w:rsid w:val="0077259E"/>
    <w:rsid w:val="007A308B"/>
    <w:rsid w:val="007A640F"/>
    <w:rsid w:val="007B5907"/>
    <w:rsid w:val="007B6794"/>
    <w:rsid w:val="007C03B4"/>
    <w:rsid w:val="00812B3F"/>
    <w:rsid w:val="00815B6B"/>
    <w:rsid w:val="00832035"/>
    <w:rsid w:val="00833F90"/>
    <w:rsid w:val="00842C6C"/>
    <w:rsid w:val="00846555"/>
    <w:rsid w:val="008712B0"/>
    <w:rsid w:val="00874106"/>
    <w:rsid w:val="00877021"/>
    <w:rsid w:val="008843C5"/>
    <w:rsid w:val="00891FDB"/>
    <w:rsid w:val="008B31AE"/>
    <w:rsid w:val="008B519A"/>
    <w:rsid w:val="008C34F6"/>
    <w:rsid w:val="008C6DB6"/>
    <w:rsid w:val="008D42B9"/>
    <w:rsid w:val="008E6066"/>
    <w:rsid w:val="009001D3"/>
    <w:rsid w:val="00903290"/>
    <w:rsid w:val="00905FA0"/>
    <w:rsid w:val="00915D98"/>
    <w:rsid w:val="00924A73"/>
    <w:rsid w:val="00930CA8"/>
    <w:rsid w:val="009536C9"/>
    <w:rsid w:val="009601A4"/>
    <w:rsid w:val="0096049C"/>
    <w:rsid w:val="0097694E"/>
    <w:rsid w:val="00976EDE"/>
    <w:rsid w:val="0099095A"/>
    <w:rsid w:val="00990DD8"/>
    <w:rsid w:val="009949AA"/>
    <w:rsid w:val="009A3F30"/>
    <w:rsid w:val="009F1B87"/>
    <w:rsid w:val="009F31E7"/>
    <w:rsid w:val="009F6764"/>
    <w:rsid w:val="00A07FE5"/>
    <w:rsid w:val="00A22B0A"/>
    <w:rsid w:val="00A2419E"/>
    <w:rsid w:val="00A322AA"/>
    <w:rsid w:val="00A33A52"/>
    <w:rsid w:val="00A6538F"/>
    <w:rsid w:val="00A80A0D"/>
    <w:rsid w:val="00A8486E"/>
    <w:rsid w:val="00AA6CF3"/>
    <w:rsid w:val="00AB5C3C"/>
    <w:rsid w:val="00AB7D51"/>
    <w:rsid w:val="00AC1A92"/>
    <w:rsid w:val="00AC1FD4"/>
    <w:rsid w:val="00AD6A52"/>
    <w:rsid w:val="00AF3A57"/>
    <w:rsid w:val="00AF55C1"/>
    <w:rsid w:val="00B00E75"/>
    <w:rsid w:val="00B10250"/>
    <w:rsid w:val="00B242BD"/>
    <w:rsid w:val="00B2660D"/>
    <w:rsid w:val="00B61D22"/>
    <w:rsid w:val="00B677F9"/>
    <w:rsid w:val="00B92A87"/>
    <w:rsid w:val="00B95B4C"/>
    <w:rsid w:val="00BA35CB"/>
    <w:rsid w:val="00BB7068"/>
    <w:rsid w:val="00BE3608"/>
    <w:rsid w:val="00BF586A"/>
    <w:rsid w:val="00C14C7E"/>
    <w:rsid w:val="00C15C9F"/>
    <w:rsid w:val="00C15F1F"/>
    <w:rsid w:val="00C21E52"/>
    <w:rsid w:val="00C26507"/>
    <w:rsid w:val="00C2731D"/>
    <w:rsid w:val="00C35C3C"/>
    <w:rsid w:val="00C44C89"/>
    <w:rsid w:val="00C7149E"/>
    <w:rsid w:val="00C956CC"/>
    <w:rsid w:val="00CA448E"/>
    <w:rsid w:val="00CA50A6"/>
    <w:rsid w:val="00CB673C"/>
    <w:rsid w:val="00CB6FEE"/>
    <w:rsid w:val="00CB79EC"/>
    <w:rsid w:val="00CD6332"/>
    <w:rsid w:val="00CE47D9"/>
    <w:rsid w:val="00CE5593"/>
    <w:rsid w:val="00CE6DF2"/>
    <w:rsid w:val="00CF22B5"/>
    <w:rsid w:val="00D03155"/>
    <w:rsid w:val="00D044CB"/>
    <w:rsid w:val="00D119F0"/>
    <w:rsid w:val="00D226B4"/>
    <w:rsid w:val="00D24575"/>
    <w:rsid w:val="00D3759D"/>
    <w:rsid w:val="00D43712"/>
    <w:rsid w:val="00D44E47"/>
    <w:rsid w:val="00D6106F"/>
    <w:rsid w:val="00D71736"/>
    <w:rsid w:val="00D71D17"/>
    <w:rsid w:val="00D729D4"/>
    <w:rsid w:val="00D76105"/>
    <w:rsid w:val="00D941AE"/>
    <w:rsid w:val="00DA081C"/>
    <w:rsid w:val="00DB119D"/>
    <w:rsid w:val="00DC127D"/>
    <w:rsid w:val="00DC53E4"/>
    <w:rsid w:val="00DC6F6D"/>
    <w:rsid w:val="00DE071D"/>
    <w:rsid w:val="00DF0EE8"/>
    <w:rsid w:val="00E07594"/>
    <w:rsid w:val="00E16B9F"/>
    <w:rsid w:val="00E21A2E"/>
    <w:rsid w:val="00E2535B"/>
    <w:rsid w:val="00E44657"/>
    <w:rsid w:val="00E66DCF"/>
    <w:rsid w:val="00E6720A"/>
    <w:rsid w:val="00E756CB"/>
    <w:rsid w:val="00E92673"/>
    <w:rsid w:val="00E933D4"/>
    <w:rsid w:val="00EA21CF"/>
    <w:rsid w:val="00EB1081"/>
    <w:rsid w:val="00ED28FA"/>
    <w:rsid w:val="00F00ACB"/>
    <w:rsid w:val="00F12271"/>
    <w:rsid w:val="00F2797C"/>
    <w:rsid w:val="00F437BC"/>
    <w:rsid w:val="00F446D0"/>
    <w:rsid w:val="00F452EC"/>
    <w:rsid w:val="00F53494"/>
    <w:rsid w:val="00F70411"/>
    <w:rsid w:val="00F73D25"/>
    <w:rsid w:val="00F774C2"/>
    <w:rsid w:val="00FA4239"/>
    <w:rsid w:val="00FD3741"/>
    <w:rsid w:val="00FD3DD6"/>
    <w:rsid w:val="00FE49A0"/>
    <w:rsid w:val="00FE4EB8"/>
    <w:rsid w:val="00FF1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C397B0"/>
  <w15:chartTrackingRefBased/>
  <w15:docId w15:val="{81A151C0-6746-4CA8-9EA8-9CCAC1447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4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C127D"/>
    <w:pPr>
      <w:spacing w:after="0" w:line="240" w:lineRule="auto"/>
    </w:pPr>
    <w:rPr>
      <w:sz w:val="20"/>
      <w:szCs w:val="20"/>
    </w:rPr>
  </w:style>
  <w:style w:type="character" w:customStyle="1" w:styleId="FootnoteTextChar">
    <w:name w:val="Footnote Text Char"/>
    <w:basedOn w:val="DefaultParagraphFont"/>
    <w:link w:val="FootnoteText"/>
    <w:uiPriority w:val="99"/>
    <w:rsid w:val="00DC127D"/>
    <w:rPr>
      <w:sz w:val="20"/>
      <w:szCs w:val="20"/>
    </w:rPr>
  </w:style>
  <w:style w:type="character" w:styleId="FootnoteReference">
    <w:name w:val="footnote reference"/>
    <w:basedOn w:val="DefaultParagraphFont"/>
    <w:uiPriority w:val="99"/>
    <w:semiHidden/>
    <w:unhideWhenUsed/>
    <w:rsid w:val="00DC127D"/>
    <w:rPr>
      <w:vertAlign w:val="superscript"/>
    </w:rPr>
  </w:style>
  <w:style w:type="character" w:styleId="Hyperlink">
    <w:name w:val="Hyperlink"/>
    <w:basedOn w:val="DefaultParagraphFont"/>
    <w:uiPriority w:val="99"/>
    <w:unhideWhenUsed/>
    <w:rsid w:val="00DC127D"/>
    <w:rPr>
      <w:color w:val="0563C1" w:themeColor="hyperlink"/>
      <w:u w:val="single"/>
    </w:rPr>
  </w:style>
  <w:style w:type="character" w:styleId="UnresolvedMention">
    <w:name w:val="Unresolved Mention"/>
    <w:basedOn w:val="DefaultParagraphFont"/>
    <w:uiPriority w:val="99"/>
    <w:semiHidden/>
    <w:unhideWhenUsed/>
    <w:rsid w:val="00DC127D"/>
    <w:rPr>
      <w:color w:val="605E5C"/>
      <w:shd w:val="clear" w:color="auto" w:fill="E1DFDD"/>
    </w:rPr>
  </w:style>
  <w:style w:type="paragraph" w:styleId="BalloonText">
    <w:name w:val="Balloon Text"/>
    <w:basedOn w:val="Normal"/>
    <w:link w:val="BalloonTextChar"/>
    <w:uiPriority w:val="99"/>
    <w:semiHidden/>
    <w:unhideWhenUsed/>
    <w:rsid w:val="000535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352E"/>
    <w:rPr>
      <w:rFonts w:ascii="Segoe UI" w:hAnsi="Segoe UI" w:cs="Segoe UI"/>
      <w:sz w:val="18"/>
      <w:szCs w:val="18"/>
    </w:rPr>
  </w:style>
  <w:style w:type="character" w:styleId="FollowedHyperlink">
    <w:name w:val="FollowedHyperlink"/>
    <w:basedOn w:val="DefaultParagraphFont"/>
    <w:uiPriority w:val="99"/>
    <w:semiHidden/>
    <w:unhideWhenUsed/>
    <w:rsid w:val="00E446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566880">
      <w:bodyDiv w:val="1"/>
      <w:marLeft w:val="0"/>
      <w:marRight w:val="0"/>
      <w:marTop w:val="0"/>
      <w:marBottom w:val="0"/>
      <w:divBdr>
        <w:top w:val="none" w:sz="0" w:space="0" w:color="auto"/>
        <w:left w:val="none" w:sz="0" w:space="0" w:color="auto"/>
        <w:bottom w:val="none" w:sz="0" w:space="0" w:color="auto"/>
        <w:right w:val="none" w:sz="0" w:space="0" w:color="auto"/>
      </w:divBdr>
      <w:divsChild>
        <w:div w:id="1347291951">
          <w:marLeft w:val="0"/>
          <w:marRight w:val="0"/>
          <w:marTop w:val="0"/>
          <w:marBottom w:val="0"/>
          <w:divBdr>
            <w:top w:val="single" w:sz="6" w:space="0" w:color="E6E6E6"/>
            <w:left w:val="single" w:sz="6" w:space="0" w:color="E6E6E6"/>
            <w:bottom w:val="single" w:sz="6" w:space="0" w:color="E6E6E6"/>
            <w:right w:val="single" w:sz="6" w:space="0" w:color="E6E6E6"/>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ogle.co.uk/url?sa=i&amp;rct=j&amp;q=&amp;esrc=s&amp;source=images&amp;cd=&amp;ved=2ahUKEwjFmPTPg7nhAhVB-YUKHTFvAQQQjRx6BAgBEAU&amp;url=http%3A%2F%2Fwww.getty.edu%2Fart%2Fcollection%2Fobjects%2F3577%2Fmaster-of-the-llangattock-hours-initial-o-the-martyrdom-of-saint-erasmus-flemish-1450s%2F&amp;psig=AOvVaw0RQZ1PaiLHju-7lfaQqMYm&amp;ust=1554556162889002" TargetMode="External"/><Relationship Id="rId18" Type="http://schemas.openxmlformats.org/officeDocument/2006/relationships/hyperlink" Target="https://mydailyartdisplay.wordpress.com/2011/09/23/the-martyrdom-of-saint-erasmus-by-nicolas-poussin/" TargetMode="External"/><Relationship Id="rId3" Type="http://schemas.openxmlformats.org/officeDocument/2006/relationships/settings" Target="settings.xml"/><Relationship Id="rId21" Type="http://schemas.openxmlformats.org/officeDocument/2006/relationships/hyperlink" Target="https://www.lambiek.net/dutchcomics/1800.htm" TargetMode="External"/><Relationship Id="rId7" Type="http://schemas.openxmlformats.org/officeDocument/2006/relationships/hyperlink" Target="https://www.google.co.uk/url?sa=i&amp;rct=j&amp;q=&amp;esrc=s&amp;source=images&amp;cd=&amp;cad=rja&amp;uact=8&amp;ved=2ahUKEwiFo_7_2rPhAhVeRxUIHSU5A3YQjRx6BAgBEAU&amp;url=http%3A%2F%2Fen.most-famous-paintings.com%2FMostFamousPaintings.nsf%2FA%3FOpen%26A%3D8XXT9H&amp;psig=AOvVaw3n0-0o83zxzgII8xs58zFU&amp;ust=1554373502934136" TargetMode="External"/><Relationship Id="rId12" Type="http://schemas.openxmlformats.org/officeDocument/2006/relationships/image" Target="media/image3.jpeg"/><Relationship Id="rId17" Type="http://schemas.openxmlformats.org/officeDocument/2006/relationships/hyperlink" Target="http://www.getty.edu/art/collection/objects/3577/master-of-the-llangattock-hours-initial-o-the-martyrdom-of-saint-erasmus-flemish-1450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hellenicaworld.com/Art/Paintings/en/Part5254.html" TargetMode="External"/><Relationship Id="rId20" Type="http://schemas.openxmlformats.org/officeDocument/2006/relationships/hyperlink" Target="http://faith.nd.edu/s/1210/faith/interior.aspx?sid=1210&amp;gid=609&amp;pgid=20299&amp;cid=39870&amp;ecid=39870&amp;crid=0&amp;calpgid=61&amp;calcid=5350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rct=j&amp;q=&amp;esrc=s&amp;source=images&amp;cd=&amp;cad=rja&amp;uact=8&amp;ved=2ahUKEwjW5aHcv8XhAhUwzoUKHZhoC7wQjRx6BAgBEAU&amp;url=https%3A%2F%2Fmydailyartdisplay.wordpress.com%2F2011%2F09%2F23%2Fthe-martyrdom-of-saint-erasmus-by-nicolas-poussin%2F&amp;psig=AOvVaw0lkKWtfRan_tl7JHn3z4UT&amp;ust=1554984711832750"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hyperlink" Target="http://www.oxfordreference.com.ezproxy.uwtsd.ac.uk/view/10.1093/oi/authority.20110803095756823?rskey=I5PwLh&amp;result=14" TargetMode="External"/><Relationship Id="rId10" Type="http://schemas.openxmlformats.org/officeDocument/2006/relationships/image" Target="media/image2.jpeg"/><Relationship Id="rId19" Type="http://schemas.openxmlformats.org/officeDocument/2006/relationships/hyperlink" Target="https://www.lambiek.net/dutchcomics/1800.htm" TargetMode="External"/><Relationship Id="rId4" Type="http://schemas.openxmlformats.org/officeDocument/2006/relationships/webSettings" Target="webSettings.xml"/><Relationship Id="rId9" Type="http://schemas.openxmlformats.org/officeDocument/2006/relationships/hyperlink" Target="https://www.google.co.uk/url?sa=i&amp;rct=j&amp;q=&amp;esrc=s&amp;source=images&amp;cd=&amp;cad=rja&amp;uact=8&amp;ved=2ahUKEwjQt9yulqzhAhUInhQKHc9ZDnUQjRx6BAgBEAU&amp;url=https%3A%2F%2Fwww.britishmuseum.org%2Fresearch%2Fcollection_online%2Fcollection_object_details.aspx%3FobjectId%3D1419430%26partId%3D1%26people%3D30609%26peoA%3D30609-1-7%26page%3D1&amp;psig=AOvVaw0FzgaUaRl1ZlJQlsBBOtM6&amp;ust=1554114644306798" TargetMode="External"/><Relationship Id="rId14" Type="http://schemas.openxmlformats.org/officeDocument/2006/relationships/image" Target="media/image4.jpeg"/><Relationship Id="rId22" Type="http://schemas.openxmlformats.org/officeDocument/2006/relationships/hyperlink" Target="https://www.independent.co.uk/arts-entertainment/art/great-works/bouts-dieric-martyrdom-of-st-erasmus-triptych-c1458-795379.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independent.co.uk/arts-entertainment/art/great-works/bouts-dieric-martyrdom-of-st-erasmus-triptych-c1458-795379.html" TargetMode="External"/><Relationship Id="rId7" Type="http://schemas.openxmlformats.org/officeDocument/2006/relationships/hyperlink" Target="https://www.lambiek.net/dutchcomics/1800.htm" TargetMode="External"/><Relationship Id="rId2" Type="http://schemas.openxmlformats.org/officeDocument/2006/relationships/hyperlink" Target="http://faith.nd.edu/s/1210/faith/interior.aspx?sid=1210&amp;gid=609&amp;pgid=20299&amp;cid=39870&amp;ecid=39870&amp;crid=0&amp;calpgid=61&amp;calcid=53508" TargetMode="External"/><Relationship Id="rId1" Type="http://schemas.openxmlformats.org/officeDocument/2006/relationships/hyperlink" Target="http://www.oxfordreference.com.ezproxy.uwtsd.ac.uk/view/10.1093/oi/authority.20110803095756823?rskey=I5PwLh&amp;result=14" TargetMode="External"/><Relationship Id="rId6" Type="http://schemas.openxmlformats.org/officeDocument/2006/relationships/hyperlink" Target="http://www.getty.edu/art/collection/objects/3577/master-of-the-llangattock-hours-initial-o-the-martyrdom-of-saint-erasmus-flemish-1450s/" TargetMode="External"/><Relationship Id="rId5" Type="http://schemas.openxmlformats.org/officeDocument/2006/relationships/hyperlink" Target="https://mydailyartdisplay.wordpress.com/2011/09/23/the-martyrdom-of-saint-erasmus-by-nicolas-poussin/" TargetMode="External"/><Relationship Id="rId4" Type="http://schemas.openxmlformats.org/officeDocument/2006/relationships/hyperlink" Target="http://www.hellenicaworld.com/Art/Paintings/en/Part525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2075</TotalTime>
  <Pages>17</Pages>
  <Words>5607</Words>
  <Characters>31960</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Woodgate</dc:creator>
  <cp:keywords/>
  <dc:description/>
  <cp:lastModifiedBy>Martin Woodgate</cp:lastModifiedBy>
  <cp:revision>123</cp:revision>
  <dcterms:created xsi:type="dcterms:W3CDTF">2019-04-02T20:36:00Z</dcterms:created>
  <dcterms:modified xsi:type="dcterms:W3CDTF">2019-04-14T12:30:00Z</dcterms:modified>
</cp:coreProperties>
</file>