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8B915F" w14:textId="77777777" w:rsidR="002F5D64" w:rsidRPr="002F5D64" w:rsidRDefault="002F5D64" w:rsidP="002F5D64">
      <w:pPr>
        <w:jc w:val="center"/>
        <w:rPr>
          <w:b/>
          <w:bCs/>
        </w:rPr>
      </w:pPr>
    </w:p>
    <w:p w14:paraId="5FB3F8E1" w14:textId="77777777" w:rsidR="002F5D64" w:rsidRPr="002F5D64" w:rsidRDefault="002F5D64" w:rsidP="002F5D64">
      <w:pPr>
        <w:jc w:val="center"/>
        <w:rPr>
          <w:b/>
          <w:bCs/>
        </w:rPr>
      </w:pPr>
    </w:p>
    <w:p w14:paraId="6F32E1D9" w14:textId="77777777" w:rsidR="002F5D64" w:rsidRPr="002F5D64" w:rsidRDefault="002F5D64" w:rsidP="002F5D64">
      <w:pPr>
        <w:jc w:val="center"/>
        <w:rPr>
          <w:b/>
          <w:bCs/>
        </w:rPr>
      </w:pPr>
    </w:p>
    <w:p w14:paraId="79796F9E" w14:textId="77777777" w:rsidR="002F5D64" w:rsidRPr="002F5D64" w:rsidRDefault="002F5D64" w:rsidP="002F5D64">
      <w:pPr>
        <w:jc w:val="center"/>
        <w:rPr>
          <w:b/>
          <w:bCs/>
        </w:rPr>
      </w:pPr>
    </w:p>
    <w:p w14:paraId="4150470A" w14:textId="77777777" w:rsidR="002F5D64" w:rsidRPr="002F5D64" w:rsidRDefault="002F5D64" w:rsidP="002F5D64">
      <w:pPr>
        <w:jc w:val="center"/>
        <w:rPr>
          <w:b/>
          <w:bCs/>
        </w:rPr>
      </w:pPr>
    </w:p>
    <w:p w14:paraId="16F81C61" w14:textId="77777777" w:rsidR="002F5D64" w:rsidRPr="002F5D64" w:rsidRDefault="002F5D64" w:rsidP="002F5D64">
      <w:pPr>
        <w:jc w:val="center"/>
        <w:rPr>
          <w:b/>
          <w:bCs/>
        </w:rPr>
      </w:pPr>
    </w:p>
    <w:p w14:paraId="1C20BB9B" w14:textId="77777777" w:rsidR="002F5D64" w:rsidRPr="002F5D64" w:rsidRDefault="002F5D64" w:rsidP="002F5D64">
      <w:pPr>
        <w:jc w:val="center"/>
        <w:rPr>
          <w:b/>
          <w:bCs/>
        </w:rPr>
      </w:pPr>
    </w:p>
    <w:p w14:paraId="14DF51E3" w14:textId="77777777" w:rsidR="002F5D64" w:rsidRPr="002F5D64" w:rsidRDefault="002F5D64" w:rsidP="002F5D64">
      <w:pPr>
        <w:jc w:val="center"/>
        <w:rPr>
          <w:b/>
          <w:bCs/>
        </w:rPr>
      </w:pPr>
    </w:p>
    <w:p w14:paraId="1DF246A5" w14:textId="77777777" w:rsidR="002F5D64" w:rsidRPr="002F5D64" w:rsidRDefault="002F5D64" w:rsidP="002F5D64">
      <w:pPr>
        <w:jc w:val="center"/>
        <w:rPr>
          <w:b/>
          <w:bCs/>
        </w:rPr>
      </w:pPr>
    </w:p>
    <w:p w14:paraId="2A18AEF6" w14:textId="56553580" w:rsidR="00FD1AE9" w:rsidRPr="002F5D64" w:rsidRDefault="002F5D64" w:rsidP="002F5D64">
      <w:pPr>
        <w:jc w:val="center"/>
        <w:rPr>
          <w:b/>
          <w:bCs/>
        </w:rPr>
      </w:pPr>
      <w:r w:rsidRPr="002F5D64">
        <w:rPr>
          <w:b/>
          <w:bCs/>
        </w:rPr>
        <w:t xml:space="preserve">Name: Elena Carmen </w:t>
      </w:r>
      <w:proofErr w:type="spellStart"/>
      <w:r w:rsidRPr="002F5D64">
        <w:rPr>
          <w:b/>
          <w:bCs/>
        </w:rPr>
        <w:t>Anghel</w:t>
      </w:r>
      <w:proofErr w:type="spellEnd"/>
    </w:p>
    <w:p w14:paraId="78ADE30B" w14:textId="61A6A068" w:rsidR="002F5D64" w:rsidRPr="002F5D64" w:rsidRDefault="002F5D64" w:rsidP="002F5D64">
      <w:pPr>
        <w:jc w:val="center"/>
        <w:rPr>
          <w:b/>
          <w:bCs/>
        </w:rPr>
      </w:pPr>
      <w:r w:rsidRPr="002F5D64">
        <w:rPr>
          <w:b/>
          <w:bCs/>
        </w:rPr>
        <w:t>Student no.:</w:t>
      </w:r>
      <w:r w:rsidR="00114BCF">
        <w:rPr>
          <w:b/>
          <w:bCs/>
        </w:rPr>
        <w:t>1905217</w:t>
      </w:r>
    </w:p>
    <w:p w14:paraId="007EA56B" w14:textId="2AB0B4E8" w:rsidR="002F5D64" w:rsidRPr="002F5D64" w:rsidRDefault="002F5D64" w:rsidP="002F5D64">
      <w:pPr>
        <w:jc w:val="center"/>
        <w:rPr>
          <w:b/>
          <w:bCs/>
        </w:rPr>
      </w:pPr>
      <w:r w:rsidRPr="002F5D64">
        <w:rPr>
          <w:b/>
          <w:bCs/>
        </w:rPr>
        <w:t>Module title: LCBB4005 The Global Business Environment</w:t>
      </w:r>
    </w:p>
    <w:p w14:paraId="7D9ADB21" w14:textId="331C69DA" w:rsidR="002F5D64" w:rsidRPr="002F5D64" w:rsidRDefault="002F5D64" w:rsidP="002F5D64">
      <w:pPr>
        <w:jc w:val="center"/>
        <w:rPr>
          <w:b/>
          <w:bCs/>
        </w:rPr>
      </w:pPr>
      <w:r w:rsidRPr="002F5D64">
        <w:rPr>
          <w:b/>
          <w:bCs/>
        </w:rPr>
        <w:t>Assignment title: New Business Opportunities and Product Life Cycle – Assessment 2</w:t>
      </w:r>
    </w:p>
    <w:p w14:paraId="301B5739" w14:textId="5064A19A" w:rsidR="002F5D64" w:rsidRPr="002F5D64" w:rsidRDefault="002F5D64" w:rsidP="002F5D64">
      <w:pPr>
        <w:jc w:val="center"/>
      </w:pPr>
      <w:r w:rsidRPr="002F5D64">
        <w:rPr>
          <w:b/>
          <w:bCs/>
        </w:rPr>
        <w:t>Lecturer: Ken</w:t>
      </w:r>
      <w:r w:rsidR="00114BCF">
        <w:rPr>
          <w:b/>
          <w:bCs/>
        </w:rPr>
        <w:t>n</w:t>
      </w:r>
      <w:r w:rsidRPr="002F5D64">
        <w:rPr>
          <w:b/>
          <w:bCs/>
        </w:rPr>
        <w:t>y Tang</w:t>
      </w:r>
    </w:p>
    <w:p w14:paraId="2F722FC5" w14:textId="4A9F6F1C" w:rsidR="002F5D64" w:rsidRPr="002F5D64" w:rsidRDefault="002F5D64" w:rsidP="002F5D64"/>
    <w:p w14:paraId="4BEE1724" w14:textId="77777777" w:rsidR="00672EE1" w:rsidRDefault="00672EE1">
      <w:pPr>
        <w:spacing w:line="259" w:lineRule="auto"/>
        <w:jc w:val="left"/>
      </w:pPr>
      <w:r>
        <w:br w:type="page"/>
      </w:r>
    </w:p>
    <w:bookmarkStart w:id="0" w:name="_Toc38755398" w:displacedByCustomXml="next"/>
    <w:sdt>
      <w:sdtPr>
        <w:rPr>
          <w:rFonts w:eastAsiaTheme="minorHAnsi" w:cstheme="minorBidi"/>
          <w:b w:val="0"/>
          <w:szCs w:val="22"/>
        </w:rPr>
        <w:id w:val="-1554302030"/>
        <w:docPartObj>
          <w:docPartGallery w:val="Table of Contents"/>
          <w:docPartUnique/>
        </w:docPartObj>
      </w:sdtPr>
      <w:sdtEndPr>
        <w:rPr>
          <w:bCs/>
          <w:noProof/>
        </w:rPr>
      </w:sdtEndPr>
      <w:sdtContent>
        <w:p w14:paraId="5E0EF767" w14:textId="77777777" w:rsidR="00254855" w:rsidRDefault="00254855">
          <w:pPr>
            <w:pStyle w:val="TOCHeading"/>
          </w:pPr>
          <w:r>
            <w:t>Contents</w:t>
          </w:r>
        </w:p>
        <w:p w14:paraId="3FC39996" w14:textId="4C930549" w:rsidR="00254855" w:rsidRDefault="00254855">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39228449" w:history="1">
            <w:r w:rsidRPr="004C7E8F">
              <w:rPr>
                <w:rStyle w:val="Hyperlink"/>
                <w:noProof/>
              </w:rPr>
              <w:t>Introduction</w:t>
            </w:r>
            <w:r>
              <w:rPr>
                <w:noProof/>
                <w:webHidden/>
              </w:rPr>
              <w:tab/>
            </w:r>
            <w:r>
              <w:rPr>
                <w:noProof/>
                <w:webHidden/>
              </w:rPr>
              <w:fldChar w:fldCharType="begin"/>
            </w:r>
            <w:r>
              <w:rPr>
                <w:noProof/>
                <w:webHidden/>
              </w:rPr>
              <w:instrText xml:space="preserve"> PAGEREF _Toc39228449 \h </w:instrText>
            </w:r>
            <w:r>
              <w:rPr>
                <w:noProof/>
                <w:webHidden/>
              </w:rPr>
            </w:r>
            <w:r>
              <w:rPr>
                <w:noProof/>
                <w:webHidden/>
              </w:rPr>
              <w:fldChar w:fldCharType="separate"/>
            </w:r>
            <w:r>
              <w:rPr>
                <w:noProof/>
                <w:webHidden/>
              </w:rPr>
              <w:t>3</w:t>
            </w:r>
            <w:r>
              <w:rPr>
                <w:noProof/>
                <w:webHidden/>
              </w:rPr>
              <w:fldChar w:fldCharType="end"/>
            </w:r>
          </w:hyperlink>
        </w:p>
        <w:p w14:paraId="4DE7F159" w14:textId="5C077993" w:rsidR="00254855" w:rsidRDefault="001D05E1">
          <w:pPr>
            <w:pStyle w:val="TOC1"/>
            <w:tabs>
              <w:tab w:val="right" w:leader="dot" w:pos="9016"/>
            </w:tabs>
            <w:rPr>
              <w:rFonts w:asciiTheme="minorHAnsi" w:eastAsiaTheme="minorEastAsia" w:hAnsiTheme="minorHAnsi"/>
              <w:noProof/>
              <w:sz w:val="22"/>
              <w:lang w:val="en-IN" w:eastAsia="en-IN"/>
            </w:rPr>
          </w:pPr>
          <w:hyperlink w:anchor="_Toc39228450" w:history="1">
            <w:r w:rsidR="00254855" w:rsidRPr="004C7E8F">
              <w:rPr>
                <w:rStyle w:val="Hyperlink"/>
                <w:noProof/>
              </w:rPr>
              <w:t>Discussion</w:t>
            </w:r>
            <w:r w:rsidR="00254855">
              <w:rPr>
                <w:noProof/>
                <w:webHidden/>
              </w:rPr>
              <w:tab/>
            </w:r>
            <w:r w:rsidR="00254855">
              <w:rPr>
                <w:noProof/>
                <w:webHidden/>
              </w:rPr>
              <w:fldChar w:fldCharType="begin"/>
            </w:r>
            <w:r w:rsidR="00254855">
              <w:rPr>
                <w:noProof/>
                <w:webHidden/>
              </w:rPr>
              <w:instrText xml:space="preserve"> PAGEREF _Toc39228450 \h </w:instrText>
            </w:r>
            <w:r w:rsidR="00254855">
              <w:rPr>
                <w:noProof/>
                <w:webHidden/>
              </w:rPr>
            </w:r>
            <w:r w:rsidR="00254855">
              <w:rPr>
                <w:noProof/>
                <w:webHidden/>
              </w:rPr>
              <w:fldChar w:fldCharType="separate"/>
            </w:r>
            <w:r w:rsidR="00254855">
              <w:rPr>
                <w:noProof/>
                <w:webHidden/>
              </w:rPr>
              <w:t>3</w:t>
            </w:r>
            <w:r w:rsidR="00254855">
              <w:rPr>
                <w:noProof/>
                <w:webHidden/>
              </w:rPr>
              <w:fldChar w:fldCharType="end"/>
            </w:r>
          </w:hyperlink>
        </w:p>
        <w:p w14:paraId="5622C5B6" w14:textId="7BFC93BE" w:rsidR="00254855" w:rsidRDefault="001D05E1">
          <w:pPr>
            <w:pStyle w:val="TOC2"/>
            <w:tabs>
              <w:tab w:val="right" w:leader="dot" w:pos="9016"/>
            </w:tabs>
            <w:rPr>
              <w:noProof/>
            </w:rPr>
          </w:pPr>
          <w:hyperlink w:anchor="_Toc39228451" w:history="1">
            <w:r w:rsidR="00254855" w:rsidRPr="004C7E8F">
              <w:rPr>
                <w:rStyle w:val="Hyperlink"/>
                <w:noProof/>
              </w:rPr>
              <w:t>Application of product life cycle theory</w:t>
            </w:r>
            <w:r w:rsidR="00254855">
              <w:rPr>
                <w:noProof/>
                <w:webHidden/>
              </w:rPr>
              <w:tab/>
            </w:r>
            <w:r w:rsidR="00254855">
              <w:rPr>
                <w:noProof/>
                <w:webHidden/>
              </w:rPr>
              <w:fldChar w:fldCharType="begin"/>
            </w:r>
            <w:r w:rsidR="00254855">
              <w:rPr>
                <w:noProof/>
                <w:webHidden/>
              </w:rPr>
              <w:instrText xml:space="preserve"> PAGEREF _Toc39228451 \h </w:instrText>
            </w:r>
            <w:r w:rsidR="00254855">
              <w:rPr>
                <w:noProof/>
                <w:webHidden/>
              </w:rPr>
            </w:r>
            <w:r w:rsidR="00254855">
              <w:rPr>
                <w:noProof/>
                <w:webHidden/>
              </w:rPr>
              <w:fldChar w:fldCharType="separate"/>
            </w:r>
            <w:r w:rsidR="00254855">
              <w:rPr>
                <w:noProof/>
                <w:webHidden/>
              </w:rPr>
              <w:t>3</w:t>
            </w:r>
            <w:r w:rsidR="00254855">
              <w:rPr>
                <w:noProof/>
                <w:webHidden/>
              </w:rPr>
              <w:fldChar w:fldCharType="end"/>
            </w:r>
          </w:hyperlink>
        </w:p>
        <w:p w14:paraId="0F07C3EB" w14:textId="786208BC" w:rsidR="00254855" w:rsidRDefault="001D05E1">
          <w:pPr>
            <w:pStyle w:val="TOC2"/>
            <w:tabs>
              <w:tab w:val="right" w:leader="dot" w:pos="9016"/>
            </w:tabs>
            <w:rPr>
              <w:noProof/>
            </w:rPr>
          </w:pPr>
          <w:hyperlink w:anchor="_Toc39228452" w:history="1">
            <w:r w:rsidR="00254855" w:rsidRPr="004C7E8F">
              <w:rPr>
                <w:rStyle w:val="Hyperlink"/>
                <w:noProof/>
              </w:rPr>
              <w:t>Application of Porter’s value chain analysis</w:t>
            </w:r>
            <w:r w:rsidR="00254855">
              <w:rPr>
                <w:noProof/>
                <w:webHidden/>
              </w:rPr>
              <w:tab/>
            </w:r>
            <w:r w:rsidR="00254855">
              <w:rPr>
                <w:noProof/>
                <w:webHidden/>
              </w:rPr>
              <w:fldChar w:fldCharType="begin"/>
            </w:r>
            <w:r w:rsidR="00254855">
              <w:rPr>
                <w:noProof/>
                <w:webHidden/>
              </w:rPr>
              <w:instrText xml:space="preserve"> PAGEREF _Toc39228452 \h </w:instrText>
            </w:r>
            <w:r w:rsidR="00254855">
              <w:rPr>
                <w:noProof/>
                <w:webHidden/>
              </w:rPr>
            </w:r>
            <w:r w:rsidR="00254855">
              <w:rPr>
                <w:noProof/>
                <w:webHidden/>
              </w:rPr>
              <w:fldChar w:fldCharType="separate"/>
            </w:r>
            <w:r w:rsidR="00254855">
              <w:rPr>
                <w:noProof/>
                <w:webHidden/>
              </w:rPr>
              <w:t>5</w:t>
            </w:r>
            <w:r w:rsidR="00254855">
              <w:rPr>
                <w:noProof/>
                <w:webHidden/>
              </w:rPr>
              <w:fldChar w:fldCharType="end"/>
            </w:r>
          </w:hyperlink>
        </w:p>
        <w:p w14:paraId="37F3B7F5" w14:textId="0B1DE4C0" w:rsidR="00254855" w:rsidRDefault="001D05E1">
          <w:pPr>
            <w:pStyle w:val="TOC2"/>
            <w:tabs>
              <w:tab w:val="right" w:leader="dot" w:pos="9016"/>
            </w:tabs>
            <w:rPr>
              <w:noProof/>
            </w:rPr>
          </w:pPr>
          <w:hyperlink w:anchor="_Toc39228453" w:history="1">
            <w:r w:rsidR="00254855" w:rsidRPr="004C7E8F">
              <w:rPr>
                <w:rStyle w:val="Hyperlink"/>
                <w:noProof/>
              </w:rPr>
              <w:t>New and emerging business opportunities for entrepreneurs, business executives</w:t>
            </w:r>
            <w:r w:rsidR="00254855">
              <w:rPr>
                <w:noProof/>
                <w:webHidden/>
              </w:rPr>
              <w:tab/>
            </w:r>
            <w:r w:rsidR="00254855">
              <w:rPr>
                <w:noProof/>
                <w:webHidden/>
              </w:rPr>
              <w:fldChar w:fldCharType="begin"/>
            </w:r>
            <w:r w:rsidR="00254855">
              <w:rPr>
                <w:noProof/>
                <w:webHidden/>
              </w:rPr>
              <w:instrText xml:space="preserve"> PAGEREF _Toc39228453 \h </w:instrText>
            </w:r>
            <w:r w:rsidR="00254855">
              <w:rPr>
                <w:noProof/>
                <w:webHidden/>
              </w:rPr>
            </w:r>
            <w:r w:rsidR="00254855">
              <w:rPr>
                <w:noProof/>
                <w:webHidden/>
              </w:rPr>
              <w:fldChar w:fldCharType="separate"/>
            </w:r>
            <w:r w:rsidR="00254855">
              <w:rPr>
                <w:noProof/>
                <w:webHidden/>
              </w:rPr>
              <w:t>6</w:t>
            </w:r>
            <w:r w:rsidR="00254855">
              <w:rPr>
                <w:noProof/>
                <w:webHidden/>
              </w:rPr>
              <w:fldChar w:fldCharType="end"/>
            </w:r>
          </w:hyperlink>
        </w:p>
        <w:p w14:paraId="1BE50494" w14:textId="2848B889" w:rsidR="00254855" w:rsidRDefault="001D05E1">
          <w:pPr>
            <w:pStyle w:val="TOC2"/>
            <w:tabs>
              <w:tab w:val="right" w:leader="dot" w:pos="9016"/>
            </w:tabs>
            <w:rPr>
              <w:noProof/>
            </w:rPr>
          </w:pPr>
          <w:hyperlink w:anchor="_Toc39228454" w:history="1">
            <w:r w:rsidR="00254855" w:rsidRPr="004C7E8F">
              <w:rPr>
                <w:rStyle w:val="Hyperlink"/>
                <w:noProof/>
              </w:rPr>
              <w:t>Profitability of other businesses linked to the global automotive industry</w:t>
            </w:r>
            <w:r w:rsidR="00254855">
              <w:rPr>
                <w:noProof/>
                <w:webHidden/>
              </w:rPr>
              <w:tab/>
            </w:r>
            <w:r w:rsidR="00254855">
              <w:rPr>
                <w:noProof/>
                <w:webHidden/>
              </w:rPr>
              <w:fldChar w:fldCharType="begin"/>
            </w:r>
            <w:r w:rsidR="00254855">
              <w:rPr>
                <w:noProof/>
                <w:webHidden/>
              </w:rPr>
              <w:instrText xml:space="preserve"> PAGEREF _Toc39228454 \h </w:instrText>
            </w:r>
            <w:r w:rsidR="00254855">
              <w:rPr>
                <w:noProof/>
                <w:webHidden/>
              </w:rPr>
            </w:r>
            <w:r w:rsidR="00254855">
              <w:rPr>
                <w:noProof/>
                <w:webHidden/>
              </w:rPr>
              <w:fldChar w:fldCharType="separate"/>
            </w:r>
            <w:r w:rsidR="00254855">
              <w:rPr>
                <w:noProof/>
                <w:webHidden/>
              </w:rPr>
              <w:t>7</w:t>
            </w:r>
            <w:r w:rsidR="00254855">
              <w:rPr>
                <w:noProof/>
                <w:webHidden/>
              </w:rPr>
              <w:fldChar w:fldCharType="end"/>
            </w:r>
          </w:hyperlink>
        </w:p>
        <w:p w14:paraId="3BED5BB0" w14:textId="72369307" w:rsidR="00254855" w:rsidRDefault="001D05E1">
          <w:pPr>
            <w:pStyle w:val="TOC1"/>
            <w:tabs>
              <w:tab w:val="right" w:leader="dot" w:pos="9016"/>
            </w:tabs>
            <w:rPr>
              <w:rFonts w:asciiTheme="minorHAnsi" w:eastAsiaTheme="minorEastAsia" w:hAnsiTheme="minorHAnsi"/>
              <w:noProof/>
              <w:sz w:val="22"/>
              <w:lang w:val="en-IN" w:eastAsia="en-IN"/>
            </w:rPr>
          </w:pPr>
          <w:hyperlink w:anchor="_Toc39228455" w:history="1">
            <w:r w:rsidR="00254855" w:rsidRPr="004C7E8F">
              <w:rPr>
                <w:rStyle w:val="Hyperlink"/>
                <w:noProof/>
              </w:rPr>
              <w:t>Conclusion</w:t>
            </w:r>
            <w:r w:rsidR="00254855">
              <w:rPr>
                <w:noProof/>
                <w:webHidden/>
              </w:rPr>
              <w:tab/>
            </w:r>
            <w:r w:rsidR="00254855">
              <w:rPr>
                <w:noProof/>
                <w:webHidden/>
              </w:rPr>
              <w:fldChar w:fldCharType="begin"/>
            </w:r>
            <w:r w:rsidR="00254855">
              <w:rPr>
                <w:noProof/>
                <w:webHidden/>
              </w:rPr>
              <w:instrText xml:space="preserve"> PAGEREF _Toc39228455 \h </w:instrText>
            </w:r>
            <w:r w:rsidR="00254855">
              <w:rPr>
                <w:noProof/>
                <w:webHidden/>
              </w:rPr>
            </w:r>
            <w:r w:rsidR="00254855">
              <w:rPr>
                <w:noProof/>
                <w:webHidden/>
              </w:rPr>
              <w:fldChar w:fldCharType="separate"/>
            </w:r>
            <w:r w:rsidR="00254855">
              <w:rPr>
                <w:noProof/>
                <w:webHidden/>
              </w:rPr>
              <w:t>7</w:t>
            </w:r>
            <w:r w:rsidR="00254855">
              <w:rPr>
                <w:noProof/>
                <w:webHidden/>
              </w:rPr>
              <w:fldChar w:fldCharType="end"/>
            </w:r>
          </w:hyperlink>
        </w:p>
        <w:p w14:paraId="1BE33213" w14:textId="4121B32B" w:rsidR="00254855" w:rsidRDefault="001D05E1">
          <w:pPr>
            <w:pStyle w:val="TOC1"/>
            <w:tabs>
              <w:tab w:val="right" w:leader="dot" w:pos="9016"/>
            </w:tabs>
            <w:rPr>
              <w:rFonts w:asciiTheme="minorHAnsi" w:eastAsiaTheme="minorEastAsia" w:hAnsiTheme="minorHAnsi"/>
              <w:noProof/>
              <w:sz w:val="22"/>
              <w:lang w:val="en-IN" w:eastAsia="en-IN"/>
            </w:rPr>
          </w:pPr>
          <w:hyperlink w:anchor="_Toc39228456" w:history="1">
            <w:r w:rsidR="00254855" w:rsidRPr="004C7E8F">
              <w:rPr>
                <w:rStyle w:val="Hyperlink"/>
                <w:noProof/>
              </w:rPr>
              <w:t>Reference List</w:t>
            </w:r>
            <w:r w:rsidR="00254855">
              <w:rPr>
                <w:noProof/>
                <w:webHidden/>
              </w:rPr>
              <w:tab/>
            </w:r>
            <w:r w:rsidR="00254855">
              <w:rPr>
                <w:noProof/>
                <w:webHidden/>
              </w:rPr>
              <w:fldChar w:fldCharType="begin"/>
            </w:r>
            <w:r w:rsidR="00254855">
              <w:rPr>
                <w:noProof/>
                <w:webHidden/>
              </w:rPr>
              <w:instrText xml:space="preserve"> PAGEREF _Toc39228456 \h </w:instrText>
            </w:r>
            <w:r w:rsidR="00254855">
              <w:rPr>
                <w:noProof/>
                <w:webHidden/>
              </w:rPr>
            </w:r>
            <w:r w:rsidR="00254855">
              <w:rPr>
                <w:noProof/>
                <w:webHidden/>
              </w:rPr>
              <w:fldChar w:fldCharType="separate"/>
            </w:r>
            <w:r w:rsidR="00254855">
              <w:rPr>
                <w:noProof/>
                <w:webHidden/>
              </w:rPr>
              <w:t>8</w:t>
            </w:r>
            <w:r w:rsidR="00254855">
              <w:rPr>
                <w:noProof/>
                <w:webHidden/>
              </w:rPr>
              <w:fldChar w:fldCharType="end"/>
            </w:r>
          </w:hyperlink>
        </w:p>
        <w:p w14:paraId="7F36194F" w14:textId="7604D326" w:rsidR="00254855" w:rsidRDefault="00254855">
          <w:r>
            <w:rPr>
              <w:b/>
              <w:bCs/>
              <w:noProof/>
            </w:rPr>
            <w:fldChar w:fldCharType="end"/>
          </w:r>
        </w:p>
      </w:sdtContent>
    </w:sdt>
    <w:p w14:paraId="3D4065A8" w14:textId="0E5E3B80" w:rsidR="00254855" w:rsidRDefault="00254855">
      <w:pPr>
        <w:spacing w:line="259" w:lineRule="auto"/>
        <w:jc w:val="left"/>
        <w:rPr>
          <w:rFonts w:eastAsiaTheme="majorEastAsia" w:cstheme="majorBidi"/>
          <w:b/>
          <w:szCs w:val="32"/>
        </w:rPr>
      </w:pPr>
      <w:r>
        <w:br w:type="page"/>
      </w:r>
    </w:p>
    <w:p w14:paraId="7745EEB5" w14:textId="132994DC" w:rsidR="002F5D64" w:rsidRPr="00114BCF" w:rsidRDefault="002F5D64" w:rsidP="002F5D64">
      <w:pPr>
        <w:pStyle w:val="Heading1"/>
        <w:rPr>
          <w:rFonts w:ascii="Arial" w:hAnsi="Arial" w:cs="Arial"/>
        </w:rPr>
      </w:pPr>
      <w:bookmarkStart w:id="1" w:name="_Toc39228449"/>
      <w:r w:rsidRPr="00114BCF">
        <w:rPr>
          <w:rFonts w:ascii="Arial" w:hAnsi="Arial" w:cs="Arial"/>
        </w:rPr>
        <w:t>Introduction</w:t>
      </w:r>
      <w:bookmarkEnd w:id="0"/>
      <w:bookmarkEnd w:id="1"/>
    </w:p>
    <w:p w14:paraId="5D9BA5FD" w14:textId="3415E260" w:rsidR="002F5D64" w:rsidRPr="00114BCF" w:rsidRDefault="00316719" w:rsidP="002F5D64">
      <w:pPr>
        <w:rPr>
          <w:rFonts w:ascii="Arial" w:hAnsi="Arial" w:cs="Arial"/>
        </w:rPr>
      </w:pPr>
      <w:r w:rsidRPr="00114BCF">
        <w:rPr>
          <w:rFonts w:ascii="Arial" w:hAnsi="Arial" w:cs="Arial"/>
        </w:rPr>
        <w:t xml:space="preserve">Traditional cars have internal combustion engines (ICE) that run on fossil fuels such as diesel and petrol, which has led to the overuse of these natural resources. The popularity of cars has </w:t>
      </w:r>
      <w:r w:rsidR="002C16F0" w:rsidRPr="00114BCF">
        <w:rPr>
          <w:rFonts w:ascii="Arial" w:hAnsi="Arial" w:cs="Arial"/>
        </w:rPr>
        <w:t>not only pressurised the oil industry but has also increased its prices along with major impacts on the environment, primarily due to air pollution. Thus, ICE cars have spearheaded the global climate change phenomena and a change is therefore required to deal with this issue. The most feasible option in this case is switching over to electric vehicles, which have battery packs that can be recharged repeatedly by using renewable energy sources. The growth of this electric vehicle sector has also been supported by numerous governments all over the world</w:t>
      </w:r>
      <w:r w:rsidR="00D91437" w:rsidRPr="00114BCF">
        <w:rPr>
          <w:rFonts w:ascii="Arial" w:hAnsi="Arial" w:cs="Arial"/>
        </w:rPr>
        <w:t xml:space="preserve"> as they have provided massive incentives for the businesses as well as the prospective customers</w:t>
      </w:r>
      <w:r w:rsidR="000E6931" w:rsidRPr="00114BCF">
        <w:rPr>
          <w:rFonts w:ascii="Arial" w:hAnsi="Arial" w:cs="Arial"/>
        </w:rPr>
        <w:t xml:space="preserve"> (Jenn, Azevedo and Ferreira, 2013; </w:t>
      </w:r>
      <w:proofErr w:type="spellStart"/>
      <w:r w:rsidR="000E6931" w:rsidRPr="00114BCF">
        <w:rPr>
          <w:rFonts w:ascii="Arial" w:hAnsi="Arial" w:cs="Arial"/>
        </w:rPr>
        <w:t>Mersky</w:t>
      </w:r>
      <w:proofErr w:type="spellEnd"/>
      <w:r w:rsidR="000E6931" w:rsidRPr="00114BCF">
        <w:rPr>
          <w:rFonts w:ascii="Arial" w:hAnsi="Arial" w:cs="Arial"/>
        </w:rPr>
        <w:t>, et al., 2016)</w:t>
      </w:r>
      <w:r w:rsidR="00D91437" w:rsidRPr="00114BCF">
        <w:rPr>
          <w:rFonts w:ascii="Arial" w:hAnsi="Arial" w:cs="Arial"/>
        </w:rPr>
        <w:t xml:space="preserve">. Thus, this requires organisations like Volvo to </w:t>
      </w:r>
      <w:r w:rsidR="00DC127B" w:rsidRPr="00114BCF">
        <w:rPr>
          <w:rFonts w:ascii="Arial" w:hAnsi="Arial" w:cs="Arial"/>
        </w:rPr>
        <w:t>redesign their manufacturing processes and units to suit this new market demand</w:t>
      </w:r>
      <w:r w:rsidR="007C3387" w:rsidRPr="00114BCF">
        <w:rPr>
          <w:rFonts w:ascii="Arial" w:hAnsi="Arial" w:cs="Arial"/>
        </w:rPr>
        <w:t xml:space="preserve"> (Volvo, 2020)</w:t>
      </w:r>
      <w:r w:rsidR="00DC127B" w:rsidRPr="00114BCF">
        <w:rPr>
          <w:rFonts w:ascii="Arial" w:hAnsi="Arial" w:cs="Arial"/>
        </w:rPr>
        <w:t xml:space="preserve">. This report is an attempt to understand the current scenario pertaining to the global automotive industry, while focusing on the opportunities that business executives and entrepreneurs </w:t>
      </w:r>
      <w:r w:rsidR="007455A4" w:rsidRPr="00114BCF">
        <w:rPr>
          <w:rFonts w:ascii="Arial" w:hAnsi="Arial" w:cs="Arial"/>
        </w:rPr>
        <w:t>can have within the electric vehicle sector. Frameworks such as the value chain analysis and product life cycle theory shall also be utilised to understand the long-term profitability of the various businesses linked to this industry.</w:t>
      </w:r>
    </w:p>
    <w:p w14:paraId="469A5703" w14:textId="7A3F43E1" w:rsidR="0031103F" w:rsidRPr="00114BCF" w:rsidRDefault="0031103F" w:rsidP="0031103F">
      <w:pPr>
        <w:pStyle w:val="Heading1"/>
        <w:rPr>
          <w:rFonts w:ascii="Arial" w:hAnsi="Arial" w:cs="Arial"/>
        </w:rPr>
      </w:pPr>
      <w:bookmarkStart w:id="2" w:name="_Toc39228450"/>
      <w:r w:rsidRPr="00114BCF">
        <w:rPr>
          <w:rFonts w:ascii="Arial" w:hAnsi="Arial" w:cs="Arial"/>
        </w:rPr>
        <w:t>Discussion</w:t>
      </w:r>
      <w:bookmarkEnd w:id="2"/>
    </w:p>
    <w:p w14:paraId="778E5123" w14:textId="5A64FBA8" w:rsidR="002F5D64" w:rsidRPr="00114BCF" w:rsidRDefault="002F5D64" w:rsidP="00254855">
      <w:pPr>
        <w:pStyle w:val="Heading2"/>
        <w:rPr>
          <w:rFonts w:ascii="Arial" w:hAnsi="Arial" w:cs="Arial"/>
        </w:rPr>
      </w:pPr>
      <w:bookmarkStart w:id="3" w:name="_Toc38755399"/>
      <w:bookmarkStart w:id="4" w:name="_Toc39228451"/>
      <w:r w:rsidRPr="00114BCF">
        <w:rPr>
          <w:rFonts w:ascii="Arial" w:hAnsi="Arial" w:cs="Arial"/>
        </w:rPr>
        <w:t>Application of product life cycle theory</w:t>
      </w:r>
      <w:bookmarkEnd w:id="3"/>
      <w:bookmarkEnd w:id="4"/>
    </w:p>
    <w:p w14:paraId="21080673" w14:textId="3953DCB9" w:rsidR="00A438A7" w:rsidRPr="00114BCF" w:rsidRDefault="00E603F2" w:rsidP="002F5D64">
      <w:pPr>
        <w:rPr>
          <w:rFonts w:ascii="Arial" w:hAnsi="Arial" w:cs="Arial"/>
        </w:rPr>
      </w:pPr>
      <w:r w:rsidRPr="00114BCF">
        <w:rPr>
          <w:rFonts w:ascii="Arial" w:hAnsi="Arial" w:cs="Arial"/>
        </w:rPr>
        <w:t>The product life cycle theory is an analytical framework that can help understand those important aspects of an organisation that can determine the past, present as well as the future patterns with respect to the industry it functions in</w:t>
      </w:r>
      <w:r w:rsidR="003E2904" w:rsidRPr="00114BCF">
        <w:rPr>
          <w:rFonts w:ascii="Arial" w:hAnsi="Arial" w:cs="Arial"/>
        </w:rPr>
        <w:t xml:space="preserve"> (</w:t>
      </w:r>
      <w:proofErr w:type="spellStart"/>
      <w:r w:rsidR="003E2904" w:rsidRPr="00114BCF">
        <w:rPr>
          <w:rFonts w:ascii="Arial" w:hAnsi="Arial" w:cs="Arial"/>
        </w:rPr>
        <w:t>Restuccia</w:t>
      </w:r>
      <w:proofErr w:type="spellEnd"/>
      <w:r w:rsidR="003E2904" w:rsidRPr="00114BCF">
        <w:rPr>
          <w:rFonts w:ascii="Arial" w:hAnsi="Arial" w:cs="Arial"/>
        </w:rPr>
        <w:t>, et al., 2016)</w:t>
      </w:r>
      <w:r w:rsidRPr="00114BCF">
        <w:rPr>
          <w:rFonts w:ascii="Arial" w:hAnsi="Arial" w:cs="Arial"/>
        </w:rPr>
        <w:t xml:space="preserve">. </w:t>
      </w:r>
      <w:r w:rsidR="00A65CF8" w:rsidRPr="00114BCF">
        <w:rPr>
          <w:rFonts w:ascii="Arial" w:hAnsi="Arial" w:cs="Arial"/>
        </w:rPr>
        <w:t>A majority of the organisations that utilise a high amount of capital but a significantly lesser amount of labour can be analysed through this framework. This makes this theory highly suitable for the analysis of the automotive manufacturing sector, and also an organisation like Volvo.</w:t>
      </w:r>
      <w:r w:rsidR="00A438A7" w:rsidRPr="00114BCF">
        <w:rPr>
          <w:rFonts w:ascii="Arial" w:hAnsi="Arial" w:cs="Arial"/>
        </w:rPr>
        <w:t xml:space="preserve"> The market players within this industry cater to high-end customers, usually those with a high level of disposable income.</w:t>
      </w:r>
      <w:r w:rsidR="002512A7" w:rsidRPr="00114BCF">
        <w:rPr>
          <w:rFonts w:ascii="Arial" w:hAnsi="Arial" w:cs="Arial"/>
        </w:rPr>
        <w:t xml:space="preserve"> The PLC theory can be explained through six distinct stages, which have been further elaborated as follows.</w:t>
      </w:r>
    </w:p>
    <w:p w14:paraId="5EB5BBC5" w14:textId="365BBF83" w:rsidR="002512A7" w:rsidRPr="00114BCF" w:rsidRDefault="002512A7" w:rsidP="002F5D64">
      <w:pPr>
        <w:rPr>
          <w:rFonts w:ascii="Arial" w:hAnsi="Arial" w:cs="Arial"/>
        </w:rPr>
      </w:pPr>
      <w:r w:rsidRPr="00114BCF">
        <w:rPr>
          <w:rFonts w:ascii="Arial" w:hAnsi="Arial" w:cs="Arial"/>
          <w:b/>
          <w:bCs/>
        </w:rPr>
        <w:t>Introduction:</w:t>
      </w:r>
      <w:r w:rsidRPr="00114BCF">
        <w:rPr>
          <w:rFonts w:ascii="Arial" w:hAnsi="Arial" w:cs="Arial"/>
        </w:rPr>
        <w:t xml:space="preserve"> </w:t>
      </w:r>
      <w:r w:rsidR="008552A4" w:rsidRPr="00114BCF">
        <w:rPr>
          <w:rFonts w:ascii="Arial" w:hAnsi="Arial" w:cs="Arial"/>
        </w:rPr>
        <w:t xml:space="preserve">This phase is where the </w:t>
      </w:r>
      <w:r w:rsidR="008B348F" w:rsidRPr="00114BCF">
        <w:rPr>
          <w:rFonts w:ascii="Arial" w:hAnsi="Arial" w:cs="Arial"/>
        </w:rPr>
        <w:t>organisation</w:t>
      </w:r>
      <w:r w:rsidR="008552A4" w:rsidRPr="00114BCF">
        <w:rPr>
          <w:rFonts w:ascii="Arial" w:hAnsi="Arial" w:cs="Arial"/>
        </w:rPr>
        <w:t xml:space="preserve"> experiences little demand, mostly because the products have been just launched in the market. The manufacturers usually are more engrossed with promotional activities.</w:t>
      </w:r>
    </w:p>
    <w:p w14:paraId="1BAD448C" w14:textId="5E4EC032" w:rsidR="002512A7" w:rsidRPr="00114BCF" w:rsidRDefault="002512A7" w:rsidP="002F5D64">
      <w:pPr>
        <w:rPr>
          <w:rFonts w:ascii="Arial" w:hAnsi="Arial" w:cs="Arial"/>
        </w:rPr>
      </w:pPr>
      <w:r w:rsidRPr="00114BCF">
        <w:rPr>
          <w:rFonts w:ascii="Arial" w:hAnsi="Arial" w:cs="Arial"/>
          <w:b/>
          <w:bCs/>
        </w:rPr>
        <w:t>Growth:</w:t>
      </w:r>
      <w:r w:rsidRPr="00114BCF">
        <w:rPr>
          <w:rFonts w:ascii="Arial" w:hAnsi="Arial" w:cs="Arial"/>
        </w:rPr>
        <w:t xml:space="preserve"> </w:t>
      </w:r>
      <w:r w:rsidR="008B348F" w:rsidRPr="00114BCF">
        <w:rPr>
          <w:rFonts w:ascii="Arial" w:hAnsi="Arial" w:cs="Arial"/>
        </w:rPr>
        <w:t xml:space="preserve">This phase is when the organisation experiences demand that is steadily increasing in nature, which leads to the accumulation of profits. </w:t>
      </w:r>
      <w:r w:rsidR="0002523E" w:rsidRPr="00114BCF">
        <w:rPr>
          <w:rFonts w:ascii="Arial" w:hAnsi="Arial" w:cs="Arial"/>
        </w:rPr>
        <w:t>The spending on advertisements also increases since the manufacturers want to cover as many customers as possible.</w:t>
      </w:r>
    </w:p>
    <w:p w14:paraId="402407AF" w14:textId="50EDF6F1" w:rsidR="002512A7" w:rsidRPr="00114BCF" w:rsidRDefault="002512A7" w:rsidP="002F5D64">
      <w:pPr>
        <w:rPr>
          <w:rFonts w:ascii="Arial" w:hAnsi="Arial" w:cs="Arial"/>
        </w:rPr>
      </w:pPr>
      <w:r w:rsidRPr="00114BCF">
        <w:rPr>
          <w:rFonts w:ascii="Arial" w:hAnsi="Arial" w:cs="Arial"/>
          <w:b/>
          <w:bCs/>
        </w:rPr>
        <w:t>Maturity:</w:t>
      </w:r>
      <w:r w:rsidRPr="00114BCF">
        <w:rPr>
          <w:rFonts w:ascii="Arial" w:hAnsi="Arial" w:cs="Arial"/>
        </w:rPr>
        <w:t xml:space="preserve"> </w:t>
      </w:r>
      <w:r w:rsidR="00096C2E" w:rsidRPr="00114BCF">
        <w:rPr>
          <w:rFonts w:ascii="Arial" w:hAnsi="Arial" w:cs="Arial"/>
        </w:rPr>
        <w:t>This phase is when the market heads towards a saturation point, since a majority of the target customers possess the product or have acquired a service. This requires the manufacturers to further diversify their product to ensure that they do not lose out on the market share.</w:t>
      </w:r>
    </w:p>
    <w:p w14:paraId="794D6047" w14:textId="7EC3B584" w:rsidR="002512A7" w:rsidRPr="00114BCF" w:rsidRDefault="002512A7" w:rsidP="002F5D64">
      <w:pPr>
        <w:rPr>
          <w:rFonts w:ascii="Arial" w:hAnsi="Arial" w:cs="Arial"/>
        </w:rPr>
      </w:pPr>
      <w:r w:rsidRPr="00114BCF">
        <w:rPr>
          <w:rFonts w:ascii="Arial" w:hAnsi="Arial" w:cs="Arial"/>
          <w:b/>
          <w:bCs/>
        </w:rPr>
        <w:t>Saturation:</w:t>
      </w:r>
      <w:r w:rsidRPr="00114BCF">
        <w:rPr>
          <w:rFonts w:ascii="Arial" w:hAnsi="Arial" w:cs="Arial"/>
        </w:rPr>
        <w:t xml:space="preserve"> </w:t>
      </w:r>
      <w:r w:rsidR="00D0407A" w:rsidRPr="00114BCF">
        <w:rPr>
          <w:rFonts w:ascii="Arial" w:hAnsi="Arial" w:cs="Arial"/>
        </w:rPr>
        <w:t>This phase is where the organisation begins to slowly lose the market share to new entrants, mostly because of the lack of additional diversification that can help attract new consumers.</w:t>
      </w:r>
    </w:p>
    <w:p w14:paraId="44C35FF6" w14:textId="620946F7" w:rsidR="002512A7" w:rsidRPr="00114BCF" w:rsidRDefault="002512A7" w:rsidP="002F5D64">
      <w:pPr>
        <w:rPr>
          <w:rFonts w:ascii="Arial" w:hAnsi="Arial" w:cs="Arial"/>
        </w:rPr>
      </w:pPr>
      <w:r w:rsidRPr="00114BCF">
        <w:rPr>
          <w:rFonts w:ascii="Arial" w:hAnsi="Arial" w:cs="Arial"/>
          <w:b/>
          <w:bCs/>
        </w:rPr>
        <w:t>Decline:</w:t>
      </w:r>
      <w:r w:rsidRPr="00114BCF">
        <w:rPr>
          <w:rFonts w:ascii="Arial" w:hAnsi="Arial" w:cs="Arial"/>
        </w:rPr>
        <w:t xml:space="preserve"> </w:t>
      </w:r>
      <w:r w:rsidR="002E49C8" w:rsidRPr="00114BCF">
        <w:rPr>
          <w:rFonts w:ascii="Arial" w:hAnsi="Arial" w:cs="Arial"/>
        </w:rPr>
        <w:t>This phase occurs when the revenue generation begins to decrease, since the target market has already tried their product or service</w:t>
      </w:r>
      <w:r w:rsidR="00037BD8" w:rsidRPr="00114BCF">
        <w:rPr>
          <w:rFonts w:ascii="Arial" w:hAnsi="Arial" w:cs="Arial"/>
        </w:rPr>
        <w:t xml:space="preserve"> (</w:t>
      </w:r>
      <w:proofErr w:type="spellStart"/>
      <w:r w:rsidR="00037BD8" w:rsidRPr="00114BCF">
        <w:rPr>
          <w:rFonts w:ascii="Arial" w:hAnsi="Arial" w:cs="Arial"/>
        </w:rPr>
        <w:t>Hachuła</w:t>
      </w:r>
      <w:proofErr w:type="spellEnd"/>
      <w:r w:rsidR="00037BD8" w:rsidRPr="00114BCF">
        <w:rPr>
          <w:rFonts w:ascii="Arial" w:hAnsi="Arial" w:cs="Arial"/>
        </w:rPr>
        <w:t xml:space="preserve"> and </w:t>
      </w:r>
      <w:proofErr w:type="spellStart"/>
      <w:r w:rsidR="00037BD8" w:rsidRPr="00114BCF">
        <w:rPr>
          <w:rFonts w:ascii="Arial" w:hAnsi="Arial" w:cs="Arial"/>
        </w:rPr>
        <w:t>Schmeidel</w:t>
      </w:r>
      <w:proofErr w:type="spellEnd"/>
      <w:r w:rsidR="00037BD8" w:rsidRPr="00114BCF">
        <w:rPr>
          <w:rFonts w:ascii="Arial" w:hAnsi="Arial" w:cs="Arial"/>
        </w:rPr>
        <w:t>, 2016)</w:t>
      </w:r>
      <w:r w:rsidR="002E49C8" w:rsidRPr="00114BCF">
        <w:rPr>
          <w:rFonts w:ascii="Arial" w:hAnsi="Arial" w:cs="Arial"/>
        </w:rPr>
        <w:t>.</w:t>
      </w:r>
    </w:p>
    <w:p w14:paraId="2D5B4D1B" w14:textId="29792DFB" w:rsidR="002512A7" w:rsidRPr="00114BCF" w:rsidRDefault="002512A7" w:rsidP="002F5D64">
      <w:pPr>
        <w:rPr>
          <w:rFonts w:ascii="Arial" w:hAnsi="Arial" w:cs="Arial"/>
        </w:rPr>
      </w:pPr>
      <w:r w:rsidRPr="00114BCF">
        <w:rPr>
          <w:rFonts w:ascii="Arial" w:hAnsi="Arial" w:cs="Arial"/>
          <w:b/>
          <w:bCs/>
        </w:rPr>
        <w:t>Abandonment:</w:t>
      </w:r>
      <w:r w:rsidRPr="00114BCF">
        <w:rPr>
          <w:rFonts w:ascii="Arial" w:hAnsi="Arial" w:cs="Arial"/>
        </w:rPr>
        <w:t xml:space="preserve"> </w:t>
      </w:r>
      <w:r w:rsidR="002E49C8" w:rsidRPr="00114BCF">
        <w:rPr>
          <w:rFonts w:ascii="Arial" w:hAnsi="Arial" w:cs="Arial"/>
        </w:rPr>
        <w:t>This is the final stage of the life cycle of an organisation in an industry, where the manufacturer has to halt the production of the existing product, since they no longer have any more prospective buyers.</w:t>
      </w:r>
    </w:p>
    <w:p w14:paraId="28E5C59C" w14:textId="1F24F355" w:rsidR="004B5308" w:rsidRPr="00114BCF" w:rsidRDefault="004B5308" w:rsidP="002F5D64">
      <w:pPr>
        <w:rPr>
          <w:rFonts w:ascii="Arial" w:hAnsi="Arial" w:cs="Arial"/>
        </w:rPr>
      </w:pPr>
      <w:r w:rsidRPr="00114BCF">
        <w:rPr>
          <w:rFonts w:ascii="Arial" w:hAnsi="Arial" w:cs="Arial"/>
        </w:rPr>
        <w:t xml:space="preserve">Based on the PLC framework as presented above, the automotive industry is in a phase of maturity, since most of the individuals within their target market already own at least one vehicle. This is because a majority of the cars plying on the roads in the current global scenario are ICE models. On the other hand, </w:t>
      </w:r>
      <w:r w:rsidR="0075034E" w:rsidRPr="00114BCF">
        <w:rPr>
          <w:rFonts w:ascii="Arial" w:hAnsi="Arial" w:cs="Arial"/>
        </w:rPr>
        <w:t>the electric vehicle sector is in its growth phase, since the manufacturers are spending massive amounts to promote the products, and companies such as Tesla are raking in huge profits.</w:t>
      </w:r>
      <w:r w:rsidR="00F15C23" w:rsidRPr="00114BCF">
        <w:rPr>
          <w:rFonts w:ascii="Arial" w:hAnsi="Arial" w:cs="Arial"/>
        </w:rPr>
        <w:t xml:space="preserve"> Volvo therefore is in a state of maturity, and needs to diversify its product offering, which is why the organisation has decided to focus solely on the manufacture and promotion of its hybrid and pure electric vehicles in the coming years</w:t>
      </w:r>
      <w:r w:rsidR="007C3387" w:rsidRPr="00114BCF">
        <w:rPr>
          <w:rFonts w:ascii="Arial" w:hAnsi="Arial" w:cs="Arial"/>
        </w:rPr>
        <w:t xml:space="preserve"> (Volvo, 2020)</w:t>
      </w:r>
      <w:r w:rsidR="00F15C23" w:rsidRPr="00114BCF">
        <w:rPr>
          <w:rFonts w:ascii="Arial" w:hAnsi="Arial" w:cs="Arial"/>
        </w:rPr>
        <w:t xml:space="preserve"> in an attempt to avoid spiralling towards the stage of decline and consequent abandonment.</w:t>
      </w:r>
    </w:p>
    <w:p w14:paraId="76FAD002" w14:textId="6570F975" w:rsidR="00E65A3F" w:rsidRPr="00114BCF" w:rsidRDefault="00F23F3C" w:rsidP="002F5D64">
      <w:pPr>
        <w:rPr>
          <w:rFonts w:ascii="Arial" w:hAnsi="Arial" w:cs="Arial"/>
        </w:rPr>
      </w:pPr>
      <w:r w:rsidRPr="00114BCF">
        <w:rPr>
          <w:rFonts w:ascii="Arial" w:hAnsi="Arial" w:cs="Arial"/>
        </w:rPr>
        <w:t xml:space="preserve">Since most of the organisations manufacturing ICE models are in a stage of maturity, </w:t>
      </w:r>
      <w:r w:rsidR="00875B63" w:rsidRPr="00114BCF">
        <w:rPr>
          <w:rFonts w:ascii="Arial" w:hAnsi="Arial" w:cs="Arial"/>
        </w:rPr>
        <w:t xml:space="preserve">many among them have started offering new features such as improved safety, navigation and </w:t>
      </w:r>
      <w:r w:rsidR="00827EAC" w:rsidRPr="00114BCF">
        <w:rPr>
          <w:rFonts w:ascii="Arial" w:hAnsi="Arial" w:cs="Arial"/>
        </w:rPr>
        <w:t xml:space="preserve">even fuel efficiency. </w:t>
      </w:r>
      <w:r w:rsidR="00FF19B5" w:rsidRPr="00114BCF">
        <w:rPr>
          <w:rFonts w:ascii="Arial" w:hAnsi="Arial" w:cs="Arial"/>
        </w:rPr>
        <w:t>Also, most governments, especially of the European countries</w:t>
      </w:r>
      <w:r w:rsidR="0030710F" w:rsidRPr="00114BCF">
        <w:rPr>
          <w:rFonts w:ascii="Arial" w:hAnsi="Arial" w:cs="Arial"/>
        </w:rPr>
        <w:t xml:space="preserve"> (Jenn, Azevedo and Ferreira, 2013; </w:t>
      </w:r>
      <w:proofErr w:type="spellStart"/>
      <w:r w:rsidR="0030710F" w:rsidRPr="00114BCF">
        <w:rPr>
          <w:rFonts w:ascii="Arial" w:hAnsi="Arial" w:cs="Arial"/>
        </w:rPr>
        <w:t>Mersky</w:t>
      </w:r>
      <w:proofErr w:type="spellEnd"/>
      <w:r w:rsidR="0030710F" w:rsidRPr="00114BCF">
        <w:rPr>
          <w:rFonts w:ascii="Arial" w:hAnsi="Arial" w:cs="Arial"/>
        </w:rPr>
        <w:t>, et al., 2016)</w:t>
      </w:r>
      <w:r w:rsidR="00FF19B5" w:rsidRPr="00114BCF">
        <w:rPr>
          <w:rFonts w:ascii="Arial" w:hAnsi="Arial" w:cs="Arial"/>
        </w:rPr>
        <w:t>, have started offering many lucrative incentives to push forth the eco-friendly option of electric vehicles, which has once again promoted the growth of this sector.</w:t>
      </w:r>
    </w:p>
    <w:p w14:paraId="6578BC01" w14:textId="20C254FC" w:rsidR="002F5D64" w:rsidRPr="00114BCF" w:rsidRDefault="002F5D64" w:rsidP="00254855">
      <w:pPr>
        <w:pStyle w:val="Heading2"/>
        <w:rPr>
          <w:rFonts w:ascii="Arial" w:hAnsi="Arial" w:cs="Arial"/>
        </w:rPr>
      </w:pPr>
      <w:bookmarkStart w:id="5" w:name="_Toc38755400"/>
      <w:bookmarkStart w:id="6" w:name="_Toc39228452"/>
      <w:r w:rsidRPr="00114BCF">
        <w:rPr>
          <w:rFonts w:ascii="Arial" w:hAnsi="Arial" w:cs="Arial"/>
        </w:rPr>
        <w:t>Application of Porter’s value chain analysis</w:t>
      </w:r>
      <w:bookmarkEnd w:id="5"/>
      <w:bookmarkEnd w:id="6"/>
    </w:p>
    <w:p w14:paraId="5A43140C" w14:textId="039AE13D" w:rsidR="002F5D64" w:rsidRPr="00114BCF" w:rsidRDefault="00A74524" w:rsidP="002F5D64">
      <w:pPr>
        <w:rPr>
          <w:rFonts w:ascii="Arial" w:hAnsi="Arial" w:cs="Arial"/>
        </w:rPr>
      </w:pPr>
      <w:r w:rsidRPr="00114BCF">
        <w:rPr>
          <w:rFonts w:ascii="Arial" w:hAnsi="Arial" w:cs="Arial"/>
        </w:rPr>
        <w:t>The value chain analysis framework by designed by Michael Porter to explain the various activities that businesses have to pursue in order to create value for their customers. These activities together make it possible for them to achieve the necessary competitive advantage</w:t>
      </w:r>
      <w:r w:rsidR="00250E95" w:rsidRPr="00114BCF">
        <w:rPr>
          <w:rFonts w:ascii="Arial" w:hAnsi="Arial" w:cs="Arial"/>
        </w:rPr>
        <w:t xml:space="preserve"> that would ultimately help create value for the customers</w:t>
      </w:r>
      <w:r w:rsidR="00037BD8" w:rsidRPr="00114BCF">
        <w:rPr>
          <w:rFonts w:ascii="Arial" w:hAnsi="Arial" w:cs="Arial"/>
        </w:rPr>
        <w:t xml:space="preserve"> (Herrera, 2015; </w:t>
      </w:r>
      <w:proofErr w:type="spellStart"/>
      <w:r w:rsidR="00037BD8" w:rsidRPr="00114BCF">
        <w:rPr>
          <w:rFonts w:ascii="Arial" w:hAnsi="Arial" w:cs="Arial"/>
        </w:rPr>
        <w:t>Mudambi</w:t>
      </w:r>
      <w:proofErr w:type="spellEnd"/>
      <w:r w:rsidR="00037BD8" w:rsidRPr="00114BCF">
        <w:rPr>
          <w:rFonts w:ascii="Arial" w:hAnsi="Arial" w:cs="Arial"/>
        </w:rPr>
        <w:t xml:space="preserve"> and Puck, 2016)</w:t>
      </w:r>
      <w:r w:rsidR="00250E95" w:rsidRPr="00114BCF">
        <w:rPr>
          <w:rFonts w:ascii="Arial" w:hAnsi="Arial" w:cs="Arial"/>
        </w:rPr>
        <w:t xml:space="preserve">. </w:t>
      </w:r>
      <w:r w:rsidR="00030E2D" w:rsidRPr="00114BCF">
        <w:rPr>
          <w:rFonts w:ascii="Arial" w:hAnsi="Arial" w:cs="Arial"/>
        </w:rPr>
        <w:t>This also makes it easier to increase the generation of profits.</w:t>
      </w:r>
      <w:r w:rsidR="00D35F32" w:rsidRPr="00114BCF">
        <w:rPr>
          <w:rFonts w:ascii="Arial" w:hAnsi="Arial" w:cs="Arial"/>
        </w:rPr>
        <w:t xml:space="preserve"> The different business processes and systems that organisations like Volvo has can help understand the aspects that enable the companies in the industry to prioritise the customer, ultimately improving the market situation for themselves.</w:t>
      </w:r>
      <w:r w:rsidR="00301D78" w:rsidRPr="00114BCF">
        <w:rPr>
          <w:rFonts w:ascii="Arial" w:hAnsi="Arial" w:cs="Arial"/>
        </w:rPr>
        <w:t xml:space="preserve"> An application of this framework to the electric vehicle industry can also help understand the link between the cost of service and production with that of profit generation. A more elaborate discussion of the same has been provided below.</w:t>
      </w:r>
    </w:p>
    <w:p w14:paraId="4E56763F" w14:textId="78844B35" w:rsidR="00301D78" w:rsidRPr="00114BCF" w:rsidRDefault="006367A4" w:rsidP="002F5D64">
      <w:pPr>
        <w:rPr>
          <w:rFonts w:ascii="Arial" w:hAnsi="Arial" w:cs="Arial"/>
        </w:rPr>
      </w:pPr>
      <w:r w:rsidRPr="00114BCF">
        <w:rPr>
          <w:rFonts w:ascii="Arial" w:hAnsi="Arial" w:cs="Arial"/>
          <w:b/>
          <w:bCs/>
        </w:rPr>
        <w:t>Inbound logistics:</w:t>
      </w:r>
      <w:r w:rsidRPr="00114BCF">
        <w:rPr>
          <w:rFonts w:ascii="Arial" w:hAnsi="Arial" w:cs="Arial"/>
        </w:rPr>
        <w:t xml:space="preserve"> </w:t>
      </w:r>
      <w:r w:rsidR="007D08DF" w:rsidRPr="00114BCF">
        <w:rPr>
          <w:rFonts w:ascii="Arial" w:hAnsi="Arial" w:cs="Arial"/>
        </w:rPr>
        <w:t>The current trends with respect to market demand indicate that there is a chance that the suppliers would have to halt the provision of car parts and components that are required exclusively for the ICE vehicles. In such a case, the manufacturers within the automotive industry would have to redirect their entire focus on the production and marketing of electric vehicles.</w:t>
      </w:r>
    </w:p>
    <w:p w14:paraId="26B3365A" w14:textId="08AC16DD" w:rsidR="006367A4" w:rsidRPr="00114BCF" w:rsidRDefault="006367A4" w:rsidP="002F5D64">
      <w:pPr>
        <w:rPr>
          <w:rFonts w:ascii="Arial" w:hAnsi="Arial" w:cs="Arial"/>
        </w:rPr>
      </w:pPr>
      <w:r w:rsidRPr="00114BCF">
        <w:rPr>
          <w:rFonts w:ascii="Arial" w:hAnsi="Arial" w:cs="Arial"/>
          <w:b/>
          <w:bCs/>
        </w:rPr>
        <w:t>Production:</w:t>
      </w:r>
      <w:r w:rsidRPr="00114BCF">
        <w:rPr>
          <w:rFonts w:ascii="Arial" w:hAnsi="Arial" w:cs="Arial"/>
        </w:rPr>
        <w:t xml:space="preserve"> </w:t>
      </w:r>
      <w:r w:rsidR="00297403" w:rsidRPr="00114BCF">
        <w:rPr>
          <w:rFonts w:ascii="Arial" w:hAnsi="Arial" w:cs="Arial"/>
        </w:rPr>
        <w:t>The improvements in terms of the infrastructure of the electric vehicle industry has led to reduced costs associated with battery packs and other components</w:t>
      </w:r>
      <w:r w:rsidR="00AA3DA9" w:rsidRPr="00114BCF">
        <w:rPr>
          <w:rFonts w:ascii="Arial" w:hAnsi="Arial" w:cs="Arial"/>
        </w:rPr>
        <w:t xml:space="preserve"> (Amsterdam Roundtables, 2014)</w:t>
      </w:r>
      <w:r w:rsidR="00297403" w:rsidRPr="00114BCF">
        <w:rPr>
          <w:rFonts w:ascii="Arial" w:hAnsi="Arial" w:cs="Arial"/>
        </w:rPr>
        <w:t>, which has made it easier for the manufacturers to profit from this sector. This has essentially been the result of the steady improvements in technology, coupled with the enhanced standardisation of the infrastructure that is required to charge the cars.</w:t>
      </w:r>
      <w:r w:rsidR="007B100C" w:rsidRPr="00114BCF">
        <w:rPr>
          <w:rFonts w:ascii="Arial" w:hAnsi="Arial" w:cs="Arial"/>
        </w:rPr>
        <w:t xml:space="preserve"> This allows manufacturers to invest more in manufacturing the electric vehicles.</w:t>
      </w:r>
    </w:p>
    <w:p w14:paraId="2ECF876F" w14:textId="33493658" w:rsidR="006367A4" w:rsidRPr="00114BCF" w:rsidRDefault="006367A4" w:rsidP="002F5D64">
      <w:pPr>
        <w:rPr>
          <w:rFonts w:ascii="Arial" w:hAnsi="Arial" w:cs="Arial"/>
        </w:rPr>
      </w:pPr>
      <w:r w:rsidRPr="00114BCF">
        <w:rPr>
          <w:rFonts w:ascii="Arial" w:hAnsi="Arial" w:cs="Arial"/>
          <w:b/>
          <w:bCs/>
        </w:rPr>
        <w:t>Outbound logistics:</w:t>
      </w:r>
      <w:r w:rsidRPr="00114BCF">
        <w:rPr>
          <w:rFonts w:ascii="Arial" w:hAnsi="Arial" w:cs="Arial"/>
        </w:rPr>
        <w:t xml:space="preserve"> </w:t>
      </w:r>
      <w:r w:rsidR="00DE3023" w:rsidRPr="00114BCF">
        <w:rPr>
          <w:rFonts w:ascii="Arial" w:hAnsi="Arial" w:cs="Arial"/>
        </w:rPr>
        <w:t>If and when the popularity of electric vehicles reaches a steady phase, the shipping costs associated with the export of the produced units would also decrease.</w:t>
      </w:r>
    </w:p>
    <w:p w14:paraId="3FE2E48E" w14:textId="59451CC3" w:rsidR="006367A4" w:rsidRPr="00114BCF" w:rsidRDefault="006367A4" w:rsidP="002F5D64">
      <w:pPr>
        <w:rPr>
          <w:rFonts w:ascii="Arial" w:hAnsi="Arial" w:cs="Arial"/>
        </w:rPr>
      </w:pPr>
      <w:r w:rsidRPr="00114BCF">
        <w:rPr>
          <w:rFonts w:ascii="Arial" w:hAnsi="Arial" w:cs="Arial"/>
          <w:b/>
          <w:bCs/>
        </w:rPr>
        <w:t>Marketing and sales:</w:t>
      </w:r>
      <w:r w:rsidRPr="00114BCF">
        <w:rPr>
          <w:rFonts w:ascii="Arial" w:hAnsi="Arial" w:cs="Arial"/>
        </w:rPr>
        <w:t xml:space="preserve"> </w:t>
      </w:r>
      <w:r w:rsidR="00543466" w:rsidRPr="00114BCF">
        <w:rPr>
          <w:rFonts w:ascii="Arial" w:hAnsi="Arial" w:cs="Arial"/>
        </w:rPr>
        <w:t xml:space="preserve">It </w:t>
      </w:r>
      <w:r w:rsidR="004D23D0" w:rsidRPr="00114BCF">
        <w:rPr>
          <w:rFonts w:ascii="Arial" w:hAnsi="Arial" w:cs="Arial"/>
        </w:rPr>
        <w:t>i</w:t>
      </w:r>
      <w:r w:rsidR="00543466" w:rsidRPr="00114BCF">
        <w:rPr>
          <w:rFonts w:ascii="Arial" w:hAnsi="Arial" w:cs="Arial"/>
        </w:rPr>
        <w:t xml:space="preserve">s also necessary to ensure that the electric vehicles are marketed properly to the </w:t>
      </w:r>
      <w:r w:rsidR="00751151" w:rsidRPr="00114BCF">
        <w:rPr>
          <w:rFonts w:ascii="Arial" w:hAnsi="Arial" w:cs="Arial"/>
        </w:rPr>
        <w:t xml:space="preserve">target consumers. This will require organisations to invest significantly to popularise the </w:t>
      </w:r>
      <w:r w:rsidR="005F5EE4" w:rsidRPr="00114BCF">
        <w:rPr>
          <w:rFonts w:ascii="Arial" w:hAnsi="Arial" w:cs="Arial"/>
        </w:rPr>
        <w:t>electric cars among the people. In case of Volvo, the marketing function will ensure that the sales can pick up pace, thereby discouraging the competitors from embarking onto its market share.</w:t>
      </w:r>
    </w:p>
    <w:p w14:paraId="4D16021F" w14:textId="49F40619" w:rsidR="006367A4" w:rsidRPr="00114BCF" w:rsidRDefault="006367A4" w:rsidP="002F5D64">
      <w:pPr>
        <w:rPr>
          <w:rFonts w:ascii="Arial" w:hAnsi="Arial" w:cs="Arial"/>
        </w:rPr>
      </w:pPr>
      <w:r w:rsidRPr="00114BCF">
        <w:rPr>
          <w:rFonts w:ascii="Arial" w:hAnsi="Arial" w:cs="Arial"/>
          <w:b/>
          <w:bCs/>
        </w:rPr>
        <w:t>Service:</w:t>
      </w:r>
      <w:r w:rsidRPr="00114BCF">
        <w:rPr>
          <w:rFonts w:ascii="Arial" w:hAnsi="Arial" w:cs="Arial"/>
        </w:rPr>
        <w:t xml:space="preserve"> </w:t>
      </w:r>
      <w:r w:rsidR="00F03D92" w:rsidRPr="00114BCF">
        <w:rPr>
          <w:rFonts w:ascii="Arial" w:hAnsi="Arial" w:cs="Arial"/>
        </w:rPr>
        <w:t xml:space="preserve">The market demand determines the kind of service that organisations like Volvo would be able to provide to the customers. This makes it </w:t>
      </w:r>
      <w:r w:rsidR="003C6580" w:rsidRPr="00114BCF">
        <w:rPr>
          <w:rFonts w:ascii="Arial" w:hAnsi="Arial" w:cs="Arial"/>
        </w:rPr>
        <w:t>necessary for the manufacturers to have access to the resources that would make it easier for them to address these demands, since it has the capacity to impact the losses as well as profits.</w:t>
      </w:r>
    </w:p>
    <w:p w14:paraId="319AD383" w14:textId="18DA949A" w:rsidR="00054CD5" w:rsidRPr="00114BCF" w:rsidRDefault="00054CD5" w:rsidP="002F5D64">
      <w:pPr>
        <w:rPr>
          <w:rFonts w:ascii="Arial" w:hAnsi="Arial" w:cs="Arial"/>
        </w:rPr>
      </w:pPr>
      <w:r w:rsidRPr="00114BCF">
        <w:rPr>
          <w:rFonts w:ascii="Arial" w:hAnsi="Arial" w:cs="Arial"/>
        </w:rPr>
        <w:t xml:space="preserve">There are also numerous supporting or secondary activities that aid the organisation in fulfilling the primary activities as explained above. This includes the human resource management and various other aspects. </w:t>
      </w:r>
      <w:r w:rsidR="00320F9E" w:rsidRPr="00114BCF">
        <w:rPr>
          <w:rFonts w:ascii="Arial" w:hAnsi="Arial" w:cs="Arial"/>
        </w:rPr>
        <w:t>These two groups of activities together make up the value chain process of manufacturers such as Volvo, and help them reach a noteworthy position in the market.</w:t>
      </w:r>
      <w:r w:rsidR="007D4660" w:rsidRPr="00114BCF">
        <w:rPr>
          <w:rFonts w:ascii="Arial" w:hAnsi="Arial" w:cs="Arial"/>
        </w:rPr>
        <w:t xml:space="preserve"> For instance, the human resource management of an organisation determines the expertise of the employees since the department is liable for the training and development of the workers in accordance with the organisational aims and objectives.</w:t>
      </w:r>
      <w:r w:rsidR="00497A56" w:rsidRPr="00114BCF">
        <w:rPr>
          <w:rFonts w:ascii="Arial" w:hAnsi="Arial" w:cs="Arial"/>
        </w:rPr>
        <w:t xml:space="preserve"> Thus, this factor helps understand the administration and other important attributes of the manufacturing organisation.</w:t>
      </w:r>
      <w:r w:rsidR="00D2583A" w:rsidRPr="00114BCF">
        <w:rPr>
          <w:rFonts w:ascii="Arial" w:hAnsi="Arial" w:cs="Arial"/>
        </w:rPr>
        <w:t xml:space="preserve"> The firm infrastructure also helps get a fair idea of the manner in which these companies function, and how the various processes such as production and logistics tasks take place.</w:t>
      </w:r>
      <w:r w:rsidR="000E2AEF" w:rsidRPr="00114BCF">
        <w:rPr>
          <w:rFonts w:ascii="Arial" w:hAnsi="Arial" w:cs="Arial"/>
        </w:rPr>
        <w:t xml:space="preserve"> Technology development is also important for a car manufacturer like Volvo, since it determines the amount of funds that would be required, and also assesses the success of a newly launched product. Customers would be more likely to buy only those electric or ICE vehicles that would give the best value for their money, which indicates that they would almost always choose to buy a car that has the latest facilities and technologies.</w:t>
      </w:r>
      <w:r w:rsidR="005358EE" w:rsidRPr="00114BCF">
        <w:rPr>
          <w:rFonts w:ascii="Arial" w:hAnsi="Arial" w:cs="Arial"/>
        </w:rPr>
        <w:t xml:space="preserve"> All of these activities help with the procurement of customers, suppliers and profits, since all three elements are important to allow for the smooth functioning of the manufacturing organisation.</w:t>
      </w:r>
    </w:p>
    <w:p w14:paraId="00120682" w14:textId="04C3AF9D" w:rsidR="002F5D64" w:rsidRPr="00114BCF" w:rsidRDefault="002F5D64" w:rsidP="00254855">
      <w:pPr>
        <w:pStyle w:val="Heading2"/>
        <w:rPr>
          <w:rFonts w:ascii="Arial" w:hAnsi="Arial" w:cs="Arial"/>
        </w:rPr>
      </w:pPr>
      <w:bookmarkStart w:id="7" w:name="_Toc38755401"/>
      <w:bookmarkStart w:id="8" w:name="_Toc39228453"/>
      <w:r w:rsidRPr="00114BCF">
        <w:rPr>
          <w:rFonts w:ascii="Arial" w:hAnsi="Arial" w:cs="Arial"/>
        </w:rPr>
        <w:t>New and emerging business opportunities for entrepreneurs, business executives</w:t>
      </w:r>
      <w:bookmarkEnd w:id="7"/>
      <w:bookmarkEnd w:id="8"/>
    </w:p>
    <w:p w14:paraId="6234DAFF" w14:textId="115DD1F0" w:rsidR="002F5D64" w:rsidRPr="00114BCF" w:rsidRDefault="000D4641" w:rsidP="002F5D64">
      <w:pPr>
        <w:rPr>
          <w:rFonts w:ascii="Arial" w:hAnsi="Arial" w:cs="Arial"/>
        </w:rPr>
      </w:pPr>
      <w:r w:rsidRPr="00114BCF">
        <w:rPr>
          <w:rFonts w:ascii="Arial" w:hAnsi="Arial" w:cs="Arial"/>
        </w:rPr>
        <w:t xml:space="preserve">On the basis of the evaluation as conducted above, it can be concluded that the current market is best-suited for business executives and entrepreneurs who wish to </w:t>
      </w:r>
      <w:r w:rsidR="007711D1" w:rsidRPr="00114BCF">
        <w:rPr>
          <w:rFonts w:ascii="Arial" w:hAnsi="Arial" w:cs="Arial"/>
        </w:rPr>
        <w:t xml:space="preserve">venture into the electric vehicle sector. This is because the market is in a state of rapid growth, owing to the government incentives, consumer awareness, and also the increasing fuel prices. </w:t>
      </w:r>
      <w:r w:rsidR="00A61D1D" w:rsidRPr="00114BCF">
        <w:rPr>
          <w:rFonts w:ascii="Arial" w:hAnsi="Arial" w:cs="Arial"/>
        </w:rPr>
        <w:t>Companies such as Tesla have also begun the installation of specialised charging ports across the US, which indicates that they are aggressively pushing forward the sales of their cars, since these charging stations would be compatible with exclusively their in-house models</w:t>
      </w:r>
      <w:r w:rsidR="00356CD5" w:rsidRPr="00114BCF">
        <w:rPr>
          <w:rFonts w:ascii="Arial" w:hAnsi="Arial" w:cs="Arial"/>
        </w:rPr>
        <w:t xml:space="preserve"> (Amsterdam Roundtables, 2014)</w:t>
      </w:r>
      <w:r w:rsidR="00A61D1D" w:rsidRPr="00114BCF">
        <w:rPr>
          <w:rFonts w:ascii="Arial" w:hAnsi="Arial" w:cs="Arial"/>
        </w:rPr>
        <w:t>.</w:t>
      </w:r>
      <w:r w:rsidR="003F06DD" w:rsidRPr="00114BCF">
        <w:rPr>
          <w:rFonts w:ascii="Arial" w:hAnsi="Arial" w:cs="Arial"/>
        </w:rPr>
        <w:t xml:space="preserve"> Also, the ready availability of these charging stations will ensure that more people buy the electric cars, since they would not have to worry much about running out of battery power when travelling for long distances.</w:t>
      </w:r>
    </w:p>
    <w:p w14:paraId="3CED0F4D" w14:textId="0838F195" w:rsidR="005D48A9" w:rsidRPr="00114BCF" w:rsidRDefault="007B79CB" w:rsidP="002F5D64">
      <w:pPr>
        <w:rPr>
          <w:rFonts w:ascii="Arial" w:hAnsi="Arial" w:cs="Arial"/>
        </w:rPr>
      </w:pPr>
      <w:r w:rsidRPr="00114BCF">
        <w:rPr>
          <w:rFonts w:ascii="Arial" w:hAnsi="Arial" w:cs="Arial"/>
        </w:rPr>
        <w:t xml:space="preserve">Entrepreneurs who want to go forward with the electric vehicle sector thus have the best opportunity, since the market seems to be highly </w:t>
      </w:r>
      <w:r w:rsidR="00940C23" w:rsidRPr="00114BCF">
        <w:rPr>
          <w:rFonts w:ascii="Arial" w:hAnsi="Arial" w:cs="Arial"/>
        </w:rPr>
        <w:t xml:space="preserve">suitable for these products. </w:t>
      </w:r>
      <w:r w:rsidR="00737324" w:rsidRPr="00114BCF">
        <w:rPr>
          <w:rFonts w:ascii="Arial" w:hAnsi="Arial" w:cs="Arial"/>
        </w:rPr>
        <w:t>For instance, Volvo has already started capitalising on this opportunity by vowing to discontinue the manufacture of its ICE cars and focusing solely on the production of hybrid and pure electric vehicles, with the aim to generate a 100 per cent of its profits from the latter product group by 2050</w:t>
      </w:r>
      <w:r w:rsidR="007C3387" w:rsidRPr="00114BCF">
        <w:rPr>
          <w:rFonts w:ascii="Arial" w:hAnsi="Arial" w:cs="Arial"/>
        </w:rPr>
        <w:t xml:space="preserve"> (Volvo, 2020)</w:t>
      </w:r>
      <w:r w:rsidR="00737324" w:rsidRPr="00114BCF">
        <w:rPr>
          <w:rFonts w:ascii="Arial" w:hAnsi="Arial" w:cs="Arial"/>
        </w:rPr>
        <w:t>.</w:t>
      </w:r>
    </w:p>
    <w:p w14:paraId="405C79EB" w14:textId="386AD895" w:rsidR="002F5D64" w:rsidRPr="00114BCF" w:rsidRDefault="002F5D64" w:rsidP="00254855">
      <w:pPr>
        <w:pStyle w:val="Heading2"/>
        <w:rPr>
          <w:rFonts w:ascii="Arial" w:hAnsi="Arial" w:cs="Arial"/>
        </w:rPr>
      </w:pPr>
      <w:bookmarkStart w:id="9" w:name="_Toc38755402"/>
      <w:bookmarkStart w:id="10" w:name="_Toc39228454"/>
      <w:r w:rsidRPr="00114BCF">
        <w:rPr>
          <w:rFonts w:ascii="Arial" w:hAnsi="Arial" w:cs="Arial"/>
        </w:rPr>
        <w:t>Profitability of other businesses linked to the global automotive industry</w:t>
      </w:r>
      <w:bookmarkEnd w:id="9"/>
      <w:bookmarkEnd w:id="10"/>
    </w:p>
    <w:p w14:paraId="7603A451" w14:textId="5F9ECCB2" w:rsidR="002F5D64" w:rsidRPr="00114BCF" w:rsidRDefault="00D9679A" w:rsidP="002F5D64">
      <w:pPr>
        <w:rPr>
          <w:rFonts w:ascii="Arial" w:hAnsi="Arial" w:cs="Arial"/>
        </w:rPr>
      </w:pPr>
      <w:r w:rsidRPr="00114BCF">
        <w:rPr>
          <w:rFonts w:ascii="Arial" w:hAnsi="Arial" w:cs="Arial"/>
        </w:rPr>
        <w:t>There are numerous businesses that can be linked with the global automotive industry, such as the manufacturers of electric motors and turbochargers, and even the firms that regularly recycle and refurbish the used car parts from the electric vehicles. Suppliers who are responsible for the provision of rare metals such as neodymium and copper also fall under this category</w:t>
      </w:r>
      <w:r w:rsidR="00356CD5" w:rsidRPr="00114BCF">
        <w:rPr>
          <w:rFonts w:ascii="Arial" w:hAnsi="Arial" w:cs="Arial"/>
        </w:rPr>
        <w:t xml:space="preserve"> (Amsterdam Roundtables, 2014)</w:t>
      </w:r>
      <w:r w:rsidRPr="00114BCF">
        <w:rPr>
          <w:rFonts w:ascii="Arial" w:hAnsi="Arial" w:cs="Arial"/>
        </w:rPr>
        <w:t xml:space="preserve">. Due to the steady increase in the market share for the electric vehicles as concluded from the value chain and product life cycle analyses, it can be stated that these businesses are also in a state of profit. This essentially implies that investors who are looking forward to invest in the electric vehicle industry and also in the businesses linked to this sector have the best opportunity at their disposal. </w:t>
      </w:r>
      <w:r w:rsidR="00105241" w:rsidRPr="00114BCF">
        <w:rPr>
          <w:rFonts w:ascii="Arial" w:hAnsi="Arial" w:cs="Arial"/>
        </w:rPr>
        <w:t>These ancillary services can be more easily available to the manufacturers and customers once the investments take place and their scope further expands.</w:t>
      </w:r>
      <w:r w:rsidR="00E82D11" w:rsidRPr="00114BCF">
        <w:rPr>
          <w:rFonts w:ascii="Arial" w:hAnsi="Arial" w:cs="Arial"/>
        </w:rPr>
        <w:t xml:space="preserve"> For instance, firms that recycle the used car parts from the electric vehicles are highly likely to see a surge in the demand for their services once the sales and use of electric cars becomes mainstream gradually.</w:t>
      </w:r>
      <w:r w:rsidR="00595414" w:rsidRPr="00114BCF">
        <w:rPr>
          <w:rFonts w:ascii="Arial" w:hAnsi="Arial" w:cs="Arial"/>
        </w:rPr>
        <w:t xml:space="preserve"> Electric vehicles being highly environmental-friendly have the capacity to outlive the ICE models and can thus be said to have the potential to completely replace the commodity in due time. Investors can therefore make use of this promising opportunity to get the best returns for their money.</w:t>
      </w:r>
    </w:p>
    <w:p w14:paraId="4EE22395" w14:textId="35EF22FA" w:rsidR="002F5D64" w:rsidRPr="00114BCF" w:rsidRDefault="002F5D64" w:rsidP="002F5D64">
      <w:pPr>
        <w:pStyle w:val="Heading1"/>
        <w:rPr>
          <w:rFonts w:ascii="Arial" w:hAnsi="Arial" w:cs="Arial"/>
        </w:rPr>
      </w:pPr>
      <w:bookmarkStart w:id="11" w:name="_Toc38755403"/>
      <w:bookmarkStart w:id="12" w:name="_Toc39228455"/>
      <w:r w:rsidRPr="00114BCF">
        <w:rPr>
          <w:rFonts w:ascii="Arial" w:hAnsi="Arial" w:cs="Arial"/>
        </w:rPr>
        <w:t>Conclusion</w:t>
      </w:r>
      <w:bookmarkEnd w:id="11"/>
      <w:bookmarkEnd w:id="12"/>
    </w:p>
    <w:p w14:paraId="321DB30D" w14:textId="0444E27A" w:rsidR="002F5D64" w:rsidRPr="00114BCF" w:rsidRDefault="006707A3" w:rsidP="002F5D64">
      <w:pPr>
        <w:rPr>
          <w:rFonts w:ascii="Arial" w:hAnsi="Arial" w:cs="Arial"/>
        </w:rPr>
      </w:pPr>
      <w:r w:rsidRPr="00114BCF">
        <w:rPr>
          <w:rFonts w:ascii="Arial" w:hAnsi="Arial" w:cs="Arial"/>
        </w:rPr>
        <w:t>This report therefore helps understand the current as well as the emerging trends of the global automotive industry, especially with respect to the electric vehicle sector. The industry shows great promise in terms of this new product since it is still in its growth phase, while the ICE cars have reached a point where they can be said to be heading towards market saturation. This has therefore prompted manufacturers like Volvo to redesign their manufacturing processes, which further states that the business executives, entrepreneurs and investors have the best opportunity to earn profits by getting involved with the electric vehicle sector.</w:t>
      </w:r>
    </w:p>
    <w:p w14:paraId="5CC011E2" w14:textId="77777777" w:rsidR="00114BCF" w:rsidRDefault="00114BCF">
      <w:pPr>
        <w:spacing w:line="259" w:lineRule="auto"/>
        <w:jc w:val="left"/>
      </w:pPr>
    </w:p>
    <w:p w14:paraId="4419BF7A" w14:textId="2AD38D7A" w:rsidR="002F5D64" w:rsidRPr="002F5D64" w:rsidRDefault="002F5D64">
      <w:pPr>
        <w:spacing w:line="259" w:lineRule="auto"/>
        <w:jc w:val="left"/>
      </w:pPr>
      <w:r w:rsidRPr="002F5D64">
        <w:br w:type="page"/>
      </w:r>
    </w:p>
    <w:p w14:paraId="282D5A94" w14:textId="75ECE84E" w:rsidR="002F5D64" w:rsidRPr="00114BCF" w:rsidRDefault="002F5D64" w:rsidP="002F5D64">
      <w:pPr>
        <w:pStyle w:val="Heading1"/>
        <w:rPr>
          <w:rFonts w:ascii="Arial" w:hAnsi="Arial" w:cs="Arial"/>
        </w:rPr>
      </w:pPr>
      <w:bookmarkStart w:id="13" w:name="_Toc38755404"/>
      <w:bookmarkStart w:id="14" w:name="_Toc39228456"/>
      <w:r w:rsidRPr="00114BCF">
        <w:rPr>
          <w:rFonts w:ascii="Arial" w:hAnsi="Arial" w:cs="Arial"/>
        </w:rPr>
        <w:t>Reference List</w:t>
      </w:r>
      <w:bookmarkEnd w:id="13"/>
      <w:bookmarkEnd w:id="14"/>
    </w:p>
    <w:p w14:paraId="72D9168C" w14:textId="7A53462B" w:rsidR="00E54B88" w:rsidRPr="00114BCF" w:rsidRDefault="00E54B88" w:rsidP="00672EE1">
      <w:pPr>
        <w:rPr>
          <w:rFonts w:ascii="Arial" w:hAnsi="Arial" w:cs="Arial"/>
        </w:rPr>
      </w:pPr>
      <w:r w:rsidRPr="00114BCF">
        <w:rPr>
          <w:rFonts w:ascii="Arial" w:hAnsi="Arial" w:cs="Arial"/>
        </w:rPr>
        <w:t xml:space="preserve">Amsterdam Roundtables, 2014. </w:t>
      </w:r>
      <w:r w:rsidRPr="00114BCF">
        <w:rPr>
          <w:rFonts w:ascii="Arial" w:hAnsi="Arial" w:cs="Arial"/>
          <w:i/>
          <w:iCs/>
        </w:rPr>
        <w:t>Electric vehicles in Europe: Gearing up for a new phase</w:t>
      </w:r>
      <w:proofErr w:type="gramStart"/>
      <w:r w:rsidRPr="00114BCF">
        <w:rPr>
          <w:rFonts w:ascii="Arial" w:hAnsi="Arial" w:cs="Arial"/>
          <w:i/>
          <w:iCs/>
        </w:rPr>
        <w:t>?.</w:t>
      </w:r>
      <w:proofErr w:type="gramEnd"/>
      <w:r w:rsidR="00114BCF">
        <w:rPr>
          <w:rFonts w:ascii="Arial" w:hAnsi="Arial" w:cs="Arial"/>
        </w:rPr>
        <w:t xml:space="preserve"> [</w:t>
      </w:r>
      <w:proofErr w:type="spellStart"/>
      <w:r w:rsidR="00114BCF">
        <w:rPr>
          <w:rFonts w:ascii="Arial" w:hAnsi="Arial" w:cs="Arial"/>
        </w:rPr>
        <w:t>Pdf</w:t>
      </w:r>
      <w:proofErr w:type="spellEnd"/>
      <w:r w:rsidR="00114BCF">
        <w:rPr>
          <w:rFonts w:ascii="Arial" w:hAnsi="Arial" w:cs="Arial"/>
        </w:rPr>
        <w:t xml:space="preserve">] Available at: </w:t>
      </w:r>
      <w:r w:rsidRPr="00114BCF">
        <w:rPr>
          <w:rFonts w:ascii="Arial" w:hAnsi="Arial" w:cs="Arial"/>
        </w:rPr>
        <w:t>https://www.mckinsey.com/~/media/McKinsey/Locations/Europe%20and%20Middle%20East/Netherlands/Our%20Insights/Electric%20vehicles%20in%20Europe%20Gearing%20up%20for%20a%20new%20phase/Electric%20vehicles%20in%20Europe%20Gearing%20</w:t>
      </w:r>
      <w:r w:rsidR="00114BCF">
        <w:rPr>
          <w:rFonts w:ascii="Arial" w:hAnsi="Arial" w:cs="Arial"/>
        </w:rPr>
        <w:t>up%20for%20a%20new%20phase.ashx</w:t>
      </w:r>
      <w:r w:rsidRPr="00114BCF">
        <w:rPr>
          <w:rFonts w:ascii="Arial" w:hAnsi="Arial" w:cs="Arial"/>
        </w:rPr>
        <w:t xml:space="preserve"> [Accessed 25 April 2020].</w:t>
      </w:r>
    </w:p>
    <w:p w14:paraId="0D42FCD0" w14:textId="77777777" w:rsidR="00E54B88" w:rsidRPr="00114BCF" w:rsidRDefault="00E54B88" w:rsidP="00672EE1">
      <w:pPr>
        <w:rPr>
          <w:rFonts w:ascii="Arial" w:hAnsi="Arial" w:cs="Arial"/>
        </w:rPr>
      </w:pPr>
      <w:proofErr w:type="spellStart"/>
      <w:r w:rsidRPr="00114BCF">
        <w:rPr>
          <w:rFonts w:ascii="Arial" w:hAnsi="Arial" w:cs="Arial"/>
        </w:rPr>
        <w:t>Hachuła</w:t>
      </w:r>
      <w:proofErr w:type="spellEnd"/>
      <w:r w:rsidRPr="00114BCF">
        <w:rPr>
          <w:rFonts w:ascii="Arial" w:hAnsi="Arial" w:cs="Arial"/>
        </w:rPr>
        <w:t xml:space="preserve">, P. and </w:t>
      </w:r>
      <w:proofErr w:type="spellStart"/>
      <w:r w:rsidRPr="00114BCF">
        <w:rPr>
          <w:rFonts w:ascii="Arial" w:hAnsi="Arial" w:cs="Arial"/>
        </w:rPr>
        <w:t>Schmeidel</w:t>
      </w:r>
      <w:proofErr w:type="spellEnd"/>
      <w:r w:rsidRPr="00114BCF">
        <w:rPr>
          <w:rFonts w:ascii="Arial" w:hAnsi="Arial" w:cs="Arial"/>
        </w:rPr>
        <w:t>, E., 2016. The Model of Demand and Inventory in a decline phase of the Product Life Cycle. </w:t>
      </w:r>
      <w:r w:rsidRPr="00114BCF">
        <w:rPr>
          <w:rFonts w:ascii="Arial" w:hAnsi="Arial" w:cs="Arial"/>
          <w:i/>
          <w:iCs/>
        </w:rPr>
        <w:t xml:space="preserve">Folia </w:t>
      </w:r>
      <w:proofErr w:type="spellStart"/>
      <w:r w:rsidRPr="00114BCF">
        <w:rPr>
          <w:rFonts w:ascii="Arial" w:hAnsi="Arial" w:cs="Arial"/>
          <w:i/>
          <w:iCs/>
        </w:rPr>
        <w:t>Oeconomica</w:t>
      </w:r>
      <w:proofErr w:type="spellEnd"/>
      <w:r w:rsidRPr="00114BCF">
        <w:rPr>
          <w:rFonts w:ascii="Arial" w:hAnsi="Arial" w:cs="Arial"/>
          <w:i/>
          <w:iCs/>
        </w:rPr>
        <w:t xml:space="preserve"> </w:t>
      </w:r>
      <w:proofErr w:type="spellStart"/>
      <w:r w:rsidRPr="00114BCF">
        <w:rPr>
          <w:rFonts w:ascii="Arial" w:hAnsi="Arial" w:cs="Arial"/>
          <w:i/>
          <w:iCs/>
        </w:rPr>
        <w:t>Stetinensia</w:t>
      </w:r>
      <w:proofErr w:type="spellEnd"/>
      <w:r w:rsidRPr="00114BCF">
        <w:rPr>
          <w:rFonts w:ascii="Arial" w:hAnsi="Arial" w:cs="Arial"/>
        </w:rPr>
        <w:t>, 16(1), pp.208-221.</w:t>
      </w:r>
    </w:p>
    <w:p w14:paraId="5DE96617" w14:textId="77777777" w:rsidR="00E54B88" w:rsidRPr="00114BCF" w:rsidRDefault="00E54B88" w:rsidP="00672EE1">
      <w:pPr>
        <w:rPr>
          <w:rFonts w:ascii="Arial" w:hAnsi="Arial" w:cs="Arial"/>
        </w:rPr>
      </w:pPr>
      <w:r w:rsidRPr="00114BCF">
        <w:rPr>
          <w:rFonts w:ascii="Arial" w:hAnsi="Arial" w:cs="Arial"/>
        </w:rPr>
        <w:t>Herrera, M.E.B., 2015. Creating competitive advantage by institutionalizing corporate social innovation. </w:t>
      </w:r>
      <w:r w:rsidRPr="00114BCF">
        <w:rPr>
          <w:rFonts w:ascii="Arial" w:hAnsi="Arial" w:cs="Arial"/>
          <w:i/>
          <w:iCs/>
        </w:rPr>
        <w:t>Journal of Business Research</w:t>
      </w:r>
      <w:r w:rsidRPr="00114BCF">
        <w:rPr>
          <w:rFonts w:ascii="Arial" w:hAnsi="Arial" w:cs="Arial"/>
        </w:rPr>
        <w:t>, 68(7), pp.1468-1474.</w:t>
      </w:r>
    </w:p>
    <w:p w14:paraId="5DFE78D7" w14:textId="77777777" w:rsidR="00E54B88" w:rsidRPr="00114BCF" w:rsidRDefault="00E54B88" w:rsidP="00672EE1">
      <w:pPr>
        <w:rPr>
          <w:rFonts w:ascii="Arial" w:hAnsi="Arial" w:cs="Arial"/>
        </w:rPr>
      </w:pPr>
      <w:r w:rsidRPr="00114BCF">
        <w:rPr>
          <w:rFonts w:ascii="Arial" w:hAnsi="Arial" w:cs="Arial"/>
        </w:rPr>
        <w:t>Jenn, A., Azevedo, I.L. and Ferreira, P., 2013. The impact of federal incentives on the adoption of hybrid electric vehicles in the United States. </w:t>
      </w:r>
      <w:r w:rsidRPr="00114BCF">
        <w:rPr>
          <w:rFonts w:ascii="Arial" w:hAnsi="Arial" w:cs="Arial"/>
          <w:i/>
          <w:iCs/>
        </w:rPr>
        <w:t>Energy Economics</w:t>
      </w:r>
      <w:r w:rsidRPr="00114BCF">
        <w:rPr>
          <w:rFonts w:ascii="Arial" w:hAnsi="Arial" w:cs="Arial"/>
        </w:rPr>
        <w:t>, 40, pp.936-942.</w:t>
      </w:r>
    </w:p>
    <w:p w14:paraId="066EACF2" w14:textId="77777777" w:rsidR="00E54B88" w:rsidRPr="00114BCF" w:rsidRDefault="00E54B88" w:rsidP="00672EE1">
      <w:pPr>
        <w:rPr>
          <w:rFonts w:ascii="Arial" w:hAnsi="Arial" w:cs="Arial"/>
        </w:rPr>
      </w:pPr>
      <w:proofErr w:type="spellStart"/>
      <w:r w:rsidRPr="00114BCF">
        <w:rPr>
          <w:rFonts w:ascii="Arial" w:hAnsi="Arial" w:cs="Arial"/>
        </w:rPr>
        <w:t>Mersky</w:t>
      </w:r>
      <w:proofErr w:type="spellEnd"/>
      <w:r w:rsidRPr="00114BCF">
        <w:rPr>
          <w:rFonts w:ascii="Arial" w:hAnsi="Arial" w:cs="Arial"/>
        </w:rPr>
        <w:t xml:space="preserve">, A.C., </w:t>
      </w:r>
      <w:proofErr w:type="spellStart"/>
      <w:r w:rsidRPr="00114BCF">
        <w:rPr>
          <w:rFonts w:ascii="Arial" w:hAnsi="Arial" w:cs="Arial"/>
        </w:rPr>
        <w:t>Sprei</w:t>
      </w:r>
      <w:proofErr w:type="spellEnd"/>
      <w:r w:rsidRPr="00114BCF">
        <w:rPr>
          <w:rFonts w:ascii="Arial" w:hAnsi="Arial" w:cs="Arial"/>
        </w:rPr>
        <w:t>, F., Samaras, C. and Qian, Z.S., 2016. Effectiveness of incentives on electric vehicle adoption in Norway. </w:t>
      </w:r>
      <w:r w:rsidRPr="00114BCF">
        <w:rPr>
          <w:rFonts w:ascii="Arial" w:hAnsi="Arial" w:cs="Arial"/>
          <w:i/>
          <w:iCs/>
        </w:rPr>
        <w:t>Transportation Research Part D: Transport and Environment</w:t>
      </w:r>
      <w:r w:rsidRPr="00114BCF">
        <w:rPr>
          <w:rFonts w:ascii="Arial" w:hAnsi="Arial" w:cs="Arial"/>
        </w:rPr>
        <w:t>, 46, pp.56-68.</w:t>
      </w:r>
    </w:p>
    <w:p w14:paraId="5EED7569" w14:textId="77777777" w:rsidR="00E54B88" w:rsidRPr="00114BCF" w:rsidRDefault="00E54B88" w:rsidP="00672EE1">
      <w:pPr>
        <w:rPr>
          <w:rFonts w:ascii="Arial" w:hAnsi="Arial" w:cs="Arial"/>
        </w:rPr>
      </w:pPr>
      <w:proofErr w:type="spellStart"/>
      <w:r w:rsidRPr="00114BCF">
        <w:rPr>
          <w:rFonts w:ascii="Arial" w:hAnsi="Arial" w:cs="Arial"/>
        </w:rPr>
        <w:t>Mudambi</w:t>
      </w:r>
      <w:proofErr w:type="spellEnd"/>
      <w:r w:rsidRPr="00114BCF">
        <w:rPr>
          <w:rFonts w:ascii="Arial" w:hAnsi="Arial" w:cs="Arial"/>
        </w:rPr>
        <w:t>, R. and Puck, J., 2016. A global value chain analysis of the ‘regional strategy’ perspective. </w:t>
      </w:r>
      <w:r w:rsidRPr="00114BCF">
        <w:rPr>
          <w:rFonts w:ascii="Arial" w:hAnsi="Arial" w:cs="Arial"/>
          <w:i/>
          <w:iCs/>
        </w:rPr>
        <w:t>Journal of Management Studies</w:t>
      </w:r>
      <w:r w:rsidRPr="00114BCF">
        <w:rPr>
          <w:rFonts w:ascii="Arial" w:hAnsi="Arial" w:cs="Arial"/>
        </w:rPr>
        <w:t>, 53(6), pp.1076-1093.</w:t>
      </w:r>
    </w:p>
    <w:p w14:paraId="56BE3182" w14:textId="77777777" w:rsidR="00E54B88" w:rsidRPr="00114BCF" w:rsidRDefault="00E54B88" w:rsidP="00672EE1">
      <w:pPr>
        <w:rPr>
          <w:rFonts w:ascii="Arial" w:hAnsi="Arial" w:cs="Arial"/>
        </w:rPr>
      </w:pPr>
      <w:proofErr w:type="spellStart"/>
      <w:r w:rsidRPr="00114BCF">
        <w:rPr>
          <w:rFonts w:ascii="Arial" w:hAnsi="Arial" w:cs="Arial"/>
        </w:rPr>
        <w:t>Restuccia</w:t>
      </w:r>
      <w:proofErr w:type="spellEnd"/>
      <w:r w:rsidRPr="00114BCF">
        <w:rPr>
          <w:rFonts w:ascii="Arial" w:hAnsi="Arial" w:cs="Arial"/>
        </w:rPr>
        <w:t xml:space="preserve">, M., de Brentani, U., </w:t>
      </w:r>
      <w:proofErr w:type="spellStart"/>
      <w:r w:rsidRPr="00114BCF">
        <w:rPr>
          <w:rFonts w:ascii="Arial" w:hAnsi="Arial" w:cs="Arial"/>
        </w:rPr>
        <w:t>Legoux</w:t>
      </w:r>
      <w:proofErr w:type="spellEnd"/>
      <w:r w:rsidRPr="00114BCF">
        <w:rPr>
          <w:rFonts w:ascii="Arial" w:hAnsi="Arial" w:cs="Arial"/>
        </w:rPr>
        <w:t>, R. and Ouellet, J.F., 2016. Product life</w:t>
      </w:r>
      <w:r w:rsidRPr="00114BCF">
        <w:rPr>
          <w:rFonts w:ascii="Cambria Math" w:hAnsi="Cambria Math" w:cs="Cambria Math"/>
        </w:rPr>
        <w:t>‐</w:t>
      </w:r>
      <w:r w:rsidRPr="00114BCF">
        <w:rPr>
          <w:rFonts w:ascii="Arial" w:hAnsi="Arial" w:cs="Arial"/>
        </w:rPr>
        <w:t>cycle management and distributor contribution to new product development. </w:t>
      </w:r>
      <w:r w:rsidRPr="00114BCF">
        <w:rPr>
          <w:rFonts w:ascii="Arial" w:hAnsi="Arial" w:cs="Arial"/>
          <w:i/>
          <w:iCs/>
        </w:rPr>
        <w:t>Journal of Product Innovation Management</w:t>
      </w:r>
      <w:r w:rsidRPr="00114BCF">
        <w:rPr>
          <w:rFonts w:ascii="Arial" w:hAnsi="Arial" w:cs="Arial"/>
        </w:rPr>
        <w:t>, 33(1), pp.69-89.</w:t>
      </w:r>
    </w:p>
    <w:p w14:paraId="597E2570" w14:textId="40D82C13" w:rsidR="00E54B88" w:rsidRPr="00114BCF" w:rsidRDefault="00E54B88" w:rsidP="002F5D64">
      <w:pPr>
        <w:rPr>
          <w:rFonts w:ascii="Arial" w:hAnsi="Arial" w:cs="Arial"/>
        </w:rPr>
      </w:pPr>
      <w:r w:rsidRPr="00114BCF">
        <w:rPr>
          <w:rFonts w:ascii="Arial" w:hAnsi="Arial" w:cs="Arial"/>
        </w:rPr>
        <w:t xml:space="preserve">Volvo, 2020. </w:t>
      </w:r>
      <w:r w:rsidRPr="00114BCF">
        <w:rPr>
          <w:rFonts w:ascii="Arial" w:hAnsi="Arial" w:cs="Arial"/>
          <w:i/>
          <w:iCs/>
        </w:rPr>
        <w:t>Electrification.</w:t>
      </w:r>
      <w:r w:rsidR="00114BCF">
        <w:rPr>
          <w:rFonts w:ascii="Arial" w:hAnsi="Arial" w:cs="Arial"/>
        </w:rPr>
        <w:t xml:space="preserve"> [O</w:t>
      </w:r>
      <w:bookmarkStart w:id="15" w:name="_GoBack"/>
      <w:bookmarkEnd w:id="15"/>
      <w:r w:rsidR="00114BCF">
        <w:rPr>
          <w:rFonts w:ascii="Arial" w:hAnsi="Arial" w:cs="Arial"/>
        </w:rPr>
        <w:t xml:space="preserve">nline] Available at: </w:t>
      </w:r>
      <w:r w:rsidRPr="00114BCF">
        <w:rPr>
          <w:rFonts w:ascii="Arial" w:hAnsi="Arial" w:cs="Arial"/>
        </w:rPr>
        <w:t>https://www.volvocars.com/intl/why-volvo/h</w:t>
      </w:r>
      <w:r w:rsidR="00114BCF">
        <w:rPr>
          <w:rFonts w:ascii="Arial" w:hAnsi="Arial" w:cs="Arial"/>
        </w:rPr>
        <w:t>uman-innovation/electrification</w:t>
      </w:r>
      <w:r w:rsidRPr="00114BCF">
        <w:rPr>
          <w:rFonts w:ascii="Arial" w:hAnsi="Arial" w:cs="Arial"/>
        </w:rPr>
        <w:t xml:space="preserve"> [Accessed 25 April 2020].</w:t>
      </w:r>
    </w:p>
    <w:sectPr w:rsidR="00E54B88" w:rsidRPr="00114BCF" w:rsidSect="0071558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8ADE66D" w14:textId="77777777" w:rsidR="001D05E1" w:rsidRDefault="001D05E1" w:rsidP="00167E0F">
      <w:pPr>
        <w:spacing w:after="0" w:line="240" w:lineRule="auto"/>
      </w:pPr>
      <w:r>
        <w:separator/>
      </w:r>
    </w:p>
  </w:endnote>
  <w:endnote w:type="continuationSeparator" w:id="0">
    <w:p w14:paraId="44320414" w14:textId="77777777" w:rsidR="001D05E1" w:rsidRDefault="001D05E1" w:rsidP="00167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AFF" w:usb1="C0007843" w:usb2="00000009" w:usb3="00000000" w:csb0="000001FF" w:csb1="00000000"/>
  </w:font>
  <w:font w:name="Cambria Math">
    <w:panose1 w:val="02040503050406030204"/>
    <w:charset w:val="EE"/>
    <w:family w:val="roman"/>
    <w:pitch w:val="variable"/>
    <w:sig w:usb0="E00002FF" w:usb1="420024FF" w:usb2="00000000" w:usb3="00000000" w:csb0="0000019F" w:csb1="00000000"/>
  </w:font>
  <w:font w:name="Calibri Light">
    <w:panose1 w:val="020F0302020204030204"/>
    <w:charset w:val="EE"/>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13373D2" w14:textId="77777777" w:rsidR="001D05E1" w:rsidRDefault="001D05E1" w:rsidP="00167E0F">
      <w:pPr>
        <w:spacing w:after="0" w:line="240" w:lineRule="auto"/>
      </w:pPr>
      <w:r>
        <w:separator/>
      </w:r>
    </w:p>
  </w:footnote>
  <w:footnote w:type="continuationSeparator" w:id="0">
    <w:p w14:paraId="747F2861" w14:textId="77777777" w:rsidR="001D05E1" w:rsidRDefault="001D05E1" w:rsidP="00167E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hyphenationZone w:val="425"/>
  <w:drawingGridHorizontalSpacing w:val="110"/>
  <w:displayHorizontalDrawingGridEvery w:val="2"/>
  <w:displayVerticalDrawingGridEvery w:val="2"/>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719A"/>
    <w:rsid w:val="0002523E"/>
    <w:rsid w:val="00030E2D"/>
    <w:rsid w:val="00037BD8"/>
    <w:rsid w:val="00054CD5"/>
    <w:rsid w:val="00096C2E"/>
    <w:rsid w:val="000D4641"/>
    <w:rsid w:val="000E2AEF"/>
    <w:rsid w:val="000E6931"/>
    <w:rsid w:val="00105241"/>
    <w:rsid w:val="001118A2"/>
    <w:rsid w:val="00114BCF"/>
    <w:rsid w:val="00167E0F"/>
    <w:rsid w:val="0018316B"/>
    <w:rsid w:val="001B0ED9"/>
    <w:rsid w:val="001D05E1"/>
    <w:rsid w:val="002319C6"/>
    <w:rsid w:val="00250E95"/>
    <w:rsid w:val="002512A7"/>
    <w:rsid w:val="00254855"/>
    <w:rsid w:val="00297403"/>
    <w:rsid w:val="002A1B94"/>
    <w:rsid w:val="002C16F0"/>
    <w:rsid w:val="002E49C8"/>
    <w:rsid w:val="002F5D64"/>
    <w:rsid w:val="00301D78"/>
    <w:rsid w:val="0030710F"/>
    <w:rsid w:val="0031103F"/>
    <w:rsid w:val="00316719"/>
    <w:rsid w:val="00320F9E"/>
    <w:rsid w:val="00356CD5"/>
    <w:rsid w:val="003C6580"/>
    <w:rsid w:val="003E2904"/>
    <w:rsid w:val="003F06DD"/>
    <w:rsid w:val="00497A56"/>
    <w:rsid w:val="004A29F9"/>
    <w:rsid w:val="004B5308"/>
    <w:rsid w:val="004C719A"/>
    <w:rsid w:val="004D23D0"/>
    <w:rsid w:val="004E2B4F"/>
    <w:rsid w:val="004F0548"/>
    <w:rsid w:val="005358EE"/>
    <w:rsid w:val="00543466"/>
    <w:rsid w:val="00595414"/>
    <w:rsid w:val="005D48A9"/>
    <w:rsid w:val="005F5EE4"/>
    <w:rsid w:val="006367A4"/>
    <w:rsid w:val="006707A3"/>
    <w:rsid w:val="00672EE1"/>
    <w:rsid w:val="006F5456"/>
    <w:rsid w:val="00715581"/>
    <w:rsid w:val="0072218D"/>
    <w:rsid w:val="00737324"/>
    <w:rsid w:val="00741EBA"/>
    <w:rsid w:val="007455A4"/>
    <w:rsid w:val="0075034E"/>
    <w:rsid w:val="00751151"/>
    <w:rsid w:val="007711D1"/>
    <w:rsid w:val="00781B7D"/>
    <w:rsid w:val="007B100C"/>
    <w:rsid w:val="007B79CB"/>
    <w:rsid w:val="007C3387"/>
    <w:rsid w:val="007D08DF"/>
    <w:rsid w:val="007D4660"/>
    <w:rsid w:val="00827EAC"/>
    <w:rsid w:val="008552A4"/>
    <w:rsid w:val="00875B63"/>
    <w:rsid w:val="008B348F"/>
    <w:rsid w:val="00940C23"/>
    <w:rsid w:val="009567BF"/>
    <w:rsid w:val="009A7373"/>
    <w:rsid w:val="009B08E2"/>
    <w:rsid w:val="00A013AA"/>
    <w:rsid w:val="00A3090C"/>
    <w:rsid w:val="00A438A7"/>
    <w:rsid w:val="00A61D1D"/>
    <w:rsid w:val="00A65CF8"/>
    <w:rsid w:val="00A74524"/>
    <w:rsid w:val="00AA3DA9"/>
    <w:rsid w:val="00B11D84"/>
    <w:rsid w:val="00C841C4"/>
    <w:rsid w:val="00D0407A"/>
    <w:rsid w:val="00D2583A"/>
    <w:rsid w:val="00D35F32"/>
    <w:rsid w:val="00D91437"/>
    <w:rsid w:val="00D9679A"/>
    <w:rsid w:val="00DB4DF5"/>
    <w:rsid w:val="00DC127B"/>
    <w:rsid w:val="00DD5DA9"/>
    <w:rsid w:val="00DE3023"/>
    <w:rsid w:val="00E54B88"/>
    <w:rsid w:val="00E603F2"/>
    <w:rsid w:val="00E65A3F"/>
    <w:rsid w:val="00E82D11"/>
    <w:rsid w:val="00F03D92"/>
    <w:rsid w:val="00F10B83"/>
    <w:rsid w:val="00F15C23"/>
    <w:rsid w:val="00F23F3C"/>
    <w:rsid w:val="00F87A01"/>
    <w:rsid w:val="00FD1AE9"/>
    <w:rsid w:val="00FF19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952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4B8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B4DF5"/>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841C4"/>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4E2B4F"/>
    <w:pPr>
      <w:keepNext/>
      <w:keepLines/>
      <w:spacing w:before="40" w:after="0"/>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DF5"/>
    <w:rPr>
      <w:rFonts w:ascii="Times New Roman" w:eastAsiaTheme="majorEastAsia" w:hAnsi="Times New Roman" w:cstheme="majorBidi"/>
      <w:b/>
      <w:sz w:val="24"/>
      <w:szCs w:val="32"/>
      <w:lang w:val="en-AU"/>
    </w:rPr>
  </w:style>
  <w:style w:type="character" w:customStyle="1" w:styleId="Heading2Char">
    <w:name w:val="Heading 2 Char"/>
    <w:basedOn w:val="DefaultParagraphFont"/>
    <w:link w:val="Heading2"/>
    <w:uiPriority w:val="9"/>
    <w:rsid w:val="00C841C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4E2B4F"/>
    <w:rPr>
      <w:rFonts w:ascii="Times New Roman" w:eastAsiaTheme="majorEastAsia" w:hAnsi="Times New Roman" w:cstheme="majorBidi"/>
      <w:i/>
      <w:sz w:val="24"/>
      <w:szCs w:val="24"/>
      <w:lang w:val="en-GB"/>
    </w:rPr>
  </w:style>
  <w:style w:type="paragraph" w:styleId="TOCHeading">
    <w:name w:val="TOC Heading"/>
    <w:basedOn w:val="Heading1"/>
    <w:next w:val="Normal"/>
    <w:uiPriority w:val="39"/>
    <w:unhideWhenUsed/>
    <w:qFormat/>
    <w:rsid w:val="0072218D"/>
    <w:pPr>
      <w:jc w:val="center"/>
      <w:outlineLvl w:val="9"/>
    </w:pPr>
  </w:style>
  <w:style w:type="paragraph" w:styleId="TOC1">
    <w:name w:val="toc 1"/>
    <w:basedOn w:val="Normal"/>
    <w:next w:val="Normal"/>
    <w:autoRedefine/>
    <w:uiPriority w:val="39"/>
    <w:unhideWhenUsed/>
    <w:rsid w:val="00E54B88"/>
    <w:pPr>
      <w:spacing w:after="100"/>
    </w:pPr>
  </w:style>
  <w:style w:type="character" w:styleId="Hyperlink">
    <w:name w:val="Hyperlink"/>
    <w:basedOn w:val="DefaultParagraphFont"/>
    <w:uiPriority w:val="99"/>
    <w:unhideWhenUsed/>
    <w:rsid w:val="00E54B88"/>
    <w:rPr>
      <w:color w:val="0563C1" w:themeColor="hyperlink"/>
      <w:u w:val="single"/>
    </w:rPr>
  </w:style>
  <w:style w:type="paragraph" w:styleId="TOC2">
    <w:name w:val="toc 2"/>
    <w:basedOn w:val="Normal"/>
    <w:next w:val="Normal"/>
    <w:autoRedefine/>
    <w:uiPriority w:val="39"/>
    <w:unhideWhenUsed/>
    <w:rsid w:val="00254855"/>
    <w:pPr>
      <w:spacing w:after="100"/>
      <w:ind w:left="240"/>
    </w:pPr>
  </w:style>
  <w:style w:type="paragraph" w:styleId="Header">
    <w:name w:val="header"/>
    <w:basedOn w:val="Normal"/>
    <w:link w:val="HeaderChar"/>
    <w:uiPriority w:val="99"/>
    <w:unhideWhenUsed/>
    <w:rsid w:val="00167E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E0F"/>
    <w:rPr>
      <w:rFonts w:ascii="Times New Roman" w:hAnsi="Times New Roman"/>
      <w:sz w:val="24"/>
      <w:lang w:val="en-GB"/>
    </w:rPr>
  </w:style>
  <w:style w:type="paragraph" w:styleId="Footer">
    <w:name w:val="footer"/>
    <w:basedOn w:val="Normal"/>
    <w:link w:val="FooterChar"/>
    <w:uiPriority w:val="99"/>
    <w:unhideWhenUsed/>
    <w:rsid w:val="00167E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E0F"/>
    <w:rPr>
      <w:rFonts w:ascii="Times New Roman" w:hAnsi="Times New Roman"/>
      <w:sz w:val="24"/>
      <w:lang w:val="en-GB"/>
    </w:rPr>
  </w:style>
  <w:style w:type="paragraph" w:styleId="BalloonText">
    <w:name w:val="Balloon Text"/>
    <w:basedOn w:val="Normal"/>
    <w:link w:val="BalloonTextChar"/>
    <w:uiPriority w:val="99"/>
    <w:semiHidden/>
    <w:unhideWhenUsed/>
    <w:rsid w:val="00114B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4BCF"/>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4B8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B4DF5"/>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841C4"/>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4E2B4F"/>
    <w:pPr>
      <w:keepNext/>
      <w:keepLines/>
      <w:spacing w:before="40" w:after="0"/>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DF5"/>
    <w:rPr>
      <w:rFonts w:ascii="Times New Roman" w:eastAsiaTheme="majorEastAsia" w:hAnsi="Times New Roman" w:cstheme="majorBidi"/>
      <w:b/>
      <w:sz w:val="24"/>
      <w:szCs w:val="32"/>
      <w:lang w:val="en-AU"/>
    </w:rPr>
  </w:style>
  <w:style w:type="character" w:customStyle="1" w:styleId="Heading2Char">
    <w:name w:val="Heading 2 Char"/>
    <w:basedOn w:val="DefaultParagraphFont"/>
    <w:link w:val="Heading2"/>
    <w:uiPriority w:val="9"/>
    <w:rsid w:val="00C841C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4E2B4F"/>
    <w:rPr>
      <w:rFonts w:ascii="Times New Roman" w:eastAsiaTheme="majorEastAsia" w:hAnsi="Times New Roman" w:cstheme="majorBidi"/>
      <w:i/>
      <w:sz w:val="24"/>
      <w:szCs w:val="24"/>
      <w:lang w:val="en-GB"/>
    </w:rPr>
  </w:style>
  <w:style w:type="paragraph" w:styleId="TOCHeading">
    <w:name w:val="TOC Heading"/>
    <w:basedOn w:val="Heading1"/>
    <w:next w:val="Normal"/>
    <w:uiPriority w:val="39"/>
    <w:unhideWhenUsed/>
    <w:qFormat/>
    <w:rsid w:val="0072218D"/>
    <w:pPr>
      <w:jc w:val="center"/>
      <w:outlineLvl w:val="9"/>
    </w:pPr>
  </w:style>
  <w:style w:type="paragraph" w:styleId="TOC1">
    <w:name w:val="toc 1"/>
    <w:basedOn w:val="Normal"/>
    <w:next w:val="Normal"/>
    <w:autoRedefine/>
    <w:uiPriority w:val="39"/>
    <w:unhideWhenUsed/>
    <w:rsid w:val="00E54B88"/>
    <w:pPr>
      <w:spacing w:after="100"/>
    </w:pPr>
  </w:style>
  <w:style w:type="character" w:styleId="Hyperlink">
    <w:name w:val="Hyperlink"/>
    <w:basedOn w:val="DefaultParagraphFont"/>
    <w:uiPriority w:val="99"/>
    <w:unhideWhenUsed/>
    <w:rsid w:val="00E54B88"/>
    <w:rPr>
      <w:color w:val="0563C1" w:themeColor="hyperlink"/>
      <w:u w:val="single"/>
    </w:rPr>
  </w:style>
  <w:style w:type="paragraph" w:styleId="TOC2">
    <w:name w:val="toc 2"/>
    <w:basedOn w:val="Normal"/>
    <w:next w:val="Normal"/>
    <w:autoRedefine/>
    <w:uiPriority w:val="39"/>
    <w:unhideWhenUsed/>
    <w:rsid w:val="00254855"/>
    <w:pPr>
      <w:spacing w:after="100"/>
      <w:ind w:left="240"/>
    </w:pPr>
  </w:style>
  <w:style w:type="paragraph" w:styleId="Header">
    <w:name w:val="header"/>
    <w:basedOn w:val="Normal"/>
    <w:link w:val="HeaderChar"/>
    <w:uiPriority w:val="99"/>
    <w:unhideWhenUsed/>
    <w:rsid w:val="00167E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E0F"/>
    <w:rPr>
      <w:rFonts w:ascii="Times New Roman" w:hAnsi="Times New Roman"/>
      <w:sz w:val="24"/>
      <w:lang w:val="en-GB"/>
    </w:rPr>
  </w:style>
  <w:style w:type="paragraph" w:styleId="Footer">
    <w:name w:val="footer"/>
    <w:basedOn w:val="Normal"/>
    <w:link w:val="FooterChar"/>
    <w:uiPriority w:val="99"/>
    <w:unhideWhenUsed/>
    <w:rsid w:val="00167E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E0F"/>
    <w:rPr>
      <w:rFonts w:ascii="Times New Roman" w:hAnsi="Times New Roman"/>
      <w:sz w:val="24"/>
      <w:lang w:val="en-GB"/>
    </w:rPr>
  </w:style>
  <w:style w:type="paragraph" w:styleId="BalloonText">
    <w:name w:val="Balloon Text"/>
    <w:basedOn w:val="Normal"/>
    <w:link w:val="BalloonTextChar"/>
    <w:uiPriority w:val="99"/>
    <w:semiHidden/>
    <w:unhideWhenUsed/>
    <w:rsid w:val="00114B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4BC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A6868D-C2DB-49AA-94E7-68EF3332A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2308</Words>
  <Characters>13391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15668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Anghel</dc:creator>
  <cp:lastModifiedBy/>
  <cp:revision>1</cp:revision>
  <dcterms:created xsi:type="dcterms:W3CDTF">2020-05-06T14:23:00Z</dcterms:created>
  <dcterms:modified xsi:type="dcterms:W3CDTF">2020-05-06T14:23:00Z</dcterms:modified>
</cp:coreProperties>
</file>