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314"/>
        <w:tblW w:w="0" w:type="auto"/>
        <w:tblInd w:w="0" w:type="dxa"/>
        <w:tblLook w:val="04A0" w:firstRow="1" w:lastRow="0" w:firstColumn="1" w:lastColumn="0" w:noHBand="0" w:noVBand="1"/>
      </w:tblPr>
      <w:tblGrid>
        <w:gridCol w:w="1838"/>
        <w:gridCol w:w="7178"/>
      </w:tblGrid>
      <w:tr w:rsidR="00A70C4D" w14:paraId="4B3DF60A" w14:textId="77777777" w:rsidTr="00A70C4D">
        <w:tc>
          <w:tcPr>
            <w:tcW w:w="1838" w:type="dxa"/>
            <w:tcBorders>
              <w:top w:val="single" w:sz="4" w:space="0" w:color="auto"/>
              <w:left w:val="single" w:sz="4" w:space="0" w:color="auto"/>
              <w:bottom w:val="single" w:sz="4" w:space="0" w:color="auto"/>
              <w:right w:val="single" w:sz="4" w:space="0" w:color="auto"/>
            </w:tcBorders>
            <w:hideMark/>
          </w:tcPr>
          <w:p w14:paraId="452518EF" w14:textId="77777777" w:rsidR="00A70C4D" w:rsidRDefault="00A70C4D" w:rsidP="00A70C4D">
            <w:pPr>
              <w:pStyle w:val="AssignBody"/>
            </w:pPr>
            <w:r>
              <w:t>T</w:t>
            </w:r>
            <w:bookmarkStart w:id="0" w:name="cysill"/>
            <w:bookmarkEnd w:id="0"/>
            <w:r>
              <w:t>arged/Target 1</w:t>
            </w:r>
          </w:p>
        </w:tc>
        <w:tc>
          <w:tcPr>
            <w:tcW w:w="7178" w:type="dxa"/>
            <w:tcBorders>
              <w:top w:val="single" w:sz="4" w:space="0" w:color="auto"/>
              <w:left w:val="single" w:sz="4" w:space="0" w:color="auto"/>
              <w:bottom w:val="single" w:sz="4" w:space="0" w:color="auto"/>
              <w:right w:val="single" w:sz="4" w:space="0" w:color="auto"/>
            </w:tcBorders>
          </w:tcPr>
          <w:p w14:paraId="3B3A6B95" w14:textId="77777777" w:rsidR="00A70C4D" w:rsidRDefault="00A70C4D" w:rsidP="00A70C4D">
            <w:pPr>
              <w:pStyle w:val="AssignBody"/>
            </w:pPr>
            <w:r>
              <w:rPr>
                <w:rFonts w:ascii="Roboto" w:hAnsi="Roboto"/>
                <w:color w:val="283041"/>
                <w:sz w:val="21"/>
                <w:szCs w:val="21"/>
                <w:shd w:val="clear" w:color="auto" w:fill="FFFFFF"/>
              </w:rPr>
              <w:t>  I ddarllen yn ehangach er mwyn cefnogi dy safbwyntiau gyda thystiolaeth gadarn a chredadwy.  </w:t>
            </w:r>
          </w:p>
        </w:tc>
      </w:tr>
      <w:tr w:rsidR="00A70C4D" w14:paraId="27B55E66" w14:textId="77777777" w:rsidTr="00A70C4D">
        <w:tc>
          <w:tcPr>
            <w:tcW w:w="1838" w:type="dxa"/>
            <w:tcBorders>
              <w:top w:val="single" w:sz="4" w:space="0" w:color="auto"/>
              <w:left w:val="single" w:sz="4" w:space="0" w:color="auto"/>
              <w:bottom w:val="single" w:sz="4" w:space="0" w:color="auto"/>
              <w:right w:val="single" w:sz="4" w:space="0" w:color="auto"/>
            </w:tcBorders>
            <w:hideMark/>
          </w:tcPr>
          <w:p w14:paraId="2314BF57" w14:textId="77777777" w:rsidR="00A70C4D" w:rsidRDefault="00A70C4D" w:rsidP="00A70C4D">
            <w:pPr>
              <w:pStyle w:val="AssignBody"/>
            </w:pPr>
            <w:r>
              <w:t>Targed/Target 2</w:t>
            </w:r>
          </w:p>
        </w:tc>
        <w:tc>
          <w:tcPr>
            <w:tcW w:w="7178" w:type="dxa"/>
            <w:tcBorders>
              <w:top w:val="single" w:sz="4" w:space="0" w:color="auto"/>
              <w:left w:val="single" w:sz="4" w:space="0" w:color="auto"/>
              <w:bottom w:val="single" w:sz="4" w:space="0" w:color="auto"/>
              <w:right w:val="single" w:sz="4" w:space="0" w:color="auto"/>
            </w:tcBorders>
          </w:tcPr>
          <w:p w14:paraId="6DFD410C" w14:textId="77777777" w:rsidR="00A70C4D" w:rsidRDefault="00A70C4D" w:rsidP="00A70C4D">
            <w:pPr>
              <w:pStyle w:val="AssignBody"/>
            </w:pPr>
            <w:r>
              <w:rPr>
                <w:rFonts w:ascii="Roboto" w:hAnsi="Roboto"/>
                <w:color w:val="283041"/>
                <w:sz w:val="21"/>
                <w:szCs w:val="21"/>
                <w:shd w:val="clear" w:color="auto" w:fill="FFFFFF"/>
              </w:rPr>
              <w:t>Ail edrych ar ddull Harvard i gyferinodi'n gywir o fewn dy waith. </w:t>
            </w:r>
          </w:p>
        </w:tc>
      </w:tr>
      <w:tr w:rsidR="00A70C4D" w14:paraId="2DE9736E" w14:textId="77777777" w:rsidTr="00A70C4D">
        <w:tc>
          <w:tcPr>
            <w:tcW w:w="1838" w:type="dxa"/>
            <w:tcBorders>
              <w:top w:val="single" w:sz="4" w:space="0" w:color="auto"/>
              <w:left w:val="single" w:sz="4" w:space="0" w:color="auto"/>
              <w:bottom w:val="single" w:sz="4" w:space="0" w:color="auto"/>
              <w:right w:val="single" w:sz="4" w:space="0" w:color="auto"/>
            </w:tcBorders>
            <w:hideMark/>
          </w:tcPr>
          <w:p w14:paraId="73F33E67" w14:textId="77777777" w:rsidR="00A70C4D" w:rsidRDefault="00A70C4D" w:rsidP="00A70C4D">
            <w:pPr>
              <w:pStyle w:val="AssignBody"/>
            </w:pPr>
            <w:r>
              <w:t>Targed/Target 3</w:t>
            </w:r>
          </w:p>
        </w:tc>
        <w:tc>
          <w:tcPr>
            <w:tcW w:w="7178" w:type="dxa"/>
            <w:tcBorders>
              <w:top w:val="single" w:sz="4" w:space="0" w:color="auto"/>
              <w:left w:val="single" w:sz="4" w:space="0" w:color="auto"/>
              <w:bottom w:val="single" w:sz="4" w:space="0" w:color="auto"/>
              <w:right w:val="single" w:sz="4" w:space="0" w:color="auto"/>
            </w:tcBorders>
          </w:tcPr>
          <w:p w14:paraId="55ADDCF8" w14:textId="77777777" w:rsidR="00A70C4D" w:rsidRDefault="00A70C4D" w:rsidP="00A70C4D">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shd w:val="clear" w:color="auto" w:fill="FFFFFF"/>
              </w:rPr>
              <w:t> I brawf ddarllen y gwaith er mwyn sicrhau llif brawddegau a bod ymadroddion yn cyfleu ystyr yn union fel wyt yn dymuno. </w:t>
            </w:r>
          </w:p>
          <w:p w14:paraId="0A02F123" w14:textId="77777777" w:rsidR="00A70C4D" w:rsidRDefault="00A70C4D" w:rsidP="00A70C4D">
            <w:pPr>
              <w:pStyle w:val="AssignBody"/>
            </w:pPr>
          </w:p>
        </w:tc>
      </w:tr>
    </w:tbl>
    <w:p w14:paraId="26983278" w14:textId="3A54DA40" w:rsidR="00F656C8" w:rsidRDefault="008716E2" w:rsidP="009D36E8">
      <w:pPr>
        <w:pStyle w:val="Heading1"/>
        <w:jc w:val="center"/>
      </w:pPr>
      <w:r>
        <w:t>Portffolio Adfyfyriol</w:t>
      </w:r>
    </w:p>
    <w:p w14:paraId="0F3D6516" w14:textId="6A2EB7EE" w:rsidR="00D97A22" w:rsidRPr="00724099" w:rsidRDefault="00D97A22" w:rsidP="008716E2">
      <w:pPr>
        <w:rPr>
          <w:b/>
          <w:bCs/>
          <w:sz w:val="28"/>
          <w:szCs w:val="28"/>
          <w:u w:val="single"/>
        </w:rPr>
      </w:pPr>
      <w:r w:rsidRPr="00724099">
        <w:rPr>
          <w:b/>
          <w:bCs/>
          <w:sz w:val="28"/>
          <w:szCs w:val="28"/>
          <w:u w:val="single"/>
        </w:rPr>
        <w:t>Cyflwyniad</w:t>
      </w:r>
    </w:p>
    <w:p w14:paraId="12F19002" w14:textId="77777777" w:rsidR="00A70C4D" w:rsidRDefault="001878CE" w:rsidP="00A70C4D">
      <w:r w:rsidRPr="001878CE">
        <w:t>Dros y blynyddoedd mae yna wedi bod newidiadau arwyddocaol wedi bod yn addysg yng Nghymru. Y newid fwyaf i addysg Nghymru oedd cyflwyniad y Cwricwlwm Newydd i Gymru, sef yn cael ei alw Cwricwlwm Cymru yn 2024. Pob tair blynedd mae hanner miliwn o blant yn cymryd rhan mewn profion PISA (Programme for International Student Assessment) er mwyn mesur gallu plant ar draws y byd fewn mathemateg, darllen a gwyddoniaeth. (PISA overview, dim dyddiad). Yn ganlyniadau profion PISA yn 2015 bod Cymru wedi sgorio yn is ym mhob profiad yn cymharu gyda’r gwledydd arall yn y Deyrnas Unedig. Fel enghraifft roedd Cymru dim ond wedi sgorio 466 o bwyntiau yn cymharu gyda Lloegr sydd yn gyda 495 o bwyntiau (PISA Results, 2012). Roedd Cymru wedi sgorio yn is na’r cyfartaledd OECD (PISA Results, 2012).</w:t>
      </w:r>
      <w:r w:rsidR="000252C7">
        <w:t xml:space="preserve"> </w:t>
      </w:r>
      <w:r w:rsidR="00D44BCA" w:rsidRPr="00D44BCA">
        <w:t>O ganlyniad i hyn yn 2014 roedd Llywodraeth Cymru wedi gofyn i athro Graham Donaldson i gynnal adolygiad Cwricwlwm yng Nghymru. Roedd Donaldson wedi mynd ac ymweld ar 60 gwahanol o ysgolion er mwyn casglu gwybodaeth a data oedd yn cyfleu gwendidau a chryfderau'r hen gwricwlwm. Yn ogystal ag ymweld ag ysgolion a darllen nifer o adroddiadau estyn, roedd Donaldson wedi gofyn am farn pobl eraill am y cwricwlwm, “The Review also asked people to tell us what was best about education in. Wales and what needed to change” (Successful Futrues, 2015). Dywedodd athrawon wrth Donaldson yn yr adroddiad bod hoffent gael fwy o bŵer i wneud penderfyniadau ar sut a beth i addysgu o fewn y cwricwlwm a bod angen cael mwy o ffocws ar sgiliau bywyd, hyder personol ac iechyd a lles. Roedd hyn wedi arwain at newid fwyaf yn y cwricwlwm.</w:t>
      </w:r>
      <w:r w:rsidR="00185CE4">
        <w:t xml:space="preserve"> </w:t>
      </w:r>
      <w:r w:rsidR="00A70C4D">
        <w:t>O’r adroddiad datblygodd y syniad o 4 diben sef y syniad o fod pob disgybl yn unigolyn iach, hyderus, yn gyfrannwr mentrus, creadigol, yn ddinesydd egwyddorol, gwybodus ac yn ddysgwr uchelgeisiol, galluog. Gyda hyn, nodwyd hefyd dylai fod chwech Maes dysgu a phrofiad (Successful, Futures, 2015). Trafodwyd Donaldson hefyd am ddeuddeg egwyddor yn adroddiad ef, er hyn yn y traethawd yma rydym yn mynd i siarad am dair egwyddor hynny sef:</w:t>
      </w:r>
    </w:p>
    <w:p w14:paraId="582E488F" w14:textId="77777777" w:rsidR="00A70C4D" w:rsidRDefault="00A70C4D" w:rsidP="00A70C4D">
      <w:r>
        <w:t>•</w:t>
      </w:r>
      <w:r>
        <w:tab/>
        <w:t>Mae addysgu a dysgu da yn galw am ddefnyddio cymysgedd o ddulliau sy’n cynnwys addysgu uniongyrchol</w:t>
      </w:r>
    </w:p>
    <w:p w14:paraId="02A279C2" w14:textId="77777777" w:rsidR="00A70C4D" w:rsidRDefault="00A70C4D" w:rsidP="00A70C4D">
      <w:r>
        <w:lastRenderedPageBreak/>
        <w:t>•</w:t>
      </w:r>
      <w:r>
        <w:tab/>
        <w:t>Mae addysgu a dysgu da yn golygu gosod tasgau a dewis adnoddau sy’n adeiladu ar wybodaeth a phrofiad blaenorol ac yn ennyn diddordeb</w:t>
      </w:r>
    </w:p>
    <w:p w14:paraId="5734F9EF" w14:textId="2E25B8DB" w:rsidR="009F1016" w:rsidRDefault="00A70C4D" w:rsidP="00A70C4D">
      <w:pPr>
        <w:rPr>
          <w:b/>
          <w:bCs/>
          <w:sz w:val="28"/>
          <w:szCs w:val="28"/>
          <w:u w:val="single"/>
        </w:rPr>
      </w:pPr>
      <w:r>
        <w:t>•</w:t>
      </w:r>
      <w:r>
        <w:tab/>
        <w:t>Mae addysgu a dysgu da yn ymestyn oddi mewn ac ar draws Meysydd Dysgu a Phrofiad.</w:t>
      </w:r>
    </w:p>
    <w:p w14:paraId="0F8DF92B" w14:textId="77777777" w:rsidR="009F1016" w:rsidRDefault="009F1016" w:rsidP="00724099">
      <w:pPr>
        <w:rPr>
          <w:b/>
          <w:bCs/>
          <w:sz w:val="28"/>
          <w:szCs w:val="28"/>
          <w:u w:val="single"/>
        </w:rPr>
      </w:pPr>
    </w:p>
    <w:p w14:paraId="17020E19" w14:textId="26651972" w:rsidR="00724099" w:rsidRPr="00724099" w:rsidRDefault="00724099" w:rsidP="00724099">
      <w:pPr>
        <w:rPr>
          <w:b/>
          <w:bCs/>
          <w:sz w:val="28"/>
          <w:szCs w:val="28"/>
          <w:u w:val="single"/>
        </w:rPr>
      </w:pPr>
      <w:r w:rsidRPr="00724099">
        <w:rPr>
          <w:b/>
          <w:bCs/>
          <w:sz w:val="28"/>
          <w:szCs w:val="28"/>
          <w:u w:val="single"/>
        </w:rPr>
        <w:t>Egwyddor 1</w:t>
      </w:r>
    </w:p>
    <w:p w14:paraId="2BBF6FA5" w14:textId="41A59BE8" w:rsidR="00243606" w:rsidRDefault="005E2FD1" w:rsidP="00724099">
      <w:r w:rsidRPr="005E2FD1">
        <w:t xml:space="preserve">Yr egwyddor gyntaf rydym yn mynd i siarad amdan ydy “Mae addysgu a dysgu da'r galw am ddefnyddio cymysgedd o ddulliau sy’n cynnwys addysgu uniongyrchol”. Y prif ffocws yr egwyddor hon yw’r pwyslais ar ddefnyddio ystod o wahanol ffyrdd o ddysgu. Yn amlwg mae rhai dulliau dysgu yn effeithiol i wahanol unigolion yn y dosbarth, felly yn amlwg mae rhai dulliau yn effeithiol i rai, ond eraill yn siwtio yn well i eraill. I gefnogi'r egwyddor hon mae ymarferwyr addysg yn eisiau ffurfio perthnasoedd cadarnhaol a pharchus gyda dysgwyr a chefnogi perthnasoedd da rhwng cyfoedion, cynllunio cyfleoedd dysgu diddorol sy’n briodol i’w datblygiad wedi’u llywio gan arsylwi rheolaidd ac asesu dysgu’n barrais a chyfnod datblygu’r dysgwr (Hwb, 2023). Mae Vygotsky yn credu mai potensial y plentyn i ddeall ehangu trwy gydweithio gyda chyfoedion neu oedolion mwy galluog (Vygotsky, 1977). </w:t>
      </w:r>
      <w:r w:rsidR="005A3EB8" w:rsidRPr="005A3EB8">
        <w:t>Mae hwn yn cefnogi'r adolygiad mae Donaldson wedi cyflwyno. Mae pob unigolyn yn unigryw gyda diddordebau ac anghenion gwahanol, felly oherwydd hyn mae e yn lawr i gyfrifoldeb athrawon ac addysgwyr addasu’r ddarpariaeth o’r addysg er mwyn cwrdd â gofynion pob unigolyn (Sian Wyn Siencyn, Y cyfnod sylfaen, 2010). Hefyd i gefnogi hon mae nifer o ddamcaniaethwyr fel Fernald, Keller, Orton, Monterssori a Fleming wedi cyflwyno bod pobl yn dysgu trwy wahanol ffyrdd trwy ddefnyddio “VAK” sydd yn golygu “Visual, Auditory and Kinesthetic”. Gall “VAK” cael ei ddefnyddio mewn wahanol o ddulliau addysgu a fewn nifer o feysydd dysgu, bydd hwn yn rhoi lawer o gyfle i bawb i ddysgu ac i ddysgu mewn gwahanol o ffordd mae hyn o fudd i bawb o’r myfyrwyr i’r athrawon</w:t>
      </w:r>
      <w:r w:rsidR="00D453BC">
        <w:t>.</w:t>
      </w:r>
      <w:r w:rsidR="002A60B2">
        <w:t xml:space="preserve"> </w:t>
      </w:r>
      <w:r w:rsidR="009F00BD" w:rsidRPr="009F00BD">
        <w:t>Ond wrth ddweud hyn mae hon yn dasg anodd i addysgwyr i addysgu sy’n diddori pob disgybl wrth ystyried maint dosbarthiadau diweddar a nifer o ddisgyblion i ddarparu ar gyfer. Mae hefyd yn bwysig i athrawon i fagi diddordeb y disgyblion mewn i’r addysg. Ond yr adolygiad hwn felly, ni ddylid ystyried ei fod yn syrthio i “wersyll” penodol yn hytrach mae’n awgrymu’r angen am “repertoire” eang o brofiadau addysgu a dysgu sy’n adlewyrchu dibenion y cwricwlwm (Successful futures, 2015).</w:t>
      </w:r>
      <w:r w:rsidR="00BF79B9">
        <w:t xml:space="preserve"> </w:t>
      </w:r>
      <w:r w:rsidR="008A2C74" w:rsidRPr="008A2C74">
        <w:t>Mae hwn yn dangos bod yr adolygiad hwn yn eisiau cael ei ddefnyddio dros addysgu i gyd ac nid ddim ond addysgu uniongyrchol. Trwy fy mhrofiadau fy hun yn ysgolion rydym wedi gweld lawer o dechnegau gwahanol i addysgu plant. Rydym wedi gweld hwn i gael ei ddefnyddio mewn nifer wahanol o feysydd dysgu. Un esiampl o hwn yn fewn Celfyddydau Mynegiannol. Pan defnyddio dull o addysgu yn uniongyrchol bydd hwn yn gall cyflwyno cysyniadau a thechnegau sydd mewn celf, cerddoriaeth, drama a dawns trwy gyfarwyddyd uniongyrchol roi sylfaen gadarn i fyfyrwyr. Mae hwn yn agor lan i helpu datblygiad y plan</w:t>
      </w:r>
      <w:r w:rsidR="000A67CA">
        <w:t xml:space="preserve">t. </w:t>
      </w:r>
      <w:r w:rsidR="00FE4D4F" w:rsidRPr="00FE4D4F">
        <w:t xml:space="preserve">Ond mae cyfuno </w:t>
      </w:r>
      <w:r w:rsidR="00FE4D4F" w:rsidRPr="00FE4D4F">
        <w:lastRenderedPageBreak/>
        <w:t>addysgu uniongyrchol a chyfleoedd ar gyfer mynegiant creadigol ac archwilio yn galluogi myfyrwyr i gymhwyso eu gwybodaeth mewn ffyrdd ymarferol a llawn dychymyg. Felly trwy gymryd agwedd wahanol o ddulliau gall hwn agor lan i greu mwy o ddatblygiad i'r plant, mae damcaniaethwyr Vygotsky a Piaget yn credu bod plentyn yn datblygu trwy ryngweithio a’r amgylchedd (Online Learning College, 2021).</w:t>
      </w:r>
      <w:r w:rsidR="006F0E95">
        <w:t xml:space="preserve"> </w:t>
      </w:r>
      <w:r w:rsidR="00175400" w:rsidRPr="00175400">
        <w:t>Mae Rees a Gealy (Chwarae allan, Dysgu mas, 2013) yn sôn am sut mae nifer o ddamcaniaethwyr yn cefnogi dysgu yn yr awyr agored. Hefyd datblygodd Pestalozzi syniadau Rousseeau sy’n adlewyrchu sut mae dysgu trwy'r byd natur yn rhoi cyfleoedd gwahanol i blant darganfod gwrthrychau newydd a hefyd defnyddio’r holl synhwyrau. Felly yn fy marn i mae adolygiad hyn gan Donaldson yn gam yn y ffordd gywir tuag at ddatblygu addysgu fewn Cymru ac yn ffordd arbennig i ddod fewn a sgiliau bywyd a ffordd wahanol o addysgu plant ac yn rhoi fwy o ddiddordeb i’r athrawon i ddysgu.</w:t>
      </w:r>
    </w:p>
    <w:p w14:paraId="30BF71FC" w14:textId="77777777" w:rsidR="00175400" w:rsidRDefault="00175400" w:rsidP="00724099">
      <w:pPr>
        <w:rPr>
          <w:b/>
          <w:bCs/>
          <w:sz w:val="28"/>
          <w:szCs w:val="28"/>
          <w:u w:val="single"/>
        </w:rPr>
      </w:pPr>
    </w:p>
    <w:p w14:paraId="06C847AA" w14:textId="13E76FF9" w:rsidR="00243606" w:rsidRDefault="00243606" w:rsidP="00724099">
      <w:pPr>
        <w:rPr>
          <w:b/>
          <w:bCs/>
          <w:sz w:val="28"/>
          <w:szCs w:val="28"/>
          <w:u w:val="single"/>
        </w:rPr>
      </w:pPr>
      <w:r>
        <w:rPr>
          <w:b/>
          <w:bCs/>
          <w:sz w:val="28"/>
          <w:szCs w:val="28"/>
          <w:u w:val="single"/>
        </w:rPr>
        <w:t xml:space="preserve">Egwyddor 2 </w:t>
      </w:r>
    </w:p>
    <w:p w14:paraId="14BF39AB" w14:textId="77777777" w:rsidR="00E67E0F" w:rsidRDefault="00BF6503" w:rsidP="0096146B">
      <w:r w:rsidRPr="00BF6503">
        <w:t>Yr egwyddor nesaf rydw i yn mynd i siarad o adolygiad Donaldson ydy  “Mae addysgu a dysgu da yn golygu gosod tasgau a dewis adnoddau sy’n adeiladu ar wybodaeth a phrofiad blaenorol ac yn ennyn diddordeb”. Yn debyg i’r egwyddor gyntaf mae blaenoriaeth a phrofiadau personol y plentyn yn gallu pwysleisio’r angen i gynnig yr un profiad i bob plentyn. Wrth i ni gynnig yr un lefel o wybodaeth a dealltwriaeth i bob unigolyn, mae gan bob plentyn cyfle teg i adeiladu ar y sail o wybodaeth hynny. “Gall tlodi cael effaith ddinistriol ar gyfleodd bywyd plentyn, gan gael effaith negyddol ar eu haddysg, iechyd a lles cyffredinol” (Children in wales, 2023).</w:t>
      </w:r>
      <w:r w:rsidR="00093717">
        <w:t xml:space="preserve"> </w:t>
      </w:r>
      <w:r w:rsidR="00E67E0F" w:rsidRPr="00E67E0F">
        <w:t xml:space="preserve">Oherwydd hyn y dylai athrawon ac ysgolion i wneud yn siŵr bod popeth maen nhw yn gallu gwneud i sicrhau cyfleoedd teg o fewn yr ystafell dosbarth. Felly mae athrawon yn gyda chyfrifoldeb enfawr am roi cyfleoedd i’r plant sydd ddim yn cael y cyfleoedd tu allan o’r ysgol. Mae hwn yn digwydd yn nifer o leoedd ar draws Cymru ble mae tlodi yn uchel, oherwydd hyn mae hwn yn rhoi lawer o straen ar athrawon ac ysgolion i helpu lleihau yr effaith mae tlodi yn cael ar addysg disgyblion. Mae yna 28% o blant yng Nghymru sydd i’n byw mewn tlodi (Children in wales, 2023) mae hwn yn rhif enfawr ac yn dangos bod tlodi yn effeithio ar addysg fel nodwyd o blaen. </w:t>
      </w:r>
    </w:p>
    <w:p w14:paraId="63A25D72" w14:textId="2B6753BC" w:rsidR="00602DD0" w:rsidRDefault="00B6683C" w:rsidP="0096146B">
      <w:r w:rsidRPr="00B6683C">
        <w:t xml:space="preserve">Mae egwyddor hon yn golygu bod athrawon yn eisiau setio tasgau mas adnoddau dethol sydd yn adeiladu o wybodaeth flaenorol a phrofiad ac ennyn diddordeb (Succesful Futures, 2018). Mae hwn yn fuddiol i addysg plant ac yn dangos bod gall plant yn dysgu mewn gwahanol o ffordd. Mae hwn yn clymu mewn gydag egwyddor gyntaf rydym wedi sôn am yn fy nhraethawd yn barod. Roedd (Skinner, 1974) yn credu bod ymddygiad yn swyddogaeth o’i ganlyniadau. Fel enghraifft bydd eich dysgwyr yn ailadrodd yr ymddygiad dymunol os yw’n atgyfnerthu cadarnhaol. Gall hwn yn cael ei ddefnyddio mewn gweithgareddau gwahanol ac i gael ei ddefnyddio mewn addysg. Er enghraifft os mae’r plant yn gyda diddordeb yn y gweithgaredd a fewn y pwnc mae’r plant yn </w:t>
      </w:r>
      <w:r w:rsidR="00562BCA" w:rsidRPr="00562BCA">
        <w:t xml:space="preserve">mynd i </w:t>
      </w:r>
      <w:r w:rsidR="00562BCA" w:rsidRPr="00562BCA">
        <w:lastRenderedPageBreak/>
        <w:t>gadw'r wybodaeth o’r profiad blaenorol, mae hwn yn clymu mewn gyda’r egwyddor Donaldson. Mae’r adolygiad hyn yn cael ei ddefnyddio mewn dosbarthau trwy Gymru ac mewn gwahanol o’r Meysydd Dysgu. Un enghraifft o hyn ydy fewn fy mhrofiad fy hun mae’r ysgol yn gwasgaru ardaloedd a gweithgareddau o gwmpas y dosbarth am bwnc penodol, mae hwn yn annog dysgu annibyniaeth ac annog gweithio mewn gwahanol o sefyllfaoedd.</w:t>
      </w:r>
      <w:r w:rsidR="001F615F">
        <w:t xml:space="preserve"> </w:t>
      </w:r>
      <w:r w:rsidR="00A06ED7" w:rsidRPr="00A06ED7">
        <w:t>Ond trwy gael yr egwyddor hon rhaid inni fod yn ofalus i beidio i dybio gormod am ein gallu i nodi anghenion a dymuniadau o’r fath a bod y byw i’r perygl o wahanu plant yn grwpiau a allai fod yn arwynebol (Successful futures, 2015). Mae hwn yn rhoi persbectif arall ar yr egwyddor ac yn pwyntio mas y gwendidau o’r egwyddor hon. Gall rhoi plant mewn grwpiau arwynebol yn cael effaith ar rhai datblygiad plant oherwydd os rydym yn rhoi plant yn fewn grwpiau gyda phlant eraill sydd yn waetha neu y lefel o academaidd ar blant, gall hwn rhoi effaith wael ar ddatblygiad trwy blant ddim yn datblygu ein hunain, ond os ydych yn cymysgu y grwpiau penodol gall plant yn datblygu mwy trwy weithio gyda’i gilydd. Felly yn fy marn i mae egwyddor hon yn egwyddor bwysig iawn oherwydd mae e yn effeithio ar nifer o leoedd fel tlodi ac yn rhoi cyfleoedd i bawb, ac yn datblygu trwy wahanol weithgareddau sydd yn bwysig iawn yn y Cwricwlwm gan Donaldson.</w:t>
      </w:r>
    </w:p>
    <w:p w14:paraId="368F87BE" w14:textId="77777777" w:rsidR="00A06ED7" w:rsidRDefault="00A06ED7" w:rsidP="0096146B"/>
    <w:p w14:paraId="3D4D5983" w14:textId="77777777" w:rsidR="00602DD0" w:rsidRDefault="00602DD0" w:rsidP="0096146B">
      <w:pPr>
        <w:rPr>
          <w:b/>
          <w:bCs/>
          <w:sz w:val="28"/>
          <w:szCs w:val="28"/>
          <w:u w:val="single"/>
        </w:rPr>
      </w:pPr>
      <w:r>
        <w:rPr>
          <w:b/>
          <w:bCs/>
          <w:sz w:val="28"/>
          <w:szCs w:val="28"/>
          <w:u w:val="single"/>
        </w:rPr>
        <w:t>Egwyddor 3</w:t>
      </w:r>
    </w:p>
    <w:p w14:paraId="4C76223C" w14:textId="51BC8A3D" w:rsidR="004A1392" w:rsidRDefault="00D74F67" w:rsidP="00724099">
      <w:r w:rsidRPr="00D74F67">
        <w:t>Y trydydd egwyddor rydym yn mynd rydym yn mynd i siarad am dan ydy “Mae addysgu a dysgu da yn ymestyn oddi mewn ac ar draws Meysydd Dysgu a Phrofiad”. Wrth y cwricwlwm newydd mae Donaldson wedi dod fewn a 6 Meysydd Dysgu. Y 6 Meysydd mae Donaldson wedi cyflenwi ydy: Celfyddydau Mynegiannol, Iechyd a Lles, Y Dyniaethau, Ieithoedd, Llythrennedd a Chyfathrebu, Mathemateg a Rhifedd a Gwyddoniaeth a Thechnoleg. Y pwrpas am y 6 Meysydd hon yw i agor lan addysgu a gwneud cysylltiadau rhwng gwahanol Feysydd dysgu mae hon yn rhoi siawns i ddisgyblion i drosglwyddo gwybodaeth rhwng gwahanol sefyllfaoedd. Mae egwyddor hon yn cysylltu gyda yr egwyddorion rydym wedi trafod amdano yn barod, felly mae egwyddorion i gyd yn gweithio gyda’i gilydd.</w:t>
      </w:r>
      <w:r w:rsidR="00F7040E">
        <w:t xml:space="preserve"> </w:t>
      </w:r>
      <w:r w:rsidR="002D0961" w:rsidRPr="002D0961">
        <w:t xml:space="preserve">Mae’r egwyddorion hyn yn dweud bod ni ddylid ystyried y cwricwlwm arfaethedig fel endidau neu feysydd pwnc penodol (Successful Futures, 2015). Fel yr egwyddorion eraill mae hyn yn eithaf tebyg, mae hon yn debyg oherwydd mae’r egwyddor hon yn dangos y cysylltiadau trwy addysgu mewn nifer wahanol o ffordd ac yn rhoi cyfleodd i blant eraill i ddatblygu trwy y 6 meysydd. Mae’r 6 meysydd yn rhoi cyfle i athrawon i addysgu mewn gwahanol o ffordd sydd yn rhoi mwy o reolaeth i’r athrawon ar sut maen nhw yn eisiau addysgu’r plant. Mae yna lawer a phethau positif am ddysgu trawsgwricwlaidd. Un o’r pethau positif am ddysgu trawsgwricwlaidd ydy mai’n cynyddu dyweddïad yn y dosbarth. Mae hon yn bositif enfawr oherwydd trwy gynyddu dyweddïad mae’n gwella canlyniadau dysgu sef mae plant yn fwy tebyg o gymryd rhan weithredol mewn trafodaethau ac yn gofyn cwestiynau </w:t>
      </w:r>
      <w:r w:rsidR="00982EE6" w:rsidRPr="00982EE6">
        <w:lastRenderedPageBreak/>
        <w:t xml:space="preserve">sydd yn datblygu eu dealltwriaeth ac yn dangos fod y plant yn eisiau dysgu. Positif arall o ddysgu yn drawsgwricwlaidd yn y dosbarth ydy bod yn gwella dealltwriaeth gyfannol, trwy integreiddio cynnwys o ddisgyblaethau gwahanol, mae myfyrwyr yn datblygu dealltwriaeth fwy cynhwysfawr a rhyng-gysylltiedig o gysyniadau. Gallant weld sut mae gwahanol ddarnau o wybodaeth yn cyd-fynd â'i gilydd i ffurfio darlun mwy, gan feithrin dysgu dyfnach. Mae hon yn bositif enfawr i ddangos peth gallem ni wneud fewn y cwricwlwm i ddatblygu sgiliau plentyn. Yn ôl (Barnes, Cross-Curricular Learning 3-14, 2011) mae addysgu trwy drawsgwricwlaidd yn ffordd bwerus i greu meddwl creadigol. Mae yna lawer o bositif arall am yr egwyddor hon. </w:t>
      </w:r>
      <w:r w:rsidR="008F34D6" w:rsidRPr="008F34D6">
        <w:t>Ond gall hwn cael effaith negyddol hefyd. Un o’r gwendidau o’r egwyddor hon gall fod materion asesu gall hwn fod yn fater drwg oherwydd gall asesu mewn cyd-destunau trawsgwricwlaidd fod yn gymhleth. Gall fod yn heriol gwerthuso canlyniadau dysgu ar draws meysydd pwnc gwahanol gan ddefnyddio dulliau asesu traddodiadol. Mae angen i athrawon ddatblygu strategaethau asesu arloesol sy’n adlewyrchu amcanion dysgu rhyngddisgyblaethol. I gefnogi hyn mae Barnes yn dweud bod dilyniant pwnc yn anodd ei gyflawni, hyd yn oed pan mai dim ond dau bwnc sydd dan sylw, mae bron yn amhosibl gyda thri neu fwy (Barnes, Cross-Curricular Learning 3-14, 2011</w:t>
      </w:r>
      <w:r w:rsidR="0043484F" w:rsidRPr="0043484F">
        <w:t xml:space="preserve">). Wendid arall o hon ydy bod amser a hyfforddiant yn gallu bod yn broblem am ddysgu yn drawsgwricwlaidd yn enwedig nawr oherwydd y cwricwlwm newydd. Yn ôl (Barnes and Shirley, Improving Schools, 2007) mae lawer o athrawon wedi cael profiad cyfyngedig o waith trawsgwricwlaidd naill ai fel disgyblion neu wedi hynny yn ystod eu hyfforddiant yn yr ysgol. Mae hon yn dangos bod mae addysgu trwy drawsgwricwlaidd yn rhoi straen ar rhai athrawon oherwydd doedd dim lawer o hyfforddiant neu brofiad o weithio yn drawsgwricwlaidd. O safbwynt personol i mae’r egwyddor hon yn bwysig iawn i ni wella addysg yng Nghymru. </w:t>
      </w:r>
      <w:r w:rsidR="00D47104" w:rsidRPr="00D47104">
        <w:t>Mae’r addysgu yn cael ei ddefnyddio dydd i ddydd a gyda fy mhrofiad personol i ddwi’n weld bod addysgu yn ffordd hon yn cael effaith mawr ar fywydau plant ac ar ddatblygiad academaidd. Fel enghraifft mewn fy mhrofiadau personol mae plant yn dechrau y wythnos yn gweithio ar dasg ac yn dechrau datblygu ei hunain ac yn trosglwyddo ei wybodaeth dros i’r tasgau eraill.</w:t>
      </w:r>
    </w:p>
    <w:p w14:paraId="39A68AA5" w14:textId="77777777" w:rsidR="00D47104" w:rsidRDefault="00D47104" w:rsidP="00724099"/>
    <w:p w14:paraId="4D26EAE8" w14:textId="5E60527D" w:rsidR="004A1392" w:rsidRDefault="004A1392" w:rsidP="00724099">
      <w:pPr>
        <w:rPr>
          <w:b/>
          <w:bCs/>
          <w:sz w:val="28"/>
          <w:szCs w:val="28"/>
          <w:u w:val="single"/>
        </w:rPr>
      </w:pPr>
      <w:r>
        <w:rPr>
          <w:b/>
          <w:bCs/>
          <w:sz w:val="28"/>
          <w:szCs w:val="28"/>
          <w:u w:val="single"/>
        </w:rPr>
        <w:t>Casgliad</w:t>
      </w:r>
    </w:p>
    <w:p w14:paraId="6DED9F32" w14:textId="181B6021" w:rsidR="009F5BC8" w:rsidRDefault="00EF38AF" w:rsidP="00724099">
      <w:r w:rsidRPr="00EF38AF">
        <w:t xml:space="preserve">I grynhoi, mae e yn amlwg bod mae addysgu a dysgu da yn tarddu o’r egwyddorion rydym wedi trafod yn y traethawd yma, ond yn wirionedd mae pob un o’r deuddeg egwyddor addysgeg yn cyfrannu at addysgu a dysgu da. Mae pob un o’r deuddeg egwyddor yn cyd-fynd gyda’i gilydd felly mae yna lawer mwy enghreifftiau addysgu a dysgu da na’r hyn rwyf wedi trafod yn barod.  Mae e yn bwysig ein bod ni yn cydnabod yw bod pob un o’r egwyddorion yn bwysig a does dim un yn fwy pwysig na’r llall. Mae pob un o’r deuddeg egwyddor yn cysylltu gyda’r 4 diben sydd yn bwysig ac yw y galon o’r cwricwlwm newydd Cymru. Gyda’r cwricwlwm mae’n bwysig i ni gyfeirio tuag at y </w:t>
      </w:r>
      <w:r w:rsidRPr="00EF38AF">
        <w:lastRenderedPageBreak/>
        <w:t xml:space="preserve">safonau yma, mae’n bwysig oherwydd mae’n helpu ni i weld sut ac fel i addysgu yn y dosbarth ac yn gallu cael ei ddefnyddio fel “check list”. </w:t>
      </w:r>
      <w:r w:rsidR="00F15734" w:rsidRPr="00F15734">
        <w:t>Mae’r egwyddorion hefyd yn cysylltu gyda’r Safonau SAC mae yn 5 Safon Broffesiynol. Y pum safon ydy Addysgeg, Cydweithredu, Arloesi, Dysgu Proffesiynol ac Arweinyddiaeth. Os edrychwch ar rai o’r Safonau SAC, gallwn ni weld bod lawer o’r egwyddorion rydym wedi siarad amdan ac yr egwyddorion eraill yn cysylltu ag un o’r pum safon broffesiynol. Yr un fwyaf mae rhai yn cysylltu gydag ydy Addysgeg. Yn y darn o Addysgeg mae yna 3 rhan, y 3 rhan ydy Mireinio Addysgu, Hyrwyddo Dysgu a Dylanwadu ar Ddysgwyr (Llywodraeth Cymru, Safonau Proffesiynol, dim dyddiad). Yn ychwanegol i hyn byddaf yn datblygu’r safon broffesiynol o “arloesi” hefyd. Mae’r safon “arloesi” yn lle “mae athro flaengar gan ddatblygu technegau a dulliau a reolir ac a fesurir i wella deilliannau addysgeg</w:t>
      </w:r>
      <w:r w:rsidR="0074674C" w:rsidRPr="0074674C">
        <w:t>”  (Llywodraeth Cymru, 2018). Fel nodwyd yn barod mae pob un o’r egwyddorion yn bwysig ac mae pob un yn gallu datblygu ein safonau proffesiynol ac felly trwy ddilyn yr egwyddorion hyn mae gan athrawon y gallu i gael fwy o effaith ar brofiadau a datblygiad disgyblion yn yr ysgol. Felly yn olaf, fel nodwyd o blaen yn y traethawd yma mae gan bob un o’r egwyddorion hyn nifer o gryfderau a gwendidau ac mae pob un yn mor bwysig â’r gweddill ond credaf yn fy marn i yr egwyddor sydd yn mynd i gael ei ddefnyddio yn fwyaf mewn dosbarthau ac ysgolion yng Nghymru ydy “Mae addysgu a dysgu da yn ymestyn oddi mewn ac ar draws Meysydd Dysgu a Phrofiad” oherwydd mae sawl mae dysgu a phrofiad yn cael ei chynnwys a defnyddio mewn nifer o wersi gwahanol o ddydd i ddydd a fydd hon yn sgil mor bwysig a werthfawr i athrawon wrth iddyn nhw ddysgu disgyblion sgiliau newydd yn academaidd neu sgiliau bywyd.</w:t>
      </w:r>
    </w:p>
    <w:p w14:paraId="75CBCEA3" w14:textId="77777777" w:rsidR="0074674C" w:rsidRDefault="0074674C" w:rsidP="004B79EC">
      <w:pPr>
        <w:pStyle w:val="Heading1"/>
        <w:spacing w:before="0" w:after="240" w:line="360" w:lineRule="auto"/>
        <w:rPr>
          <w:sz w:val="36"/>
          <w:szCs w:val="36"/>
        </w:rPr>
      </w:pPr>
    </w:p>
    <w:p w14:paraId="77282F18" w14:textId="4B667369" w:rsidR="005322C1" w:rsidRDefault="005322C1" w:rsidP="005322C1">
      <w:pPr>
        <w:pStyle w:val="Heading1"/>
        <w:spacing w:before="0" w:after="240" w:line="360" w:lineRule="auto"/>
        <w:rPr>
          <w:sz w:val="36"/>
          <w:szCs w:val="36"/>
          <w:lang w:val="en-GB"/>
        </w:rPr>
      </w:pPr>
      <w:r>
        <w:rPr>
          <w:sz w:val="36"/>
          <w:szCs w:val="36"/>
        </w:rPr>
        <w:t>R</w:t>
      </w:r>
      <w:r>
        <w:rPr>
          <w:sz w:val="36"/>
          <w:szCs w:val="36"/>
        </w:rPr>
        <w:t>hestr Cyfeirio</w:t>
      </w:r>
    </w:p>
    <w:p w14:paraId="5BA3A40D" w14:textId="77777777" w:rsidR="005322C1" w:rsidRDefault="005322C1" w:rsidP="005322C1">
      <w:pPr>
        <w:pStyle w:val="NormalWeb"/>
        <w:spacing w:before="0" w:beforeAutospacing="0" w:after="240" w:afterAutospacing="0" w:line="360" w:lineRule="auto"/>
      </w:pPr>
      <w:r>
        <w:t xml:space="preserve">Barnes, J. (2011) </w:t>
      </w:r>
      <w:r>
        <w:rPr>
          <w:i/>
          <w:iCs/>
        </w:rPr>
        <w:t>Cross-Curricular Learning 3–14</w:t>
      </w:r>
      <w:r>
        <w:t>. Second. Sage.</w:t>
      </w:r>
    </w:p>
    <w:p w14:paraId="2FD97C23" w14:textId="77777777" w:rsidR="005322C1" w:rsidRDefault="005322C1" w:rsidP="005322C1">
      <w:pPr>
        <w:pStyle w:val="NormalWeb"/>
        <w:spacing w:before="0" w:beforeAutospacing="0" w:after="240" w:afterAutospacing="0" w:line="360" w:lineRule="auto"/>
      </w:pPr>
      <w:r>
        <w:t xml:space="preserve">Barnes, J. and Shirley, I. (2007) </w:t>
      </w:r>
      <w:r>
        <w:rPr>
          <w:i/>
          <w:iCs/>
        </w:rPr>
        <w:t>Improving Schools</w:t>
      </w:r>
      <w:r>
        <w:t>. Sage, pp. 162–179.</w:t>
      </w:r>
    </w:p>
    <w:p w14:paraId="457C1664" w14:textId="77777777" w:rsidR="005322C1" w:rsidRDefault="005322C1" w:rsidP="005322C1">
      <w:pPr>
        <w:pStyle w:val="NormalWeb"/>
        <w:spacing w:before="0" w:beforeAutospacing="0" w:after="240" w:afterAutospacing="0" w:line="360" w:lineRule="auto"/>
      </w:pPr>
      <w:r>
        <w:t xml:space="preserve">Children in Wales (2021) </w:t>
      </w:r>
      <w:r>
        <w:rPr>
          <w:i/>
          <w:iCs/>
        </w:rPr>
        <w:t>Child Poverty</w:t>
      </w:r>
      <w:r>
        <w:t xml:space="preserve">, </w:t>
      </w:r>
      <w:r>
        <w:rPr>
          <w:i/>
          <w:iCs/>
        </w:rPr>
        <w:t>www.childreninwales.org.uk</w:t>
      </w:r>
      <w:r>
        <w:t>. Available at: https://www.childreninwales.org.uk/professionals/our-work/child-poverty/.</w:t>
      </w:r>
    </w:p>
    <w:p w14:paraId="4473E5B3" w14:textId="77777777" w:rsidR="005322C1" w:rsidRDefault="005322C1" w:rsidP="005322C1">
      <w:pPr>
        <w:pStyle w:val="NormalWeb"/>
        <w:spacing w:before="0" w:beforeAutospacing="0" w:after="240" w:afterAutospacing="0" w:line="360" w:lineRule="auto"/>
      </w:pPr>
      <w:r>
        <w:t>Cymru, L. (no date). Available at: https://hwb.gov.wales/api/storage/fc420cab-f7cf-4dbc-9794-f17f435ddccb/safonau-proffesiynol-ar-gyfer-cynorthwyo-addysgu-pdf-rhyngweithiol-ar-gyfer-cyfrifiaduron-personol.pdf (Accessed: 18 March 2024).</w:t>
      </w:r>
    </w:p>
    <w:p w14:paraId="2D3FE908" w14:textId="77777777" w:rsidR="005322C1" w:rsidRDefault="005322C1" w:rsidP="005322C1">
      <w:pPr>
        <w:pStyle w:val="NormalWeb"/>
        <w:spacing w:before="0" w:beforeAutospacing="0" w:after="240" w:afterAutospacing="0" w:line="360" w:lineRule="auto"/>
      </w:pPr>
      <w:r>
        <w:lastRenderedPageBreak/>
        <w:t xml:space="preserve">Donaldson, G. (2015a) </w:t>
      </w:r>
      <w:r>
        <w:rPr>
          <w:i/>
          <w:iCs/>
        </w:rPr>
        <w:t>Successful Futures Independent Review of Curriculum and Assessment Arrangements in Wales</w:t>
      </w:r>
      <w:r>
        <w:t>. Available at: https://www.gov.wales/sites/default/files/publications/2018-03/successful-futures.pdf.</w:t>
      </w:r>
    </w:p>
    <w:p w14:paraId="07DBAC0E" w14:textId="77777777" w:rsidR="005322C1" w:rsidRDefault="005322C1" w:rsidP="005322C1">
      <w:pPr>
        <w:pStyle w:val="NormalWeb"/>
        <w:spacing w:before="0" w:beforeAutospacing="0" w:after="240" w:afterAutospacing="0" w:line="360" w:lineRule="auto"/>
      </w:pPr>
      <w:r>
        <w:t xml:space="preserve">Donaldson, G. (2015b) </w:t>
      </w:r>
      <w:r>
        <w:rPr>
          <w:i/>
          <w:iCs/>
        </w:rPr>
        <w:t>Successful Futures Looking at the Curriculum and Assessment Arrangements in Wales</w:t>
      </w:r>
      <w:r>
        <w:t>. Available at: https://www.gov.wales/sites/default/files/publications/2018-03/succesful-futures-a-summary-of-professor-graham-donaldsons-report.pdf.</w:t>
      </w:r>
    </w:p>
    <w:p w14:paraId="116447E4" w14:textId="77777777" w:rsidR="005322C1" w:rsidRDefault="005322C1" w:rsidP="005322C1">
      <w:pPr>
        <w:pStyle w:val="NormalWeb"/>
        <w:spacing w:before="0" w:beforeAutospacing="0" w:after="240" w:afterAutospacing="0" w:line="360" w:lineRule="auto"/>
      </w:pPr>
      <w:r>
        <w:rPr>
          <w:i/>
          <w:iCs/>
        </w:rPr>
        <w:t>Early Childhood Care, Education and Development H10EC12 -PESTALOZZI, ROUSSEAU, FROEBEL AND JOHN DEWEY Learning Objectives</w:t>
      </w:r>
      <w:r>
        <w:t xml:space="preserve"> (no date). Available at: https://epgp.inflibnet.ac.in/epgpdata/uploads/epgp_content/S000827HE/P001232/M006708/ET/15324974716708_et_et.pdf.</w:t>
      </w:r>
    </w:p>
    <w:p w14:paraId="4F26AF26" w14:textId="77777777" w:rsidR="005322C1" w:rsidRDefault="005322C1" w:rsidP="005322C1">
      <w:pPr>
        <w:pStyle w:val="NormalWeb"/>
        <w:spacing w:before="0" w:beforeAutospacing="0" w:after="240" w:afterAutospacing="0" w:line="360" w:lineRule="auto"/>
      </w:pPr>
      <w:r>
        <w:rPr>
          <w:i/>
          <w:iCs/>
        </w:rPr>
        <w:t>Early Years theorists and their contribution to the field</w:t>
      </w:r>
      <w:r>
        <w:t xml:space="preserve"> (2021) </w:t>
      </w:r>
      <w:r>
        <w:rPr>
          <w:i/>
          <w:iCs/>
        </w:rPr>
        <w:t>Online Learning College</w:t>
      </w:r>
      <w:r>
        <w:t>. Available at: https://online-learning-college.com/knowledge-hub/college-news/early-years-theorists-contribution-field/.</w:t>
      </w:r>
    </w:p>
    <w:p w14:paraId="1A1A1CEC" w14:textId="77777777" w:rsidR="005322C1" w:rsidRDefault="005322C1" w:rsidP="005322C1">
      <w:pPr>
        <w:pStyle w:val="NormalWeb"/>
        <w:spacing w:before="0" w:beforeAutospacing="0" w:after="240" w:afterAutospacing="0" w:line="360" w:lineRule="auto"/>
      </w:pPr>
      <w:r>
        <w:t xml:space="preserve">Gravells, A. (2017) </w:t>
      </w:r>
      <w:r>
        <w:rPr>
          <w:i/>
          <w:iCs/>
        </w:rPr>
        <w:t>Learning theories</w:t>
      </w:r>
      <w:r>
        <w:t xml:space="preserve">, </w:t>
      </w:r>
      <w:r>
        <w:rPr>
          <w:i/>
          <w:iCs/>
        </w:rPr>
        <w:t>Ann Gravells Ltd (UK)</w:t>
      </w:r>
      <w:r>
        <w:t>. Available at: https://www.anngravells.com/information/learning-theories.</w:t>
      </w:r>
    </w:p>
    <w:p w14:paraId="76D45496" w14:textId="77777777" w:rsidR="005322C1" w:rsidRDefault="005322C1" w:rsidP="005322C1">
      <w:pPr>
        <w:pStyle w:val="NormalWeb"/>
        <w:spacing w:before="0" w:beforeAutospacing="0" w:after="240" w:afterAutospacing="0" w:line="360" w:lineRule="auto"/>
      </w:pPr>
      <w:r>
        <w:rPr>
          <w:i/>
          <w:iCs/>
        </w:rPr>
        <w:t>Lev Vygotsky: How Relationships Shape Learning - Resources for Infant Educarers®</w:t>
      </w:r>
      <w:r>
        <w:t xml:space="preserve"> (2023) </w:t>
      </w:r>
      <w:r>
        <w:rPr>
          <w:i/>
          <w:iCs/>
        </w:rPr>
        <w:t>Resources for Infant Educarers® -</w:t>
      </w:r>
      <w:r>
        <w:t>. Available at: https://rie.org/lev-vygotsky-how-relationships-shape-our-lear/#:~:text=Vygotsky%20believed%20that%20a%20child.</w:t>
      </w:r>
    </w:p>
    <w:p w14:paraId="4ABDE9F0" w14:textId="77777777" w:rsidR="005322C1" w:rsidRDefault="005322C1" w:rsidP="005322C1">
      <w:pPr>
        <w:pStyle w:val="NormalWeb"/>
        <w:spacing w:before="0" w:beforeAutospacing="0" w:after="240" w:afterAutospacing="0" w:line="360" w:lineRule="auto"/>
      </w:pPr>
      <w:r>
        <w:t xml:space="preserve">OECD (no date) </w:t>
      </w:r>
      <w:r>
        <w:rPr>
          <w:i/>
          <w:iCs/>
        </w:rPr>
        <w:t>FAQ - PISA</w:t>
      </w:r>
      <w:r>
        <w:t xml:space="preserve">, </w:t>
      </w:r>
      <w:r>
        <w:rPr>
          <w:i/>
          <w:iCs/>
        </w:rPr>
        <w:t>www.oecd.org</w:t>
      </w:r>
      <w:r>
        <w:t>. Available at: https://www.oecd.org/pisa/pisafaq/.</w:t>
      </w:r>
    </w:p>
    <w:p w14:paraId="72C4884E" w14:textId="77777777" w:rsidR="005322C1" w:rsidRDefault="005322C1" w:rsidP="005322C1">
      <w:pPr>
        <w:pStyle w:val="NormalWeb"/>
        <w:spacing w:before="0" w:beforeAutospacing="0" w:after="240" w:afterAutospacing="0" w:line="360" w:lineRule="auto"/>
      </w:pPr>
      <w:r>
        <w:t xml:space="preserve">OECD (2016) </w:t>
      </w:r>
      <w:r>
        <w:rPr>
          <w:i/>
          <w:iCs/>
        </w:rPr>
        <w:t>PISA 2015 United Kingdom</w:t>
      </w:r>
      <w:r>
        <w:t>. Available at: https://www.oecd.org/pisa/pisa-2015-United-Kingdom.pdf.</w:t>
      </w:r>
    </w:p>
    <w:p w14:paraId="78AE1CA8" w14:textId="77777777" w:rsidR="005322C1" w:rsidRDefault="005322C1" w:rsidP="005322C1">
      <w:pPr>
        <w:pStyle w:val="NormalWeb"/>
        <w:spacing w:before="0" w:beforeAutospacing="0" w:after="240" w:afterAutospacing="0" w:line="360" w:lineRule="auto"/>
      </w:pPr>
      <w:r>
        <w:t xml:space="preserve">Rees, A. and Gealy, A.-M. (2013) </w:t>
      </w:r>
      <w:r>
        <w:rPr>
          <w:i/>
          <w:iCs/>
        </w:rPr>
        <w:t>Chwarae Allan, Dysgu Mas</w:t>
      </w:r>
      <w:r>
        <w:t>. Cyhoeddiadau y Drindod Dewi Sant.</w:t>
      </w:r>
    </w:p>
    <w:p w14:paraId="7D3A7F8B" w14:textId="77777777" w:rsidR="00455BA8" w:rsidRDefault="00455BA8" w:rsidP="00724099"/>
    <w:p w14:paraId="263A301C" w14:textId="0CF266FD" w:rsidR="00455BA8" w:rsidRPr="004A1392" w:rsidRDefault="00455BA8" w:rsidP="00724099"/>
    <w:sectPr w:rsidR="00455BA8" w:rsidRPr="004A139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8A182" w14:textId="77777777" w:rsidR="00F54339" w:rsidRDefault="00F54339" w:rsidP="008716E2">
      <w:pPr>
        <w:spacing w:after="0" w:line="240" w:lineRule="auto"/>
      </w:pPr>
      <w:r>
        <w:separator/>
      </w:r>
    </w:p>
  </w:endnote>
  <w:endnote w:type="continuationSeparator" w:id="0">
    <w:p w14:paraId="6DAAA08C" w14:textId="77777777" w:rsidR="00F54339" w:rsidRDefault="00F54339" w:rsidP="00871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14EAC" w14:textId="77777777" w:rsidR="00F54339" w:rsidRDefault="00F54339" w:rsidP="008716E2">
      <w:pPr>
        <w:spacing w:after="0" w:line="240" w:lineRule="auto"/>
      </w:pPr>
      <w:r>
        <w:separator/>
      </w:r>
    </w:p>
  </w:footnote>
  <w:footnote w:type="continuationSeparator" w:id="0">
    <w:p w14:paraId="1AD733F2" w14:textId="77777777" w:rsidR="00F54339" w:rsidRDefault="00F54339" w:rsidP="008716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E8CD9" w14:textId="63A10D23" w:rsidR="008716E2" w:rsidRDefault="008716E2">
    <w:pPr>
      <w:pStyle w:val="Header"/>
    </w:pPr>
    <w:r>
      <w:t>Rhif Myfyrwyr – 2304903</w:t>
    </w:r>
  </w:p>
  <w:p w14:paraId="43C13C82" w14:textId="77777777" w:rsidR="008716E2" w:rsidRDefault="008716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1179D"/>
    <w:multiLevelType w:val="hybridMultilevel"/>
    <w:tmpl w:val="35600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9003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6E2"/>
    <w:rsid w:val="00012D23"/>
    <w:rsid w:val="000137DB"/>
    <w:rsid w:val="00017FB0"/>
    <w:rsid w:val="00020B9D"/>
    <w:rsid w:val="000252C7"/>
    <w:rsid w:val="00044727"/>
    <w:rsid w:val="0005274D"/>
    <w:rsid w:val="00062DC1"/>
    <w:rsid w:val="00067A8E"/>
    <w:rsid w:val="0007196D"/>
    <w:rsid w:val="00075221"/>
    <w:rsid w:val="000834BC"/>
    <w:rsid w:val="00086D94"/>
    <w:rsid w:val="00093717"/>
    <w:rsid w:val="000961C4"/>
    <w:rsid w:val="000A3181"/>
    <w:rsid w:val="000A67CA"/>
    <w:rsid w:val="000A6982"/>
    <w:rsid w:val="000B5C1A"/>
    <w:rsid w:val="000B7A64"/>
    <w:rsid w:val="000C30CE"/>
    <w:rsid w:val="000D57EC"/>
    <w:rsid w:val="000E12D0"/>
    <w:rsid w:val="000E24E6"/>
    <w:rsid w:val="000E26BE"/>
    <w:rsid w:val="000E4156"/>
    <w:rsid w:val="000E5AAA"/>
    <w:rsid w:val="000F108D"/>
    <w:rsid w:val="001066AF"/>
    <w:rsid w:val="00112F2A"/>
    <w:rsid w:val="00125531"/>
    <w:rsid w:val="0013024C"/>
    <w:rsid w:val="00135ACE"/>
    <w:rsid w:val="00144A6C"/>
    <w:rsid w:val="00144BCE"/>
    <w:rsid w:val="00146A7E"/>
    <w:rsid w:val="0015374A"/>
    <w:rsid w:val="00167E42"/>
    <w:rsid w:val="0017195B"/>
    <w:rsid w:val="00175400"/>
    <w:rsid w:val="00185CE4"/>
    <w:rsid w:val="001878CE"/>
    <w:rsid w:val="001950F3"/>
    <w:rsid w:val="00196417"/>
    <w:rsid w:val="00197FC9"/>
    <w:rsid w:val="001A369F"/>
    <w:rsid w:val="001B45C9"/>
    <w:rsid w:val="001C50C5"/>
    <w:rsid w:val="001C6AB3"/>
    <w:rsid w:val="001D544C"/>
    <w:rsid w:val="001E2EB2"/>
    <w:rsid w:val="001E3C06"/>
    <w:rsid w:val="001E542D"/>
    <w:rsid w:val="001F16AC"/>
    <w:rsid w:val="001F615F"/>
    <w:rsid w:val="001F77D1"/>
    <w:rsid w:val="00202AC1"/>
    <w:rsid w:val="00203B32"/>
    <w:rsid w:val="00210056"/>
    <w:rsid w:val="00236A20"/>
    <w:rsid w:val="0023704D"/>
    <w:rsid w:val="00243606"/>
    <w:rsid w:val="00244D7B"/>
    <w:rsid w:val="002501F2"/>
    <w:rsid w:val="002516D2"/>
    <w:rsid w:val="00257905"/>
    <w:rsid w:val="00265509"/>
    <w:rsid w:val="00271618"/>
    <w:rsid w:val="0027301C"/>
    <w:rsid w:val="00281F3D"/>
    <w:rsid w:val="00291405"/>
    <w:rsid w:val="00294C8D"/>
    <w:rsid w:val="002A60B2"/>
    <w:rsid w:val="002A6409"/>
    <w:rsid w:val="002B00F7"/>
    <w:rsid w:val="002C56DB"/>
    <w:rsid w:val="002C6CF7"/>
    <w:rsid w:val="002D0961"/>
    <w:rsid w:val="002E0610"/>
    <w:rsid w:val="002E17AF"/>
    <w:rsid w:val="002E2DB9"/>
    <w:rsid w:val="002E2FE1"/>
    <w:rsid w:val="002F1E39"/>
    <w:rsid w:val="002F7545"/>
    <w:rsid w:val="00301E25"/>
    <w:rsid w:val="00303FBF"/>
    <w:rsid w:val="003059E5"/>
    <w:rsid w:val="0031249F"/>
    <w:rsid w:val="0032188A"/>
    <w:rsid w:val="003362A0"/>
    <w:rsid w:val="0033712A"/>
    <w:rsid w:val="00345F82"/>
    <w:rsid w:val="00357483"/>
    <w:rsid w:val="00360294"/>
    <w:rsid w:val="00365677"/>
    <w:rsid w:val="003665BE"/>
    <w:rsid w:val="00366A0A"/>
    <w:rsid w:val="00375F15"/>
    <w:rsid w:val="003800F0"/>
    <w:rsid w:val="00396FFB"/>
    <w:rsid w:val="00397520"/>
    <w:rsid w:val="003A6DC3"/>
    <w:rsid w:val="003A717F"/>
    <w:rsid w:val="003B5EA4"/>
    <w:rsid w:val="003C03B1"/>
    <w:rsid w:val="003D1FF3"/>
    <w:rsid w:val="003D37C9"/>
    <w:rsid w:val="003E4B27"/>
    <w:rsid w:val="003E7BA9"/>
    <w:rsid w:val="003F54FB"/>
    <w:rsid w:val="00403F94"/>
    <w:rsid w:val="00407D88"/>
    <w:rsid w:val="0041275A"/>
    <w:rsid w:val="00417BDE"/>
    <w:rsid w:val="00422B6E"/>
    <w:rsid w:val="004244F7"/>
    <w:rsid w:val="00430069"/>
    <w:rsid w:val="00430D95"/>
    <w:rsid w:val="00430DA3"/>
    <w:rsid w:val="00432689"/>
    <w:rsid w:val="00432836"/>
    <w:rsid w:val="0043484F"/>
    <w:rsid w:val="0045203D"/>
    <w:rsid w:val="004523B1"/>
    <w:rsid w:val="00455BA8"/>
    <w:rsid w:val="00456255"/>
    <w:rsid w:val="00460285"/>
    <w:rsid w:val="00467C30"/>
    <w:rsid w:val="00470708"/>
    <w:rsid w:val="00483269"/>
    <w:rsid w:val="00484ECE"/>
    <w:rsid w:val="00490773"/>
    <w:rsid w:val="004A1392"/>
    <w:rsid w:val="004A3583"/>
    <w:rsid w:val="004A493C"/>
    <w:rsid w:val="004B34D5"/>
    <w:rsid w:val="004B60FE"/>
    <w:rsid w:val="004B79EC"/>
    <w:rsid w:val="004D368B"/>
    <w:rsid w:val="004F0FBF"/>
    <w:rsid w:val="004F23C1"/>
    <w:rsid w:val="004F6338"/>
    <w:rsid w:val="005022CC"/>
    <w:rsid w:val="00504FE2"/>
    <w:rsid w:val="00505C67"/>
    <w:rsid w:val="0051220D"/>
    <w:rsid w:val="005250C0"/>
    <w:rsid w:val="0052599F"/>
    <w:rsid w:val="00526667"/>
    <w:rsid w:val="00531EFE"/>
    <w:rsid w:val="005322C1"/>
    <w:rsid w:val="005404B8"/>
    <w:rsid w:val="00541C55"/>
    <w:rsid w:val="00541EF4"/>
    <w:rsid w:val="00542C88"/>
    <w:rsid w:val="00543B22"/>
    <w:rsid w:val="00555CF8"/>
    <w:rsid w:val="00562BCA"/>
    <w:rsid w:val="00566740"/>
    <w:rsid w:val="005710D9"/>
    <w:rsid w:val="00586B3F"/>
    <w:rsid w:val="0058744D"/>
    <w:rsid w:val="00587AD8"/>
    <w:rsid w:val="00590B06"/>
    <w:rsid w:val="005A03F4"/>
    <w:rsid w:val="005A3EB8"/>
    <w:rsid w:val="005A6C71"/>
    <w:rsid w:val="005B0799"/>
    <w:rsid w:val="005B1A74"/>
    <w:rsid w:val="005C5D4E"/>
    <w:rsid w:val="005C637A"/>
    <w:rsid w:val="005E2FD1"/>
    <w:rsid w:val="005F018B"/>
    <w:rsid w:val="005F06F0"/>
    <w:rsid w:val="005F5CD5"/>
    <w:rsid w:val="00601E43"/>
    <w:rsid w:val="00602DD0"/>
    <w:rsid w:val="00606A2F"/>
    <w:rsid w:val="00613647"/>
    <w:rsid w:val="00624445"/>
    <w:rsid w:val="006354F5"/>
    <w:rsid w:val="006364B3"/>
    <w:rsid w:val="00644FA3"/>
    <w:rsid w:val="00652736"/>
    <w:rsid w:val="006549D7"/>
    <w:rsid w:val="00656D83"/>
    <w:rsid w:val="006642D6"/>
    <w:rsid w:val="006673CD"/>
    <w:rsid w:val="00677B25"/>
    <w:rsid w:val="00683141"/>
    <w:rsid w:val="00685C06"/>
    <w:rsid w:val="006865FE"/>
    <w:rsid w:val="006A2B17"/>
    <w:rsid w:val="006B2BDA"/>
    <w:rsid w:val="006B3CA5"/>
    <w:rsid w:val="006C6BCC"/>
    <w:rsid w:val="006C6E4E"/>
    <w:rsid w:val="006C7A8D"/>
    <w:rsid w:val="006D57A7"/>
    <w:rsid w:val="006E0485"/>
    <w:rsid w:val="006E1A7C"/>
    <w:rsid w:val="006F0E95"/>
    <w:rsid w:val="006F520C"/>
    <w:rsid w:val="00700614"/>
    <w:rsid w:val="00700853"/>
    <w:rsid w:val="00701225"/>
    <w:rsid w:val="00711C40"/>
    <w:rsid w:val="0071767A"/>
    <w:rsid w:val="00724099"/>
    <w:rsid w:val="00734138"/>
    <w:rsid w:val="0074059E"/>
    <w:rsid w:val="007412F4"/>
    <w:rsid w:val="00742389"/>
    <w:rsid w:val="00742DAC"/>
    <w:rsid w:val="0074316E"/>
    <w:rsid w:val="0074370F"/>
    <w:rsid w:val="00743954"/>
    <w:rsid w:val="00745559"/>
    <w:rsid w:val="0074674C"/>
    <w:rsid w:val="0075188E"/>
    <w:rsid w:val="007560A0"/>
    <w:rsid w:val="007563DC"/>
    <w:rsid w:val="00756ECE"/>
    <w:rsid w:val="00764195"/>
    <w:rsid w:val="00766727"/>
    <w:rsid w:val="007736EE"/>
    <w:rsid w:val="00774769"/>
    <w:rsid w:val="007836A0"/>
    <w:rsid w:val="007842A4"/>
    <w:rsid w:val="00786149"/>
    <w:rsid w:val="0078698A"/>
    <w:rsid w:val="00790BA8"/>
    <w:rsid w:val="00792AFE"/>
    <w:rsid w:val="00796C28"/>
    <w:rsid w:val="007B5EF6"/>
    <w:rsid w:val="007B6610"/>
    <w:rsid w:val="007C49D1"/>
    <w:rsid w:val="007D559A"/>
    <w:rsid w:val="008022AB"/>
    <w:rsid w:val="00802341"/>
    <w:rsid w:val="00803795"/>
    <w:rsid w:val="00807F11"/>
    <w:rsid w:val="00813F82"/>
    <w:rsid w:val="008245D2"/>
    <w:rsid w:val="008309D7"/>
    <w:rsid w:val="00831830"/>
    <w:rsid w:val="00843D7D"/>
    <w:rsid w:val="00844BDC"/>
    <w:rsid w:val="0085780A"/>
    <w:rsid w:val="00862A4A"/>
    <w:rsid w:val="0086337B"/>
    <w:rsid w:val="00864BEE"/>
    <w:rsid w:val="008652CD"/>
    <w:rsid w:val="00870908"/>
    <w:rsid w:val="008716E2"/>
    <w:rsid w:val="00871BCA"/>
    <w:rsid w:val="00873E8C"/>
    <w:rsid w:val="00886C57"/>
    <w:rsid w:val="00886CE6"/>
    <w:rsid w:val="008A1B12"/>
    <w:rsid w:val="008A2C74"/>
    <w:rsid w:val="008A6173"/>
    <w:rsid w:val="008B76F8"/>
    <w:rsid w:val="008B7F36"/>
    <w:rsid w:val="008C1DD4"/>
    <w:rsid w:val="008C31F8"/>
    <w:rsid w:val="008D3B65"/>
    <w:rsid w:val="008D7561"/>
    <w:rsid w:val="008D790E"/>
    <w:rsid w:val="008E0237"/>
    <w:rsid w:val="008E2C26"/>
    <w:rsid w:val="008E785D"/>
    <w:rsid w:val="008F1EDA"/>
    <w:rsid w:val="008F2259"/>
    <w:rsid w:val="008F34D6"/>
    <w:rsid w:val="008F7662"/>
    <w:rsid w:val="009018BD"/>
    <w:rsid w:val="009039D9"/>
    <w:rsid w:val="00903D79"/>
    <w:rsid w:val="00903F67"/>
    <w:rsid w:val="0090564D"/>
    <w:rsid w:val="00913526"/>
    <w:rsid w:val="00921082"/>
    <w:rsid w:val="00922AF0"/>
    <w:rsid w:val="009547C5"/>
    <w:rsid w:val="0096146B"/>
    <w:rsid w:val="009702E2"/>
    <w:rsid w:val="00970F53"/>
    <w:rsid w:val="009738CA"/>
    <w:rsid w:val="009827F8"/>
    <w:rsid w:val="00982EE6"/>
    <w:rsid w:val="00986A72"/>
    <w:rsid w:val="009B4383"/>
    <w:rsid w:val="009C0912"/>
    <w:rsid w:val="009C1206"/>
    <w:rsid w:val="009C50F5"/>
    <w:rsid w:val="009C6C21"/>
    <w:rsid w:val="009D1407"/>
    <w:rsid w:val="009D36E8"/>
    <w:rsid w:val="009E55C6"/>
    <w:rsid w:val="009F00BD"/>
    <w:rsid w:val="009F1016"/>
    <w:rsid w:val="009F3934"/>
    <w:rsid w:val="009F5BC8"/>
    <w:rsid w:val="009F6E51"/>
    <w:rsid w:val="00A02AC5"/>
    <w:rsid w:val="00A04EC5"/>
    <w:rsid w:val="00A06ED7"/>
    <w:rsid w:val="00A15644"/>
    <w:rsid w:val="00A20282"/>
    <w:rsid w:val="00A2477B"/>
    <w:rsid w:val="00A317DA"/>
    <w:rsid w:val="00A34B45"/>
    <w:rsid w:val="00A40836"/>
    <w:rsid w:val="00A4140E"/>
    <w:rsid w:val="00A45B1F"/>
    <w:rsid w:val="00A5203A"/>
    <w:rsid w:val="00A56770"/>
    <w:rsid w:val="00A56CFC"/>
    <w:rsid w:val="00A61E33"/>
    <w:rsid w:val="00A665C1"/>
    <w:rsid w:val="00A70B58"/>
    <w:rsid w:val="00A70C4D"/>
    <w:rsid w:val="00A71BB1"/>
    <w:rsid w:val="00A80085"/>
    <w:rsid w:val="00A91BFB"/>
    <w:rsid w:val="00A93BF4"/>
    <w:rsid w:val="00A94C40"/>
    <w:rsid w:val="00AA2021"/>
    <w:rsid w:val="00AB0BE2"/>
    <w:rsid w:val="00AB0FCF"/>
    <w:rsid w:val="00AB73F6"/>
    <w:rsid w:val="00AC1F02"/>
    <w:rsid w:val="00AC3E50"/>
    <w:rsid w:val="00AC76D0"/>
    <w:rsid w:val="00AD038F"/>
    <w:rsid w:val="00AD1F29"/>
    <w:rsid w:val="00AD4266"/>
    <w:rsid w:val="00AD5E61"/>
    <w:rsid w:val="00AD7497"/>
    <w:rsid w:val="00AE5DF9"/>
    <w:rsid w:val="00AE700F"/>
    <w:rsid w:val="00AE7E78"/>
    <w:rsid w:val="00AF4358"/>
    <w:rsid w:val="00B10602"/>
    <w:rsid w:val="00B14287"/>
    <w:rsid w:val="00B174F9"/>
    <w:rsid w:val="00B25F2D"/>
    <w:rsid w:val="00B3680F"/>
    <w:rsid w:val="00B55FC0"/>
    <w:rsid w:val="00B56035"/>
    <w:rsid w:val="00B64D63"/>
    <w:rsid w:val="00B6683C"/>
    <w:rsid w:val="00B66E15"/>
    <w:rsid w:val="00B750B0"/>
    <w:rsid w:val="00B80A12"/>
    <w:rsid w:val="00B80AA3"/>
    <w:rsid w:val="00B82E80"/>
    <w:rsid w:val="00B847BC"/>
    <w:rsid w:val="00B86A6F"/>
    <w:rsid w:val="00BB2A6D"/>
    <w:rsid w:val="00BC4334"/>
    <w:rsid w:val="00BD26DD"/>
    <w:rsid w:val="00BD3019"/>
    <w:rsid w:val="00BD6598"/>
    <w:rsid w:val="00BE626C"/>
    <w:rsid w:val="00BF449A"/>
    <w:rsid w:val="00BF6037"/>
    <w:rsid w:val="00BF6503"/>
    <w:rsid w:val="00BF79B9"/>
    <w:rsid w:val="00C04A18"/>
    <w:rsid w:val="00C11C40"/>
    <w:rsid w:val="00C20EA4"/>
    <w:rsid w:val="00C22E1F"/>
    <w:rsid w:val="00C318F3"/>
    <w:rsid w:val="00C331C7"/>
    <w:rsid w:val="00C42B07"/>
    <w:rsid w:val="00C453EE"/>
    <w:rsid w:val="00C53A9F"/>
    <w:rsid w:val="00C62B9F"/>
    <w:rsid w:val="00C7584A"/>
    <w:rsid w:val="00C77F79"/>
    <w:rsid w:val="00C80A9A"/>
    <w:rsid w:val="00C81131"/>
    <w:rsid w:val="00C82D27"/>
    <w:rsid w:val="00C86544"/>
    <w:rsid w:val="00CB3A00"/>
    <w:rsid w:val="00CC0984"/>
    <w:rsid w:val="00CC1016"/>
    <w:rsid w:val="00CD7A06"/>
    <w:rsid w:val="00CE6977"/>
    <w:rsid w:val="00CF6E02"/>
    <w:rsid w:val="00D01235"/>
    <w:rsid w:val="00D07E54"/>
    <w:rsid w:val="00D139DB"/>
    <w:rsid w:val="00D1480D"/>
    <w:rsid w:val="00D24730"/>
    <w:rsid w:val="00D276B5"/>
    <w:rsid w:val="00D364DF"/>
    <w:rsid w:val="00D44BCA"/>
    <w:rsid w:val="00D44BF5"/>
    <w:rsid w:val="00D453BC"/>
    <w:rsid w:val="00D46534"/>
    <w:rsid w:val="00D47104"/>
    <w:rsid w:val="00D5419E"/>
    <w:rsid w:val="00D56286"/>
    <w:rsid w:val="00D73EB4"/>
    <w:rsid w:val="00D74F67"/>
    <w:rsid w:val="00D77066"/>
    <w:rsid w:val="00D94969"/>
    <w:rsid w:val="00D967DC"/>
    <w:rsid w:val="00D97A22"/>
    <w:rsid w:val="00DA62CA"/>
    <w:rsid w:val="00DA7546"/>
    <w:rsid w:val="00DB4F7C"/>
    <w:rsid w:val="00DC456E"/>
    <w:rsid w:val="00DC6B63"/>
    <w:rsid w:val="00DC71B9"/>
    <w:rsid w:val="00DC741E"/>
    <w:rsid w:val="00DC76F6"/>
    <w:rsid w:val="00DD1B56"/>
    <w:rsid w:val="00DD22A6"/>
    <w:rsid w:val="00DD4E47"/>
    <w:rsid w:val="00DD5CBA"/>
    <w:rsid w:val="00DE36F2"/>
    <w:rsid w:val="00DE6718"/>
    <w:rsid w:val="00DF1D0D"/>
    <w:rsid w:val="00DF4BBF"/>
    <w:rsid w:val="00E03E69"/>
    <w:rsid w:val="00E048DA"/>
    <w:rsid w:val="00E05FFB"/>
    <w:rsid w:val="00E271F5"/>
    <w:rsid w:val="00E47B74"/>
    <w:rsid w:val="00E620EE"/>
    <w:rsid w:val="00E63C40"/>
    <w:rsid w:val="00E67E0F"/>
    <w:rsid w:val="00E77E43"/>
    <w:rsid w:val="00E81387"/>
    <w:rsid w:val="00E834D7"/>
    <w:rsid w:val="00E83952"/>
    <w:rsid w:val="00E84743"/>
    <w:rsid w:val="00EA3565"/>
    <w:rsid w:val="00EA533D"/>
    <w:rsid w:val="00EA5568"/>
    <w:rsid w:val="00EB7AEE"/>
    <w:rsid w:val="00EC0044"/>
    <w:rsid w:val="00EC310F"/>
    <w:rsid w:val="00EC7897"/>
    <w:rsid w:val="00EE2885"/>
    <w:rsid w:val="00EF01A8"/>
    <w:rsid w:val="00EF38AF"/>
    <w:rsid w:val="00EF4640"/>
    <w:rsid w:val="00F0184B"/>
    <w:rsid w:val="00F020B8"/>
    <w:rsid w:val="00F04B91"/>
    <w:rsid w:val="00F15734"/>
    <w:rsid w:val="00F15EB1"/>
    <w:rsid w:val="00F530E2"/>
    <w:rsid w:val="00F54339"/>
    <w:rsid w:val="00F55CA3"/>
    <w:rsid w:val="00F61DFA"/>
    <w:rsid w:val="00F656C8"/>
    <w:rsid w:val="00F65C33"/>
    <w:rsid w:val="00F7040E"/>
    <w:rsid w:val="00F74DF5"/>
    <w:rsid w:val="00F81261"/>
    <w:rsid w:val="00F864F4"/>
    <w:rsid w:val="00F8748B"/>
    <w:rsid w:val="00F909CB"/>
    <w:rsid w:val="00F93BE0"/>
    <w:rsid w:val="00FA21C4"/>
    <w:rsid w:val="00FA3F2E"/>
    <w:rsid w:val="00FB01DE"/>
    <w:rsid w:val="00FC646A"/>
    <w:rsid w:val="00FD44A8"/>
    <w:rsid w:val="00FE3EA4"/>
    <w:rsid w:val="00FE4A88"/>
    <w:rsid w:val="00FE4D4F"/>
    <w:rsid w:val="00FE5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85AEC"/>
  <w15:chartTrackingRefBased/>
  <w15:docId w15:val="{EF7D764E-B25C-4A54-8CEC-CD9D18541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8716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6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6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6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6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6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6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6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6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6E2"/>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8716E2"/>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8716E2"/>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8716E2"/>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8716E2"/>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8716E2"/>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8716E2"/>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8716E2"/>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8716E2"/>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8716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6E2"/>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8716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6E2"/>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8716E2"/>
    <w:pPr>
      <w:spacing w:before="160"/>
      <w:jc w:val="center"/>
    </w:pPr>
    <w:rPr>
      <w:i/>
      <w:iCs/>
      <w:color w:val="404040" w:themeColor="text1" w:themeTint="BF"/>
    </w:rPr>
  </w:style>
  <w:style w:type="character" w:customStyle="1" w:styleId="QuoteChar">
    <w:name w:val="Quote Char"/>
    <w:basedOn w:val="DefaultParagraphFont"/>
    <w:link w:val="Quote"/>
    <w:uiPriority w:val="29"/>
    <w:rsid w:val="008716E2"/>
    <w:rPr>
      <w:i/>
      <w:iCs/>
      <w:color w:val="404040" w:themeColor="text1" w:themeTint="BF"/>
      <w:lang w:val="cy-GB"/>
    </w:rPr>
  </w:style>
  <w:style w:type="paragraph" w:styleId="ListParagraph">
    <w:name w:val="List Paragraph"/>
    <w:basedOn w:val="Normal"/>
    <w:uiPriority w:val="34"/>
    <w:qFormat/>
    <w:rsid w:val="008716E2"/>
    <w:pPr>
      <w:ind w:left="720"/>
      <w:contextualSpacing/>
    </w:pPr>
  </w:style>
  <w:style w:type="character" w:styleId="IntenseEmphasis">
    <w:name w:val="Intense Emphasis"/>
    <w:basedOn w:val="DefaultParagraphFont"/>
    <w:uiPriority w:val="21"/>
    <w:qFormat/>
    <w:rsid w:val="008716E2"/>
    <w:rPr>
      <w:i/>
      <w:iCs/>
      <w:color w:val="0F4761" w:themeColor="accent1" w:themeShade="BF"/>
    </w:rPr>
  </w:style>
  <w:style w:type="paragraph" w:styleId="IntenseQuote">
    <w:name w:val="Intense Quote"/>
    <w:basedOn w:val="Normal"/>
    <w:next w:val="Normal"/>
    <w:link w:val="IntenseQuoteChar"/>
    <w:uiPriority w:val="30"/>
    <w:qFormat/>
    <w:rsid w:val="008716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6E2"/>
    <w:rPr>
      <w:i/>
      <w:iCs/>
      <w:color w:val="0F4761" w:themeColor="accent1" w:themeShade="BF"/>
      <w:lang w:val="cy-GB"/>
    </w:rPr>
  </w:style>
  <w:style w:type="character" w:styleId="IntenseReference">
    <w:name w:val="Intense Reference"/>
    <w:basedOn w:val="DefaultParagraphFont"/>
    <w:uiPriority w:val="32"/>
    <w:qFormat/>
    <w:rsid w:val="008716E2"/>
    <w:rPr>
      <w:b/>
      <w:bCs/>
      <w:smallCaps/>
      <w:color w:val="0F4761" w:themeColor="accent1" w:themeShade="BF"/>
      <w:spacing w:val="5"/>
    </w:rPr>
  </w:style>
  <w:style w:type="paragraph" w:styleId="Header">
    <w:name w:val="header"/>
    <w:basedOn w:val="Normal"/>
    <w:link w:val="HeaderChar"/>
    <w:uiPriority w:val="99"/>
    <w:unhideWhenUsed/>
    <w:rsid w:val="00871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6E2"/>
    <w:rPr>
      <w:lang w:val="cy-GB"/>
    </w:rPr>
  </w:style>
  <w:style w:type="paragraph" w:styleId="Footer">
    <w:name w:val="footer"/>
    <w:basedOn w:val="Normal"/>
    <w:link w:val="FooterChar"/>
    <w:uiPriority w:val="99"/>
    <w:unhideWhenUsed/>
    <w:rsid w:val="00871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6E2"/>
    <w:rPr>
      <w:lang w:val="cy-GB"/>
    </w:rPr>
  </w:style>
  <w:style w:type="character" w:customStyle="1" w:styleId="AssignBodyChar">
    <w:name w:val="AssignBody Char"/>
    <w:basedOn w:val="DefaultParagraphFont"/>
    <w:link w:val="AssignBody"/>
    <w:locked/>
    <w:rsid w:val="00587AD8"/>
    <w:rPr>
      <w:rFonts w:ascii="Arial" w:hAnsi="Arial" w:cs="Arial"/>
    </w:rPr>
  </w:style>
  <w:style w:type="paragraph" w:customStyle="1" w:styleId="AssignBody">
    <w:name w:val="AssignBody"/>
    <w:basedOn w:val="Normal"/>
    <w:link w:val="AssignBodyChar"/>
    <w:qFormat/>
    <w:rsid w:val="00587AD8"/>
    <w:pPr>
      <w:spacing w:after="0" w:line="360" w:lineRule="auto"/>
    </w:pPr>
    <w:rPr>
      <w:rFonts w:ascii="Arial" w:hAnsi="Arial" w:cs="Arial"/>
      <w:lang w:val="en-GB"/>
    </w:rPr>
  </w:style>
  <w:style w:type="table" w:styleId="TableGrid">
    <w:name w:val="Table Grid"/>
    <w:basedOn w:val="TableNormal"/>
    <w:uiPriority w:val="39"/>
    <w:rsid w:val="00587AD8"/>
    <w:pPr>
      <w:spacing w:after="0" w:line="240" w:lineRule="auto"/>
    </w:pPr>
    <w:rPr>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87AD8"/>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851259">
      <w:bodyDiv w:val="1"/>
      <w:marLeft w:val="0"/>
      <w:marRight w:val="0"/>
      <w:marTop w:val="0"/>
      <w:marBottom w:val="0"/>
      <w:divBdr>
        <w:top w:val="none" w:sz="0" w:space="0" w:color="auto"/>
        <w:left w:val="none" w:sz="0" w:space="0" w:color="auto"/>
        <w:bottom w:val="none" w:sz="0" w:space="0" w:color="auto"/>
        <w:right w:val="none" w:sz="0" w:space="0" w:color="auto"/>
      </w:divBdr>
      <w:divsChild>
        <w:div w:id="964505678">
          <w:marLeft w:val="0"/>
          <w:marRight w:val="0"/>
          <w:marTop w:val="0"/>
          <w:marBottom w:val="0"/>
          <w:divBdr>
            <w:top w:val="none" w:sz="0" w:space="0" w:color="auto"/>
            <w:left w:val="none" w:sz="0" w:space="0" w:color="auto"/>
            <w:bottom w:val="none" w:sz="0" w:space="0" w:color="auto"/>
            <w:right w:val="none" w:sz="0" w:space="0" w:color="auto"/>
          </w:divBdr>
        </w:div>
      </w:divsChild>
    </w:div>
    <w:div w:id="1602641407">
      <w:bodyDiv w:val="1"/>
      <w:marLeft w:val="0"/>
      <w:marRight w:val="0"/>
      <w:marTop w:val="0"/>
      <w:marBottom w:val="0"/>
      <w:divBdr>
        <w:top w:val="none" w:sz="0" w:space="0" w:color="auto"/>
        <w:left w:val="none" w:sz="0" w:space="0" w:color="auto"/>
        <w:bottom w:val="none" w:sz="0" w:space="0" w:color="auto"/>
        <w:right w:val="none" w:sz="0" w:space="0" w:color="auto"/>
      </w:divBdr>
      <w:divsChild>
        <w:div w:id="531454448">
          <w:marLeft w:val="0"/>
          <w:marRight w:val="0"/>
          <w:marTop w:val="0"/>
          <w:marBottom w:val="0"/>
          <w:divBdr>
            <w:top w:val="none" w:sz="0" w:space="0" w:color="auto"/>
            <w:left w:val="none" w:sz="0" w:space="0" w:color="auto"/>
            <w:bottom w:val="none" w:sz="0" w:space="0" w:color="auto"/>
            <w:right w:val="none" w:sz="0" w:space="0" w:color="auto"/>
          </w:divBdr>
        </w:div>
      </w:divsChild>
    </w:div>
    <w:div w:id="1974287615">
      <w:bodyDiv w:val="1"/>
      <w:marLeft w:val="0"/>
      <w:marRight w:val="0"/>
      <w:marTop w:val="0"/>
      <w:marBottom w:val="0"/>
      <w:divBdr>
        <w:top w:val="none" w:sz="0" w:space="0" w:color="auto"/>
        <w:left w:val="none" w:sz="0" w:space="0" w:color="auto"/>
        <w:bottom w:val="none" w:sz="0" w:space="0" w:color="auto"/>
        <w:right w:val="none" w:sz="0" w:space="0" w:color="auto"/>
      </w:divBdr>
      <w:divsChild>
        <w:div w:id="1174420694">
          <w:marLeft w:val="0"/>
          <w:marRight w:val="0"/>
          <w:marTop w:val="0"/>
          <w:marBottom w:val="0"/>
          <w:divBdr>
            <w:top w:val="none" w:sz="0" w:space="0" w:color="auto"/>
            <w:left w:val="none" w:sz="0" w:space="0" w:color="auto"/>
            <w:bottom w:val="none" w:sz="0" w:space="0" w:color="auto"/>
            <w:right w:val="none" w:sz="0" w:space="0" w:color="auto"/>
          </w:divBdr>
        </w:div>
      </w:divsChild>
    </w:div>
    <w:div w:id="2082290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8611</TotalTime>
  <Pages>7</Pages>
  <Words>2753</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Pugh</dc:creator>
  <cp:keywords/>
  <dc:description/>
  <cp:lastModifiedBy>Joseph Pugh</cp:lastModifiedBy>
  <cp:revision>465</cp:revision>
  <dcterms:created xsi:type="dcterms:W3CDTF">2024-03-12T10:45:00Z</dcterms:created>
  <dcterms:modified xsi:type="dcterms:W3CDTF">2024-03-18T19:10:00Z</dcterms:modified>
</cp:coreProperties>
</file>