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page" w:tblpX="738" w:tblpY="1968"/>
        <w:tblW w:w="8556" w:type="dxa"/>
        <w:tblLook w:val="04A0" w:firstRow="1" w:lastRow="0" w:firstColumn="1" w:lastColumn="0" w:noHBand="0" w:noVBand="1"/>
      </w:tblPr>
      <w:tblGrid>
        <w:gridCol w:w="4278"/>
        <w:gridCol w:w="4278"/>
      </w:tblGrid>
      <w:tr w:rsidR="0030584F" w14:paraId="2D7A6AE5" w14:textId="77777777" w:rsidTr="00300249">
        <w:trPr>
          <w:trHeight w:val="689"/>
        </w:trPr>
        <w:tc>
          <w:tcPr>
            <w:tcW w:w="4278" w:type="dxa"/>
          </w:tcPr>
          <w:p w14:paraId="03A25B91" w14:textId="77777777" w:rsidR="0030584F" w:rsidRPr="00650803" w:rsidRDefault="0030584F" w:rsidP="00300249">
            <w:r w:rsidRPr="00650803">
              <w:t xml:space="preserve">Student Name: </w:t>
            </w:r>
          </w:p>
        </w:tc>
        <w:tc>
          <w:tcPr>
            <w:tcW w:w="4278" w:type="dxa"/>
          </w:tcPr>
          <w:p w14:paraId="069F6F38" w14:textId="77777777" w:rsidR="0030584F" w:rsidRPr="00650803" w:rsidRDefault="0030584F" w:rsidP="00300249">
            <w:r w:rsidRPr="00650803">
              <w:t xml:space="preserve">Manal Ahmed </w:t>
            </w:r>
          </w:p>
        </w:tc>
      </w:tr>
      <w:tr w:rsidR="0030584F" w14:paraId="4367B1E8" w14:textId="77777777" w:rsidTr="00300249">
        <w:trPr>
          <w:trHeight w:val="689"/>
        </w:trPr>
        <w:tc>
          <w:tcPr>
            <w:tcW w:w="4278" w:type="dxa"/>
          </w:tcPr>
          <w:p w14:paraId="4C63ABD5" w14:textId="77777777" w:rsidR="0030584F" w:rsidRPr="00650803" w:rsidRDefault="0030584F" w:rsidP="00300249">
            <w:r w:rsidRPr="00650803">
              <w:t>Student Number:</w:t>
            </w:r>
          </w:p>
        </w:tc>
        <w:tc>
          <w:tcPr>
            <w:tcW w:w="4278" w:type="dxa"/>
          </w:tcPr>
          <w:p w14:paraId="26C3DFA6" w14:textId="77777777" w:rsidR="0030584F" w:rsidRPr="00650803" w:rsidRDefault="0030584F" w:rsidP="00300249">
            <w:r w:rsidRPr="00650803">
              <w:t>2325945</w:t>
            </w:r>
          </w:p>
        </w:tc>
      </w:tr>
      <w:tr w:rsidR="0030584F" w14:paraId="32044B6D" w14:textId="77777777" w:rsidTr="00300249">
        <w:trPr>
          <w:trHeight w:val="1185"/>
        </w:trPr>
        <w:tc>
          <w:tcPr>
            <w:tcW w:w="4278" w:type="dxa"/>
          </w:tcPr>
          <w:p w14:paraId="7C20D982" w14:textId="77777777" w:rsidR="0030584F" w:rsidRPr="00650803" w:rsidRDefault="0030584F" w:rsidP="0030584F">
            <w:r w:rsidRPr="00650803">
              <w:t>Module Name:</w:t>
            </w:r>
          </w:p>
        </w:tc>
        <w:tc>
          <w:tcPr>
            <w:tcW w:w="4278" w:type="dxa"/>
          </w:tcPr>
          <w:p w14:paraId="65C0D6FB" w14:textId="23E3E262" w:rsidR="0030584F" w:rsidRPr="0030584F" w:rsidRDefault="0030584F" w:rsidP="0030584F">
            <w:pPr>
              <w:rPr>
                <w:bCs/>
              </w:rPr>
            </w:pPr>
            <w:r w:rsidRPr="0030584F">
              <w:rPr>
                <w:rFonts w:ascii="Arial" w:hAnsi="Arial" w:cs="Arial"/>
                <w:bCs/>
                <w:sz w:val="22"/>
                <w:szCs w:val="22"/>
              </w:rPr>
              <w:t>Principles of Health and Social Care Practice</w:t>
            </w:r>
          </w:p>
        </w:tc>
      </w:tr>
      <w:tr w:rsidR="0030584F" w14:paraId="6FC2A158" w14:textId="77777777" w:rsidTr="00300249">
        <w:trPr>
          <w:trHeight w:val="689"/>
        </w:trPr>
        <w:tc>
          <w:tcPr>
            <w:tcW w:w="4278" w:type="dxa"/>
          </w:tcPr>
          <w:p w14:paraId="69CE722E" w14:textId="77777777" w:rsidR="0030584F" w:rsidRPr="00650803" w:rsidRDefault="0030584F" w:rsidP="0030584F">
            <w:r w:rsidRPr="00650803">
              <w:t>Module Code:</w:t>
            </w:r>
          </w:p>
        </w:tc>
        <w:tc>
          <w:tcPr>
            <w:tcW w:w="4278" w:type="dxa"/>
          </w:tcPr>
          <w:p w14:paraId="2FFF49E5" w14:textId="5D41DFFA" w:rsidR="0030584F" w:rsidRPr="00650803" w:rsidRDefault="0030584F" w:rsidP="0030584F">
            <w:r w:rsidRPr="00650803">
              <w:rPr>
                <w:rFonts w:ascii="Arial" w:hAnsi="Arial" w:cs="Arial"/>
                <w:sz w:val="22"/>
                <w:szCs w:val="22"/>
              </w:rPr>
              <w:t>BMHP50</w:t>
            </w:r>
            <w:r>
              <w:rPr>
                <w:rFonts w:ascii="Arial" w:hAnsi="Arial" w:cs="Arial"/>
                <w:sz w:val="22"/>
                <w:szCs w:val="22"/>
              </w:rPr>
              <w:t>16</w:t>
            </w:r>
          </w:p>
        </w:tc>
      </w:tr>
      <w:tr w:rsidR="0030584F" w14:paraId="0EB143C2" w14:textId="77777777" w:rsidTr="00300249">
        <w:trPr>
          <w:trHeight w:val="662"/>
        </w:trPr>
        <w:tc>
          <w:tcPr>
            <w:tcW w:w="4278" w:type="dxa"/>
          </w:tcPr>
          <w:p w14:paraId="18B48DEE" w14:textId="77777777" w:rsidR="0030584F" w:rsidRPr="00650803" w:rsidRDefault="0030584F" w:rsidP="0030584F">
            <w:r w:rsidRPr="00650803">
              <w:t>Submission Date:</w:t>
            </w:r>
          </w:p>
        </w:tc>
        <w:tc>
          <w:tcPr>
            <w:tcW w:w="4278" w:type="dxa"/>
          </w:tcPr>
          <w:p w14:paraId="61B598BC" w14:textId="307742C2" w:rsidR="0030584F" w:rsidRPr="00650803" w:rsidRDefault="0030584F" w:rsidP="0030584F">
            <w:r w:rsidRPr="00650803">
              <w:t>2</w:t>
            </w:r>
            <w:r>
              <w:t>8</w:t>
            </w:r>
            <w:r w:rsidRPr="00650803">
              <w:t>/11/2025</w:t>
            </w:r>
          </w:p>
        </w:tc>
      </w:tr>
    </w:tbl>
    <w:p w14:paraId="06594688" w14:textId="336EB481" w:rsidR="0030584F" w:rsidRDefault="0030584F"/>
    <w:p w14:paraId="390F98C6" w14:textId="77777777" w:rsidR="0030584F" w:rsidRDefault="0030584F">
      <w:r>
        <w:br w:type="page"/>
      </w:r>
    </w:p>
    <w:p w14:paraId="4CC0CF33" w14:textId="77777777" w:rsidR="0030584F" w:rsidRPr="0030584F" w:rsidRDefault="0030584F" w:rsidP="0030584F">
      <w:pPr>
        <w:rPr>
          <w:rFonts w:ascii="Arial" w:hAnsi="Arial" w:cs="Arial"/>
          <w:b/>
          <w:bCs/>
          <w:sz w:val="22"/>
          <w:szCs w:val="22"/>
        </w:rPr>
      </w:pPr>
      <w:r w:rsidRPr="0030584F">
        <w:rPr>
          <w:rFonts w:ascii="Arial" w:hAnsi="Arial" w:cs="Arial"/>
          <w:b/>
          <w:bCs/>
          <w:i/>
          <w:iCs/>
          <w:sz w:val="22"/>
          <w:szCs w:val="22"/>
        </w:rPr>
        <w:lastRenderedPageBreak/>
        <w:t>Person-Centred Care and Partnership Working in Mental Health Services</w:t>
      </w:r>
    </w:p>
    <w:p w14:paraId="1BD9A501" w14:textId="610F169D" w:rsidR="0030584F" w:rsidRPr="0030584F" w:rsidRDefault="0030584F" w:rsidP="0030584F">
      <w:pPr>
        <w:rPr>
          <w:rFonts w:ascii="Arial" w:hAnsi="Arial" w:cs="Arial"/>
          <w:sz w:val="22"/>
          <w:szCs w:val="22"/>
        </w:rPr>
      </w:pPr>
    </w:p>
    <w:p w14:paraId="079BEA2A" w14:textId="77777777" w:rsidR="0030584F" w:rsidRPr="0030584F" w:rsidRDefault="0030584F" w:rsidP="0030584F">
      <w:pPr>
        <w:rPr>
          <w:rFonts w:ascii="Arial" w:hAnsi="Arial" w:cs="Arial"/>
          <w:b/>
          <w:bCs/>
          <w:sz w:val="22"/>
          <w:szCs w:val="22"/>
          <w:u w:val="single"/>
        </w:rPr>
      </w:pPr>
      <w:r w:rsidRPr="0030584F">
        <w:rPr>
          <w:rFonts w:ascii="Arial" w:hAnsi="Arial" w:cs="Arial"/>
          <w:b/>
          <w:bCs/>
          <w:sz w:val="22"/>
          <w:szCs w:val="22"/>
          <w:u w:val="single"/>
        </w:rPr>
        <w:t>Introduction</w:t>
      </w:r>
    </w:p>
    <w:p w14:paraId="0372F5B9" w14:textId="77777777" w:rsidR="0030584F" w:rsidRPr="0030584F" w:rsidRDefault="0030584F" w:rsidP="0030584F">
      <w:pPr>
        <w:rPr>
          <w:rFonts w:ascii="Arial" w:hAnsi="Arial" w:cs="Arial"/>
          <w:sz w:val="22"/>
          <w:szCs w:val="22"/>
        </w:rPr>
      </w:pPr>
      <w:r w:rsidRPr="0030584F">
        <w:rPr>
          <w:rFonts w:ascii="Arial" w:hAnsi="Arial" w:cs="Arial"/>
          <w:sz w:val="22"/>
          <w:szCs w:val="22"/>
        </w:rPr>
        <w:t>Person-centred care (PCC) and partnership working (PW) have become central principles of modern health and social care in the United Kingdom, particularly within mental health services where individuals often experience complex needs requiring coordinated multidisciplinary support. PCC emphasises the individuality, preferences, and rights of the service user, while PW involves interprofessional and interagency collaboration to improve health outcomes and provide seamless, holistic care (Royal College of Nursing, 2021). The purpose of this report is to critically evaluate PCC and PW within a community mental health service setting, examining their theoretical foundations, ethical considerations, legislative influences, benefits, limitations, and their practical application in service delivery. Moreover, this report explores the relationship between PCC and PW, analysing how both approaches complement one another in practice. Finally, recommendations for future development in the UK are presented.</w:t>
      </w:r>
    </w:p>
    <w:p w14:paraId="6C4970FA" w14:textId="24F04321" w:rsidR="0030584F" w:rsidRPr="0030584F" w:rsidRDefault="0030584F" w:rsidP="0030584F">
      <w:pPr>
        <w:rPr>
          <w:rFonts w:ascii="Arial" w:hAnsi="Arial" w:cs="Arial"/>
          <w:sz w:val="22"/>
          <w:szCs w:val="22"/>
        </w:rPr>
      </w:pPr>
    </w:p>
    <w:p w14:paraId="58801E8E" w14:textId="77777777" w:rsidR="0030584F" w:rsidRPr="0030584F" w:rsidRDefault="0030584F" w:rsidP="0030584F">
      <w:pPr>
        <w:rPr>
          <w:rFonts w:ascii="Arial" w:hAnsi="Arial" w:cs="Arial"/>
          <w:b/>
          <w:bCs/>
          <w:sz w:val="22"/>
          <w:szCs w:val="22"/>
          <w:u w:val="single"/>
        </w:rPr>
      </w:pPr>
      <w:r w:rsidRPr="0030584F">
        <w:rPr>
          <w:rFonts w:ascii="Arial" w:hAnsi="Arial" w:cs="Arial"/>
          <w:b/>
          <w:bCs/>
          <w:sz w:val="22"/>
          <w:szCs w:val="22"/>
          <w:u w:val="single"/>
        </w:rPr>
        <w:t>Defining Person-Centred Care and Its Benefits and Limitations</w:t>
      </w:r>
    </w:p>
    <w:p w14:paraId="4621119D" w14:textId="38A4E868" w:rsidR="0030584F" w:rsidRPr="0030584F" w:rsidRDefault="0030584F" w:rsidP="0030584F">
      <w:pPr>
        <w:rPr>
          <w:rFonts w:ascii="Arial" w:hAnsi="Arial" w:cs="Arial"/>
          <w:sz w:val="22"/>
          <w:szCs w:val="22"/>
        </w:rPr>
      </w:pPr>
      <w:r w:rsidRPr="0030584F">
        <w:rPr>
          <w:rFonts w:ascii="Arial" w:hAnsi="Arial" w:cs="Arial"/>
          <w:sz w:val="22"/>
          <w:szCs w:val="22"/>
        </w:rPr>
        <w:t xml:space="preserve">Person-centred care is commonly defined as an approach that respects and values the uniqueness of individuals, and places them at the centre of planning and decision-making regarding their care (Health Foundation, 2016). </w:t>
      </w:r>
      <w:r w:rsidR="00A81230">
        <w:rPr>
          <w:rFonts w:ascii="Arial" w:hAnsi="Arial" w:cs="Arial"/>
          <w:sz w:val="22"/>
          <w:szCs w:val="22"/>
        </w:rPr>
        <w:t>W</w:t>
      </w:r>
      <w:r w:rsidRPr="0030584F">
        <w:rPr>
          <w:rFonts w:ascii="Arial" w:hAnsi="Arial" w:cs="Arial"/>
          <w:sz w:val="22"/>
          <w:szCs w:val="22"/>
        </w:rPr>
        <w:t xml:space="preserve">idely cited work </w:t>
      </w:r>
      <w:r w:rsidR="00243FDC" w:rsidRPr="0030584F">
        <w:rPr>
          <w:rFonts w:ascii="Arial" w:hAnsi="Arial" w:cs="Arial"/>
          <w:sz w:val="22"/>
          <w:szCs w:val="22"/>
        </w:rPr>
        <w:t>conceptualise</w:t>
      </w:r>
      <w:r w:rsidR="00243FDC">
        <w:rPr>
          <w:rFonts w:ascii="Arial" w:hAnsi="Arial" w:cs="Arial"/>
          <w:sz w:val="22"/>
          <w:szCs w:val="22"/>
        </w:rPr>
        <w:t xml:space="preserve">s </w:t>
      </w:r>
      <w:r w:rsidRPr="0030584F">
        <w:rPr>
          <w:rFonts w:ascii="Arial" w:hAnsi="Arial" w:cs="Arial"/>
          <w:sz w:val="22"/>
          <w:szCs w:val="22"/>
        </w:rPr>
        <w:t>PCC as a framework that enhances personal involvement, autonomy, and mutual respect</w:t>
      </w:r>
      <w:r w:rsidR="00A81230">
        <w:rPr>
          <w:rFonts w:ascii="Arial" w:hAnsi="Arial" w:cs="Arial"/>
          <w:sz w:val="22"/>
          <w:szCs w:val="22"/>
        </w:rPr>
        <w:t xml:space="preserve"> </w:t>
      </w:r>
      <w:r w:rsidR="00DA0A72">
        <w:rPr>
          <w:rFonts w:ascii="Arial" w:hAnsi="Arial" w:cs="Arial"/>
          <w:sz w:val="22"/>
          <w:szCs w:val="22"/>
        </w:rPr>
        <w:t>(McCormack, 2017)</w:t>
      </w:r>
      <w:r w:rsidRPr="0030584F">
        <w:rPr>
          <w:rFonts w:ascii="Arial" w:hAnsi="Arial" w:cs="Arial"/>
          <w:sz w:val="22"/>
          <w:szCs w:val="22"/>
        </w:rPr>
        <w:t>. Within mental health settings, PCC aims to empower service users to take an active role in their recovery journey, supporting them to set goals, make informed choices, and develop coping strategies.</w:t>
      </w:r>
    </w:p>
    <w:p w14:paraId="7DADA0AE" w14:textId="77777777" w:rsidR="0030584F" w:rsidRPr="0030584F" w:rsidRDefault="0030584F" w:rsidP="0030584F">
      <w:pPr>
        <w:rPr>
          <w:rFonts w:ascii="Arial" w:hAnsi="Arial" w:cs="Arial"/>
          <w:sz w:val="22"/>
          <w:szCs w:val="22"/>
        </w:rPr>
      </w:pPr>
      <w:r w:rsidRPr="0030584F">
        <w:rPr>
          <w:rFonts w:ascii="Arial" w:hAnsi="Arial" w:cs="Arial"/>
          <w:sz w:val="22"/>
          <w:szCs w:val="22"/>
        </w:rPr>
        <w:t xml:space="preserve">A key benefit of PCC is improved service-user satisfaction and engagement. Research indicates that individuals who feel listened to and involved in decisions are more likely to adhere to treatment and achieve positive outcomes (Slade, 2017). PCC is also linked to enhanced therapeutic relationships, greater autonomy, and increased trust between service users and professionals. In mental health services, PCC has been associated with reduced relapse rates, improved recovery outcomes, and better quality of life (Bee </w:t>
      </w:r>
      <w:r w:rsidRPr="0030584F">
        <w:rPr>
          <w:rFonts w:ascii="Arial" w:hAnsi="Arial" w:cs="Arial"/>
          <w:i/>
          <w:iCs/>
          <w:sz w:val="22"/>
          <w:szCs w:val="22"/>
        </w:rPr>
        <w:t>et al.,</w:t>
      </w:r>
      <w:r w:rsidRPr="0030584F">
        <w:rPr>
          <w:rFonts w:ascii="Arial" w:hAnsi="Arial" w:cs="Arial"/>
          <w:sz w:val="22"/>
          <w:szCs w:val="22"/>
        </w:rPr>
        <w:t xml:space="preserve"> 2018).</w:t>
      </w:r>
    </w:p>
    <w:p w14:paraId="08FA1B97" w14:textId="77777777" w:rsidR="0030584F" w:rsidRPr="0030584F" w:rsidRDefault="0030584F" w:rsidP="0030584F">
      <w:pPr>
        <w:rPr>
          <w:rFonts w:ascii="Arial" w:hAnsi="Arial" w:cs="Arial"/>
          <w:sz w:val="22"/>
          <w:szCs w:val="22"/>
        </w:rPr>
      </w:pPr>
      <w:r w:rsidRPr="0030584F">
        <w:rPr>
          <w:rFonts w:ascii="Arial" w:hAnsi="Arial" w:cs="Arial"/>
          <w:sz w:val="22"/>
          <w:szCs w:val="22"/>
        </w:rPr>
        <w:t>However, PCC is not without limitations. One challenge is the disparity between PCC ideals and the realities of resource-constrained environments. Mental health services in the UK face workforce shortages, high caseloads, and limited time for personalised interactions, all of which can hinder the implementation of PCC (Mind, 2023). Additionally, some service users may lack capacity or be in crisis, making collaborative decision-making more complex. Professionals may struggle to balance PCC with safeguarding responsibilities and risk management, particularly in acute episodes of mental illness (Department of Health and Social Care, 2022). Furthermore, organisational cultures that prioritise performance targets or medicalised models may restrict the flexibility needed to deliver truly person-centred care.</w:t>
      </w:r>
    </w:p>
    <w:p w14:paraId="7E012460" w14:textId="6F5B7BB3" w:rsidR="0030584F" w:rsidRPr="0030584F" w:rsidRDefault="0030584F" w:rsidP="0030584F">
      <w:pPr>
        <w:rPr>
          <w:rFonts w:ascii="Arial" w:hAnsi="Arial" w:cs="Arial"/>
          <w:sz w:val="22"/>
          <w:szCs w:val="22"/>
        </w:rPr>
      </w:pPr>
    </w:p>
    <w:p w14:paraId="1BECEC5D" w14:textId="77777777" w:rsidR="00243FDC" w:rsidRDefault="00243FDC" w:rsidP="0030584F">
      <w:pPr>
        <w:rPr>
          <w:rFonts w:ascii="Arial" w:hAnsi="Arial" w:cs="Arial"/>
          <w:b/>
          <w:bCs/>
          <w:sz w:val="22"/>
          <w:szCs w:val="22"/>
          <w:u w:val="single"/>
        </w:rPr>
      </w:pPr>
    </w:p>
    <w:p w14:paraId="0CDD83BE" w14:textId="23A56A54" w:rsidR="0030584F" w:rsidRPr="0030584F" w:rsidRDefault="0030584F" w:rsidP="0030584F">
      <w:pPr>
        <w:rPr>
          <w:rFonts w:ascii="Arial" w:hAnsi="Arial" w:cs="Arial"/>
          <w:b/>
          <w:bCs/>
          <w:sz w:val="22"/>
          <w:szCs w:val="22"/>
          <w:u w:val="single"/>
        </w:rPr>
      </w:pPr>
      <w:r w:rsidRPr="0030584F">
        <w:rPr>
          <w:rFonts w:ascii="Arial" w:hAnsi="Arial" w:cs="Arial"/>
          <w:b/>
          <w:bCs/>
          <w:sz w:val="22"/>
          <w:szCs w:val="22"/>
          <w:u w:val="single"/>
        </w:rPr>
        <w:lastRenderedPageBreak/>
        <w:t>Theoretical Underpinning of PCC: The Holistic Model of Care</w:t>
      </w:r>
    </w:p>
    <w:p w14:paraId="2913D615" w14:textId="77777777" w:rsidR="0030584F" w:rsidRPr="0030584F" w:rsidRDefault="0030584F" w:rsidP="0030584F">
      <w:pPr>
        <w:rPr>
          <w:rFonts w:ascii="Arial" w:hAnsi="Arial" w:cs="Arial"/>
          <w:sz w:val="22"/>
          <w:szCs w:val="22"/>
        </w:rPr>
      </w:pPr>
      <w:r w:rsidRPr="0030584F">
        <w:rPr>
          <w:rFonts w:ascii="Arial" w:hAnsi="Arial" w:cs="Arial"/>
          <w:sz w:val="22"/>
          <w:szCs w:val="22"/>
        </w:rPr>
        <w:t>The Holistic Model of Care offers a valuable theoretical foundation for understanding and implementing PCC within mental health services. This model recognises that health is influenced not only by biological factors but also by psychological, social, and environmental determinants (Barker, 2018). It aligns closely with PCC by emphasising the importance of addressing the whole person rather than focusing solely on symptoms or diagnoses.</w:t>
      </w:r>
    </w:p>
    <w:p w14:paraId="7908B719" w14:textId="77777777" w:rsidR="0030584F" w:rsidRPr="0030584F" w:rsidRDefault="0030584F" w:rsidP="0030584F">
      <w:pPr>
        <w:rPr>
          <w:rFonts w:ascii="Arial" w:hAnsi="Arial" w:cs="Arial"/>
          <w:sz w:val="22"/>
          <w:szCs w:val="22"/>
        </w:rPr>
      </w:pPr>
      <w:r w:rsidRPr="0030584F">
        <w:rPr>
          <w:rFonts w:ascii="Arial" w:hAnsi="Arial" w:cs="Arial"/>
          <w:sz w:val="22"/>
          <w:szCs w:val="22"/>
        </w:rPr>
        <w:t xml:space="preserve">In mental health settings, the holistic approach is particularly relevant because individuals often experience interconnected needs, such as emotional distress, social isolation, financial hardship, and trauma. By adopting a holistic perspective, practitioners can explore multiple dimensions of well-being, acknowledging the role of personal history, social networks, housing, and lifestyle in recovery (Tew </w:t>
      </w:r>
      <w:r w:rsidRPr="0030584F">
        <w:rPr>
          <w:rFonts w:ascii="Arial" w:hAnsi="Arial" w:cs="Arial"/>
          <w:i/>
          <w:iCs/>
          <w:sz w:val="22"/>
          <w:szCs w:val="22"/>
        </w:rPr>
        <w:t>et al.,</w:t>
      </w:r>
      <w:r w:rsidRPr="0030584F">
        <w:rPr>
          <w:rFonts w:ascii="Arial" w:hAnsi="Arial" w:cs="Arial"/>
          <w:sz w:val="22"/>
          <w:szCs w:val="22"/>
        </w:rPr>
        <w:t xml:space="preserve"> 2012). This supports the development of tailored interventions that reflect individual circumstances and preferences.</w:t>
      </w:r>
    </w:p>
    <w:p w14:paraId="5E652142" w14:textId="5C8D6ABC" w:rsidR="0030584F" w:rsidRPr="0030584F" w:rsidRDefault="0030584F" w:rsidP="0030584F">
      <w:pPr>
        <w:rPr>
          <w:rFonts w:ascii="Arial" w:hAnsi="Arial" w:cs="Arial"/>
          <w:sz w:val="22"/>
          <w:szCs w:val="22"/>
        </w:rPr>
      </w:pPr>
      <w:r w:rsidRPr="0030584F">
        <w:rPr>
          <w:rFonts w:ascii="Arial" w:hAnsi="Arial" w:cs="Arial"/>
          <w:sz w:val="22"/>
          <w:szCs w:val="22"/>
        </w:rPr>
        <w:t>The model also intersects with recovery-oriented approaches, which prioritise empowerment, hope, and self-determination (Shepherd</w:t>
      </w:r>
      <w:r w:rsidR="00243FDC">
        <w:rPr>
          <w:rFonts w:ascii="Arial" w:hAnsi="Arial" w:cs="Arial"/>
          <w:sz w:val="22"/>
          <w:szCs w:val="22"/>
        </w:rPr>
        <w:t xml:space="preserve"> </w:t>
      </w:r>
      <w:r w:rsidR="00243FDC" w:rsidRPr="00243FDC">
        <w:rPr>
          <w:rFonts w:ascii="Arial" w:hAnsi="Arial" w:cs="Arial"/>
          <w:i/>
          <w:iCs/>
          <w:sz w:val="22"/>
          <w:szCs w:val="22"/>
        </w:rPr>
        <w:t>et al.</w:t>
      </w:r>
      <w:r w:rsidRPr="0030584F">
        <w:rPr>
          <w:rFonts w:ascii="Arial" w:hAnsi="Arial" w:cs="Arial"/>
          <w:i/>
          <w:iCs/>
          <w:sz w:val="22"/>
          <w:szCs w:val="22"/>
        </w:rPr>
        <w:t>,</w:t>
      </w:r>
      <w:r w:rsidRPr="0030584F">
        <w:rPr>
          <w:rFonts w:ascii="Arial" w:hAnsi="Arial" w:cs="Arial"/>
          <w:sz w:val="22"/>
          <w:szCs w:val="22"/>
        </w:rPr>
        <w:t xml:space="preserve"> 2008). Recovery models encourage practitioners to work in partnership with service users, challenging paternalistic practices and promoting shared decision-making. When applied in community mental health teams (CMHTs), the holistic approach encourages multidisciplinary collaboration, ensuring that interventions consider mental, physical, social, and functional needs.</w:t>
      </w:r>
    </w:p>
    <w:p w14:paraId="68B9BF75" w14:textId="77777777" w:rsidR="0030584F" w:rsidRPr="0030584F" w:rsidRDefault="0030584F" w:rsidP="0030584F">
      <w:pPr>
        <w:rPr>
          <w:rFonts w:ascii="Arial" w:hAnsi="Arial" w:cs="Arial"/>
          <w:sz w:val="22"/>
          <w:szCs w:val="22"/>
        </w:rPr>
      </w:pPr>
      <w:r w:rsidRPr="0030584F">
        <w:rPr>
          <w:rFonts w:ascii="Arial" w:hAnsi="Arial" w:cs="Arial"/>
          <w:sz w:val="22"/>
          <w:szCs w:val="22"/>
        </w:rPr>
        <w:t>Nevertheless, implementing a holistic model presents challenges. It requires effective communication between professionals, access to a broad range of services, and organisational support for integrated working. Without these, holistic assessments and interventions may become superficial or fragmented.</w:t>
      </w:r>
    </w:p>
    <w:p w14:paraId="38F2ED95" w14:textId="38448D3B" w:rsidR="0030584F" w:rsidRPr="0030584F" w:rsidRDefault="0030584F" w:rsidP="0030584F">
      <w:pPr>
        <w:rPr>
          <w:rFonts w:ascii="Arial" w:hAnsi="Arial" w:cs="Arial"/>
          <w:sz w:val="22"/>
          <w:szCs w:val="22"/>
        </w:rPr>
      </w:pPr>
    </w:p>
    <w:p w14:paraId="5A912D31" w14:textId="77777777" w:rsidR="0030584F" w:rsidRPr="0030584F" w:rsidRDefault="0030584F" w:rsidP="0030584F">
      <w:pPr>
        <w:rPr>
          <w:rFonts w:ascii="Arial" w:hAnsi="Arial" w:cs="Arial"/>
          <w:b/>
          <w:bCs/>
          <w:sz w:val="22"/>
          <w:szCs w:val="22"/>
          <w:u w:val="single"/>
        </w:rPr>
      </w:pPr>
      <w:r w:rsidRPr="0030584F">
        <w:rPr>
          <w:rFonts w:ascii="Arial" w:hAnsi="Arial" w:cs="Arial"/>
          <w:b/>
          <w:bCs/>
          <w:sz w:val="22"/>
          <w:szCs w:val="22"/>
          <w:u w:val="single"/>
        </w:rPr>
        <w:t>Ethical Fundamentals in Health and Social Care</w:t>
      </w:r>
    </w:p>
    <w:p w14:paraId="0E7F9642" w14:textId="21C1DD9A" w:rsidR="0030584F" w:rsidRPr="0030584F" w:rsidRDefault="0030584F" w:rsidP="0030584F">
      <w:pPr>
        <w:rPr>
          <w:rFonts w:ascii="Arial" w:hAnsi="Arial" w:cs="Arial"/>
          <w:sz w:val="22"/>
          <w:szCs w:val="22"/>
        </w:rPr>
      </w:pPr>
      <w:r w:rsidRPr="0030584F">
        <w:rPr>
          <w:rFonts w:ascii="Arial" w:hAnsi="Arial" w:cs="Arial"/>
          <w:sz w:val="22"/>
          <w:szCs w:val="22"/>
        </w:rPr>
        <w:t xml:space="preserve">Ethical principles are central to PCC and PW, guiding practitioners in delivering safe, respectful, and equitable care. The four commonly recognised ethical </w:t>
      </w:r>
      <w:proofErr w:type="gramStart"/>
      <w:r w:rsidRPr="0030584F">
        <w:rPr>
          <w:rFonts w:ascii="Arial" w:hAnsi="Arial" w:cs="Arial"/>
          <w:sz w:val="22"/>
          <w:szCs w:val="22"/>
        </w:rPr>
        <w:t>principles</w:t>
      </w:r>
      <w:r w:rsidR="00243FDC">
        <w:rPr>
          <w:rFonts w:ascii="Arial" w:hAnsi="Arial" w:cs="Arial"/>
          <w:sz w:val="22"/>
          <w:szCs w:val="22"/>
        </w:rPr>
        <w:t>;</w:t>
      </w:r>
      <w:proofErr w:type="gramEnd"/>
      <w:r w:rsidR="00243FDC">
        <w:rPr>
          <w:rFonts w:ascii="Arial" w:hAnsi="Arial" w:cs="Arial"/>
          <w:sz w:val="22"/>
          <w:szCs w:val="22"/>
        </w:rPr>
        <w:t xml:space="preserve"> </w:t>
      </w:r>
      <w:r w:rsidRPr="0030584F">
        <w:rPr>
          <w:rFonts w:ascii="Arial" w:hAnsi="Arial" w:cs="Arial"/>
          <w:sz w:val="22"/>
          <w:szCs w:val="22"/>
        </w:rPr>
        <w:t>autonomy, beneficence, non-maleficence, and justice</w:t>
      </w:r>
      <w:r w:rsidR="00243FDC">
        <w:rPr>
          <w:rFonts w:ascii="Arial" w:hAnsi="Arial" w:cs="Arial"/>
          <w:sz w:val="22"/>
          <w:szCs w:val="22"/>
        </w:rPr>
        <w:t xml:space="preserve">. This </w:t>
      </w:r>
      <w:r w:rsidRPr="0030584F">
        <w:rPr>
          <w:rFonts w:ascii="Arial" w:hAnsi="Arial" w:cs="Arial"/>
          <w:sz w:val="22"/>
          <w:szCs w:val="22"/>
        </w:rPr>
        <w:t>provide</w:t>
      </w:r>
      <w:r w:rsidR="00243FDC">
        <w:rPr>
          <w:rFonts w:ascii="Arial" w:hAnsi="Arial" w:cs="Arial"/>
          <w:sz w:val="22"/>
          <w:szCs w:val="22"/>
        </w:rPr>
        <w:t>s</w:t>
      </w:r>
      <w:r w:rsidRPr="0030584F">
        <w:rPr>
          <w:rFonts w:ascii="Arial" w:hAnsi="Arial" w:cs="Arial"/>
          <w:sz w:val="22"/>
          <w:szCs w:val="22"/>
        </w:rPr>
        <w:t xml:space="preserve"> a framework for evaluating decisions and actions in mental health practice</w:t>
      </w:r>
      <w:r w:rsidR="00243FDC">
        <w:rPr>
          <w:rFonts w:ascii="Arial" w:hAnsi="Arial" w:cs="Arial"/>
          <w:sz w:val="22"/>
          <w:szCs w:val="22"/>
        </w:rPr>
        <w:t xml:space="preserve"> </w:t>
      </w:r>
      <w:r w:rsidR="00243FDC" w:rsidRPr="0030584F">
        <w:rPr>
          <w:rFonts w:ascii="Arial" w:hAnsi="Arial" w:cs="Arial"/>
          <w:sz w:val="22"/>
          <w:szCs w:val="22"/>
        </w:rPr>
        <w:t>(Beauchamp, 2019)</w:t>
      </w:r>
      <w:r w:rsidR="00243FDC">
        <w:rPr>
          <w:rFonts w:ascii="Arial" w:hAnsi="Arial" w:cs="Arial"/>
          <w:sz w:val="22"/>
          <w:szCs w:val="22"/>
        </w:rPr>
        <w:t>.</w:t>
      </w:r>
    </w:p>
    <w:p w14:paraId="4FB41334" w14:textId="77777777" w:rsidR="0030584F" w:rsidRPr="0030584F" w:rsidRDefault="0030584F" w:rsidP="0030584F">
      <w:pPr>
        <w:rPr>
          <w:rFonts w:ascii="Arial" w:hAnsi="Arial" w:cs="Arial"/>
          <w:sz w:val="22"/>
          <w:szCs w:val="22"/>
        </w:rPr>
      </w:pPr>
      <w:r w:rsidRPr="0030584F">
        <w:rPr>
          <w:rFonts w:ascii="Arial" w:hAnsi="Arial" w:cs="Arial"/>
          <w:sz w:val="22"/>
          <w:szCs w:val="22"/>
        </w:rPr>
        <w:t>Autonomy supports the PCC emphasis on choice and empowerment. In mental health services, respecting autonomy involves enabling individuals to make informed decisions where possible, even when those decisions differ from professional opinion. However, autonomy can be challenged by fluctuating mental capacity or safeguarding concerns, which require professionals to balance autonomy with duty of care.</w:t>
      </w:r>
    </w:p>
    <w:p w14:paraId="4A5198B1" w14:textId="0A52686A" w:rsidR="0030584F" w:rsidRPr="0030584F" w:rsidRDefault="0030584F" w:rsidP="0030584F">
      <w:pPr>
        <w:rPr>
          <w:rFonts w:ascii="Arial" w:hAnsi="Arial" w:cs="Arial"/>
          <w:sz w:val="22"/>
          <w:szCs w:val="22"/>
        </w:rPr>
      </w:pPr>
      <w:r w:rsidRPr="0030584F">
        <w:rPr>
          <w:rFonts w:ascii="Arial" w:hAnsi="Arial" w:cs="Arial"/>
          <w:sz w:val="22"/>
          <w:szCs w:val="22"/>
        </w:rPr>
        <w:t>Beneficence and non-maleficence compel practitioners to act in the best interests of service users while avoiding harm. This is particularly complex in mental health settings where interventions can carry risks, such as side effects of medication or restrictions under the Mental Health Act 1983</w:t>
      </w:r>
      <w:r w:rsidR="00243FDC">
        <w:rPr>
          <w:rFonts w:ascii="Arial" w:hAnsi="Arial" w:cs="Arial"/>
          <w:sz w:val="22"/>
          <w:szCs w:val="22"/>
        </w:rPr>
        <w:t>, which was amended 2007</w:t>
      </w:r>
      <w:r w:rsidRPr="0030584F">
        <w:rPr>
          <w:rFonts w:ascii="Arial" w:hAnsi="Arial" w:cs="Arial"/>
          <w:sz w:val="22"/>
          <w:szCs w:val="22"/>
        </w:rPr>
        <w:t>. Professionals must weigh the benefits and risks of interventions while remaining sensitive to the service user’s perspective.</w:t>
      </w:r>
    </w:p>
    <w:p w14:paraId="375BA03C" w14:textId="77777777" w:rsidR="0030584F" w:rsidRPr="0030584F" w:rsidRDefault="0030584F" w:rsidP="0030584F">
      <w:pPr>
        <w:rPr>
          <w:rFonts w:ascii="Arial" w:hAnsi="Arial" w:cs="Arial"/>
          <w:sz w:val="22"/>
          <w:szCs w:val="22"/>
        </w:rPr>
      </w:pPr>
      <w:r w:rsidRPr="0030584F">
        <w:rPr>
          <w:rFonts w:ascii="Arial" w:hAnsi="Arial" w:cs="Arial"/>
          <w:sz w:val="22"/>
          <w:szCs w:val="22"/>
        </w:rPr>
        <w:t xml:space="preserve">Justice refers to fairness, equality, and the equitable distribution of resources. It highlights the importance of addressing inequalities in mental health care, such as disparities affecting ethnic minority groups, individuals with disabilities, and those from socioeconomically </w:t>
      </w:r>
      <w:r w:rsidRPr="0030584F">
        <w:rPr>
          <w:rFonts w:ascii="Arial" w:hAnsi="Arial" w:cs="Arial"/>
          <w:sz w:val="22"/>
          <w:szCs w:val="22"/>
        </w:rPr>
        <w:lastRenderedPageBreak/>
        <w:t>deprived backgrounds (NHS Race and Health Observatory, 2021). Ethical practice therefore requires practitioners to challenge discrimination and advocate for fair access to services.</w:t>
      </w:r>
    </w:p>
    <w:p w14:paraId="511EE0C8" w14:textId="77777777" w:rsidR="0030584F" w:rsidRPr="0030584F" w:rsidRDefault="0030584F" w:rsidP="0030584F">
      <w:pPr>
        <w:rPr>
          <w:rFonts w:ascii="Arial" w:hAnsi="Arial" w:cs="Arial"/>
          <w:sz w:val="22"/>
          <w:szCs w:val="22"/>
        </w:rPr>
      </w:pPr>
      <w:r w:rsidRPr="0030584F">
        <w:rPr>
          <w:rFonts w:ascii="Arial" w:hAnsi="Arial" w:cs="Arial"/>
          <w:sz w:val="22"/>
          <w:szCs w:val="22"/>
        </w:rPr>
        <w:t>Ethical dilemmas are common in mental health settings. For example, a service user declining treatment may raise questions about risk, autonomy, and professional responsibility. By adopting PCC and PW, practitioners can navigate these dilemmas collaboratively, ensuring decisions are transparent, inclusive, and ethically justified.</w:t>
      </w:r>
    </w:p>
    <w:p w14:paraId="28A24155" w14:textId="22D20D78" w:rsidR="0030584F" w:rsidRPr="0030584F" w:rsidRDefault="0030584F" w:rsidP="0030584F">
      <w:pPr>
        <w:rPr>
          <w:rFonts w:ascii="Arial" w:hAnsi="Arial" w:cs="Arial"/>
          <w:sz w:val="22"/>
          <w:szCs w:val="22"/>
        </w:rPr>
      </w:pPr>
    </w:p>
    <w:p w14:paraId="73B12A33" w14:textId="77777777" w:rsidR="0030584F" w:rsidRPr="0030584F" w:rsidRDefault="0030584F" w:rsidP="0030584F">
      <w:pPr>
        <w:rPr>
          <w:rFonts w:ascii="Arial" w:hAnsi="Arial" w:cs="Arial"/>
          <w:b/>
          <w:bCs/>
          <w:sz w:val="22"/>
          <w:szCs w:val="22"/>
          <w:u w:val="single"/>
        </w:rPr>
      </w:pPr>
      <w:r w:rsidRPr="0030584F">
        <w:rPr>
          <w:rFonts w:ascii="Arial" w:hAnsi="Arial" w:cs="Arial"/>
          <w:b/>
          <w:bCs/>
          <w:sz w:val="22"/>
          <w:szCs w:val="22"/>
          <w:u w:val="single"/>
        </w:rPr>
        <w:t>Evaluating Partnership Working in Mental Health Services</w:t>
      </w:r>
    </w:p>
    <w:p w14:paraId="6EACDBF0" w14:textId="77777777" w:rsidR="0030584F" w:rsidRPr="0030584F" w:rsidRDefault="0030584F" w:rsidP="0030584F">
      <w:pPr>
        <w:rPr>
          <w:rFonts w:ascii="Arial" w:hAnsi="Arial" w:cs="Arial"/>
          <w:sz w:val="22"/>
          <w:szCs w:val="22"/>
        </w:rPr>
      </w:pPr>
      <w:r w:rsidRPr="0030584F">
        <w:rPr>
          <w:rFonts w:ascii="Arial" w:hAnsi="Arial" w:cs="Arial"/>
          <w:sz w:val="22"/>
          <w:szCs w:val="22"/>
        </w:rPr>
        <w:t>Partnership working refers to agencies and professionals collaborating to deliver coordinated, effective, and integrated care. Within mental health services, PW often involves collaboration between CMHTs, primary care, social services, voluntary organisations, housing services, and crisis teams (NHS England, 2022).</w:t>
      </w:r>
    </w:p>
    <w:p w14:paraId="787E784D" w14:textId="77777777" w:rsidR="0030584F" w:rsidRPr="0030584F" w:rsidRDefault="0030584F" w:rsidP="0030584F">
      <w:pPr>
        <w:rPr>
          <w:rFonts w:ascii="Arial" w:hAnsi="Arial" w:cs="Arial"/>
          <w:sz w:val="22"/>
          <w:szCs w:val="22"/>
        </w:rPr>
      </w:pPr>
      <w:r w:rsidRPr="0030584F">
        <w:rPr>
          <w:rFonts w:ascii="Arial" w:hAnsi="Arial" w:cs="Arial"/>
          <w:sz w:val="22"/>
          <w:szCs w:val="22"/>
        </w:rPr>
        <w:t>The benefits of PW are well documented. Collaborative working promotes information sharing, reduces duplication, and ensures that individuals receive holistic, person-centred support. Integrated Care Systems (ICSs), introduced nationally under the Health and Care Act 2022, aim to improve population health by promoting joint planning and service delivery (NHS England, 2023). PW can also improve continuity of care, particularly for individuals with complex needs who require both health and social interventions.</w:t>
      </w:r>
    </w:p>
    <w:p w14:paraId="26DA1464" w14:textId="77777777" w:rsidR="0030584F" w:rsidRPr="0030584F" w:rsidRDefault="0030584F" w:rsidP="0030584F">
      <w:pPr>
        <w:rPr>
          <w:rFonts w:ascii="Arial" w:hAnsi="Arial" w:cs="Arial"/>
          <w:sz w:val="22"/>
          <w:szCs w:val="22"/>
        </w:rPr>
      </w:pPr>
      <w:r w:rsidRPr="0030584F">
        <w:rPr>
          <w:rFonts w:ascii="Arial" w:hAnsi="Arial" w:cs="Arial"/>
          <w:sz w:val="22"/>
          <w:szCs w:val="22"/>
        </w:rPr>
        <w:t xml:space="preserve">Studies have shown that effective interprofessional collaboration enhances service-user outcomes, reduces hospital admissions, and supports community-based recovery (Le Boutillier </w:t>
      </w:r>
      <w:r w:rsidRPr="0030584F">
        <w:rPr>
          <w:rFonts w:ascii="Arial" w:hAnsi="Arial" w:cs="Arial"/>
          <w:i/>
          <w:iCs/>
          <w:sz w:val="22"/>
          <w:szCs w:val="22"/>
        </w:rPr>
        <w:t>et al</w:t>
      </w:r>
      <w:r w:rsidRPr="0030584F">
        <w:rPr>
          <w:rFonts w:ascii="Arial" w:hAnsi="Arial" w:cs="Arial"/>
          <w:sz w:val="22"/>
          <w:szCs w:val="22"/>
        </w:rPr>
        <w:t xml:space="preserve">., 2015). For service users, PW can provide a more coherent experience of care, </w:t>
      </w:r>
      <w:proofErr w:type="gramStart"/>
      <w:r w:rsidRPr="0030584F">
        <w:rPr>
          <w:rFonts w:ascii="Arial" w:hAnsi="Arial" w:cs="Arial"/>
          <w:sz w:val="22"/>
          <w:szCs w:val="22"/>
        </w:rPr>
        <w:t>reducing</w:t>
      </w:r>
      <w:proofErr w:type="gramEnd"/>
      <w:r w:rsidRPr="0030584F">
        <w:rPr>
          <w:rFonts w:ascii="Arial" w:hAnsi="Arial" w:cs="Arial"/>
          <w:sz w:val="22"/>
          <w:szCs w:val="22"/>
        </w:rPr>
        <w:t xml:space="preserve"> confusion and increasing trust.</w:t>
      </w:r>
    </w:p>
    <w:p w14:paraId="174D01E5" w14:textId="77777777" w:rsidR="0030584F" w:rsidRPr="0030584F" w:rsidRDefault="0030584F" w:rsidP="0030584F">
      <w:pPr>
        <w:rPr>
          <w:rFonts w:ascii="Arial" w:hAnsi="Arial" w:cs="Arial"/>
          <w:sz w:val="22"/>
          <w:szCs w:val="22"/>
        </w:rPr>
      </w:pPr>
      <w:r w:rsidRPr="0030584F">
        <w:rPr>
          <w:rFonts w:ascii="Arial" w:hAnsi="Arial" w:cs="Arial"/>
          <w:sz w:val="22"/>
          <w:szCs w:val="22"/>
        </w:rPr>
        <w:t>However, challenges exist. Structural barriers such as incompatible IT systems, differing organisational priorities, and unclear professional roles can hinder effective collaboration (Brooks, Rogers and Sharkey, 2020). Communication issues may lead to fragmented care, delays, or misunderstandings. Furthermore, power imbalances between medical and social care professionals can limit shared decision-making.</w:t>
      </w:r>
    </w:p>
    <w:p w14:paraId="004E5F33" w14:textId="77777777" w:rsidR="0030584F" w:rsidRPr="0030584F" w:rsidRDefault="0030584F" w:rsidP="0030584F">
      <w:pPr>
        <w:rPr>
          <w:rFonts w:ascii="Arial" w:hAnsi="Arial" w:cs="Arial"/>
          <w:sz w:val="22"/>
          <w:szCs w:val="22"/>
        </w:rPr>
      </w:pPr>
      <w:r w:rsidRPr="0030584F">
        <w:rPr>
          <w:rFonts w:ascii="Arial" w:hAnsi="Arial" w:cs="Arial"/>
          <w:sz w:val="22"/>
          <w:szCs w:val="22"/>
        </w:rPr>
        <w:t>Within CMHTs, staff shortages and high caseloads can restrict opportunities for joint meetings, reflective practice, and collaborative planning. These barriers highlight the need for supportive organisational cultures and adequate resources.</w:t>
      </w:r>
    </w:p>
    <w:p w14:paraId="59A6D30F" w14:textId="77777777" w:rsidR="0030584F" w:rsidRPr="0030584F" w:rsidRDefault="00D873D0" w:rsidP="0030584F">
      <w:pPr>
        <w:rPr>
          <w:rFonts w:ascii="Arial" w:hAnsi="Arial" w:cs="Arial"/>
          <w:sz w:val="22"/>
          <w:szCs w:val="22"/>
        </w:rPr>
      </w:pPr>
      <w:r>
        <w:rPr>
          <w:rFonts w:ascii="Arial" w:hAnsi="Arial" w:cs="Arial"/>
          <w:sz w:val="22"/>
          <w:szCs w:val="22"/>
        </w:rPr>
        <w:pict w14:anchorId="50F739AC">
          <v:rect id="_x0000_i1025" style="width:0;height:1.5pt" o:hralign="center" o:hrstd="t" o:hr="t" fillcolor="#a0a0a0" stroked="f"/>
        </w:pict>
      </w:r>
    </w:p>
    <w:p w14:paraId="6FFBD4BE" w14:textId="77777777" w:rsidR="0030584F" w:rsidRPr="0030584F" w:rsidRDefault="0030584F" w:rsidP="0030584F">
      <w:pPr>
        <w:rPr>
          <w:rFonts w:ascii="Arial" w:hAnsi="Arial" w:cs="Arial"/>
          <w:b/>
          <w:bCs/>
          <w:sz w:val="22"/>
          <w:szCs w:val="22"/>
        </w:rPr>
      </w:pPr>
      <w:r w:rsidRPr="0030584F">
        <w:rPr>
          <w:rFonts w:ascii="Arial" w:hAnsi="Arial" w:cs="Arial"/>
          <w:b/>
          <w:bCs/>
          <w:sz w:val="22"/>
          <w:szCs w:val="22"/>
        </w:rPr>
        <w:t>Policy and Legislation Influencing PCC and PW</w:t>
      </w:r>
    </w:p>
    <w:p w14:paraId="2B1D73A3" w14:textId="77777777" w:rsidR="0030584F" w:rsidRPr="0030584F" w:rsidRDefault="0030584F" w:rsidP="0030584F">
      <w:pPr>
        <w:rPr>
          <w:rFonts w:ascii="Arial" w:hAnsi="Arial" w:cs="Arial"/>
          <w:sz w:val="22"/>
          <w:szCs w:val="22"/>
        </w:rPr>
      </w:pPr>
      <w:r w:rsidRPr="0030584F">
        <w:rPr>
          <w:rFonts w:ascii="Arial" w:hAnsi="Arial" w:cs="Arial"/>
          <w:sz w:val="22"/>
          <w:szCs w:val="22"/>
        </w:rPr>
        <w:t>UK policy and legislation play a significant role in shaping PCC and PW within mental health services. The Care Act 2014 places personalisation, well-being, and choice at the forefront of social care, reinforcing PCC principles. It emphasises the importance of strengths-based approaches, prevention, and interagency collaboration.</w:t>
      </w:r>
    </w:p>
    <w:p w14:paraId="23E9FC5F" w14:textId="77777777" w:rsidR="0030584F" w:rsidRPr="0030584F" w:rsidRDefault="0030584F" w:rsidP="0030584F">
      <w:pPr>
        <w:rPr>
          <w:rFonts w:ascii="Arial" w:hAnsi="Arial" w:cs="Arial"/>
          <w:sz w:val="22"/>
          <w:szCs w:val="22"/>
        </w:rPr>
      </w:pPr>
      <w:r w:rsidRPr="0030584F">
        <w:rPr>
          <w:rFonts w:ascii="Arial" w:hAnsi="Arial" w:cs="Arial"/>
          <w:sz w:val="22"/>
          <w:szCs w:val="22"/>
        </w:rPr>
        <w:t>The Health and Social Care Act 2012 introduced clinical commissioning and increased focus on patient choice, supporting greater involvement of individuals in their care. More recently, the Health and Care Act 2022 established ICSs, mandating closer collaboration between NHS organisations, local authorities, and voluntary partners (NHS England, 2023).</w:t>
      </w:r>
    </w:p>
    <w:p w14:paraId="62839F47" w14:textId="77777777" w:rsidR="0030584F" w:rsidRPr="0030584F" w:rsidRDefault="0030584F" w:rsidP="0030584F">
      <w:pPr>
        <w:rPr>
          <w:rFonts w:ascii="Arial" w:hAnsi="Arial" w:cs="Arial"/>
          <w:sz w:val="22"/>
          <w:szCs w:val="22"/>
        </w:rPr>
      </w:pPr>
      <w:r w:rsidRPr="0030584F">
        <w:rPr>
          <w:rFonts w:ascii="Arial" w:hAnsi="Arial" w:cs="Arial"/>
          <w:sz w:val="22"/>
          <w:szCs w:val="22"/>
        </w:rPr>
        <w:lastRenderedPageBreak/>
        <w:t>Human rights and equality legislation also influence mental health practice. The Human Rights Act 1998 protects rights such as autonomy, dignity, and liberty, while the Equality Act 2010 promotes non-discrimination and equal access to services. These frameworks support PCC by ensuring individuals are treated fairly and respectfully.</w:t>
      </w:r>
    </w:p>
    <w:p w14:paraId="6E824DAB" w14:textId="250D2FA8" w:rsidR="0030584F" w:rsidRPr="0030584F" w:rsidRDefault="0030584F" w:rsidP="0030584F">
      <w:pPr>
        <w:rPr>
          <w:rFonts w:ascii="Arial" w:hAnsi="Arial" w:cs="Arial"/>
          <w:sz w:val="22"/>
          <w:szCs w:val="22"/>
        </w:rPr>
      </w:pPr>
      <w:r w:rsidRPr="0030584F">
        <w:rPr>
          <w:rFonts w:ascii="Arial" w:hAnsi="Arial" w:cs="Arial"/>
          <w:sz w:val="22"/>
          <w:szCs w:val="22"/>
        </w:rPr>
        <w:t>The Mental Health Act 1983 provides legal powers for detention and treatment, raising important ethical considerations. While necessary for safeguarding, the Act has been criticised for disproportionate use among minority ethnic groups (Independent Review of the MHA, 2018). Current reform proposals emphasise strengthening service-user rights and promoting more person-centred, culturally sensitive care.</w:t>
      </w:r>
    </w:p>
    <w:p w14:paraId="17EA8206" w14:textId="77777777" w:rsidR="0030584F" w:rsidRPr="0030584F" w:rsidRDefault="0030584F" w:rsidP="0030584F">
      <w:pPr>
        <w:rPr>
          <w:rFonts w:ascii="Arial" w:hAnsi="Arial" w:cs="Arial"/>
          <w:sz w:val="22"/>
          <w:szCs w:val="22"/>
        </w:rPr>
      </w:pPr>
      <w:r w:rsidRPr="0030584F">
        <w:rPr>
          <w:rFonts w:ascii="Arial" w:hAnsi="Arial" w:cs="Arial"/>
          <w:sz w:val="22"/>
          <w:szCs w:val="22"/>
        </w:rPr>
        <w:t>Overall, policy trends reflect a movement towards integration, collaboration, and personalisation. However, policy implementation varies, and inconsistencies in funding, staffing, and local leadership can affect the realisation of PCC and PW ideals.</w:t>
      </w:r>
    </w:p>
    <w:p w14:paraId="1A8ADF0C" w14:textId="43EAE216" w:rsidR="0030584F" w:rsidRPr="0030584F" w:rsidRDefault="0030584F" w:rsidP="0030584F">
      <w:pPr>
        <w:rPr>
          <w:rFonts w:ascii="Arial" w:hAnsi="Arial" w:cs="Arial"/>
          <w:sz w:val="22"/>
          <w:szCs w:val="22"/>
        </w:rPr>
      </w:pPr>
    </w:p>
    <w:p w14:paraId="5C9B920B" w14:textId="77777777" w:rsidR="0030584F" w:rsidRPr="0030584F" w:rsidRDefault="0030584F" w:rsidP="0030584F">
      <w:pPr>
        <w:rPr>
          <w:rFonts w:ascii="Arial" w:hAnsi="Arial" w:cs="Arial"/>
          <w:b/>
          <w:bCs/>
          <w:sz w:val="22"/>
          <w:szCs w:val="22"/>
          <w:u w:val="single"/>
        </w:rPr>
      </w:pPr>
      <w:r w:rsidRPr="0030584F">
        <w:rPr>
          <w:rFonts w:ascii="Arial" w:hAnsi="Arial" w:cs="Arial"/>
          <w:b/>
          <w:bCs/>
          <w:sz w:val="22"/>
          <w:szCs w:val="22"/>
          <w:u w:val="single"/>
        </w:rPr>
        <w:t>Recommendations for Future Development</w:t>
      </w:r>
    </w:p>
    <w:p w14:paraId="573EA329" w14:textId="77777777" w:rsidR="0030584F" w:rsidRPr="0030584F" w:rsidRDefault="0030584F" w:rsidP="0030584F">
      <w:pPr>
        <w:rPr>
          <w:rFonts w:ascii="Arial" w:hAnsi="Arial" w:cs="Arial"/>
          <w:sz w:val="22"/>
          <w:szCs w:val="22"/>
        </w:rPr>
      </w:pPr>
      <w:r w:rsidRPr="0030584F">
        <w:rPr>
          <w:rFonts w:ascii="Arial" w:hAnsi="Arial" w:cs="Arial"/>
          <w:sz w:val="22"/>
          <w:szCs w:val="22"/>
        </w:rPr>
        <w:t>Based on the analysis provided, several recommendations could strengthen PCC and PW within UK mental health services.</w:t>
      </w:r>
    </w:p>
    <w:p w14:paraId="19063CB4" w14:textId="77777777" w:rsidR="0030584F" w:rsidRPr="0030584F" w:rsidRDefault="0030584F" w:rsidP="0030584F">
      <w:pPr>
        <w:rPr>
          <w:rFonts w:ascii="Arial" w:hAnsi="Arial" w:cs="Arial"/>
          <w:sz w:val="22"/>
          <w:szCs w:val="22"/>
        </w:rPr>
      </w:pPr>
      <w:r w:rsidRPr="0030584F">
        <w:rPr>
          <w:rFonts w:ascii="Arial" w:hAnsi="Arial" w:cs="Arial"/>
          <w:sz w:val="22"/>
          <w:szCs w:val="22"/>
        </w:rPr>
        <w:t>First, investment in digital integration is essential. Incompatible IT systems limit information sharing, which undermines PW. Developing shared electronic records across health, social care, and voluntary services would enhance collaboration, reduce duplication, and improve continuity of care.</w:t>
      </w:r>
    </w:p>
    <w:p w14:paraId="1F5392F2" w14:textId="77777777" w:rsidR="0030584F" w:rsidRPr="0030584F" w:rsidRDefault="0030584F" w:rsidP="0030584F">
      <w:pPr>
        <w:rPr>
          <w:rFonts w:ascii="Arial" w:hAnsi="Arial" w:cs="Arial"/>
          <w:sz w:val="22"/>
          <w:szCs w:val="22"/>
        </w:rPr>
      </w:pPr>
      <w:r w:rsidRPr="0030584F">
        <w:rPr>
          <w:rFonts w:ascii="Arial" w:hAnsi="Arial" w:cs="Arial"/>
          <w:sz w:val="22"/>
          <w:szCs w:val="22"/>
        </w:rPr>
        <w:t>Second, enhanced training is needed to support PCC and ethical decision-making. Training should focus on shared decision-making, cultural competence, trauma-informed practice, and recovery-oriented approaches. This would help professionals work more effectively with diverse service users and navigate complex ethical dilemmas.</w:t>
      </w:r>
    </w:p>
    <w:p w14:paraId="64390150" w14:textId="77777777" w:rsidR="0030584F" w:rsidRPr="0030584F" w:rsidRDefault="0030584F" w:rsidP="0030584F">
      <w:pPr>
        <w:rPr>
          <w:rFonts w:ascii="Arial" w:hAnsi="Arial" w:cs="Arial"/>
          <w:sz w:val="22"/>
          <w:szCs w:val="22"/>
        </w:rPr>
      </w:pPr>
      <w:r w:rsidRPr="0030584F">
        <w:rPr>
          <w:rFonts w:ascii="Arial" w:hAnsi="Arial" w:cs="Arial"/>
          <w:sz w:val="22"/>
          <w:szCs w:val="22"/>
        </w:rPr>
        <w:t>Third, mental health services should expand co-production, enabling service users to contribute to service design, staff training, and policymaking. Co-production has been shown to improve engagement, service relevance, and empowerment (Slay and Stephens, 2013).</w:t>
      </w:r>
    </w:p>
    <w:p w14:paraId="79F44B20" w14:textId="77777777" w:rsidR="0030584F" w:rsidRPr="0030584F" w:rsidRDefault="0030584F" w:rsidP="0030584F">
      <w:pPr>
        <w:rPr>
          <w:rFonts w:ascii="Arial" w:hAnsi="Arial" w:cs="Arial"/>
          <w:sz w:val="22"/>
          <w:szCs w:val="22"/>
        </w:rPr>
      </w:pPr>
      <w:r w:rsidRPr="0030584F">
        <w:rPr>
          <w:rFonts w:ascii="Arial" w:hAnsi="Arial" w:cs="Arial"/>
          <w:sz w:val="22"/>
          <w:szCs w:val="22"/>
        </w:rPr>
        <w:t>Fourth, workforce expansion and retention are urgently needed. Staff shortages undermine both PCC and PW. Investment in recruitment, supervision, and career development would improve service quality and staff morale.</w:t>
      </w:r>
    </w:p>
    <w:p w14:paraId="2BF30E80" w14:textId="1147EDB7" w:rsidR="0030584F" w:rsidRPr="0030584F" w:rsidRDefault="0030584F" w:rsidP="0030584F">
      <w:pPr>
        <w:rPr>
          <w:rFonts w:ascii="Arial" w:hAnsi="Arial" w:cs="Arial"/>
          <w:sz w:val="22"/>
          <w:szCs w:val="22"/>
        </w:rPr>
      </w:pPr>
      <w:r w:rsidRPr="0030584F">
        <w:rPr>
          <w:rFonts w:ascii="Arial" w:hAnsi="Arial" w:cs="Arial"/>
          <w:sz w:val="22"/>
          <w:szCs w:val="22"/>
        </w:rPr>
        <w:t>Finally, legislative reform</w:t>
      </w:r>
      <w:r w:rsidR="00243FDC">
        <w:rPr>
          <w:rFonts w:ascii="Arial" w:hAnsi="Arial" w:cs="Arial"/>
          <w:sz w:val="22"/>
          <w:szCs w:val="22"/>
        </w:rPr>
        <w:t xml:space="preserve"> </w:t>
      </w:r>
      <w:r w:rsidRPr="0030584F">
        <w:rPr>
          <w:rFonts w:ascii="Arial" w:hAnsi="Arial" w:cs="Arial"/>
          <w:sz w:val="22"/>
          <w:szCs w:val="22"/>
        </w:rPr>
        <w:t>particularly of the Mental Health Act</w:t>
      </w:r>
      <w:r w:rsidR="00243FDC">
        <w:rPr>
          <w:rFonts w:ascii="Arial" w:hAnsi="Arial" w:cs="Arial"/>
          <w:sz w:val="22"/>
          <w:szCs w:val="22"/>
        </w:rPr>
        <w:t xml:space="preserve"> </w:t>
      </w:r>
      <w:r w:rsidRPr="0030584F">
        <w:rPr>
          <w:rFonts w:ascii="Arial" w:hAnsi="Arial" w:cs="Arial"/>
          <w:sz w:val="22"/>
          <w:szCs w:val="22"/>
        </w:rPr>
        <w:t>should continue to prioritise human rights, reducing restrictive practices and improving advocacy provision.</w:t>
      </w:r>
    </w:p>
    <w:p w14:paraId="2680125A" w14:textId="77777777" w:rsidR="0030584F" w:rsidRPr="0030584F" w:rsidRDefault="0030584F" w:rsidP="0030584F">
      <w:pPr>
        <w:rPr>
          <w:rFonts w:ascii="Arial" w:hAnsi="Arial" w:cs="Arial"/>
          <w:sz w:val="22"/>
          <w:szCs w:val="22"/>
        </w:rPr>
      </w:pPr>
      <w:r w:rsidRPr="0030584F">
        <w:rPr>
          <w:rFonts w:ascii="Arial" w:hAnsi="Arial" w:cs="Arial"/>
          <w:sz w:val="22"/>
          <w:szCs w:val="22"/>
        </w:rPr>
        <w:t>While these recommendations have potential limitations, such as funding constraints or resistance to organisational change, they align with national priorities and are supported by evidence. Their implementation would significantly enhance PCC and PW within community mental health services.</w:t>
      </w:r>
    </w:p>
    <w:p w14:paraId="1A4CD5F9" w14:textId="7A0C461E" w:rsidR="0030584F" w:rsidRPr="0030584F" w:rsidRDefault="0030584F" w:rsidP="0030584F">
      <w:pPr>
        <w:rPr>
          <w:rFonts w:ascii="Arial" w:hAnsi="Arial" w:cs="Arial"/>
          <w:sz w:val="22"/>
          <w:szCs w:val="22"/>
        </w:rPr>
      </w:pPr>
    </w:p>
    <w:p w14:paraId="10B96BAE" w14:textId="77777777" w:rsidR="0030584F" w:rsidRPr="0030584F" w:rsidRDefault="0030584F" w:rsidP="0030584F">
      <w:pPr>
        <w:rPr>
          <w:rFonts w:ascii="Arial" w:hAnsi="Arial" w:cs="Arial"/>
          <w:b/>
          <w:bCs/>
          <w:sz w:val="22"/>
          <w:szCs w:val="22"/>
          <w:u w:val="single"/>
        </w:rPr>
      </w:pPr>
      <w:r w:rsidRPr="0030584F">
        <w:rPr>
          <w:rFonts w:ascii="Arial" w:hAnsi="Arial" w:cs="Arial"/>
          <w:b/>
          <w:bCs/>
          <w:sz w:val="22"/>
          <w:szCs w:val="22"/>
          <w:u w:val="single"/>
        </w:rPr>
        <w:t>Conclusion</w:t>
      </w:r>
    </w:p>
    <w:p w14:paraId="3464AADC" w14:textId="77777777" w:rsidR="0030584F" w:rsidRPr="0030584F" w:rsidRDefault="0030584F" w:rsidP="0030584F">
      <w:pPr>
        <w:rPr>
          <w:rFonts w:ascii="Arial" w:hAnsi="Arial" w:cs="Arial"/>
          <w:sz w:val="22"/>
          <w:szCs w:val="22"/>
        </w:rPr>
      </w:pPr>
      <w:r w:rsidRPr="0030584F">
        <w:rPr>
          <w:rFonts w:ascii="Arial" w:hAnsi="Arial" w:cs="Arial"/>
          <w:sz w:val="22"/>
          <w:szCs w:val="22"/>
        </w:rPr>
        <w:t xml:space="preserve">In conclusion, PCC and PW are essential components of effective mental health practice in the UK. PCC supports autonomy, individuality, and empowerment, while PW promotes </w:t>
      </w:r>
      <w:r w:rsidRPr="0030584F">
        <w:rPr>
          <w:rFonts w:ascii="Arial" w:hAnsi="Arial" w:cs="Arial"/>
          <w:sz w:val="22"/>
          <w:szCs w:val="22"/>
        </w:rPr>
        <w:lastRenderedPageBreak/>
        <w:t>holistic, coordinated care. Both approaches are underpinned by ethical principles and reinforced by national policy and legislation. However, practical challenges—including resource constraints, staffing issues, organisational barriers, and ethical complexities—can limit their implementation. A combination of investment, training, digital integration, co-production, and legislative reform is required to strengthen these practices. By addressing these issues, mental health services can improve recovery outcomes, enhance service-user experiences, and promote more equitable, person-centred care.</w:t>
      </w:r>
    </w:p>
    <w:p w14:paraId="14FB79B0" w14:textId="099F0E7A" w:rsidR="0030584F" w:rsidRDefault="0030584F">
      <w:pPr>
        <w:rPr>
          <w:rFonts w:ascii="Arial" w:hAnsi="Arial" w:cs="Arial"/>
          <w:sz w:val="22"/>
          <w:szCs w:val="22"/>
        </w:rPr>
      </w:pPr>
      <w:r>
        <w:rPr>
          <w:rFonts w:ascii="Arial" w:hAnsi="Arial" w:cs="Arial"/>
          <w:sz w:val="22"/>
          <w:szCs w:val="22"/>
        </w:rPr>
        <w:br w:type="page"/>
      </w:r>
    </w:p>
    <w:p w14:paraId="35FB056F" w14:textId="77777777" w:rsidR="0030584F" w:rsidRPr="0030584F" w:rsidRDefault="0030584F" w:rsidP="0030584F">
      <w:pPr>
        <w:rPr>
          <w:rFonts w:ascii="Arial" w:hAnsi="Arial" w:cs="Arial"/>
          <w:sz w:val="22"/>
          <w:szCs w:val="22"/>
        </w:rPr>
      </w:pPr>
    </w:p>
    <w:p w14:paraId="0E781E85" w14:textId="77777777" w:rsidR="0030584F" w:rsidRPr="0030584F" w:rsidRDefault="0030584F" w:rsidP="0030584F">
      <w:pPr>
        <w:rPr>
          <w:rFonts w:ascii="Arial" w:hAnsi="Arial" w:cs="Arial"/>
          <w:b/>
          <w:bCs/>
          <w:sz w:val="22"/>
          <w:szCs w:val="22"/>
          <w:u w:val="single"/>
        </w:rPr>
      </w:pPr>
      <w:r w:rsidRPr="0030584F">
        <w:rPr>
          <w:rFonts w:ascii="Arial" w:hAnsi="Arial" w:cs="Arial"/>
          <w:b/>
          <w:bCs/>
          <w:sz w:val="22"/>
          <w:szCs w:val="22"/>
          <w:u w:val="single"/>
        </w:rPr>
        <w:t>References</w:t>
      </w:r>
    </w:p>
    <w:p w14:paraId="3C836FD9" w14:textId="77777777" w:rsidR="0030584F" w:rsidRPr="0030584F" w:rsidRDefault="0030584F" w:rsidP="0030584F">
      <w:pPr>
        <w:rPr>
          <w:rFonts w:ascii="Arial" w:hAnsi="Arial" w:cs="Arial"/>
          <w:sz w:val="22"/>
          <w:szCs w:val="22"/>
        </w:rPr>
      </w:pPr>
      <w:r w:rsidRPr="0030584F">
        <w:rPr>
          <w:rFonts w:ascii="Arial" w:hAnsi="Arial" w:cs="Arial"/>
          <w:sz w:val="22"/>
          <w:szCs w:val="22"/>
        </w:rPr>
        <w:t xml:space="preserve">Bee, P., Price, O., Baker, J. and Lovell, K. (2018) ‘Systematic synthesis of barriers and facilitators to service user-led care planning’, </w:t>
      </w:r>
      <w:proofErr w:type="spellStart"/>
      <w:r w:rsidRPr="0030584F">
        <w:rPr>
          <w:rFonts w:ascii="Arial" w:hAnsi="Arial" w:cs="Arial"/>
          <w:i/>
          <w:iCs/>
          <w:sz w:val="22"/>
          <w:szCs w:val="22"/>
        </w:rPr>
        <w:t>BJPsych</w:t>
      </w:r>
      <w:proofErr w:type="spellEnd"/>
      <w:r w:rsidRPr="0030584F">
        <w:rPr>
          <w:rFonts w:ascii="Arial" w:hAnsi="Arial" w:cs="Arial"/>
          <w:i/>
          <w:iCs/>
          <w:sz w:val="22"/>
          <w:szCs w:val="22"/>
        </w:rPr>
        <w:t xml:space="preserve"> Open</w:t>
      </w:r>
      <w:r w:rsidRPr="0030584F">
        <w:rPr>
          <w:rFonts w:ascii="Arial" w:hAnsi="Arial" w:cs="Arial"/>
          <w:sz w:val="22"/>
          <w:szCs w:val="22"/>
        </w:rPr>
        <w:t>, 4(3), pp. 113–122.</w:t>
      </w:r>
    </w:p>
    <w:p w14:paraId="1966A17D" w14:textId="77777777" w:rsidR="0030584F" w:rsidRPr="0030584F" w:rsidRDefault="0030584F" w:rsidP="0030584F">
      <w:pPr>
        <w:rPr>
          <w:rFonts w:ascii="Arial" w:hAnsi="Arial" w:cs="Arial"/>
          <w:sz w:val="22"/>
          <w:szCs w:val="22"/>
        </w:rPr>
      </w:pPr>
      <w:r w:rsidRPr="0030584F">
        <w:rPr>
          <w:rFonts w:ascii="Arial" w:hAnsi="Arial" w:cs="Arial"/>
          <w:sz w:val="22"/>
          <w:szCs w:val="22"/>
        </w:rPr>
        <w:t xml:space="preserve">Barker, P. (2018) </w:t>
      </w:r>
      <w:r w:rsidRPr="0030584F">
        <w:rPr>
          <w:rFonts w:ascii="Arial" w:hAnsi="Arial" w:cs="Arial"/>
          <w:i/>
          <w:iCs/>
          <w:sz w:val="22"/>
          <w:szCs w:val="22"/>
        </w:rPr>
        <w:t>Psychiatric and Mental Health Nursing: The Craft of Caring</w:t>
      </w:r>
      <w:r w:rsidRPr="0030584F">
        <w:rPr>
          <w:rFonts w:ascii="Arial" w:hAnsi="Arial" w:cs="Arial"/>
          <w:sz w:val="22"/>
          <w:szCs w:val="22"/>
        </w:rPr>
        <w:t xml:space="preserve">. 3rd </w:t>
      </w:r>
      <w:proofErr w:type="spellStart"/>
      <w:r w:rsidRPr="0030584F">
        <w:rPr>
          <w:rFonts w:ascii="Arial" w:hAnsi="Arial" w:cs="Arial"/>
          <w:sz w:val="22"/>
          <w:szCs w:val="22"/>
        </w:rPr>
        <w:t>edn</w:t>
      </w:r>
      <w:proofErr w:type="spellEnd"/>
      <w:r w:rsidRPr="0030584F">
        <w:rPr>
          <w:rFonts w:ascii="Arial" w:hAnsi="Arial" w:cs="Arial"/>
          <w:sz w:val="22"/>
          <w:szCs w:val="22"/>
        </w:rPr>
        <w:t>. London: Hodder Arnold.</w:t>
      </w:r>
    </w:p>
    <w:p w14:paraId="114E0118" w14:textId="77777777" w:rsidR="0030584F" w:rsidRPr="0030584F" w:rsidRDefault="0030584F" w:rsidP="0030584F">
      <w:pPr>
        <w:rPr>
          <w:rFonts w:ascii="Arial" w:hAnsi="Arial" w:cs="Arial"/>
          <w:sz w:val="22"/>
          <w:szCs w:val="22"/>
        </w:rPr>
      </w:pPr>
      <w:r w:rsidRPr="0030584F">
        <w:rPr>
          <w:rFonts w:ascii="Arial" w:hAnsi="Arial" w:cs="Arial"/>
          <w:sz w:val="22"/>
          <w:szCs w:val="22"/>
        </w:rPr>
        <w:t xml:space="preserve">Beauchamp, T. and Childress, J. (2019) </w:t>
      </w:r>
      <w:r w:rsidRPr="0030584F">
        <w:rPr>
          <w:rFonts w:ascii="Arial" w:hAnsi="Arial" w:cs="Arial"/>
          <w:i/>
          <w:iCs/>
          <w:sz w:val="22"/>
          <w:szCs w:val="22"/>
        </w:rPr>
        <w:t>Principles of Biomedical Ethics</w:t>
      </w:r>
      <w:r w:rsidRPr="0030584F">
        <w:rPr>
          <w:rFonts w:ascii="Arial" w:hAnsi="Arial" w:cs="Arial"/>
          <w:sz w:val="22"/>
          <w:szCs w:val="22"/>
        </w:rPr>
        <w:t xml:space="preserve">. 8th </w:t>
      </w:r>
      <w:proofErr w:type="spellStart"/>
      <w:r w:rsidRPr="0030584F">
        <w:rPr>
          <w:rFonts w:ascii="Arial" w:hAnsi="Arial" w:cs="Arial"/>
          <w:sz w:val="22"/>
          <w:szCs w:val="22"/>
        </w:rPr>
        <w:t>edn</w:t>
      </w:r>
      <w:proofErr w:type="spellEnd"/>
      <w:r w:rsidRPr="0030584F">
        <w:rPr>
          <w:rFonts w:ascii="Arial" w:hAnsi="Arial" w:cs="Arial"/>
          <w:sz w:val="22"/>
          <w:szCs w:val="22"/>
        </w:rPr>
        <w:t>. Oxford: Oxford University Press.</w:t>
      </w:r>
    </w:p>
    <w:p w14:paraId="788CB089" w14:textId="77777777" w:rsidR="0030584F" w:rsidRPr="0030584F" w:rsidRDefault="0030584F" w:rsidP="0030584F">
      <w:pPr>
        <w:rPr>
          <w:rFonts w:ascii="Arial" w:hAnsi="Arial" w:cs="Arial"/>
          <w:sz w:val="22"/>
          <w:szCs w:val="22"/>
        </w:rPr>
      </w:pPr>
      <w:r w:rsidRPr="0030584F">
        <w:rPr>
          <w:rFonts w:ascii="Arial" w:hAnsi="Arial" w:cs="Arial"/>
          <w:sz w:val="22"/>
          <w:szCs w:val="22"/>
        </w:rPr>
        <w:t xml:space="preserve">Brooks, H., Rogers, A. and Sharkey, S. (2020) ‘Partnership working in mental health services’, </w:t>
      </w:r>
      <w:r w:rsidRPr="0030584F">
        <w:rPr>
          <w:rFonts w:ascii="Arial" w:hAnsi="Arial" w:cs="Arial"/>
          <w:i/>
          <w:iCs/>
          <w:sz w:val="22"/>
          <w:szCs w:val="22"/>
        </w:rPr>
        <w:t>Health &amp; Social Care in the Community</w:t>
      </w:r>
      <w:r w:rsidRPr="0030584F">
        <w:rPr>
          <w:rFonts w:ascii="Arial" w:hAnsi="Arial" w:cs="Arial"/>
          <w:sz w:val="22"/>
          <w:szCs w:val="22"/>
        </w:rPr>
        <w:t>, 28(4), pp. 1201–1210.</w:t>
      </w:r>
    </w:p>
    <w:p w14:paraId="485D6829" w14:textId="77777777" w:rsidR="0030584F" w:rsidRPr="0030584F" w:rsidRDefault="0030584F" w:rsidP="0030584F">
      <w:pPr>
        <w:rPr>
          <w:rFonts w:ascii="Arial" w:hAnsi="Arial" w:cs="Arial"/>
          <w:sz w:val="22"/>
          <w:szCs w:val="22"/>
        </w:rPr>
      </w:pPr>
      <w:r w:rsidRPr="0030584F">
        <w:rPr>
          <w:rFonts w:ascii="Arial" w:hAnsi="Arial" w:cs="Arial"/>
          <w:sz w:val="22"/>
          <w:szCs w:val="22"/>
        </w:rPr>
        <w:t xml:space="preserve">Department of Health and Social Care (2022) </w:t>
      </w:r>
      <w:r w:rsidRPr="0030584F">
        <w:rPr>
          <w:rFonts w:ascii="Arial" w:hAnsi="Arial" w:cs="Arial"/>
          <w:i/>
          <w:iCs/>
          <w:sz w:val="22"/>
          <w:szCs w:val="22"/>
        </w:rPr>
        <w:t>Statutory Guidance to the Care Act</w:t>
      </w:r>
      <w:r w:rsidRPr="0030584F">
        <w:rPr>
          <w:rFonts w:ascii="Arial" w:hAnsi="Arial" w:cs="Arial"/>
          <w:sz w:val="22"/>
          <w:szCs w:val="22"/>
        </w:rPr>
        <w:t>. London: DHSC.</w:t>
      </w:r>
    </w:p>
    <w:p w14:paraId="4271D86B" w14:textId="77777777" w:rsidR="0030584F" w:rsidRPr="0030584F" w:rsidRDefault="0030584F" w:rsidP="0030584F">
      <w:pPr>
        <w:rPr>
          <w:rFonts w:ascii="Arial" w:hAnsi="Arial" w:cs="Arial"/>
          <w:sz w:val="22"/>
          <w:szCs w:val="22"/>
        </w:rPr>
      </w:pPr>
      <w:r w:rsidRPr="0030584F">
        <w:rPr>
          <w:rFonts w:ascii="Arial" w:hAnsi="Arial" w:cs="Arial"/>
          <w:sz w:val="22"/>
          <w:szCs w:val="22"/>
        </w:rPr>
        <w:t xml:space="preserve">Health Foundation (2016) </w:t>
      </w:r>
      <w:r w:rsidRPr="0030584F">
        <w:rPr>
          <w:rFonts w:ascii="Arial" w:hAnsi="Arial" w:cs="Arial"/>
          <w:i/>
          <w:iCs/>
          <w:sz w:val="22"/>
          <w:szCs w:val="22"/>
        </w:rPr>
        <w:t>Person-centred care made simple</w:t>
      </w:r>
      <w:r w:rsidRPr="0030584F">
        <w:rPr>
          <w:rFonts w:ascii="Arial" w:hAnsi="Arial" w:cs="Arial"/>
          <w:sz w:val="22"/>
          <w:szCs w:val="22"/>
        </w:rPr>
        <w:t>. London: The Health Foundation.</w:t>
      </w:r>
    </w:p>
    <w:p w14:paraId="24884D73" w14:textId="77777777" w:rsidR="0030584F" w:rsidRPr="0030584F" w:rsidRDefault="0030584F" w:rsidP="0030584F">
      <w:pPr>
        <w:rPr>
          <w:rFonts w:ascii="Arial" w:hAnsi="Arial" w:cs="Arial"/>
          <w:sz w:val="22"/>
          <w:szCs w:val="22"/>
        </w:rPr>
      </w:pPr>
      <w:r w:rsidRPr="0030584F">
        <w:rPr>
          <w:rFonts w:ascii="Arial" w:hAnsi="Arial" w:cs="Arial"/>
          <w:sz w:val="22"/>
          <w:szCs w:val="22"/>
        </w:rPr>
        <w:t xml:space="preserve">Independent Review of the Mental Health Act (2018) </w:t>
      </w:r>
      <w:r w:rsidRPr="0030584F">
        <w:rPr>
          <w:rFonts w:ascii="Arial" w:hAnsi="Arial" w:cs="Arial"/>
          <w:i/>
          <w:iCs/>
          <w:sz w:val="22"/>
          <w:szCs w:val="22"/>
        </w:rPr>
        <w:t>Modernising the Mental Health Act</w:t>
      </w:r>
      <w:r w:rsidRPr="0030584F">
        <w:rPr>
          <w:rFonts w:ascii="Arial" w:hAnsi="Arial" w:cs="Arial"/>
          <w:sz w:val="22"/>
          <w:szCs w:val="22"/>
        </w:rPr>
        <w:t>. London: Department of Health and Social Care.</w:t>
      </w:r>
    </w:p>
    <w:p w14:paraId="1C1000AF" w14:textId="77777777" w:rsidR="0030584F" w:rsidRPr="0030584F" w:rsidRDefault="0030584F" w:rsidP="0030584F">
      <w:pPr>
        <w:rPr>
          <w:rFonts w:ascii="Arial" w:hAnsi="Arial" w:cs="Arial"/>
          <w:sz w:val="22"/>
          <w:szCs w:val="22"/>
        </w:rPr>
      </w:pPr>
      <w:r w:rsidRPr="0030584F">
        <w:rPr>
          <w:rFonts w:ascii="Arial" w:hAnsi="Arial" w:cs="Arial"/>
          <w:sz w:val="22"/>
          <w:szCs w:val="22"/>
        </w:rPr>
        <w:t>Le Boutillier, C</w:t>
      </w:r>
      <w:r w:rsidRPr="0030584F">
        <w:rPr>
          <w:rFonts w:ascii="Arial" w:hAnsi="Arial" w:cs="Arial"/>
          <w:i/>
          <w:iCs/>
          <w:sz w:val="22"/>
          <w:szCs w:val="22"/>
        </w:rPr>
        <w:t>. et al</w:t>
      </w:r>
      <w:r w:rsidRPr="0030584F">
        <w:rPr>
          <w:rFonts w:ascii="Arial" w:hAnsi="Arial" w:cs="Arial"/>
          <w:sz w:val="22"/>
          <w:szCs w:val="22"/>
        </w:rPr>
        <w:t xml:space="preserve">. (2015) ‘Recovery in Community Mental Health Services’, </w:t>
      </w:r>
      <w:r w:rsidRPr="0030584F">
        <w:rPr>
          <w:rFonts w:ascii="Arial" w:hAnsi="Arial" w:cs="Arial"/>
          <w:i/>
          <w:iCs/>
          <w:sz w:val="22"/>
          <w:szCs w:val="22"/>
        </w:rPr>
        <w:t>Journal of Mental Health</w:t>
      </w:r>
      <w:r w:rsidRPr="0030584F">
        <w:rPr>
          <w:rFonts w:ascii="Arial" w:hAnsi="Arial" w:cs="Arial"/>
          <w:sz w:val="22"/>
          <w:szCs w:val="22"/>
        </w:rPr>
        <w:t>, 24(2), pp. 78–82.</w:t>
      </w:r>
    </w:p>
    <w:p w14:paraId="2CF6ED20" w14:textId="77777777" w:rsidR="0030584F" w:rsidRPr="0030584F" w:rsidRDefault="0030584F" w:rsidP="0030584F">
      <w:pPr>
        <w:rPr>
          <w:rFonts w:ascii="Arial" w:hAnsi="Arial" w:cs="Arial"/>
          <w:sz w:val="22"/>
          <w:szCs w:val="22"/>
        </w:rPr>
      </w:pPr>
      <w:r w:rsidRPr="0030584F">
        <w:rPr>
          <w:rFonts w:ascii="Arial" w:hAnsi="Arial" w:cs="Arial"/>
          <w:sz w:val="22"/>
          <w:szCs w:val="22"/>
        </w:rPr>
        <w:t xml:space="preserve">McCormack, B. and McCance, T. (2017) </w:t>
      </w:r>
      <w:r w:rsidRPr="0030584F">
        <w:rPr>
          <w:rFonts w:ascii="Arial" w:hAnsi="Arial" w:cs="Arial"/>
          <w:i/>
          <w:iCs/>
          <w:sz w:val="22"/>
          <w:szCs w:val="22"/>
        </w:rPr>
        <w:t>Person-Centred Practice in Nursing and Health Care</w:t>
      </w:r>
      <w:r w:rsidRPr="0030584F">
        <w:rPr>
          <w:rFonts w:ascii="Arial" w:hAnsi="Arial" w:cs="Arial"/>
          <w:sz w:val="22"/>
          <w:szCs w:val="22"/>
        </w:rPr>
        <w:t xml:space="preserve">. 2nd </w:t>
      </w:r>
      <w:proofErr w:type="spellStart"/>
      <w:r w:rsidRPr="0030584F">
        <w:rPr>
          <w:rFonts w:ascii="Arial" w:hAnsi="Arial" w:cs="Arial"/>
          <w:sz w:val="22"/>
          <w:szCs w:val="22"/>
        </w:rPr>
        <w:t>edn</w:t>
      </w:r>
      <w:proofErr w:type="spellEnd"/>
      <w:r w:rsidRPr="0030584F">
        <w:rPr>
          <w:rFonts w:ascii="Arial" w:hAnsi="Arial" w:cs="Arial"/>
          <w:sz w:val="22"/>
          <w:szCs w:val="22"/>
        </w:rPr>
        <w:t>. Chichester: Wiley-Blackwell.</w:t>
      </w:r>
    </w:p>
    <w:p w14:paraId="17F3BD45" w14:textId="77777777" w:rsidR="0030584F" w:rsidRPr="0030584F" w:rsidRDefault="0030584F" w:rsidP="0030584F">
      <w:pPr>
        <w:rPr>
          <w:rFonts w:ascii="Arial" w:hAnsi="Arial" w:cs="Arial"/>
          <w:sz w:val="22"/>
          <w:szCs w:val="22"/>
        </w:rPr>
      </w:pPr>
      <w:r w:rsidRPr="0030584F">
        <w:rPr>
          <w:rFonts w:ascii="Arial" w:hAnsi="Arial" w:cs="Arial"/>
          <w:sz w:val="22"/>
          <w:szCs w:val="22"/>
        </w:rPr>
        <w:t xml:space="preserve">Mind (2023) </w:t>
      </w:r>
      <w:r w:rsidRPr="0030584F">
        <w:rPr>
          <w:rFonts w:ascii="Arial" w:hAnsi="Arial" w:cs="Arial"/>
          <w:i/>
          <w:iCs/>
          <w:sz w:val="22"/>
          <w:szCs w:val="22"/>
        </w:rPr>
        <w:t>Mental Health Funding and Workforce Crisis</w:t>
      </w:r>
      <w:r w:rsidRPr="0030584F">
        <w:rPr>
          <w:rFonts w:ascii="Arial" w:hAnsi="Arial" w:cs="Arial"/>
          <w:sz w:val="22"/>
          <w:szCs w:val="22"/>
        </w:rPr>
        <w:t xml:space="preserve">. Available at: </w:t>
      </w:r>
      <w:hyperlink r:id="rId7" w:tgtFrame="_new" w:history="1">
        <w:r w:rsidRPr="0030584F">
          <w:rPr>
            <w:rStyle w:val="Hyperlink"/>
            <w:rFonts w:ascii="Arial" w:hAnsi="Arial" w:cs="Arial"/>
            <w:sz w:val="22"/>
            <w:szCs w:val="22"/>
          </w:rPr>
          <w:t>https://www.mind.org.uk/</w:t>
        </w:r>
      </w:hyperlink>
    </w:p>
    <w:p w14:paraId="7CB0AEF8" w14:textId="77777777" w:rsidR="0030584F" w:rsidRPr="0030584F" w:rsidRDefault="0030584F" w:rsidP="0030584F">
      <w:pPr>
        <w:rPr>
          <w:rFonts w:ascii="Arial" w:hAnsi="Arial" w:cs="Arial"/>
          <w:sz w:val="22"/>
          <w:szCs w:val="22"/>
        </w:rPr>
      </w:pPr>
      <w:r w:rsidRPr="0030584F">
        <w:rPr>
          <w:rFonts w:ascii="Arial" w:hAnsi="Arial" w:cs="Arial"/>
          <w:sz w:val="22"/>
          <w:szCs w:val="22"/>
        </w:rPr>
        <w:t xml:space="preserve">NHS England (2022) </w:t>
      </w:r>
      <w:r w:rsidRPr="0030584F">
        <w:rPr>
          <w:rFonts w:ascii="Arial" w:hAnsi="Arial" w:cs="Arial"/>
          <w:i/>
          <w:iCs/>
          <w:sz w:val="22"/>
          <w:szCs w:val="22"/>
        </w:rPr>
        <w:t>Community Mental Health Framework for Adults and Older Adults</w:t>
      </w:r>
      <w:r w:rsidRPr="0030584F">
        <w:rPr>
          <w:rFonts w:ascii="Arial" w:hAnsi="Arial" w:cs="Arial"/>
          <w:sz w:val="22"/>
          <w:szCs w:val="22"/>
        </w:rPr>
        <w:t>. London: NHS England.</w:t>
      </w:r>
    </w:p>
    <w:p w14:paraId="2135550F" w14:textId="77777777" w:rsidR="0030584F" w:rsidRPr="0030584F" w:rsidRDefault="0030584F" w:rsidP="0030584F">
      <w:pPr>
        <w:rPr>
          <w:rFonts w:ascii="Arial" w:hAnsi="Arial" w:cs="Arial"/>
          <w:sz w:val="22"/>
          <w:szCs w:val="22"/>
        </w:rPr>
      </w:pPr>
      <w:r w:rsidRPr="0030584F">
        <w:rPr>
          <w:rFonts w:ascii="Arial" w:hAnsi="Arial" w:cs="Arial"/>
          <w:sz w:val="22"/>
          <w:szCs w:val="22"/>
        </w:rPr>
        <w:t xml:space="preserve">NHS England (2023) </w:t>
      </w:r>
      <w:r w:rsidRPr="0030584F">
        <w:rPr>
          <w:rFonts w:ascii="Arial" w:hAnsi="Arial" w:cs="Arial"/>
          <w:i/>
          <w:iCs/>
          <w:sz w:val="22"/>
          <w:szCs w:val="22"/>
        </w:rPr>
        <w:t>Integrated Care Systems: Implementation Guidance</w:t>
      </w:r>
      <w:r w:rsidRPr="0030584F">
        <w:rPr>
          <w:rFonts w:ascii="Arial" w:hAnsi="Arial" w:cs="Arial"/>
          <w:sz w:val="22"/>
          <w:szCs w:val="22"/>
        </w:rPr>
        <w:t xml:space="preserve">. Available at: </w:t>
      </w:r>
      <w:hyperlink r:id="rId8" w:tgtFrame="_new" w:history="1">
        <w:r w:rsidRPr="0030584F">
          <w:rPr>
            <w:rStyle w:val="Hyperlink"/>
            <w:rFonts w:ascii="Arial" w:hAnsi="Arial" w:cs="Arial"/>
            <w:sz w:val="22"/>
            <w:szCs w:val="22"/>
          </w:rPr>
          <w:t>https://www.england.nhs.uk/</w:t>
        </w:r>
      </w:hyperlink>
    </w:p>
    <w:p w14:paraId="160CE8C2" w14:textId="77777777" w:rsidR="0030584F" w:rsidRPr="0030584F" w:rsidRDefault="0030584F" w:rsidP="0030584F">
      <w:pPr>
        <w:rPr>
          <w:rFonts w:ascii="Arial" w:hAnsi="Arial" w:cs="Arial"/>
          <w:sz w:val="22"/>
          <w:szCs w:val="22"/>
        </w:rPr>
      </w:pPr>
      <w:r w:rsidRPr="0030584F">
        <w:rPr>
          <w:rFonts w:ascii="Arial" w:hAnsi="Arial" w:cs="Arial"/>
          <w:sz w:val="22"/>
          <w:szCs w:val="22"/>
        </w:rPr>
        <w:t xml:space="preserve">NHS Race and Health Observatory (2021) </w:t>
      </w:r>
      <w:r w:rsidRPr="0030584F">
        <w:rPr>
          <w:rFonts w:ascii="Arial" w:hAnsi="Arial" w:cs="Arial"/>
          <w:i/>
          <w:iCs/>
          <w:sz w:val="22"/>
          <w:szCs w:val="22"/>
        </w:rPr>
        <w:t>Ethnic Inequalities in Mental Health</w:t>
      </w:r>
      <w:r w:rsidRPr="0030584F">
        <w:rPr>
          <w:rFonts w:ascii="Arial" w:hAnsi="Arial" w:cs="Arial"/>
          <w:sz w:val="22"/>
          <w:szCs w:val="22"/>
        </w:rPr>
        <w:t>. London: NHS.</w:t>
      </w:r>
    </w:p>
    <w:p w14:paraId="084A18D2" w14:textId="77777777" w:rsidR="0030584F" w:rsidRPr="0030584F" w:rsidRDefault="0030584F" w:rsidP="0030584F">
      <w:pPr>
        <w:rPr>
          <w:rFonts w:ascii="Arial" w:hAnsi="Arial" w:cs="Arial"/>
          <w:sz w:val="22"/>
          <w:szCs w:val="22"/>
        </w:rPr>
      </w:pPr>
      <w:r w:rsidRPr="0030584F">
        <w:rPr>
          <w:rFonts w:ascii="Arial" w:hAnsi="Arial" w:cs="Arial"/>
          <w:sz w:val="22"/>
          <w:szCs w:val="22"/>
        </w:rPr>
        <w:t xml:space="preserve">Royal College of Nursing (2021) </w:t>
      </w:r>
      <w:r w:rsidRPr="0030584F">
        <w:rPr>
          <w:rFonts w:ascii="Arial" w:hAnsi="Arial" w:cs="Arial"/>
          <w:i/>
          <w:iCs/>
          <w:sz w:val="22"/>
          <w:szCs w:val="22"/>
        </w:rPr>
        <w:t>Principles of Nursing Practice</w:t>
      </w:r>
      <w:r w:rsidRPr="0030584F">
        <w:rPr>
          <w:rFonts w:ascii="Arial" w:hAnsi="Arial" w:cs="Arial"/>
          <w:sz w:val="22"/>
          <w:szCs w:val="22"/>
        </w:rPr>
        <w:t>. London: RCN.</w:t>
      </w:r>
    </w:p>
    <w:p w14:paraId="1DA6E890" w14:textId="77777777" w:rsidR="0030584F" w:rsidRPr="0030584F" w:rsidRDefault="0030584F" w:rsidP="0030584F">
      <w:pPr>
        <w:rPr>
          <w:rFonts w:ascii="Arial" w:hAnsi="Arial" w:cs="Arial"/>
          <w:sz w:val="22"/>
          <w:szCs w:val="22"/>
        </w:rPr>
      </w:pPr>
      <w:r w:rsidRPr="0030584F">
        <w:rPr>
          <w:rFonts w:ascii="Arial" w:hAnsi="Arial" w:cs="Arial"/>
          <w:sz w:val="22"/>
          <w:szCs w:val="22"/>
        </w:rPr>
        <w:t xml:space="preserve">Shepherd, G., Boardman, J. and Slade, M. (2008) </w:t>
      </w:r>
      <w:r w:rsidRPr="0030584F">
        <w:rPr>
          <w:rFonts w:ascii="Arial" w:hAnsi="Arial" w:cs="Arial"/>
          <w:i/>
          <w:iCs/>
          <w:sz w:val="22"/>
          <w:szCs w:val="22"/>
        </w:rPr>
        <w:t>Making Recovery a Reality</w:t>
      </w:r>
      <w:r w:rsidRPr="0030584F">
        <w:rPr>
          <w:rFonts w:ascii="Arial" w:hAnsi="Arial" w:cs="Arial"/>
          <w:sz w:val="22"/>
          <w:szCs w:val="22"/>
        </w:rPr>
        <w:t>. London: Sainsbury Centre for Mental Health.</w:t>
      </w:r>
    </w:p>
    <w:p w14:paraId="27349F9A" w14:textId="77777777" w:rsidR="0030584F" w:rsidRPr="0030584F" w:rsidRDefault="0030584F" w:rsidP="0030584F">
      <w:pPr>
        <w:rPr>
          <w:rFonts w:ascii="Arial" w:hAnsi="Arial" w:cs="Arial"/>
          <w:sz w:val="22"/>
          <w:szCs w:val="22"/>
        </w:rPr>
      </w:pPr>
      <w:r w:rsidRPr="0030584F">
        <w:rPr>
          <w:rFonts w:ascii="Arial" w:hAnsi="Arial" w:cs="Arial"/>
          <w:sz w:val="22"/>
          <w:szCs w:val="22"/>
        </w:rPr>
        <w:t xml:space="preserve">Slade, M. (2017) </w:t>
      </w:r>
      <w:r w:rsidRPr="0030584F">
        <w:rPr>
          <w:rFonts w:ascii="Arial" w:hAnsi="Arial" w:cs="Arial"/>
          <w:i/>
          <w:iCs/>
          <w:sz w:val="22"/>
          <w:szCs w:val="22"/>
        </w:rPr>
        <w:t>Implementing Shared Decision-Making in Mental Health</w:t>
      </w:r>
      <w:r w:rsidRPr="0030584F">
        <w:rPr>
          <w:rFonts w:ascii="Arial" w:hAnsi="Arial" w:cs="Arial"/>
          <w:sz w:val="22"/>
          <w:szCs w:val="22"/>
        </w:rPr>
        <w:t>. Cambridge: Cambridge University Press.</w:t>
      </w:r>
    </w:p>
    <w:p w14:paraId="28DB8EC5" w14:textId="77777777" w:rsidR="0030584F" w:rsidRPr="0030584F" w:rsidRDefault="0030584F" w:rsidP="0030584F">
      <w:pPr>
        <w:rPr>
          <w:rFonts w:ascii="Arial" w:hAnsi="Arial" w:cs="Arial"/>
          <w:sz w:val="22"/>
          <w:szCs w:val="22"/>
        </w:rPr>
      </w:pPr>
      <w:r w:rsidRPr="0030584F">
        <w:rPr>
          <w:rFonts w:ascii="Arial" w:hAnsi="Arial" w:cs="Arial"/>
          <w:sz w:val="22"/>
          <w:szCs w:val="22"/>
        </w:rPr>
        <w:t xml:space="preserve">Slay, J. and Stephens, L. (2013) </w:t>
      </w:r>
      <w:r w:rsidRPr="0030584F">
        <w:rPr>
          <w:rFonts w:ascii="Arial" w:hAnsi="Arial" w:cs="Arial"/>
          <w:i/>
          <w:iCs/>
          <w:sz w:val="22"/>
          <w:szCs w:val="22"/>
        </w:rPr>
        <w:t>Co-production in Mental Health</w:t>
      </w:r>
      <w:r w:rsidRPr="0030584F">
        <w:rPr>
          <w:rFonts w:ascii="Arial" w:hAnsi="Arial" w:cs="Arial"/>
          <w:sz w:val="22"/>
          <w:szCs w:val="22"/>
        </w:rPr>
        <w:t>. London: NEF.</w:t>
      </w:r>
    </w:p>
    <w:p w14:paraId="0A00DB69" w14:textId="77777777" w:rsidR="0030584F" w:rsidRPr="0030584F" w:rsidRDefault="0030584F" w:rsidP="0030584F">
      <w:pPr>
        <w:rPr>
          <w:rFonts w:ascii="Arial" w:hAnsi="Arial" w:cs="Arial"/>
          <w:sz w:val="22"/>
          <w:szCs w:val="22"/>
        </w:rPr>
      </w:pPr>
      <w:r w:rsidRPr="0030584F">
        <w:rPr>
          <w:rFonts w:ascii="Arial" w:hAnsi="Arial" w:cs="Arial"/>
          <w:sz w:val="22"/>
          <w:szCs w:val="22"/>
        </w:rPr>
        <w:t xml:space="preserve">Tew, J. </w:t>
      </w:r>
      <w:r w:rsidRPr="0030584F">
        <w:rPr>
          <w:rFonts w:ascii="Arial" w:hAnsi="Arial" w:cs="Arial"/>
          <w:i/>
          <w:iCs/>
          <w:sz w:val="22"/>
          <w:szCs w:val="22"/>
        </w:rPr>
        <w:t>et al</w:t>
      </w:r>
      <w:r w:rsidRPr="0030584F">
        <w:rPr>
          <w:rFonts w:ascii="Arial" w:hAnsi="Arial" w:cs="Arial"/>
          <w:sz w:val="22"/>
          <w:szCs w:val="22"/>
        </w:rPr>
        <w:t xml:space="preserve">. (2012) </w:t>
      </w:r>
      <w:r w:rsidRPr="0030584F">
        <w:rPr>
          <w:rFonts w:ascii="Arial" w:hAnsi="Arial" w:cs="Arial"/>
          <w:i/>
          <w:iCs/>
          <w:sz w:val="22"/>
          <w:szCs w:val="22"/>
        </w:rPr>
        <w:t>Social Perspectives in Mental Health</w:t>
      </w:r>
      <w:r w:rsidRPr="0030584F">
        <w:rPr>
          <w:rFonts w:ascii="Arial" w:hAnsi="Arial" w:cs="Arial"/>
          <w:sz w:val="22"/>
          <w:szCs w:val="22"/>
        </w:rPr>
        <w:t>. London: Jessica Kingsley.</w:t>
      </w:r>
    </w:p>
    <w:p w14:paraId="35F5D810" w14:textId="77777777" w:rsidR="00EC7F9A" w:rsidRDefault="00EC7F9A"/>
    <w:sectPr w:rsidR="00EC7F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84F"/>
    <w:rsid w:val="00220E97"/>
    <w:rsid w:val="00243FDC"/>
    <w:rsid w:val="0030584F"/>
    <w:rsid w:val="0049346E"/>
    <w:rsid w:val="005B6944"/>
    <w:rsid w:val="007B52FF"/>
    <w:rsid w:val="008C2C62"/>
    <w:rsid w:val="00A81230"/>
    <w:rsid w:val="00B16322"/>
    <w:rsid w:val="00B25358"/>
    <w:rsid w:val="00DA0A72"/>
    <w:rsid w:val="00E15EA9"/>
    <w:rsid w:val="00EC7F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774C501"/>
  <w15:chartTrackingRefBased/>
  <w15:docId w15:val="{E23A3C63-843C-45C8-B00C-08007D6E1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584F"/>
  </w:style>
  <w:style w:type="paragraph" w:styleId="Heading1">
    <w:name w:val="heading 1"/>
    <w:basedOn w:val="Normal"/>
    <w:next w:val="Normal"/>
    <w:link w:val="Heading1Char"/>
    <w:uiPriority w:val="9"/>
    <w:qFormat/>
    <w:rsid w:val="003058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058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058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58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58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58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58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58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58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58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058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058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58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58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58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58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58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584F"/>
    <w:rPr>
      <w:rFonts w:eastAsiaTheme="majorEastAsia" w:cstheme="majorBidi"/>
      <w:color w:val="272727" w:themeColor="text1" w:themeTint="D8"/>
    </w:rPr>
  </w:style>
  <w:style w:type="paragraph" w:styleId="Title">
    <w:name w:val="Title"/>
    <w:basedOn w:val="Normal"/>
    <w:next w:val="Normal"/>
    <w:link w:val="TitleChar"/>
    <w:uiPriority w:val="10"/>
    <w:qFormat/>
    <w:rsid w:val="003058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58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58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58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584F"/>
    <w:pPr>
      <w:spacing w:before="160"/>
      <w:jc w:val="center"/>
    </w:pPr>
    <w:rPr>
      <w:i/>
      <w:iCs/>
      <w:color w:val="404040" w:themeColor="text1" w:themeTint="BF"/>
    </w:rPr>
  </w:style>
  <w:style w:type="character" w:customStyle="1" w:styleId="QuoteChar">
    <w:name w:val="Quote Char"/>
    <w:basedOn w:val="DefaultParagraphFont"/>
    <w:link w:val="Quote"/>
    <w:uiPriority w:val="29"/>
    <w:rsid w:val="0030584F"/>
    <w:rPr>
      <w:i/>
      <w:iCs/>
      <w:color w:val="404040" w:themeColor="text1" w:themeTint="BF"/>
    </w:rPr>
  </w:style>
  <w:style w:type="paragraph" w:styleId="ListParagraph">
    <w:name w:val="List Paragraph"/>
    <w:basedOn w:val="Normal"/>
    <w:uiPriority w:val="34"/>
    <w:qFormat/>
    <w:rsid w:val="0030584F"/>
    <w:pPr>
      <w:ind w:left="720"/>
      <w:contextualSpacing/>
    </w:pPr>
  </w:style>
  <w:style w:type="character" w:styleId="IntenseEmphasis">
    <w:name w:val="Intense Emphasis"/>
    <w:basedOn w:val="DefaultParagraphFont"/>
    <w:uiPriority w:val="21"/>
    <w:qFormat/>
    <w:rsid w:val="0030584F"/>
    <w:rPr>
      <w:i/>
      <w:iCs/>
      <w:color w:val="0F4761" w:themeColor="accent1" w:themeShade="BF"/>
    </w:rPr>
  </w:style>
  <w:style w:type="paragraph" w:styleId="IntenseQuote">
    <w:name w:val="Intense Quote"/>
    <w:basedOn w:val="Normal"/>
    <w:next w:val="Normal"/>
    <w:link w:val="IntenseQuoteChar"/>
    <w:uiPriority w:val="30"/>
    <w:qFormat/>
    <w:rsid w:val="003058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584F"/>
    <w:rPr>
      <w:i/>
      <w:iCs/>
      <w:color w:val="0F4761" w:themeColor="accent1" w:themeShade="BF"/>
    </w:rPr>
  </w:style>
  <w:style w:type="character" w:styleId="IntenseReference">
    <w:name w:val="Intense Reference"/>
    <w:basedOn w:val="DefaultParagraphFont"/>
    <w:uiPriority w:val="32"/>
    <w:qFormat/>
    <w:rsid w:val="0030584F"/>
    <w:rPr>
      <w:b/>
      <w:bCs/>
      <w:smallCaps/>
      <w:color w:val="0F4761" w:themeColor="accent1" w:themeShade="BF"/>
      <w:spacing w:val="5"/>
    </w:rPr>
  </w:style>
  <w:style w:type="table" w:styleId="TableGrid">
    <w:name w:val="Table Grid"/>
    <w:basedOn w:val="TableNormal"/>
    <w:uiPriority w:val="39"/>
    <w:rsid w:val="003058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0584F"/>
    <w:rPr>
      <w:color w:val="467886" w:themeColor="hyperlink"/>
      <w:u w:val="single"/>
    </w:rPr>
  </w:style>
  <w:style w:type="character" w:styleId="UnresolvedMention">
    <w:name w:val="Unresolved Mention"/>
    <w:basedOn w:val="DefaultParagraphFont"/>
    <w:uiPriority w:val="99"/>
    <w:semiHidden/>
    <w:unhideWhenUsed/>
    <w:rsid w:val="003058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 TargetMode="External"/><Relationship Id="rId3" Type="http://schemas.openxmlformats.org/officeDocument/2006/relationships/customXml" Target="../customXml/item3.xml"/><Relationship Id="rId7" Type="http://schemas.openxmlformats.org/officeDocument/2006/relationships/hyperlink" Target="https://www.mind.org.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77BF7F1F3F93E4997B21D6B9868348F" ma:contentTypeVersion="13" ma:contentTypeDescription="Create a new document." ma:contentTypeScope="" ma:versionID="f2dbca64e5d48bf34ce43c74419b4b17">
  <xsd:schema xmlns:xsd="http://www.w3.org/2001/XMLSchema" xmlns:xs="http://www.w3.org/2001/XMLSchema" xmlns:p="http://schemas.microsoft.com/office/2006/metadata/properties" xmlns:ns3="a7bdb143-267e-438d-bcbf-e88b565c1722" xmlns:ns4="8425509b-c587-4994-9466-01f6efb644d9" targetNamespace="http://schemas.microsoft.com/office/2006/metadata/properties" ma:root="true" ma:fieldsID="0087ef185842f2e2f6b4a25bb7371812" ns3:_="" ns4:_="">
    <xsd:import namespace="a7bdb143-267e-438d-bcbf-e88b565c1722"/>
    <xsd:import namespace="8425509b-c587-4994-9466-01f6efb644d9"/>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4:SharedWithUsers" minOccurs="0"/>
                <xsd:element ref="ns4:SharedWithDetails" minOccurs="0"/>
                <xsd:element ref="ns4:SharingHintHash" minOccurs="0"/>
                <xsd:element ref="ns3:_activity"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bdb143-267e-438d-bcbf-e88b565c17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25509b-c587-4994-9466-01f6efb644d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7bdb143-267e-438d-bcbf-e88b565c172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DD646E7-98F0-442E-92CE-F730980A95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bdb143-267e-438d-bcbf-e88b565c1722"/>
    <ds:schemaRef ds:uri="8425509b-c587-4994-9466-01f6efb644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215687-CC2E-4CEA-BEA1-5C4321064EAB}">
  <ds:schemaRefs>
    <ds:schemaRef ds:uri="8425509b-c587-4994-9466-01f6efb644d9"/>
    <ds:schemaRef ds:uri="http://schemas.openxmlformats.org/package/2006/metadata/core-properties"/>
    <ds:schemaRef ds:uri="http://schemas.microsoft.com/office/infopath/2007/PartnerControls"/>
    <ds:schemaRef ds:uri="http://schemas.microsoft.com/office/2006/documentManagement/types"/>
    <ds:schemaRef ds:uri="http://purl.org/dc/dcmitype/"/>
    <ds:schemaRef ds:uri="http://www.w3.org/XML/1998/namespace"/>
    <ds:schemaRef ds:uri="http://purl.org/dc/elements/1.1/"/>
    <ds:schemaRef ds:uri="a7bdb143-267e-438d-bcbf-e88b565c1722"/>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A9B035AF-3A00-48C7-893C-7268F4F9FB9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2036</Words>
  <Characters>13255</Characters>
  <Application>Microsoft Office Word</Application>
  <DocSecurity>0</DocSecurity>
  <Lines>220</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Manal Ahmed (2325945)</dc:creator>
  <cp:keywords/>
  <dc:description/>
  <cp:lastModifiedBy>Manal Ahmed (2325945)</cp:lastModifiedBy>
  <cp:revision>2</cp:revision>
  <dcterms:created xsi:type="dcterms:W3CDTF">2025-11-28T13:58:00Z</dcterms:created>
  <dcterms:modified xsi:type="dcterms:W3CDTF">2025-11-28T13:58:00Z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0x010100B77BF7F1F3F93E4997B21D6B9868348F</vt:lpwstr>
  </property>
</Properties>
</file>