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DD612" w14:textId="77777777" w:rsidR="00E56E38" w:rsidRPr="003903AA" w:rsidRDefault="00E56E38" w:rsidP="00E56E38">
      <w:pPr>
        <w:spacing w:before="120" w:after="120"/>
        <w:jc w:val="center"/>
        <w:rPr>
          <w:rFonts w:cs="Arial"/>
          <w:b/>
          <w:color w:val="000000" w:themeColor="text1"/>
          <w:lang w:val="en-GB"/>
        </w:rPr>
      </w:pPr>
    </w:p>
    <w:p w14:paraId="5A0A3F5D" w14:textId="77777777" w:rsidR="00E56E38" w:rsidRPr="003903AA" w:rsidRDefault="00E56E38" w:rsidP="00E56E38">
      <w:pPr>
        <w:spacing w:before="120" w:after="120"/>
        <w:jc w:val="center"/>
        <w:rPr>
          <w:rFonts w:cs="Arial"/>
          <w:b/>
          <w:color w:val="000000" w:themeColor="text1"/>
          <w:sz w:val="28"/>
          <w:szCs w:val="28"/>
          <w:lang w:val="en-GB"/>
        </w:rPr>
      </w:pPr>
    </w:p>
    <w:p w14:paraId="562DAFEC" w14:textId="77777777" w:rsidR="00814717" w:rsidRPr="003903AA" w:rsidRDefault="004A2BAC" w:rsidP="00E56E38">
      <w:pPr>
        <w:spacing w:before="120" w:after="120"/>
        <w:jc w:val="center"/>
        <w:rPr>
          <w:rFonts w:cs="Arial"/>
          <w:b/>
          <w:color w:val="000000" w:themeColor="text1"/>
          <w:sz w:val="28"/>
          <w:szCs w:val="28"/>
          <w:lang w:val="en-GB"/>
        </w:rPr>
      </w:pPr>
      <w:r w:rsidRPr="003903AA">
        <w:rPr>
          <w:rFonts w:cs="Arial"/>
          <w:b/>
          <w:color w:val="000000" w:themeColor="text1"/>
          <w:sz w:val="28"/>
          <w:szCs w:val="28"/>
          <w:lang w:val="en-GB"/>
        </w:rPr>
        <w:t>BSc Health and Social Care</w:t>
      </w:r>
    </w:p>
    <w:p w14:paraId="31C2C21C" w14:textId="77777777" w:rsidR="00814717" w:rsidRPr="003903AA" w:rsidRDefault="00814717" w:rsidP="00E56E38">
      <w:pPr>
        <w:spacing w:before="120" w:after="120"/>
        <w:jc w:val="center"/>
        <w:rPr>
          <w:rFonts w:cs="Arial"/>
          <w:b/>
          <w:color w:val="000000" w:themeColor="text1"/>
          <w:sz w:val="28"/>
          <w:szCs w:val="28"/>
          <w:lang w:val="en-GB"/>
        </w:rPr>
      </w:pPr>
    </w:p>
    <w:p w14:paraId="179D69B1" w14:textId="77777777" w:rsidR="00814717" w:rsidRPr="003903AA" w:rsidRDefault="004A2BAC" w:rsidP="00E56E38">
      <w:pPr>
        <w:spacing w:before="120" w:after="120"/>
        <w:jc w:val="center"/>
        <w:rPr>
          <w:rFonts w:cs="Arial"/>
          <w:b/>
          <w:color w:val="000000" w:themeColor="text1"/>
          <w:sz w:val="28"/>
          <w:szCs w:val="28"/>
          <w:lang w:val="en-GB"/>
        </w:rPr>
      </w:pPr>
      <w:r w:rsidRPr="003903AA">
        <w:rPr>
          <w:rFonts w:cs="Arial"/>
          <w:b/>
          <w:color w:val="000000" w:themeColor="text1"/>
          <w:sz w:val="28"/>
          <w:szCs w:val="28"/>
          <w:lang w:val="en-GB"/>
        </w:rPr>
        <w:t>BMHP5019 Introduction to Independent Research Skills</w:t>
      </w:r>
    </w:p>
    <w:p w14:paraId="0CEC63A6" w14:textId="77777777" w:rsidR="00814717" w:rsidRPr="003903AA" w:rsidRDefault="00814717" w:rsidP="00E56E38">
      <w:pPr>
        <w:spacing w:before="120" w:after="120"/>
        <w:jc w:val="center"/>
        <w:rPr>
          <w:rFonts w:cs="Arial"/>
          <w:b/>
          <w:color w:val="000000" w:themeColor="text1"/>
          <w:lang w:val="en-GB"/>
        </w:rPr>
      </w:pPr>
    </w:p>
    <w:p w14:paraId="63B7A18F" w14:textId="77777777" w:rsidR="00E56E38" w:rsidRPr="003903AA" w:rsidRDefault="00E56E38" w:rsidP="00E56E38">
      <w:pPr>
        <w:spacing w:before="120" w:after="120"/>
        <w:rPr>
          <w:rFonts w:cs="Arial"/>
          <w:b/>
          <w:color w:val="000000" w:themeColor="text1"/>
          <w:lang w:val="en-GB"/>
        </w:rPr>
      </w:pPr>
    </w:p>
    <w:p w14:paraId="16BDC504" w14:textId="0C8600FE" w:rsidR="00814717" w:rsidRPr="003903AA" w:rsidRDefault="00814717" w:rsidP="00B02924">
      <w:pPr>
        <w:spacing w:before="120" w:after="120"/>
        <w:rPr>
          <w:rFonts w:cs="Arial"/>
          <w:b/>
          <w:color w:val="000000" w:themeColor="text1"/>
          <w:lang w:val="en-GB"/>
        </w:rPr>
      </w:pPr>
    </w:p>
    <w:p w14:paraId="2C0E44BC" w14:textId="77777777" w:rsidR="00E56E38" w:rsidRPr="003903AA" w:rsidRDefault="00E56E38" w:rsidP="00B02924">
      <w:pPr>
        <w:spacing w:before="120" w:after="120"/>
        <w:rPr>
          <w:rFonts w:cs="Arial"/>
          <w:b/>
          <w:color w:val="000000" w:themeColor="text1"/>
          <w:lang w:val="en-GB"/>
        </w:rPr>
      </w:pPr>
    </w:p>
    <w:p w14:paraId="3A6FA070" w14:textId="77777777" w:rsidR="00E56E38" w:rsidRPr="003903AA" w:rsidRDefault="00E56E38" w:rsidP="00E56E38">
      <w:pPr>
        <w:spacing w:before="120" w:after="120"/>
        <w:jc w:val="center"/>
        <w:rPr>
          <w:rFonts w:cs="Arial"/>
          <w:b/>
          <w:color w:val="000000" w:themeColor="text1"/>
          <w:lang w:val="en-GB"/>
        </w:rPr>
      </w:pPr>
    </w:p>
    <w:p w14:paraId="676AAEBE" w14:textId="77777777" w:rsidR="00814717" w:rsidRDefault="00FF21D6" w:rsidP="00E56E38">
      <w:pPr>
        <w:spacing w:before="120" w:after="120"/>
        <w:jc w:val="center"/>
        <w:rPr>
          <w:rFonts w:cs="Arial"/>
          <w:b/>
          <w:color w:val="000000" w:themeColor="text1"/>
          <w:lang w:val="en-GB"/>
        </w:rPr>
      </w:pPr>
      <w:r w:rsidRPr="003903AA">
        <w:rPr>
          <w:rFonts w:cs="Arial"/>
          <w:b/>
          <w:color w:val="000000" w:themeColor="text1"/>
          <w:lang w:val="en-GB"/>
        </w:rPr>
        <w:t xml:space="preserve">Topic: </w:t>
      </w:r>
      <w:r w:rsidR="004A2BAC" w:rsidRPr="003903AA">
        <w:rPr>
          <w:rFonts w:cs="Arial"/>
          <w:b/>
          <w:color w:val="000000" w:themeColor="text1"/>
          <w:lang w:val="en-GB"/>
        </w:rPr>
        <w:t>The Impact of Digital Health Technologies on Patient Engagement and Outcomes in the UK Healthcare Industry</w:t>
      </w:r>
    </w:p>
    <w:p w14:paraId="4AD356A0" w14:textId="77777777" w:rsidR="00B02924" w:rsidRDefault="00B02924" w:rsidP="00E56E38">
      <w:pPr>
        <w:spacing w:before="120" w:after="120"/>
        <w:jc w:val="center"/>
        <w:rPr>
          <w:rFonts w:cs="Arial"/>
          <w:b/>
          <w:color w:val="000000" w:themeColor="text1"/>
          <w:lang w:val="en-GB"/>
        </w:rPr>
      </w:pPr>
    </w:p>
    <w:p w14:paraId="6098B3A8" w14:textId="77777777" w:rsidR="00B02924" w:rsidRDefault="00B02924" w:rsidP="00E56E38">
      <w:pPr>
        <w:spacing w:before="120" w:after="120"/>
        <w:jc w:val="center"/>
        <w:rPr>
          <w:rFonts w:cs="Arial"/>
          <w:b/>
          <w:color w:val="000000" w:themeColor="text1"/>
          <w:lang w:val="en-GB"/>
        </w:rPr>
      </w:pPr>
    </w:p>
    <w:p w14:paraId="4232448A" w14:textId="5C150AF9" w:rsidR="00B02924" w:rsidRDefault="00B02924" w:rsidP="00E56E38">
      <w:pPr>
        <w:spacing w:before="120" w:after="120"/>
        <w:jc w:val="center"/>
        <w:rPr>
          <w:rFonts w:cs="Arial"/>
          <w:b/>
          <w:color w:val="000000" w:themeColor="text1"/>
          <w:lang w:val="en-GB"/>
        </w:rPr>
      </w:pPr>
      <w:r>
        <w:rPr>
          <w:rFonts w:cs="Arial"/>
          <w:b/>
          <w:color w:val="000000" w:themeColor="text1"/>
          <w:lang w:val="en-GB"/>
        </w:rPr>
        <w:t>By</w:t>
      </w:r>
    </w:p>
    <w:p w14:paraId="3C8ACDB8" w14:textId="77777777" w:rsidR="00B02924" w:rsidRDefault="00B02924" w:rsidP="00E56E38">
      <w:pPr>
        <w:spacing w:before="120" w:after="120"/>
        <w:jc w:val="center"/>
        <w:rPr>
          <w:rFonts w:cs="Arial"/>
          <w:b/>
          <w:color w:val="000000" w:themeColor="text1"/>
          <w:lang w:val="en-GB"/>
        </w:rPr>
      </w:pPr>
    </w:p>
    <w:p w14:paraId="6B04C0D8" w14:textId="77777777" w:rsidR="00B02924" w:rsidRDefault="00B02924" w:rsidP="00E56E38">
      <w:pPr>
        <w:spacing w:before="120" w:after="120"/>
        <w:jc w:val="center"/>
        <w:rPr>
          <w:rFonts w:cs="Arial"/>
          <w:b/>
          <w:color w:val="000000" w:themeColor="text1"/>
          <w:lang w:val="en-GB"/>
        </w:rPr>
      </w:pPr>
    </w:p>
    <w:p w14:paraId="3D8B24A9" w14:textId="77777777" w:rsidR="00B02924" w:rsidRDefault="00B02924" w:rsidP="00E56E38">
      <w:pPr>
        <w:spacing w:before="120" w:after="120"/>
        <w:jc w:val="center"/>
        <w:rPr>
          <w:rFonts w:cs="Arial"/>
          <w:b/>
          <w:color w:val="000000" w:themeColor="text1"/>
          <w:lang w:val="en-GB"/>
        </w:rPr>
      </w:pPr>
      <w:r>
        <w:rPr>
          <w:rFonts w:cs="Arial"/>
          <w:b/>
          <w:color w:val="000000" w:themeColor="text1"/>
          <w:lang w:val="en-GB"/>
        </w:rPr>
        <w:t xml:space="preserve">Student name: Florentina Crina Matei </w:t>
      </w:r>
    </w:p>
    <w:p w14:paraId="1E0A4C2D" w14:textId="77777777" w:rsidR="00B02924" w:rsidRDefault="00B02924" w:rsidP="00E56E38">
      <w:pPr>
        <w:spacing w:before="120" w:after="120"/>
        <w:jc w:val="center"/>
        <w:rPr>
          <w:rFonts w:cs="Arial"/>
          <w:b/>
          <w:color w:val="000000" w:themeColor="text1"/>
          <w:lang w:val="en-GB"/>
        </w:rPr>
      </w:pPr>
    </w:p>
    <w:p w14:paraId="0C191997" w14:textId="77777777" w:rsidR="00B02924" w:rsidRDefault="00B02924" w:rsidP="00E56E38">
      <w:pPr>
        <w:spacing w:before="120" w:after="120"/>
        <w:jc w:val="center"/>
        <w:rPr>
          <w:rFonts w:cs="Arial"/>
          <w:b/>
          <w:color w:val="000000" w:themeColor="text1"/>
          <w:lang w:val="en-GB"/>
        </w:rPr>
      </w:pPr>
      <w:r>
        <w:rPr>
          <w:rFonts w:cs="Arial"/>
          <w:b/>
          <w:color w:val="000000" w:themeColor="text1"/>
          <w:lang w:val="en-GB"/>
        </w:rPr>
        <w:t>Student ID: 2325866</w:t>
      </w:r>
    </w:p>
    <w:p w14:paraId="39F77505" w14:textId="77777777" w:rsidR="00B02924" w:rsidRDefault="00B02924" w:rsidP="00E56E38">
      <w:pPr>
        <w:spacing w:before="120" w:after="120"/>
        <w:jc w:val="center"/>
        <w:rPr>
          <w:rFonts w:cs="Arial"/>
          <w:b/>
          <w:color w:val="000000" w:themeColor="text1"/>
          <w:lang w:val="en-GB"/>
        </w:rPr>
      </w:pPr>
    </w:p>
    <w:p w14:paraId="65511F60" w14:textId="77777777" w:rsidR="00B02924" w:rsidRPr="003903AA" w:rsidRDefault="00B02924" w:rsidP="00E56E38">
      <w:pPr>
        <w:spacing w:before="120" w:after="120"/>
        <w:jc w:val="center"/>
        <w:rPr>
          <w:rFonts w:cs="Arial"/>
          <w:b/>
          <w:color w:val="000000" w:themeColor="text1"/>
          <w:lang w:val="en-GB"/>
        </w:rPr>
      </w:pPr>
    </w:p>
    <w:p w14:paraId="69436D80" w14:textId="77777777" w:rsidR="00814717" w:rsidRPr="003903AA" w:rsidRDefault="00814717" w:rsidP="00E56E38">
      <w:pPr>
        <w:spacing w:before="120" w:after="120"/>
        <w:jc w:val="center"/>
        <w:rPr>
          <w:rFonts w:cs="Arial"/>
          <w:b/>
          <w:color w:val="000000" w:themeColor="text1"/>
          <w:lang w:val="en-GB"/>
        </w:rPr>
      </w:pPr>
    </w:p>
    <w:p w14:paraId="5ACCA8FB" w14:textId="77777777" w:rsidR="00814717" w:rsidRPr="003903AA" w:rsidRDefault="00814717" w:rsidP="00E56E38">
      <w:pPr>
        <w:spacing w:before="120" w:after="120"/>
        <w:jc w:val="center"/>
        <w:rPr>
          <w:rFonts w:cs="Arial"/>
          <w:b/>
          <w:color w:val="000000" w:themeColor="text1"/>
          <w:lang w:val="en-GB"/>
        </w:rPr>
      </w:pPr>
    </w:p>
    <w:p w14:paraId="787B8B15" w14:textId="77777777" w:rsidR="00814717" w:rsidRPr="003903AA" w:rsidRDefault="004A2BAC" w:rsidP="00E56E38">
      <w:pPr>
        <w:spacing w:before="120" w:after="120"/>
        <w:jc w:val="center"/>
        <w:rPr>
          <w:rFonts w:cs="Arial"/>
          <w:b/>
          <w:color w:val="000000" w:themeColor="text1"/>
          <w:lang w:val="en-GB"/>
        </w:rPr>
      </w:pPr>
      <w:r w:rsidRPr="003903AA">
        <w:rPr>
          <w:rFonts w:cs="Arial"/>
          <w:color w:val="000000" w:themeColor="text1"/>
          <w:lang w:val="en-GB"/>
        </w:rPr>
        <w:br w:type="page"/>
      </w:r>
    </w:p>
    <w:p w14:paraId="3693A608" w14:textId="77777777" w:rsidR="00814717" w:rsidRPr="003903AA" w:rsidRDefault="004A2BAC" w:rsidP="00E56E38">
      <w:pPr>
        <w:spacing w:before="120" w:after="120"/>
        <w:jc w:val="center"/>
        <w:rPr>
          <w:rFonts w:cs="Arial"/>
          <w:b/>
          <w:color w:val="000000" w:themeColor="text1"/>
          <w:lang w:val="en-GB"/>
        </w:rPr>
      </w:pPr>
      <w:r w:rsidRPr="003903AA">
        <w:rPr>
          <w:rFonts w:cs="Arial"/>
          <w:b/>
          <w:color w:val="000000" w:themeColor="text1"/>
          <w:lang w:val="en-GB"/>
        </w:rPr>
        <w:lastRenderedPageBreak/>
        <w:t xml:space="preserve">Executive Summary </w:t>
      </w:r>
    </w:p>
    <w:p w14:paraId="59554F0E" w14:textId="77777777" w:rsidR="00E56E38" w:rsidRPr="003903AA" w:rsidRDefault="00E56E38" w:rsidP="00E56E38">
      <w:pPr>
        <w:spacing w:before="120" w:after="120"/>
        <w:rPr>
          <w:rFonts w:cs="Arial"/>
          <w:color w:val="000000" w:themeColor="text1"/>
          <w:lang w:val="en-GB"/>
        </w:rPr>
      </w:pPr>
      <w:r w:rsidRPr="003903AA">
        <w:rPr>
          <w:rFonts w:cs="Arial"/>
          <w:color w:val="000000" w:themeColor="text1"/>
          <w:lang w:val="en-GB"/>
        </w:rPr>
        <w:t xml:space="preserve">The rapid digitalisation pushes the different business sectors to embrace digital instruments and technologies to align with the evolving market requirements. In order to explore the influence of different digital technologies on the patient care management, the secondary qualitative data has been used which analysed through the thematic analysis process. </w:t>
      </w:r>
      <w:r w:rsidR="004A2BAC" w:rsidRPr="003903AA">
        <w:rPr>
          <w:rFonts w:cs="Arial"/>
          <w:color w:val="000000" w:themeColor="text1"/>
          <w:lang w:val="en-GB"/>
        </w:rPr>
        <w:t xml:space="preserve">The findings reflected that digital tools have supported in exceeding accessibility of the patient to </w:t>
      </w:r>
      <w:r w:rsidRPr="003903AA">
        <w:rPr>
          <w:rFonts w:cs="Arial"/>
          <w:color w:val="000000" w:themeColor="text1"/>
          <w:lang w:val="en-GB"/>
        </w:rPr>
        <w:t>be</w:t>
      </w:r>
      <w:r w:rsidR="004A2BAC" w:rsidRPr="003903AA">
        <w:rPr>
          <w:rFonts w:cs="Arial"/>
          <w:color w:val="000000" w:themeColor="text1"/>
          <w:lang w:val="en-GB"/>
        </w:rPr>
        <w:t xml:space="preserve"> minimising waiting time, promoting self-management and elevated chronic disease monitoring, while systems like digital triage, along with virtual wards, minimise unnecessary hospital admissions. Even after such advantages, there are issues like a lack of digital literacy leading to inequalities, infrastructure issues and differences in implementation across regions. The research reflected that digital health technologies have improved patient-centred care. Recommendations reflected the requirement for effective digital inclusion approaches and further investigation to form long-term clinical effectiveness of digital health adoption. Primary issues regarding Digital Health Technologies directly impact patient engagement, which primarily impacts participation. The digital and health literacy impact on patient experience creates significant barriers in engagement.     </w:t>
      </w:r>
    </w:p>
    <w:p w14:paraId="38C6B73C" w14:textId="77777777" w:rsidR="00E56E38" w:rsidRPr="003903AA" w:rsidRDefault="00E56E38" w:rsidP="00E56E38">
      <w:pPr>
        <w:spacing w:before="120" w:after="120"/>
        <w:rPr>
          <w:rFonts w:cs="Arial"/>
          <w:color w:val="000000" w:themeColor="text1"/>
          <w:lang w:val="en-GB"/>
        </w:rPr>
      </w:pPr>
      <w:r w:rsidRPr="003903AA">
        <w:rPr>
          <w:rFonts w:cs="Arial"/>
          <w:color w:val="000000" w:themeColor="text1"/>
          <w:lang w:val="en-GB"/>
        </w:rPr>
        <w:br w:type="page"/>
      </w:r>
    </w:p>
    <w:sdt>
      <w:sdtPr>
        <w:rPr>
          <w:rFonts w:ascii="Arial" w:eastAsia="Times New Roman" w:hAnsi="Arial" w:cs="Arial"/>
          <w:color w:val="000000" w:themeColor="text1"/>
          <w:sz w:val="22"/>
          <w:szCs w:val="22"/>
          <w:lang w:val="en" w:eastAsia="en-IN"/>
        </w:rPr>
        <w:id w:val="-1500881266"/>
        <w:docPartObj>
          <w:docPartGallery w:val="Table of Contents"/>
          <w:docPartUnique/>
        </w:docPartObj>
      </w:sdtPr>
      <w:sdtEndPr>
        <w:rPr>
          <w:b/>
          <w:bCs/>
          <w:noProof/>
        </w:rPr>
      </w:sdtEndPr>
      <w:sdtContent>
        <w:p w14:paraId="3A7048E5" w14:textId="77777777" w:rsidR="00E56E38" w:rsidRPr="003903AA" w:rsidRDefault="00E56E38" w:rsidP="00E56E38">
          <w:pPr>
            <w:pStyle w:val="TOCHeading"/>
            <w:spacing w:before="120" w:after="120" w:line="360" w:lineRule="auto"/>
            <w:jc w:val="center"/>
            <w:rPr>
              <w:rFonts w:ascii="Arial" w:hAnsi="Arial" w:cs="Arial"/>
              <w:b/>
              <w:color w:val="000000" w:themeColor="text1"/>
              <w:sz w:val="22"/>
              <w:szCs w:val="22"/>
            </w:rPr>
          </w:pPr>
          <w:r w:rsidRPr="003903AA">
            <w:rPr>
              <w:rFonts w:ascii="Arial" w:hAnsi="Arial" w:cs="Arial"/>
              <w:b/>
              <w:color w:val="000000" w:themeColor="text1"/>
              <w:sz w:val="22"/>
              <w:szCs w:val="22"/>
            </w:rPr>
            <w:t>Table of Contents</w:t>
          </w:r>
        </w:p>
        <w:p w14:paraId="00A959B4" w14:textId="77777777" w:rsidR="006770D3" w:rsidRPr="003903AA" w:rsidRDefault="00E56E38">
          <w:pPr>
            <w:pStyle w:val="TOC1"/>
            <w:tabs>
              <w:tab w:val="right" w:leader="dot" w:pos="9350"/>
            </w:tabs>
            <w:rPr>
              <w:rFonts w:asciiTheme="minorHAnsi" w:eastAsiaTheme="minorEastAsia" w:hAnsiTheme="minorHAnsi" w:cstheme="minorBidi"/>
              <w:noProof/>
              <w:color w:val="000000" w:themeColor="text1"/>
              <w:lang w:val="en-GB" w:eastAsia="en-GB"/>
            </w:rPr>
          </w:pPr>
          <w:r w:rsidRPr="003903AA">
            <w:rPr>
              <w:rFonts w:cs="Arial"/>
              <w:b/>
              <w:bCs/>
              <w:noProof/>
              <w:color w:val="000000" w:themeColor="text1"/>
            </w:rPr>
            <w:fldChar w:fldCharType="begin"/>
          </w:r>
          <w:r w:rsidRPr="003903AA">
            <w:rPr>
              <w:rFonts w:cs="Arial"/>
              <w:b/>
              <w:bCs/>
              <w:noProof/>
              <w:color w:val="000000" w:themeColor="text1"/>
            </w:rPr>
            <w:instrText xml:space="preserve"> TOC \o "1-3" \h \z \u </w:instrText>
          </w:r>
          <w:r w:rsidRPr="003903AA">
            <w:rPr>
              <w:rFonts w:cs="Arial"/>
              <w:b/>
              <w:bCs/>
              <w:noProof/>
              <w:color w:val="000000" w:themeColor="text1"/>
            </w:rPr>
            <w:fldChar w:fldCharType="separate"/>
          </w:r>
          <w:hyperlink w:anchor="_Toc213439680" w:history="1">
            <w:r w:rsidR="006770D3" w:rsidRPr="003903AA">
              <w:rPr>
                <w:rStyle w:val="Hyperlink"/>
                <w:rFonts w:cs="Arial"/>
                <w:noProof/>
                <w:color w:val="000000" w:themeColor="text1"/>
                <w:lang w:val="en-GB"/>
              </w:rPr>
              <w:t>Introduction</w:t>
            </w:r>
            <w:r w:rsidR="006770D3" w:rsidRPr="003903AA">
              <w:rPr>
                <w:noProof/>
                <w:webHidden/>
                <w:color w:val="000000" w:themeColor="text1"/>
              </w:rPr>
              <w:tab/>
            </w:r>
            <w:r w:rsidR="006770D3" w:rsidRPr="003903AA">
              <w:rPr>
                <w:noProof/>
                <w:webHidden/>
                <w:color w:val="000000" w:themeColor="text1"/>
              </w:rPr>
              <w:fldChar w:fldCharType="begin"/>
            </w:r>
            <w:r w:rsidR="006770D3" w:rsidRPr="003903AA">
              <w:rPr>
                <w:noProof/>
                <w:webHidden/>
                <w:color w:val="000000" w:themeColor="text1"/>
              </w:rPr>
              <w:instrText xml:space="preserve"> PAGEREF _Toc213439680 \h </w:instrText>
            </w:r>
            <w:r w:rsidR="006770D3" w:rsidRPr="003903AA">
              <w:rPr>
                <w:noProof/>
                <w:webHidden/>
                <w:color w:val="000000" w:themeColor="text1"/>
              </w:rPr>
            </w:r>
            <w:r w:rsidR="006770D3" w:rsidRPr="003903AA">
              <w:rPr>
                <w:noProof/>
                <w:webHidden/>
                <w:color w:val="000000" w:themeColor="text1"/>
              </w:rPr>
              <w:fldChar w:fldCharType="separate"/>
            </w:r>
            <w:r w:rsidR="006770D3" w:rsidRPr="003903AA">
              <w:rPr>
                <w:noProof/>
                <w:webHidden/>
                <w:color w:val="000000" w:themeColor="text1"/>
              </w:rPr>
              <w:t>4</w:t>
            </w:r>
            <w:r w:rsidR="006770D3" w:rsidRPr="003903AA">
              <w:rPr>
                <w:noProof/>
                <w:webHidden/>
                <w:color w:val="000000" w:themeColor="text1"/>
              </w:rPr>
              <w:fldChar w:fldCharType="end"/>
            </w:r>
          </w:hyperlink>
        </w:p>
        <w:p w14:paraId="7BE30011" w14:textId="77777777" w:rsidR="006770D3" w:rsidRPr="003903AA" w:rsidRDefault="006770D3">
          <w:pPr>
            <w:pStyle w:val="TOC1"/>
            <w:tabs>
              <w:tab w:val="right" w:leader="dot" w:pos="9350"/>
            </w:tabs>
            <w:rPr>
              <w:rFonts w:asciiTheme="minorHAnsi" w:eastAsiaTheme="minorEastAsia" w:hAnsiTheme="minorHAnsi" w:cstheme="minorBidi"/>
              <w:noProof/>
              <w:color w:val="000000" w:themeColor="text1"/>
              <w:lang w:val="en-GB" w:eastAsia="en-GB"/>
            </w:rPr>
          </w:pPr>
          <w:hyperlink w:anchor="_Toc213439681" w:history="1">
            <w:r w:rsidRPr="003903AA">
              <w:rPr>
                <w:rStyle w:val="Hyperlink"/>
                <w:rFonts w:cs="Arial"/>
                <w:noProof/>
                <w:color w:val="000000" w:themeColor="text1"/>
                <w:lang w:val="en-GB"/>
              </w:rPr>
              <w:t>Background</w:t>
            </w:r>
            <w:r w:rsidRPr="003903AA">
              <w:rPr>
                <w:noProof/>
                <w:webHidden/>
                <w:color w:val="000000" w:themeColor="text1"/>
              </w:rPr>
              <w:tab/>
            </w:r>
            <w:r w:rsidRPr="003903AA">
              <w:rPr>
                <w:noProof/>
                <w:webHidden/>
                <w:color w:val="000000" w:themeColor="text1"/>
              </w:rPr>
              <w:fldChar w:fldCharType="begin"/>
            </w:r>
            <w:r w:rsidRPr="003903AA">
              <w:rPr>
                <w:noProof/>
                <w:webHidden/>
                <w:color w:val="000000" w:themeColor="text1"/>
              </w:rPr>
              <w:instrText xml:space="preserve"> PAGEREF _Toc213439681 \h </w:instrText>
            </w:r>
            <w:r w:rsidRPr="003903AA">
              <w:rPr>
                <w:noProof/>
                <w:webHidden/>
                <w:color w:val="000000" w:themeColor="text1"/>
              </w:rPr>
            </w:r>
            <w:r w:rsidRPr="003903AA">
              <w:rPr>
                <w:noProof/>
                <w:webHidden/>
                <w:color w:val="000000" w:themeColor="text1"/>
              </w:rPr>
              <w:fldChar w:fldCharType="separate"/>
            </w:r>
            <w:r w:rsidRPr="003903AA">
              <w:rPr>
                <w:noProof/>
                <w:webHidden/>
                <w:color w:val="000000" w:themeColor="text1"/>
              </w:rPr>
              <w:t>6</w:t>
            </w:r>
            <w:r w:rsidRPr="003903AA">
              <w:rPr>
                <w:noProof/>
                <w:webHidden/>
                <w:color w:val="000000" w:themeColor="text1"/>
              </w:rPr>
              <w:fldChar w:fldCharType="end"/>
            </w:r>
          </w:hyperlink>
        </w:p>
        <w:p w14:paraId="4E86766D" w14:textId="77777777" w:rsidR="006770D3" w:rsidRPr="003903AA" w:rsidRDefault="006770D3">
          <w:pPr>
            <w:pStyle w:val="TOC1"/>
            <w:tabs>
              <w:tab w:val="right" w:leader="dot" w:pos="9350"/>
            </w:tabs>
            <w:rPr>
              <w:rFonts w:asciiTheme="minorHAnsi" w:eastAsiaTheme="minorEastAsia" w:hAnsiTheme="minorHAnsi" w:cstheme="minorBidi"/>
              <w:noProof/>
              <w:color w:val="000000" w:themeColor="text1"/>
              <w:lang w:val="en-GB" w:eastAsia="en-GB"/>
            </w:rPr>
          </w:pPr>
          <w:hyperlink w:anchor="_Toc213439682" w:history="1">
            <w:r w:rsidRPr="003903AA">
              <w:rPr>
                <w:rStyle w:val="Hyperlink"/>
                <w:rFonts w:cs="Arial"/>
                <w:noProof/>
                <w:color w:val="000000" w:themeColor="text1"/>
                <w:lang w:val="en-GB"/>
              </w:rPr>
              <w:t>Methods</w:t>
            </w:r>
            <w:r w:rsidRPr="003903AA">
              <w:rPr>
                <w:noProof/>
                <w:webHidden/>
                <w:color w:val="000000" w:themeColor="text1"/>
              </w:rPr>
              <w:tab/>
            </w:r>
            <w:r w:rsidRPr="003903AA">
              <w:rPr>
                <w:noProof/>
                <w:webHidden/>
                <w:color w:val="000000" w:themeColor="text1"/>
              </w:rPr>
              <w:fldChar w:fldCharType="begin"/>
            </w:r>
            <w:r w:rsidRPr="003903AA">
              <w:rPr>
                <w:noProof/>
                <w:webHidden/>
                <w:color w:val="000000" w:themeColor="text1"/>
              </w:rPr>
              <w:instrText xml:space="preserve"> PAGEREF _Toc213439682 \h </w:instrText>
            </w:r>
            <w:r w:rsidRPr="003903AA">
              <w:rPr>
                <w:noProof/>
                <w:webHidden/>
                <w:color w:val="000000" w:themeColor="text1"/>
              </w:rPr>
            </w:r>
            <w:r w:rsidRPr="003903AA">
              <w:rPr>
                <w:noProof/>
                <w:webHidden/>
                <w:color w:val="000000" w:themeColor="text1"/>
              </w:rPr>
              <w:fldChar w:fldCharType="separate"/>
            </w:r>
            <w:r w:rsidRPr="003903AA">
              <w:rPr>
                <w:noProof/>
                <w:webHidden/>
                <w:color w:val="000000" w:themeColor="text1"/>
              </w:rPr>
              <w:t>8</w:t>
            </w:r>
            <w:r w:rsidRPr="003903AA">
              <w:rPr>
                <w:noProof/>
                <w:webHidden/>
                <w:color w:val="000000" w:themeColor="text1"/>
              </w:rPr>
              <w:fldChar w:fldCharType="end"/>
            </w:r>
          </w:hyperlink>
        </w:p>
        <w:p w14:paraId="177A0858" w14:textId="77777777" w:rsidR="006770D3" w:rsidRPr="003903AA" w:rsidRDefault="006770D3">
          <w:pPr>
            <w:pStyle w:val="TOC1"/>
            <w:tabs>
              <w:tab w:val="right" w:leader="dot" w:pos="9350"/>
            </w:tabs>
            <w:rPr>
              <w:rFonts w:asciiTheme="minorHAnsi" w:eastAsiaTheme="minorEastAsia" w:hAnsiTheme="minorHAnsi" w:cstheme="minorBidi"/>
              <w:noProof/>
              <w:color w:val="000000" w:themeColor="text1"/>
              <w:lang w:val="en-GB" w:eastAsia="en-GB"/>
            </w:rPr>
          </w:pPr>
          <w:hyperlink w:anchor="_Toc213439683" w:history="1">
            <w:r w:rsidRPr="003903AA">
              <w:rPr>
                <w:rStyle w:val="Hyperlink"/>
                <w:rFonts w:cs="Arial"/>
                <w:noProof/>
                <w:color w:val="000000" w:themeColor="text1"/>
                <w:lang w:val="en-GB"/>
              </w:rPr>
              <w:t>Results</w:t>
            </w:r>
            <w:r w:rsidRPr="003903AA">
              <w:rPr>
                <w:noProof/>
                <w:webHidden/>
                <w:color w:val="000000" w:themeColor="text1"/>
              </w:rPr>
              <w:tab/>
            </w:r>
            <w:r w:rsidRPr="003903AA">
              <w:rPr>
                <w:noProof/>
                <w:webHidden/>
                <w:color w:val="000000" w:themeColor="text1"/>
              </w:rPr>
              <w:fldChar w:fldCharType="begin"/>
            </w:r>
            <w:r w:rsidRPr="003903AA">
              <w:rPr>
                <w:noProof/>
                <w:webHidden/>
                <w:color w:val="000000" w:themeColor="text1"/>
              </w:rPr>
              <w:instrText xml:space="preserve"> PAGEREF _Toc213439683 \h </w:instrText>
            </w:r>
            <w:r w:rsidRPr="003903AA">
              <w:rPr>
                <w:noProof/>
                <w:webHidden/>
                <w:color w:val="000000" w:themeColor="text1"/>
              </w:rPr>
            </w:r>
            <w:r w:rsidRPr="003903AA">
              <w:rPr>
                <w:noProof/>
                <w:webHidden/>
                <w:color w:val="000000" w:themeColor="text1"/>
              </w:rPr>
              <w:fldChar w:fldCharType="separate"/>
            </w:r>
            <w:r w:rsidRPr="003903AA">
              <w:rPr>
                <w:noProof/>
                <w:webHidden/>
                <w:color w:val="000000" w:themeColor="text1"/>
              </w:rPr>
              <w:t>10</w:t>
            </w:r>
            <w:r w:rsidRPr="003903AA">
              <w:rPr>
                <w:noProof/>
                <w:webHidden/>
                <w:color w:val="000000" w:themeColor="text1"/>
              </w:rPr>
              <w:fldChar w:fldCharType="end"/>
            </w:r>
          </w:hyperlink>
        </w:p>
        <w:p w14:paraId="3F9EDC27" w14:textId="77777777" w:rsidR="006770D3" w:rsidRPr="003903AA" w:rsidRDefault="006770D3">
          <w:pPr>
            <w:pStyle w:val="TOC1"/>
            <w:tabs>
              <w:tab w:val="right" w:leader="dot" w:pos="9350"/>
            </w:tabs>
            <w:rPr>
              <w:rFonts w:asciiTheme="minorHAnsi" w:eastAsiaTheme="minorEastAsia" w:hAnsiTheme="minorHAnsi" w:cstheme="minorBidi"/>
              <w:noProof/>
              <w:color w:val="000000" w:themeColor="text1"/>
              <w:lang w:val="en-GB" w:eastAsia="en-GB"/>
            </w:rPr>
          </w:pPr>
          <w:hyperlink w:anchor="_Toc213439684" w:history="1">
            <w:r w:rsidRPr="003903AA">
              <w:rPr>
                <w:rStyle w:val="Hyperlink"/>
                <w:rFonts w:cs="Arial"/>
                <w:noProof/>
                <w:color w:val="000000" w:themeColor="text1"/>
                <w:lang w:val="en-GB"/>
              </w:rPr>
              <w:t>Discussion</w:t>
            </w:r>
            <w:r w:rsidRPr="003903AA">
              <w:rPr>
                <w:noProof/>
                <w:webHidden/>
                <w:color w:val="000000" w:themeColor="text1"/>
              </w:rPr>
              <w:tab/>
            </w:r>
            <w:r w:rsidRPr="003903AA">
              <w:rPr>
                <w:noProof/>
                <w:webHidden/>
                <w:color w:val="000000" w:themeColor="text1"/>
              </w:rPr>
              <w:fldChar w:fldCharType="begin"/>
            </w:r>
            <w:r w:rsidRPr="003903AA">
              <w:rPr>
                <w:noProof/>
                <w:webHidden/>
                <w:color w:val="000000" w:themeColor="text1"/>
              </w:rPr>
              <w:instrText xml:space="preserve"> PAGEREF _Toc213439684 \h </w:instrText>
            </w:r>
            <w:r w:rsidRPr="003903AA">
              <w:rPr>
                <w:noProof/>
                <w:webHidden/>
                <w:color w:val="000000" w:themeColor="text1"/>
              </w:rPr>
            </w:r>
            <w:r w:rsidRPr="003903AA">
              <w:rPr>
                <w:noProof/>
                <w:webHidden/>
                <w:color w:val="000000" w:themeColor="text1"/>
              </w:rPr>
              <w:fldChar w:fldCharType="separate"/>
            </w:r>
            <w:r w:rsidRPr="003903AA">
              <w:rPr>
                <w:noProof/>
                <w:webHidden/>
                <w:color w:val="000000" w:themeColor="text1"/>
              </w:rPr>
              <w:t>15</w:t>
            </w:r>
            <w:r w:rsidRPr="003903AA">
              <w:rPr>
                <w:noProof/>
                <w:webHidden/>
                <w:color w:val="000000" w:themeColor="text1"/>
              </w:rPr>
              <w:fldChar w:fldCharType="end"/>
            </w:r>
          </w:hyperlink>
        </w:p>
        <w:p w14:paraId="4C70A93F" w14:textId="77777777" w:rsidR="006770D3" w:rsidRPr="003903AA" w:rsidRDefault="006770D3">
          <w:pPr>
            <w:pStyle w:val="TOC1"/>
            <w:tabs>
              <w:tab w:val="right" w:leader="dot" w:pos="9350"/>
            </w:tabs>
            <w:rPr>
              <w:rFonts w:asciiTheme="minorHAnsi" w:eastAsiaTheme="minorEastAsia" w:hAnsiTheme="minorHAnsi" w:cstheme="minorBidi"/>
              <w:noProof/>
              <w:color w:val="000000" w:themeColor="text1"/>
              <w:lang w:val="en-GB" w:eastAsia="en-GB"/>
            </w:rPr>
          </w:pPr>
          <w:hyperlink w:anchor="_Toc213439685" w:history="1">
            <w:r w:rsidRPr="003903AA">
              <w:rPr>
                <w:rStyle w:val="Hyperlink"/>
                <w:rFonts w:cs="Arial"/>
                <w:noProof/>
                <w:color w:val="000000" w:themeColor="text1"/>
                <w:lang w:val="en-GB"/>
              </w:rPr>
              <w:t>Conclusion and Recommendations</w:t>
            </w:r>
            <w:r w:rsidRPr="003903AA">
              <w:rPr>
                <w:noProof/>
                <w:webHidden/>
                <w:color w:val="000000" w:themeColor="text1"/>
              </w:rPr>
              <w:tab/>
            </w:r>
            <w:r w:rsidRPr="003903AA">
              <w:rPr>
                <w:noProof/>
                <w:webHidden/>
                <w:color w:val="000000" w:themeColor="text1"/>
              </w:rPr>
              <w:fldChar w:fldCharType="begin"/>
            </w:r>
            <w:r w:rsidRPr="003903AA">
              <w:rPr>
                <w:noProof/>
                <w:webHidden/>
                <w:color w:val="000000" w:themeColor="text1"/>
              </w:rPr>
              <w:instrText xml:space="preserve"> PAGEREF _Toc213439685 \h </w:instrText>
            </w:r>
            <w:r w:rsidRPr="003903AA">
              <w:rPr>
                <w:noProof/>
                <w:webHidden/>
                <w:color w:val="000000" w:themeColor="text1"/>
              </w:rPr>
            </w:r>
            <w:r w:rsidRPr="003903AA">
              <w:rPr>
                <w:noProof/>
                <w:webHidden/>
                <w:color w:val="000000" w:themeColor="text1"/>
              </w:rPr>
              <w:fldChar w:fldCharType="separate"/>
            </w:r>
            <w:r w:rsidRPr="003903AA">
              <w:rPr>
                <w:noProof/>
                <w:webHidden/>
                <w:color w:val="000000" w:themeColor="text1"/>
              </w:rPr>
              <w:t>17</w:t>
            </w:r>
            <w:r w:rsidRPr="003903AA">
              <w:rPr>
                <w:noProof/>
                <w:webHidden/>
                <w:color w:val="000000" w:themeColor="text1"/>
              </w:rPr>
              <w:fldChar w:fldCharType="end"/>
            </w:r>
          </w:hyperlink>
        </w:p>
        <w:p w14:paraId="1919B101" w14:textId="77777777" w:rsidR="006770D3" w:rsidRPr="003903AA" w:rsidRDefault="006770D3">
          <w:pPr>
            <w:pStyle w:val="TOC1"/>
            <w:tabs>
              <w:tab w:val="right" w:leader="dot" w:pos="9350"/>
            </w:tabs>
            <w:rPr>
              <w:rFonts w:asciiTheme="minorHAnsi" w:eastAsiaTheme="minorEastAsia" w:hAnsiTheme="minorHAnsi" w:cstheme="minorBidi"/>
              <w:noProof/>
              <w:color w:val="000000" w:themeColor="text1"/>
              <w:lang w:val="en-GB" w:eastAsia="en-GB"/>
            </w:rPr>
          </w:pPr>
          <w:hyperlink w:anchor="_Toc213439686" w:history="1">
            <w:r w:rsidRPr="003903AA">
              <w:rPr>
                <w:rStyle w:val="Hyperlink"/>
                <w:rFonts w:cs="Arial"/>
                <w:noProof/>
                <w:color w:val="000000" w:themeColor="text1"/>
              </w:rPr>
              <w:t>Reference</w:t>
            </w:r>
            <w:r w:rsidRPr="003903AA">
              <w:rPr>
                <w:rStyle w:val="Hyperlink"/>
                <w:rFonts w:cs="Arial"/>
                <w:noProof/>
                <w:color w:val="000000" w:themeColor="text1"/>
                <w:lang w:val="en-GB"/>
              </w:rPr>
              <w:t xml:space="preserve"> List</w:t>
            </w:r>
            <w:r w:rsidRPr="003903AA">
              <w:rPr>
                <w:noProof/>
                <w:webHidden/>
                <w:color w:val="000000" w:themeColor="text1"/>
              </w:rPr>
              <w:tab/>
            </w:r>
            <w:r w:rsidRPr="003903AA">
              <w:rPr>
                <w:noProof/>
                <w:webHidden/>
                <w:color w:val="000000" w:themeColor="text1"/>
              </w:rPr>
              <w:fldChar w:fldCharType="begin"/>
            </w:r>
            <w:r w:rsidRPr="003903AA">
              <w:rPr>
                <w:noProof/>
                <w:webHidden/>
                <w:color w:val="000000" w:themeColor="text1"/>
              </w:rPr>
              <w:instrText xml:space="preserve"> PAGEREF _Toc213439686 \h </w:instrText>
            </w:r>
            <w:r w:rsidRPr="003903AA">
              <w:rPr>
                <w:noProof/>
                <w:webHidden/>
                <w:color w:val="000000" w:themeColor="text1"/>
              </w:rPr>
            </w:r>
            <w:r w:rsidRPr="003903AA">
              <w:rPr>
                <w:noProof/>
                <w:webHidden/>
                <w:color w:val="000000" w:themeColor="text1"/>
              </w:rPr>
              <w:fldChar w:fldCharType="separate"/>
            </w:r>
            <w:r w:rsidRPr="003903AA">
              <w:rPr>
                <w:noProof/>
                <w:webHidden/>
                <w:color w:val="000000" w:themeColor="text1"/>
              </w:rPr>
              <w:t>19</w:t>
            </w:r>
            <w:r w:rsidRPr="003903AA">
              <w:rPr>
                <w:noProof/>
                <w:webHidden/>
                <w:color w:val="000000" w:themeColor="text1"/>
              </w:rPr>
              <w:fldChar w:fldCharType="end"/>
            </w:r>
          </w:hyperlink>
        </w:p>
        <w:p w14:paraId="09A8220C" w14:textId="77777777" w:rsidR="00E56E38" w:rsidRPr="003903AA" w:rsidRDefault="00E56E38" w:rsidP="00E56E38">
          <w:pPr>
            <w:spacing w:before="120" w:after="120"/>
            <w:rPr>
              <w:rFonts w:cs="Arial"/>
              <w:color w:val="000000" w:themeColor="text1"/>
            </w:rPr>
          </w:pPr>
          <w:r w:rsidRPr="003903AA">
            <w:rPr>
              <w:rFonts w:cs="Arial"/>
              <w:b/>
              <w:bCs/>
              <w:noProof/>
              <w:color w:val="000000" w:themeColor="text1"/>
            </w:rPr>
            <w:fldChar w:fldCharType="end"/>
          </w:r>
        </w:p>
      </w:sdtContent>
    </w:sdt>
    <w:p w14:paraId="122EE00F"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br w:type="page"/>
      </w:r>
    </w:p>
    <w:p w14:paraId="2B564DAE" w14:textId="77777777" w:rsidR="00814717" w:rsidRPr="003903AA" w:rsidRDefault="00E56E38" w:rsidP="00E56E38">
      <w:pPr>
        <w:pStyle w:val="Heading1"/>
        <w:spacing w:before="120" w:after="120"/>
        <w:rPr>
          <w:rFonts w:cs="Arial"/>
          <w:color w:val="000000" w:themeColor="text1"/>
          <w:lang w:val="en-GB"/>
        </w:rPr>
      </w:pPr>
      <w:bookmarkStart w:id="0" w:name="_w4f6cunjd8jv" w:colFirst="0" w:colLast="0"/>
      <w:bookmarkStart w:id="1" w:name="_ek9lwbdjokb2" w:colFirst="0" w:colLast="0"/>
      <w:bookmarkStart w:id="2" w:name="_Toc213439680"/>
      <w:bookmarkEnd w:id="0"/>
      <w:bookmarkEnd w:id="1"/>
      <w:r w:rsidRPr="003903AA">
        <w:rPr>
          <w:rFonts w:cs="Arial"/>
          <w:color w:val="000000" w:themeColor="text1"/>
          <w:lang w:val="en-GB"/>
        </w:rPr>
        <w:lastRenderedPageBreak/>
        <w:t>Introduction</w:t>
      </w:r>
      <w:bookmarkEnd w:id="2"/>
    </w:p>
    <w:p w14:paraId="28EEE8D3" w14:textId="77777777" w:rsidR="00814717" w:rsidRPr="003903AA" w:rsidRDefault="004A2BAC" w:rsidP="00E56E38">
      <w:pPr>
        <w:spacing w:before="120" w:after="120"/>
        <w:rPr>
          <w:rFonts w:cs="Arial"/>
          <w:b/>
          <w:i/>
          <w:color w:val="000000" w:themeColor="text1"/>
          <w:lang w:val="en-GB"/>
        </w:rPr>
      </w:pPr>
      <w:r w:rsidRPr="003903AA">
        <w:rPr>
          <w:rFonts w:cs="Arial"/>
          <w:b/>
          <w:i/>
          <w:color w:val="000000" w:themeColor="text1"/>
          <w:lang w:val="en-GB"/>
        </w:rPr>
        <w:t xml:space="preserve">Definitions of the main concept </w:t>
      </w:r>
    </w:p>
    <w:p w14:paraId="7066AD9B"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The fast-paced technological change across the globe mandates the incorporation of digital techniques within the organisational practices, mainly within the healthcare industry (Dinc, 2024). The aftermath of the COVID-19 pandemic has pressured the healthcare sector to implement diverse digital tools and technologies to deliver patient care through online channels, particularly within remote areas. National Health Service (NHS), the leading healthcare provider of the UK, emphasises the approaches related to digital orientation, which focus on the capitalisation of </w:t>
      </w:r>
      <w:r w:rsidRPr="003903AA">
        <w:rPr>
          <w:rFonts w:cs="Arial"/>
          <w:i/>
          <w:color w:val="000000" w:themeColor="text1"/>
          <w:lang w:val="en-GB"/>
        </w:rPr>
        <w:t xml:space="preserve">Information and Communication Technologies (ICTs) </w:t>
      </w:r>
      <w:r w:rsidRPr="003903AA">
        <w:rPr>
          <w:rFonts w:cs="Arial"/>
          <w:color w:val="000000" w:themeColor="text1"/>
          <w:lang w:val="en-GB"/>
        </w:rPr>
        <w:t>(Nhs.uk, 2025)</w:t>
      </w:r>
      <w:r w:rsidRPr="003903AA">
        <w:rPr>
          <w:rFonts w:cs="Arial"/>
          <w:i/>
          <w:color w:val="000000" w:themeColor="text1"/>
          <w:lang w:val="en-GB"/>
        </w:rPr>
        <w:t xml:space="preserve">. </w:t>
      </w:r>
      <w:r w:rsidRPr="003903AA">
        <w:rPr>
          <w:rFonts w:cs="Arial"/>
          <w:color w:val="000000" w:themeColor="text1"/>
          <w:lang w:val="en-GB"/>
        </w:rPr>
        <w:t xml:space="preserve">The inclusion of ICT assists in the identification of pivotal issues within traditional care models, including higher expenses for implementation and management and ineffectiveness in accurate disease diagnosis, which mandates the inclusion of digital-tech-based approaches. In the case of patient care, there exist various digital tools and technologies in the area of patient management, operational development and care monitoring. </w:t>
      </w:r>
      <w:r w:rsidRPr="003903AA">
        <w:rPr>
          <w:rFonts w:cs="Arial"/>
          <w:i/>
          <w:color w:val="000000" w:themeColor="text1"/>
          <w:lang w:val="en-GB"/>
        </w:rPr>
        <w:t xml:space="preserve">Electronic Health Records (EHRs), patient portals </w:t>
      </w:r>
      <w:r w:rsidRPr="003903AA">
        <w:rPr>
          <w:rFonts w:cs="Arial"/>
          <w:color w:val="000000" w:themeColor="text1"/>
          <w:lang w:val="en-GB"/>
        </w:rPr>
        <w:t xml:space="preserve">and </w:t>
      </w:r>
      <w:r w:rsidRPr="003903AA">
        <w:rPr>
          <w:rFonts w:cs="Arial"/>
          <w:i/>
          <w:color w:val="000000" w:themeColor="text1"/>
          <w:lang w:val="en-GB"/>
        </w:rPr>
        <w:t xml:space="preserve">telemedicine </w:t>
      </w:r>
      <w:r w:rsidRPr="003903AA">
        <w:rPr>
          <w:rFonts w:cs="Arial"/>
          <w:color w:val="000000" w:themeColor="text1"/>
          <w:lang w:val="en-GB"/>
        </w:rPr>
        <w:t xml:space="preserve">are used for patient management, whereas </w:t>
      </w:r>
      <w:r w:rsidRPr="003903AA">
        <w:rPr>
          <w:rFonts w:cs="Arial"/>
          <w:i/>
          <w:color w:val="000000" w:themeColor="text1"/>
          <w:lang w:val="en-GB"/>
        </w:rPr>
        <w:t xml:space="preserve">Artificial Intelligence (AI) and Machine Learning (ML), Internet of Things (IoT) </w:t>
      </w:r>
      <w:r w:rsidR="00E56E38" w:rsidRPr="003903AA">
        <w:rPr>
          <w:rFonts w:cs="Arial"/>
          <w:color w:val="000000" w:themeColor="text1"/>
          <w:lang w:val="en-GB"/>
        </w:rPr>
        <w:t xml:space="preserve">and big data analytics are </w:t>
      </w:r>
      <w:r w:rsidRPr="003903AA">
        <w:rPr>
          <w:rFonts w:cs="Arial"/>
          <w:color w:val="000000" w:themeColor="text1"/>
          <w:lang w:val="en-GB"/>
        </w:rPr>
        <w:t xml:space="preserve">used for delivering operational and clinical support. The </w:t>
      </w:r>
      <w:r w:rsidRPr="003903AA">
        <w:rPr>
          <w:rFonts w:cs="Arial"/>
          <w:i/>
          <w:color w:val="000000" w:themeColor="text1"/>
          <w:lang w:val="en-GB"/>
        </w:rPr>
        <w:t>Wearable Devices and Remote Monitoring</w:t>
      </w:r>
      <w:r w:rsidRPr="003903AA">
        <w:rPr>
          <w:rFonts w:cs="Arial"/>
          <w:color w:val="000000" w:themeColor="text1"/>
          <w:lang w:val="en-GB"/>
        </w:rPr>
        <w:t xml:space="preserve"> allows for the early disease detection and effective delivery of remote patient care.        </w:t>
      </w:r>
    </w:p>
    <w:p w14:paraId="2E1F1409" w14:textId="77777777" w:rsidR="007D50C9" w:rsidRPr="003903AA" w:rsidRDefault="007D50C9" w:rsidP="007D50C9">
      <w:pPr>
        <w:rPr>
          <w:rFonts w:eastAsia="Arial"/>
          <w:b/>
          <w:i/>
          <w:color w:val="000000" w:themeColor="text1"/>
        </w:rPr>
      </w:pPr>
      <w:r w:rsidRPr="003903AA">
        <w:rPr>
          <w:rFonts w:eastAsia="Arial"/>
          <w:b/>
          <w:i/>
          <w:color w:val="000000" w:themeColor="text1"/>
        </w:rPr>
        <w:t>Aim</w:t>
      </w:r>
    </w:p>
    <w:p w14:paraId="7950795A" w14:textId="77777777" w:rsidR="007D50C9" w:rsidRPr="003903AA" w:rsidRDefault="007D50C9" w:rsidP="007D50C9">
      <w:pPr>
        <w:spacing w:before="120" w:after="120"/>
        <w:rPr>
          <w:rFonts w:eastAsia="Arial" w:cs="Arial"/>
          <w:color w:val="000000" w:themeColor="text1"/>
        </w:rPr>
      </w:pPr>
      <w:r w:rsidRPr="003903AA">
        <w:rPr>
          <w:rFonts w:eastAsia="Arial" w:cs="Arial"/>
          <w:color w:val="000000" w:themeColor="text1"/>
        </w:rPr>
        <w:t xml:space="preserve">The aim of this research is to assess the impact of diverse digital healthcare techniques on patient participation and empowerment within the healthcare industry of the UK.   </w:t>
      </w:r>
    </w:p>
    <w:p w14:paraId="1F4C7AF7" w14:textId="77777777" w:rsidR="007D50C9" w:rsidRPr="003903AA" w:rsidRDefault="007D50C9" w:rsidP="007D50C9">
      <w:pPr>
        <w:rPr>
          <w:rFonts w:eastAsia="Arial"/>
          <w:b/>
          <w:i/>
          <w:color w:val="000000" w:themeColor="text1"/>
        </w:rPr>
      </w:pPr>
      <w:r w:rsidRPr="003903AA">
        <w:rPr>
          <w:rFonts w:eastAsia="Arial"/>
          <w:b/>
          <w:i/>
          <w:color w:val="000000" w:themeColor="text1"/>
        </w:rPr>
        <w:t xml:space="preserve">Objectives </w:t>
      </w:r>
    </w:p>
    <w:p w14:paraId="54162694" w14:textId="77777777" w:rsidR="007D50C9" w:rsidRPr="003903AA" w:rsidRDefault="007D50C9" w:rsidP="007D50C9">
      <w:pPr>
        <w:spacing w:before="120" w:after="120"/>
        <w:rPr>
          <w:rFonts w:eastAsia="Arial" w:cs="Arial"/>
          <w:color w:val="000000" w:themeColor="text1"/>
        </w:rPr>
      </w:pPr>
      <w:r w:rsidRPr="003903AA">
        <w:rPr>
          <w:rFonts w:eastAsia="Arial" w:cs="Arial"/>
          <w:color w:val="000000" w:themeColor="text1"/>
        </w:rPr>
        <w:t>The key objectives for this research are as follows:</w:t>
      </w:r>
    </w:p>
    <w:p w14:paraId="70D2D53A" w14:textId="77777777" w:rsidR="0011438C" w:rsidRPr="003903AA" w:rsidRDefault="0011438C" w:rsidP="0011438C">
      <w:pPr>
        <w:numPr>
          <w:ilvl w:val="0"/>
          <w:numId w:val="3"/>
        </w:numPr>
        <w:spacing w:before="120" w:after="120"/>
        <w:rPr>
          <w:rFonts w:eastAsia="Arial" w:cs="Arial"/>
          <w:color w:val="000000" w:themeColor="text1"/>
          <w:lang w:val="en-GB"/>
        </w:rPr>
      </w:pPr>
      <w:r w:rsidRPr="003903AA">
        <w:rPr>
          <w:rFonts w:eastAsia="Arial" w:cs="Arial"/>
          <w:color w:val="000000" w:themeColor="text1"/>
          <w:lang w:val="en-GB"/>
        </w:rPr>
        <w:t xml:space="preserve">To evaluate the effectiveness of digital technologies in enhancing patient engagement in the UK’s healthcare system.                               </w:t>
      </w:r>
    </w:p>
    <w:p w14:paraId="634B0DA0" w14:textId="77777777" w:rsidR="0011438C" w:rsidRPr="003903AA" w:rsidRDefault="0011438C" w:rsidP="0011438C">
      <w:pPr>
        <w:numPr>
          <w:ilvl w:val="0"/>
          <w:numId w:val="3"/>
        </w:numPr>
        <w:spacing w:before="120" w:after="120"/>
        <w:rPr>
          <w:rFonts w:eastAsia="Arial" w:cs="Arial"/>
          <w:color w:val="000000" w:themeColor="text1"/>
          <w:lang w:val="en-GB"/>
        </w:rPr>
      </w:pPr>
      <w:r w:rsidRPr="003903AA">
        <w:rPr>
          <w:rFonts w:eastAsia="Arial" w:cs="Arial"/>
          <w:color w:val="000000" w:themeColor="text1"/>
          <w:lang w:val="en-GB"/>
        </w:rPr>
        <w:t>To analyse the interrelationship between the application of digital health tools and its development process within acquiring health outcomes of the patients.</w:t>
      </w:r>
    </w:p>
    <w:p w14:paraId="5156A132" w14:textId="77777777" w:rsidR="0011438C" w:rsidRPr="003903AA" w:rsidRDefault="0011438C" w:rsidP="0011438C">
      <w:pPr>
        <w:numPr>
          <w:ilvl w:val="0"/>
          <w:numId w:val="3"/>
        </w:numPr>
        <w:spacing w:before="120" w:after="120"/>
        <w:rPr>
          <w:rFonts w:eastAsia="Arial" w:cs="Arial"/>
          <w:color w:val="000000" w:themeColor="text1"/>
          <w:lang w:val="en-GB"/>
        </w:rPr>
      </w:pPr>
      <w:r w:rsidRPr="003903AA">
        <w:rPr>
          <w:rFonts w:eastAsia="Arial" w:cs="Arial"/>
          <w:color w:val="000000" w:themeColor="text1"/>
          <w:lang w:val="en-GB"/>
        </w:rPr>
        <w:t>To measure the key challenges affect the adaptation and utilisation of digital healthcare technologies among the population of distinct patient category within the UK.</w:t>
      </w:r>
    </w:p>
    <w:p w14:paraId="0372CE7D" w14:textId="77777777" w:rsidR="0011438C" w:rsidRPr="003903AA" w:rsidRDefault="0011438C" w:rsidP="0011438C">
      <w:pPr>
        <w:pStyle w:val="ListParagraph"/>
        <w:numPr>
          <w:ilvl w:val="0"/>
          <w:numId w:val="3"/>
        </w:numPr>
        <w:rPr>
          <w:rFonts w:eastAsia="Arial" w:cs="Arial"/>
          <w:color w:val="000000" w:themeColor="text1"/>
          <w:lang w:val="en-GB"/>
        </w:rPr>
      </w:pPr>
      <w:r w:rsidRPr="003903AA">
        <w:rPr>
          <w:rFonts w:eastAsia="Arial" w:cs="Arial"/>
          <w:color w:val="000000" w:themeColor="text1"/>
          <w:lang w:val="en-GB"/>
        </w:rPr>
        <w:t>To critically address the effectiveness of digital health intervention within diversified healthcare setting of the UK.</w:t>
      </w:r>
    </w:p>
    <w:p w14:paraId="66684449" w14:textId="77777777" w:rsidR="007D50C9" w:rsidRPr="003903AA" w:rsidRDefault="007D50C9" w:rsidP="0011438C">
      <w:pPr>
        <w:rPr>
          <w:rFonts w:eastAsia="Arial"/>
          <w:b/>
          <w:i/>
          <w:color w:val="000000" w:themeColor="text1"/>
        </w:rPr>
      </w:pPr>
      <w:r w:rsidRPr="003903AA">
        <w:rPr>
          <w:rFonts w:eastAsia="Arial"/>
          <w:b/>
          <w:i/>
          <w:color w:val="000000" w:themeColor="text1"/>
        </w:rPr>
        <w:lastRenderedPageBreak/>
        <w:t xml:space="preserve">Research Questions </w:t>
      </w:r>
    </w:p>
    <w:p w14:paraId="49108B2C" w14:textId="77777777" w:rsidR="0011438C" w:rsidRPr="003903AA" w:rsidRDefault="0011438C" w:rsidP="0011438C">
      <w:pPr>
        <w:spacing w:before="120" w:after="120"/>
        <w:rPr>
          <w:rFonts w:eastAsia="Arial" w:cs="Arial"/>
          <w:color w:val="000000" w:themeColor="text1"/>
          <w:lang w:val="en-GB"/>
        </w:rPr>
      </w:pPr>
      <w:r w:rsidRPr="003903AA">
        <w:rPr>
          <w:rFonts w:eastAsia="Arial" w:cs="Arial"/>
          <w:color w:val="000000" w:themeColor="text1"/>
          <w:lang w:val="en-GB"/>
        </w:rPr>
        <w:t>1. How do digital healthcare technologies foster patients’ involvement within the healthcare sector of the UK?</w:t>
      </w:r>
    </w:p>
    <w:p w14:paraId="1AB7EAFB" w14:textId="77777777" w:rsidR="0011438C" w:rsidRPr="003903AA" w:rsidRDefault="0011438C" w:rsidP="0011438C">
      <w:pPr>
        <w:spacing w:before="120" w:after="120"/>
        <w:rPr>
          <w:rFonts w:eastAsia="Arial" w:cs="Arial"/>
          <w:color w:val="000000" w:themeColor="text1"/>
          <w:lang w:val="en-GB"/>
        </w:rPr>
      </w:pPr>
      <w:r w:rsidRPr="003903AA">
        <w:rPr>
          <w:rFonts w:eastAsia="Arial" w:cs="Arial"/>
          <w:color w:val="000000" w:themeColor="text1"/>
          <w:lang w:val="en-GB"/>
        </w:rPr>
        <w:t>2. How the utilisation of digital healthcare tools are been accelerated the enhancement in patient health outcomes?</w:t>
      </w:r>
    </w:p>
    <w:p w14:paraId="1CBE6A6A" w14:textId="77777777" w:rsidR="0011438C" w:rsidRPr="003903AA" w:rsidRDefault="0011438C" w:rsidP="0011438C">
      <w:pPr>
        <w:spacing w:before="120" w:after="120"/>
        <w:rPr>
          <w:rFonts w:eastAsia="Arial" w:cs="Arial"/>
          <w:color w:val="000000" w:themeColor="text1"/>
          <w:lang w:val="en-GB"/>
        </w:rPr>
      </w:pPr>
      <w:r w:rsidRPr="003903AA">
        <w:rPr>
          <w:rFonts w:eastAsia="Arial" w:cs="Arial"/>
          <w:color w:val="000000" w:themeColor="text1"/>
          <w:lang w:val="en-GB"/>
        </w:rPr>
        <w:t>3. In case of restricting the implementation and utilisation process of digital health technologies, what are the key challenges?</w:t>
      </w:r>
    </w:p>
    <w:p w14:paraId="50052612" w14:textId="77777777" w:rsidR="0011438C" w:rsidRPr="003903AA" w:rsidRDefault="0011438C" w:rsidP="0011438C">
      <w:pPr>
        <w:spacing w:before="120" w:after="120"/>
        <w:rPr>
          <w:rFonts w:eastAsia="Arial" w:cs="Arial"/>
          <w:color w:val="000000" w:themeColor="text1"/>
          <w:lang w:val="en-GB"/>
        </w:rPr>
      </w:pPr>
      <w:r w:rsidRPr="003903AA">
        <w:rPr>
          <w:rFonts w:eastAsia="Arial" w:cs="Arial"/>
          <w:color w:val="000000" w:themeColor="text1"/>
          <w:lang w:val="en-GB"/>
        </w:rPr>
        <w:t>4. What are the effectiveness of digital health intervention within diversified healthcare setting of the UK?</w:t>
      </w:r>
    </w:p>
    <w:p w14:paraId="709257E7" w14:textId="77777777" w:rsidR="00814717" w:rsidRPr="003903AA" w:rsidRDefault="004A2BAC" w:rsidP="0011438C">
      <w:pPr>
        <w:spacing w:before="120" w:after="120"/>
        <w:rPr>
          <w:rFonts w:cs="Arial"/>
          <w:b/>
          <w:i/>
          <w:color w:val="000000" w:themeColor="text1"/>
          <w:lang w:val="en-GB"/>
        </w:rPr>
      </w:pPr>
      <w:r w:rsidRPr="003903AA">
        <w:rPr>
          <w:rFonts w:cs="Arial"/>
          <w:b/>
          <w:i/>
          <w:color w:val="000000" w:themeColor="text1"/>
          <w:lang w:val="en-GB"/>
        </w:rPr>
        <w:t xml:space="preserve">Research Rationale </w:t>
      </w:r>
    </w:p>
    <w:p w14:paraId="3943312E"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The exploration of issues with traditional healthcare approaches becomes necessary due to the continuous alteration in categories and types of diseases. The current research intends to investigate the influence of far-reaching digital health bases in the UK in terms of patient care and derive positive outcomes. The main digital tools within the UK healthcare sector include </w:t>
      </w:r>
      <w:r w:rsidRPr="003903AA">
        <w:rPr>
          <w:rFonts w:cs="Arial"/>
          <w:i/>
          <w:color w:val="000000" w:themeColor="text1"/>
          <w:lang w:val="en-GB"/>
        </w:rPr>
        <w:t xml:space="preserve">Electronic Health Records (EHRs) </w:t>
      </w:r>
      <w:r w:rsidRPr="003903AA">
        <w:rPr>
          <w:rFonts w:cs="Arial"/>
          <w:color w:val="000000" w:themeColor="text1"/>
          <w:lang w:val="en-GB"/>
        </w:rPr>
        <w:t xml:space="preserve">for patient data handling, </w:t>
      </w:r>
      <w:r w:rsidRPr="003903AA">
        <w:rPr>
          <w:rFonts w:cs="Arial"/>
          <w:i/>
          <w:color w:val="000000" w:themeColor="text1"/>
          <w:lang w:val="en-GB"/>
        </w:rPr>
        <w:t xml:space="preserve">AI and machine learning </w:t>
      </w:r>
      <w:r w:rsidRPr="003903AA">
        <w:rPr>
          <w:rFonts w:cs="Arial"/>
          <w:color w:val="000000" w:themeColor="text1"/>
          <w:lang w:val="en-GB"/>
        </w:rPr>
        <w:t xml:space="preserve">for the data analysis and diagnostics and </w:t>
      </w:r>
      <w:r w:rsidRPr="003903AA">
        <w:rPr>
          <w:rFonts w:cs="Arial"/>
          <w:i/>
          <w:color w:val="000000" w:themeColor="text1"/>
          <w:lang w:val="en-GB"/>
        </w:rPr>
        <w:t xml:space="preserve">telemedicine </w:t>
      </w:r>
      <w:r w:rsidRPr="003903AA">
        <w:rPr>
          <w:rFonts w:cs="Arial"/>
          <w:color w:val="000000" w:themeColor="text1"/>
          <w:lang w:val="en-GB"/>
        </w:rPr>
        <w:t xml:space="preserve">for remote consultations. These tools assist in the identification of chronic disease and its degree of intensity, along with the existing health-related disparities. Through evaluating the efficiency of digital tools such as mHealth, telehealth and different patient portals, this research seeks to inform effective practices for the improvement of resource allocation and enhancement of communication within the UK healthcare industry.   </w:t>
      </w:r>
    </w:p>
    <w:p w14:paraId="61C279B7" w14:textId="77777777" w:rsidR="00E56E38" w:rsidRPr="003903AA" w:rsidRDefault="00E56E38" w:rsidP="00E56E38">
      <w:pPr>
        <w:spacing w:before="120" w:after="120"/>
        <w:rPr>
          <w:rFonts w:cs="Arial"/>
          <w:b/>
          <w:color w:val="000000" w:themeColor="text1"/>
          <w:lang w:val="en-GB"/>
        </w:rPr>
      </w:pPr>
      <w:bookmarkStart w:id="3" w:name="_xnj092in2zup" w:colFirst="0" w:colLast="0"/>
      <w:bookmarkEnd w:id="3"/>
      <w:r w:rsidRPr="003903AA">
        <w:rPr>
          <w:rFonts w:cs="Arial"/>
          <w:color w:val="000000" w:themeColor="text1"/>
          <w:lang w:val="en-GB"/>
        </w:rPr>
        <w:br w:type="page"/>
      </w:r>
    </w:p>
    <w:p w14:paraId="7CC450AC" w14:textId="77777777" w:rsidR="00814717" w:rsidRPr="003903AA" w:rsidRDefault="00E56E38" w:rsidP="00E56E38">
      <w:pPr>
        <w:pStyle w:val="Heading1"/>
        <w:spacing w:before="120" w:after="120"/>
        <w:rPr>
          <w:rFonts w:cs="Arial"/>
          <w:color w:val="000000" w:themeColor="text1"/>
          <w:lang w:val="en-GB"/>
        </w:rPr>
      </w:pPr>
      <w:bookmarkStart w:id="4" w:name="_Toc213439681"/>
      <w:r w:rsidRPr="003903AA">
        <w:rPr>
          <w:rFonts w:cs="Arial"/>
          <w:color w:val="000000" w:themeColor="text1"/>
          <w:lang w:val="en-GB"/>
        </w:rPr>
        <w:lastRenderedPageBreak/>
        <w:t>Background</w:t>
      </w:r>
      <w:bookmarkEnd w:id="4"/>
    </w:p>
    <w:p w14:paraId="1257C59B"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The UK's digital health context is driven by government policy and a growing body of services aimed at enhancing patients’ engagement and outcomes through innovative technologies such as electronic health records, telemedicine, and mobile apps. The primary background is listed below: </w:t>
      </w:r>
    </w:p>
    <w:p w14:paraId="4C448D2C" w14:textId="77777777" w:rsidR="00814717" w:rsidRPr="003903AA" w:rsidRDefault="004A2BAC" w:rsidP="00E56E38">
      <w:pPr>
        <w:spacing w:before="120" w:after="120"/>
        <w:rPr>
          <w:rFonts w:cs="Arial"/>
          <w:i/>
          <w:color w:val="000000" w:themeColor="text1"/>
          <w:u w:val="single"/>
          <w:lang w:val="en-GB"/>
        </w:rPr>
      </w:pPr>
      <w:r w:rsidRPr="003903AA">
        <w:rPr>
          <w:rFonts w:cs="Arial"/>
          <w:i/>
          <w:color w:val="000000" w:themeColor="text1"/>
          <w:u w:val="single"/>
          <w:lang w:val="en-GB"/>
        </w:rPr>
        <w:t>Context and policy</w:t>
      </w:r>
    </w:p>
    <w:p w14:paraId="7CE89DDB"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The UK government, through its NHS Long Term Plan and digital health and social care strategy, has implemented its strategic priority to embrace digital technology to improve overall healthcare systems. Digital health has become significantly integral since the COVID-19 situation highlighted the potential need for responsive platforms for health management and information. The primary implementation of these technologies is primarily guided by broader policy goals to improve efficiency and satisfy individual patients, to positively support self-management of chronic conditions.      </w:t>
      </w:r>
    </w:p>
    <w:p w14:paraId="02FCE8B4" w14:textId="77777777" w:rsidR="00814717" w:rsidRPr="003903AA" w:rsidRDefault="004A2BAC" w:rsidP="00E56E38">
      <w:pPr>
        <w:spacing w:before="120" w:after="120"/>
        <w:rPr>
          <w:rFonts w:cs="Arial"/>
          <w:i/>
          <w:color w:val="000000" w:themeColor="text1"/>
          <w:u w:val="single"/>
          <w:lang w:val="en-GB"/>
        </w:rPr>
      </w:pPr>
      <w:r w:rsidRPr="003903AA">
        <w:rPr>
          <w:rFonts w:cs="Arial"/>
          <w:i/>
          <w:color w:val="000000" w:themeColor="text1"/>
          <w:u w:val="single"/>
          <w:lang w:val="en-GB"/>
        </w:rPr>
        <w:t>Legislation and guidance</w:t>
      </w:r>
    </w:p>
    <w:p w14:paraId="3B77E488"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The </w:t>
      </w:r>
      <w:r w:rsidRPr="003903AA">
        <w:rPr>
          <w:rFonts w:cs="Arial"/>
          <w:i/>
          <w:color w:val="000000" w:themeColor="text1"/>
          <w:lang w:val="en-GB"/>
        </w:rPr>
        <w:t xml:space="preserve">Data Protection and Privacy Act 2018 </w:t>
      </w:r>
      <w:r w:rsidRPr="003903AA">
        <w:rPr>
          <w:rFonts w:cs="Arial"/>
          <w:color w:val="000000" w:themeColor="text1"/>
          <w:lang w:val="en-GB"/>
        </w:rPr>
        <w:t xml:space="preserve">are critical for and responsible use of patient data in digital health that ensures security and privacy within the overall healthcare systems. </w:t>
      </w:r>
      <w:r w:rsidRPr="003903AA">
        <w:rPr>
          <w:rFonts w:cs="Arial"/>
          <w:i/>
          <w:color w:val="000000" w:themeColor="text1"/>
          <w:lang w:val="en-GB"/>
        </w:rPr>
        <w:t xml:space="preserve">NHS Guidelines </w:t>
      </w:r>
      <w:r w:rsidRPr="003903AA">
        <w:rPr>
          <w:rFonts w:cs="Arial"/>
          <w:color w:val="000000" w:themeColor="text1"/>
          <w:lang w:val="en-GB"/>
        </w:rPr>
        <w:t xml:space="preserve">illustrate specific guidance on the use of digital tools and data management, including the primary implementation of local standards for health records and data sharing. The </w:t>
      </w:r>
      <w:r w:rsidRPr="003903AA">
        <w:rPr>
          <w:rFonts w:cs="Arial"/>
          <w:i/>
          <w:color w:val="000000" w:themeColor="text1"/>
          <w:lang w:val="en-GB"/>
        </w:rPr>
        <w:t xml:space="preserve">Digital Health Standards </w:t>
      </w:r>
      <w:r w:rsidRPr="003903AA">
        <w:rPr>
          <w:rFonts w:cs="Arial"/>
          <w:color w:val="000000" w:themeColor="text1"/>
          <w:lang w:val="en-GB"/>
        </w:rPr>
        <w:t xml:space="preserve">make primary guidelines from bodies such as the </w:t>
      </w:r>
      <w:r w:rsidRPr="003903AA">
        <w:rPr>
          <w:rFonts w:cs="Arial"/>
          <w:i/>
          <w:color w:val="000000" w:themeColor="text1"/>
          <w:lang w:val="en-GB"/>
        </w:rPr>
        <w:t xml:space="preserve">National Institute for Health and Care Excellence (NICE) </w:t>
      </w:r>
      <w:r w:rsidRPr="003903AA">
        <w:rPr>
          <w:rFonts w:cs="Arial"/>
          <w:color w:val="000000" w:themeColor="text1"/>
          <w:lang w:val="en-GB"/>
        </w:rPr>
        <w:t xml:space="preserve">to cover the evaluation and implementation of digital health technologies. </w:t>
      </w:r>
      <w:r w:rsidRPr="003903AA">
        <w:rPr>
          <w:rFonts w:cs="Arial"/>
          <w:i/>
          <w:color w:val="000000" w:themeColor="text1"/>
          <w:lang w:val="en-GB"/>
        </w:rPr>
        <w:t xml:space="preserve"> </w:t>
      </w:r>
      <w:r w:rsidRPr="003903AA">
        <w:rPr>
          <w:rFonts w:cs="Arial"/>
          <w:color w:val="000000" w:themeColor="text1"/>
          <w:lang w:val="en-GB"/>
        </w:rPr>
        <w:t xml:space="preserve">  </w:t>
      </w:r>
      <w:r w:rsidRPr="003903AA">
        <w:rPr>
          <w:rFonts w:cs="Arial"/>
          <w:i/>
          <w:color w:val="000000" w:themeColor="text1"/>
          <w:lang w:val="en-GB"/>
        </w:rPr>
        <w:t xml:space="preserve"> </w:t>
      </w:r>
      <w:r w:rsidRPr="003903AA">
        <w:rPr>
          <w:rFonts w:cs="Arial"/>
          <w:color w:val="000000" w:themeColor="text1"/>
          <w:lang w:val="en-GB"/>
        </w:rPr>
        <w:t xml:space="preserve"> </w:t>
      </w:r>
    </w:p>
    <w:p w14:paraId="01871685" w14:textId="77777777" w:rsidR="00814717" w:rsidRPr="003903AA" w:rsidRDefault="004A2BAC" w:rsidP="00E56E38">
      <w:pPr>
        <w:spacing w:before="120" w:after="120"/>
        <w:rPr>
          <w:rFonts w:cs="Arial"/>
          <w:i/>
          <w:color w:val="000000" w:themeColor="text1"/>
          <w:u w:val="single"/>
          <w:lang w:val="en-GB"/>
        </w:rPr>
      </w:pPr>
      <w:r w:rsidRPr="003903AA">
        <w:rPr>
          <w:rFonts w:cs="Arial"/>
          <w:i/>
          <w:color w:val="000000" w:themeColor="text1"/>
          <w:u w:val="single"/>
          <w:lang w:val="en-GB"/>
        </w:rPr>
        <w:t>Services and practices</w:t>
      </w:r>
    </w:p>
    <w:p w14:paraId="3677A005"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The remote consultations or Telemedicine via phone or video include common practices since the pandemic situation has increased access to many patients. The </w:t>
      </w:r>
      <w:r w:rsidRPr="003903AA">
        <w:rPr>
          <w:rFonts w:cs="Arial"/>
          <w:i/>
          <w:color w:val="000000" w:themeColor="text1"/>
          <w:lang w:val="en-GB"/>
        </w:rPr>
        <w:t xml:space="preserve">Electronic Health Records (EHRs) </w:t>
      </w:r>
      <w:r w:rsidRPr="003903AA">
        <w:rPr>
          <w:rFonts w:cs="Arial"/>
          <w:color w:val="000000" w:themeColor="text1"/>
          <w:lang w:val="en-GB"/>
        </w:rPr>
        <w:t xml:space="preserve">implement ongoing digitalisation, which significantly track patient records, while Patient Portals and Apps allow booking appointments and support disease management. Remote monitoring allows for the remote monitoring of patients, such as tele-monitoring devices used widely, basically for asthma and chronic heart conditions.   </w:t>
      </w:r>
    </w:p>
    <w:p w14:paraId="2642A008" w14:textId="77777777" w:rsidR="00814717" w:rsidRPr="003903AA" w:rsidRDefault="004A2BAC" w:rsidP="00E56E38">
      <w:pPr>
        <w:spacing w:before="120" w:after="120"/>
        <w:rPr>
          <w:rFonts w:cs="Arial"/>
          <w:i/>
          <w:color w:val="000000" w:themeColor="text1"/>
          <w:u w:val="single"/>
          <w:lang w:val="en-GB"/>
        </w:rPr>
      </w:pPr>
      <w:r w:rsidRPr="003903AA">
        <w:rPr>
          <w:rFonts w:cs="Arial"/>
          <w:i/>
          <w:color w:val="000000" w:themeColor="text1"/>
          <w:u w:val="single"/>
          <w:lang w:val="en-GB"/>
        </w:rPr>
        <w:t>Challenges and considerations</w:t>
      </w:r>
    </w:p>
    <w:p w14:paraId="65022B65"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Digital inaccuracy and lack of digital skills directly contribute to disruptions to patient relationships, while inefficient documentation directly impacts overall patient healthcare systems. The digital </w:t>
      </w:r>
      <w:r w:rsidRPr="003903AA">
        <w:rPr>
          <w:rFonts w:cs="Arial"/>
          <w:color w:val="000000" w:themeColor="text1"/>
          <w:lang w:val="en-GB"/>
        </w:rPr>
        <w:lastRenderedPageBreak/>
        <w:t xml:space="preserve">divide and accessibility issues are incorporated within a certain group, as low-income individuals face primary barriers due to limited digital literacy. Interoperability includes the lack of seamless experience, while the lack of evidence and standards includes the effectiveness of digital health strategies, which need to be more agile, along with technological advantages. The key considerations incorporate Human rights and ethics, and maintain human interactions through building trust and more transparency, while primary guidelines are required to ensure patient interaction remains a central part of the care.    </w:t>
      </w:r>
    </w:p>
    <w:p w14:paraId="1F47AF64" w14:textId="77777777" w:rsidR="00E56E38" w:rsidRPr="003903AA" w:rsidRDefault="00E56E38" w:rsidP="00E56E38">
      <w:pPr>
        <w:spacing w:before="120" w:after="120"/>
        <w:rPr>
          <w:rFonts w:cs="Arial"/>
          <w:b/>
          <w:color w:val="000000" w:themeColor="text1"/>
          <w:lang w:val="en-GB"/>
        </w:rPr>
      </w:pPr>
      <w:bookmarkStart w:id="5" w:name="_6shizqawsg64" w:colFirst="0" w:colLast="0"/>
      <w:bookmarkEnd w:id="5"/>
      <w:r w:rsidRPr="003903AA">
        <w:rPr>
          <w:rFonts w:cs="Arial"/>
          <w:color w:val="000000" w:themeColor="text1"/>
          <w:lang w:val="en-GB"/>
        </w:rPr>
        <w:br w:type="page"/>
      </w:r>
    </w:p>
    <w:p w14:paraId="1C203FCF" w14:textId="77777777" w:rsidR="00814717" w:rsidRPr="003903AA" w:rsidRDefault="00E56E38" w:rsidP="00E56E38">
      <w:pPr>
        <w:pStyle w:val="Heading1"/>
        <w:spacing w:before="120" w:after="120"/>
        <w:rPr>
          <w:rFonts w:cs="Arial"/>
          <w:color w:val="000000" w:themeColor="text1"/>
          <w:lang w:val="en-GB"/>
        </w:rPr>
      </w:pPr>
      <w:bookmarkStart w:id="6" w:name="_Toc213439682"/>
      <w:r w:rsidRPr="003903AA">
        <w:rPr>
          <w:rFonts w:cs="Arial"/>
          <w:color w:val="000000" w:themeColor="text1"/>
          <w:lang w:val="en-GB"/>
        </w:rPr>
        <w:lastRenderedPageBreak/>
        <w:t>Methods</w:t>
      </w:r>
      <w:bookmarkEnd w:id="6"/>
    </w:p>
    <w:p w14:paraId="1C3CAFAF" w14:textId="77777777" w:rsidR="00814717" w:rsidRPr="003903AA" w:rsidRDefault="004A2BAC" w:rsidP="00E56E38">
      <w:pPr>
        <w:spacing w:before="120" w:after="120"/>
        <w:rPr>
          <w:rFonts w:cs="Arial"/>
          <w:b/>
          <w:i/>
          <w:color w:val="000000" w:themeColor="text1"/>
          <w:lang w:val="en-GB"/>
        </w:rPr>
      </w:pPr>
      <w:r w:rsidRPr="003903AA">
        <w:rPr>
          <w:rFonts w:cs="Arial"/>
          <w:b/>
          <w:color w:val="000000" w:themeColor="text1"/>
          <w:lang w:val="en-GB"/>
        </w:rPr>
        <w:t xml:space="preserve"> </w:t>
      </w:r>
      <w:r w:rsidRPr="003903AA">
        <w:rPr>
          <w:rFonts w:cs="Arial"/>
          <w:b/>
          <w:i/>
          <w:color w:val="000000" w:themeColor="text1"/>
          <w:lang w:val="en-GB"/>
        </w:rPr>
        <w:t>Data collection</w:t>
      </w:r>
    </w:p>
    <w:p w14:paraId="5F2C8AFD"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The structured procedure of the accumulation and measurement of the information from different sources to support the decision-making is considered as the data collection process (DePoy, 2024). Mainly two types of data collection processes exist for conducting any research, primary data collection and secondary data collection. In this research, the </w:t>
      </w:r>
      <w:r w:rsidRPr="003903AA">
        <w:rPr>
          <w:rFonts w:cs="Arial"/>
          <w:i/>
          <w:color w:val="000000" w:themeColor="text1"/>
          <w:lang w:val="en-GB"/>
        </w:rPr>
        <w:t xml:space="preserve">Secondary Data Collection </w:t>
      </w:r>
      <w:r w:rsidRPr="003903AA">
        <w:rPr>
          <w:rFonts w:cs="Arial"/>
          <w:color w:val="000000" w:themeColor="text1"/>
          <w:lang w:val="en-GB"/>
        </w:rPr>
        <w:t xml:space="preserve">process is used to accumulate necessary information regarding the digital healthcare practices within the UK healthcare settings. The secondary data refers to the information that is collected from existing users for different purposes. Mainly the </w:t>
      </w:r>
      <w:r w:rsidRPr="003903AA">
        <w:rPr>
          <w:rFonts w:cs="Arial"/>
          <w:i/>
          <w:color w:val="000000" w:themeColor="text1"/>
          <w:lang w:val="en-GB"/>
        </w:rPr>
        <w:t>secondary qualitative data</w:t>
      </w:r>
      <w:r w:rsidRPr="003903AA">
        <w:rPr>
          <w:rFonts w:cs="Arial"/>
          <w:color w:val="000000" w:themeColor="text1"/>
          <w:lang w:val="en-GB"/>
        </w:rPr>
        <w:t xml:space="preserve"> has been gathered to understand the multifaceted aspects related to the implementation of digital tools in terms of delivering patient care. The qualitative data is considered as the non-numerical data that defines the characteristics and qualities including behaviors and perspectives to gather contextual understandings over the concerned topic (Adu, 2019). The secondary qualitative data collection is suitable for this research due to its contribution in delivering deeper insights about the influencing factors behind the patient experience. The digital healthcare technologies influence the broader range of patients, including vulnerable, elderly and remote patients. The existing data about the digital technology-based activities within the NHS provides insights into the experience of a wider group of patients. It assist in the identification of influential disparities within diverse UK locations.                  </w:t>
      </w:r>
    </w:p>
    <w:p w14:paraId="4ADCF183" w14:textId="77777777" w:rsidR="00814717" w:rsidRPr="003903AA" w:rsidRDefault="004A2BAC" w:rsidP="00E56E38">
      <w:pPr>
        <w:spacing w:before="120" w:after="120"/>
        <w:rPr>
          <w:rFonts w:cs="Arial"/>
          <w:b/>
          <w:i/>
          <w:color w:val="000000" w:themeColor="text1"/>
          <w:lang w:val="en-GB"/>
        </w:rPr>
      </w:pPr>
      <w:r w:rsidRPr="003903AA">
        <w:rPr>
          <w:rFonts w:cs="Arial"/>
          <w:b/>
          <w:i/>
          <w:color w:val="000000" w:themeColor="text1"/>
          <w:lang w:val="en-GB"/>
        </w:rPr>
        <w:t xml:space="preserve">Data Analysis </w:t>
      </w:r>
    </w:p>
    <w:p w14:paraId="192A141F"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The detailed procedure of the assessment, sorting, transformation and interpretation of the gathered data to extract the necessary findings and discover the ongoing patterns is recognised as the data analysis (Ori.hhs.gov, 2025). In the case of data analysis, the </w:t>
      </w:r>
      <w:r w:rsidRPr="003903AA">
        <w:rPr>
          <w:rFonts w:cs="Arial"/>
          <w:i/>
          <w:color w:val="000000" w:themeColor="text1"/>
          <w:lang w:val="en-GB"/>
        </w:rPr>
        <w:t xml:space="preserve">Thematic Analysis </w:t>
      </w:r>
      <w:r w:rsidRPr="003903AA">
        <w:rPr>
          <w:rFonts w:cs="Arial"/>
          <w:color w:val="000000" w:themeColor="text1"/>
          <w:lang w:val="en-GB"/>
        </w:rPr>
        <w:t xml:space="preserve">technique has been utilised within the present research. The process of thematic analysis refers to a qualitative data analysis method that assist in the identification, analysis and reporting of ongoing patterns of the associated variables through the construction of different themes based on research objectives (Braun and Clarke, 2021). Incorporation of this analysis method within the concerned research process is feasible as it allows for addressing continual patterns of the clinicians, patients and other associated stakeholders. It enables the researchers to capture multifaceted patient perspectives that affect the sense of inclusivity and autonomy and underlines the difficulties in utilisation. This process assist in linking the identified themes with the patient outcomes and engagement that delivers the clear view of technological impact.          </w:t>
      </w:r>
    </w:p>
    <w:p w14:paraId="7E52A174" w14:textId="77777777" w:rsidR="00814717" w:rsidRPr="003903AA" w:rsidRDefault="004A2BAC" w:rsidP="00E56E38">
      <w:pPr>
        <w:spacing w:before="120" w:after="120"/>
        <w:rPr>
          <w:rFonts w:cs="Arial"/>
          <w:b/>
          <w:i/>
          <w:color w:val="000000" w:themeColor="text1"/>
          <w:lang w:val="en-GB"/>
        </w:rPr>
      </w:pPr>
      <w:r w:rsidRPr="003903AA">
        <w:rPr>
          <w:rFonts w:cs="Arial"/>
          <w:b/>
          <w:i/>
          <w:color w:val="000000" w:themeColor="text1"/>
          <w:lang w:val="en-GB"/>
        </w:rPr>
        <w:lastRenderedPageBreak/>
        <w:t>Ethical Considerations</w:t>
      </w:r>
    </w:p>
    <w:p w14:paraId="4308E82F"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In the area of ethical integrity, this research emphasises the protection of confidentiality of the data to ensure the research coherence. The present report is focused on the maintenance of compliance with the standards of the </w:t>
      </w:r>
      <w:r w:rsidRPr="003903AA">
        <w:rPr>
          <w:rFonts w:cs="Arial"/>
          <w:i/>
          <w:color w:val="000000" w:themeColor="text1"/>
          <w:lang w:val="en-GB"/>
        </w:rPr>
        <w:t xml:space="preserve">General Data Protection Regulation (GDPR). </w:t>
      </w:r>
      <w:r w:rsidRPr="003903AA">
        <w:rPr>
          <w:rFonts w:cs="Arial"/>
          <w:color w:val="000000" w:themeColor="text1"/>
          <w:lang w:val="en-GB"/>
        </w:rPr>
        <w:t xml:space="preserve">The adherence to the GDPR guidelines assist in the improvement of the data governance and reputation and minimisation of chances for financial penalties (GDPR, 2025). The researchers are focused on ensuring the alignment of existing data with the actual research purpose for the prevention of misinterpretation, harm or any kind of bias. Moreover, they ensure that the </w:t>
      </w:r>
      <w:r w:rsidRPr="003903AA">
        <w:rPr>
          <w:rFonts w:cs="Arial"/>
          <w:i/>
          <w:color w:val="000000" w:themeColor="text1"/>
          <w:lang w:val="en-GB"/>
        </w:rPr>
        <w:t xml:space="preserve">Intellectual Property Rights (IPRs) </w:t>
      </w:r>
      <w:r w:rsidRPr="003903AA">
        <w:rPr>
          <w:rFonts w:cs="Arial"/>
          <w:color w:val="000000" w:themeColor="text1"/>
          <w:lang w:val="en-GB"/>
        </w:rPr>
        <w:t xml:space="preserve">of the authors are protected while sustaining the scope of the research.      </w:t>
      </w:r>
      <w:r w:rsidRPr="003903AA">
        <w:rPr>
          <w:rFonts w:cs="Arial"/>
          <w:i/>
          <w:color w:val="000000" w:themeColor="text1"/>
          <w:lang w:val="en-GB"/>
        </w:rPr>
        <w:t xml:space="preserve"> </w:t>
      </w:r>
      <w:r w:rsidRPr="003903AA">
        <w:rPr>
          <w:rFonts w:cs="Arial"/>
          <w:color w:val="000000" w:themeColor="text1"/>
          <w:lang w:val="en-GB"/>
        </w:rPr>
        <w:t xml:space="preserve"> </w:t>
      </w:r>
    </w:p>
    <w:p w14:paraId="47C03574" w14:textId="77777777" w:rsidR="00E56E38" w:rsidRPr="003903AA" w:rsidRDefault="00E56E38" w:rsidP="00E56E38">
      <w:pPr>
        <w:spacing w:before="120" w:after="120"/>
        <w:rPr>
          <w:rFonts w:cs="Arial"/>
          <w:b/>
          <w:color w:val="000000" w:themeColor="text1"/>
          <w:lang w:val="en-GB"/>
        </w:rPr>
      </w:pPr>
      <w:bookmarkStart w:id="7" w:name="_y3bqcyo5ffs2" w:colFirst="0" w:colLast="0"/>
      <w:bookmarkEnd w:id="7"/>
      <w:r w:rsidRPr="003903AA">
        <w:rPr>
          <w:rFonts w:cs="Arial"/>
          <w:color w:val="000000" w:themeColor="text1"/>
          <w:lang w:val="en-GB"/>
        </w:rPr>
        <w:br w:type="page"/>
      </w:r>
    </w:p>
    <w:p w14:paraId="33CF8FF0" w14:textId="77777777" w:rsidR="00814717" w:rsidRPr="003903AA" w:rsidRDefault="00E56E38" w:rsidP="00E56E38">
      <w:pPr>
        <w:pStyle w:val="Heading1"/>
        <w:spacing w:before="120" w:after="120"/>
        <w:rPr>
          <w:rFonts w:cs="Arial"/>
          <w:color w:val="000000" w:themeColor="text1"/>
          <w:lang w:val="en-GB"/>
        </w:rPr>
      </w:pPr>
      <w:bookmarkStart w:id="8" w:name="_Toc213439683"/>
      <w:r w:rsidRPr="003903AA">
        <w:rPr>
          <w:rFonts w:cs="Arial"/>
          <w:color w:val="000000" w:themeColor="text1"/>
          <w:lang w:val="en-GB"/>
        </w:rPr>
        <w:lastRenderedPageBreak/>
        <w:t>Results</w:t>
      </w:r>
      <w:bookmarkEnd w:id="8"/>
    </w:p>
    <w:p w14:paraId="3CD1BA23" w14:textId="77777777" w:rsidR="00814717" w:rsidRPr="003903AA" w:rsidRDefault="004A2BAC" w:rsidP="00E56E38">
      <w:pPr>
        <w:spacing w:before="120" w:after="120"/>
        <w:rPr>
          <w:rFonts w:cs="Arial"/>
          <w:b/>
          <w:i/>
          <w:color w:val="000000" w:themeColor="text1"/>
          <w:lang w:val="en-GB"/>
        </w:rPr>
      </w:pPr>
      <w:r w:rsidRPr="003903AA">
        <w:rPr>
          <w:rFonts w:cs="Arial"/>
          <w:b/>
          <w:i/>
          <w:color w:val="000000" w:themeColor="text1"/>
          <w:lang w:val="en-GB"/>
        </w:rPr>
        <w:t xml:space="preserve">The effectiveness of digital health technologies in improving patient engagement within the UK healthcare industry </w:t>
      </w:r>
    </w:p>
    <w:p w14:paraId="54DEA349"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The digital health technologies are significant to improving patients’ engagement in the UK healthcare industry, utilising multiple services such as telehealth for remote consultations, and mHealth applications for self-management (</w:t>
      </w:r>
      <w:r w:rsidRPr="003903AA">
        <w:rPr>
          <w:rFonts w:cs="Arial"/>
          <w:color w:val="000000" w:themeColor="text1"/>
          <w:highlight w:val="white"/>
          <w:lang w:val="en-GB"/>
        </w:rPr>
        <w:t>Hutchings and Sherlaw-Johnson, 2022)</w:t>
      </w:r>
      <w:r w:rsidRPr="003903AA">
        <w:rPr>
          <w:rFonts w:cs="Arial"/>
          <w:color w:val="000000" w:themeColor="text1"/>
          <w:lang w:val="en-GB"/>
        </w:rPr>
        <w:t xml:space="preserve">. The common technologies play more active roles to enhance convenience and improve health outcomes through digital literacy. As of 2022, over 37 million patients were activated on the NHS app, which represents 67.9% of the population. This rapid uptake includes 18 million registrations in 2021, largely driven by the need for the Covid pass led to altered habits in booking appointments online (PMC, 2025). The Digital health technologies (DHTs) in the UK have a demonstrable positive impact on patient engagement and outcomes, while a study shows over 80% of studies reporting improvement in effectiveness for patient engagement and potential for significant cost savings measures. The statistics illustrate that more engagement improved while reviewing in 170 counties, and found that almost 82.9% reported high levels of improvement in more patient engagement.   </w:t>
      </w:r>
    </w:p>
    <w:p w14:paraId="7C2B07CD" w14:textId="77777777" w:rsidR="00814717" w:rsidRPr="003903AA" w:rsidRDefault="004A2BAC" w:rsidP="00E56E38">
      <w:pPr>
        <w:spacing w:before="120" w:after="120"/>
        <w:jc w:val="center"/>
        <w:rPr>
          <w:rFonts w:cs="Arial"/>
          <w:color w:val="000000" w:themeColor="text1"/>
          <w:lang w:val="en-GB"/>
        </w:rPr>
      </w:pPr>
      <w:r w:rsidRPr="003903AA">
        <w:rPr>
          <w:rFonts w:cs="Arial"/>
          <w:noProof/>
          <w:color w:val="000000" w:themeColor="text1"/>
          <w:lang w:val="en-GB" w:eastAsia="en-GB"/>
        </w:rPr>
        <w:drawing>
          <wp:inline distT="114300" distB="114300" distL="114300" distR="114300" wp14:anchorId="1DC111C2" wp14:editId="12D300D1">
            <wp:extent cx="4919116" cy="3114675"/>
            <wp:effectExtent l="76200" t="76200" r="129540" b="12382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925015" cy="3118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3903AA">
        <w:rPr>
          <w:rFonts w:cs="Arial"/>
          <w:color w:val="000000" w:themeColor="text1"/>
          <w:lang w:val="en-GB"/>
        </w:rPr>
        <w:t xml:space="preserve"> </w:t>
      </w:r>
    </w:p>
    <w:p w14:paraId="19D72CF9" w14:textId="77777777" w:rsidR="00814717" w:rsidRPr="003903AA" w:rsidRDefault="004A2BAC" w:rsidP="00E56E38">
      <w:pPr>
        <w:spacing w:before="120" w:after="120"/>
        <w:jc w:val="center"/>
        <w:rPr>
          <w:rFonts w:cs="Arial"/>
          <w:b/>
          <w:color w:val="000000" w:themeColor="text1"/>
          <w:lang w:val="en-GB"/>
        </w:rPr>
      </w:pPr>
      <w:r w:rsidRPr="003903AA">
        <w:rPr>
          <w:rFonts w:cs="Arial"/>
          <w:b/>
          <w:color w:val="000000" w:themeColor="text1"/>
          <w:lang w:val="en-GB"/>
        </w:rPr>
        <w:t>Figure 1: NHS App registrations and downloads</w:t>
      </w:r>
    </w:p>
    <w:p w14:paraId="6EE51CB4" w14:textId="77777777" w:rsidR="00814717" w:rsidRPr="003903AA" w:rsidRDefault="004A2BAC" w:rsidP="00E56E38">
      <w:pPr>
        <w:spacing w:before="120" w:after="120"/>
        <w:jc w:val="center"/>
        <w:rPr>
          <w:rFonts w:cs="Arial"/>
          <w:color w:val="000000" w:themeColor="text1"/>
          <w:lang w:val="en-GB"/>
        </w:rPr>
      </w:pPr>
      <w:r w:rsidRPr="003903AA">
        <w:rPr>
          <w:rFonts w:cs="Arial"/>
          <w:color w:val="000000" w:themeColor="text1"/>
          <w:lang w:val="en-GB"/>
        </w:rPr>
        <w:t>(Source: PMC, 2025)</w:t>
      </w:r>
    </w:p>
    <w:p w14:paraId="668B13D5" w14:textId="77777777" w:rsidR="00814717" w:rsidRPr="003903AA" w:rsidRDefault="004A2BAC" w:rsidP="00E56E38">
      <w:pPr>
        <w:spacing w:before="120" w:after="120"/>
        <w:rPr>
          <w:rFonts w:cs="Arial"/>
          <w:b/>
          <w:i/>
          <w:color w:val="000000" w:themeColor="text1"/>
          <w:lang w:val="en-GB"/>
        </w:rPr>
      </w:pPr>
      <w:r w:rsidRPr="003903AA">
        <w:rPr>
          <w:rFonts w:cs="Arial"/>
          <w:color w:val="000000" w:themeColor="text1"/>
          <w:lang w:val="en-GB"/>
        </w:rPr>
        <w:lastRenderedPageBreak/>
        <w:t xml:space="preserve">The remote consultation during the peak </w:t>
      </w:r>
      <w:r w:rsidR="00E56E38" w:rsidRPr="003903AA">
        <w:rPr>
          <w:rFonts w:cs="Arial"/>
          <w:color w:val="000000" w:themeColor="text1"/>
          <w:lang w:val="en-GB"/>
        </w:rPr>
        <w:t>Pandemic</w:t>
      </w:r>
      <w:r w:rsidRPr="003903AA">
        <w:rPr>
          <w:rFonts w:cs="Arial"/>
          <w:color w:val="000000" w:themeColor="text1"/>
          <w:lang w:val="en-GB"/>
        </w:rPr>
        <w:t xml:space="preserve"> saw almost 85% of consultations in the UK being conducted remotely and 95% approximately GP practices implemented video consultation capabilities. The number of online inquiries to NHS 111 also increased from approximately 10,000 users per day during pre-pandemic to an average of 548,000 users per day in early 2020. As estimates almost 40% residents in the UK already use consumer devices such as wearables, while cost-saving potentials could save almost £170 million per year in the UK’s healthcare systems (Health.org, 2025). Patient empowerment and self-engagement engagement also important, while adherence rates signify overall engagement can be high, which is illustrated by the daily surveys or using certain devices (</w:t>
      </w:r>
      <w:r w:rsidRPr="003903AA">
        <w:rPr>
          <w:rFonts w:cs="Arial"/>
          <w:color w:val="000000" w:themeColor="text1"/>
          <w:highlight w:val="white"/>
          <w:lang w:val="en-GB"/>
        </w:rPr>
        <w:t xml:space="preserve">Baines </w:t>
      </w:r>
      <w:r w:rsidRPr="003903AA">
        <w:rPr>
          <w:rFonts w:cs="Arial"/>
          <w:i/>
          <w:color w:val="000000" w:themeColor="text1"/>
          <w:highlight w:val="white"/>
          <w:lang w:val="en-GB"/>
        </w:rPr>
        <w:t xml:space="preserve">et al. </w:t>
      </w:r>
      <w:r w:rsidRPr="003903AA">
        <w:rPr>
          <w:rFonts w:cs="Arial"/>
          <w:color w:val="000000" w:themeColor="text1"/>
          <w:highlight w:val="white"/>
          <w:lang w:val="en-GB"/>
        </w:rPr>
        <w:t>2022)</w:t>
      </w:r>
      <w:r w:rsidRPr="003903AA">
        <w:rPr>
          <w:rFonts w:cs="Arial"/>
          <w:color w:val="000000" w:themeColor="text1"/>
          <w:lang w:val="en-GB"/>
        </w:rPr>
        <w:t xml:space="preserve">. Additionally, primary issues are incorporated through the digital divide, as the 2020 report illustrates that almost 96% of UK households had internet access, but this dropped to 80% for single persons over 65.         </w:t>
      </w:r>
    </w:p>
    <w:p w14:paraId="0084C88C" w14:textId="77777777" w:rsidR="00814717" w:rsidRPr="003903AA" w:rsidRDefault="004A2BAC" w:rsidP="00E56E38">
      <w:pPr>
        <w:spacing w:before="120" w:after="120"/>
        <w:rPr>
          <w:rFonts w:cs="Arial"/>
          <w:b/>
          <w:i/>
          <w:color w:val="000000" w:themeColor="text1"/>
          <w:lang w:val="en-GB"/>
        </w:rPr>
      </w:pPr>
      <w:r w:rsidRPr="003903AA">
        <w:rPr>
          <w:rFonts w:cs="Arial"/>
          <w:b/>
          <w:i/>
          <w:color w:val="000000" w:themeColor="text1"/>
          <w:lang w:val="en-GB"/>
        </w:rPr>
        <w:t xml:space="preserve">Investigate the connection between the usage of digital health instruments and further advancements in the health consequences of patients </w:t>
      </w:r>
    </w:p>
    <w:p w14:paraId="010E4122"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The digital health tools are interconnected to improve patient outcomes by increasing engagement and enabling a personalised care experience, which allows remote monitoring. The optimistic connections are due to increased patient engagement in managing and tracking health conditions, leading to better outcomes (</w:t>
      </w:r>
      <w:r w:rsidRPr="003903AA">
        <w:rPr>
          <w:rFonts w:cs="Arial"/>
          <w:color w:val="000000" w:themeColor="text1"/>
          <w:highlight w:val="white"/>
          <w:lang w:val="en-GB"/>
        </w:rPr>
        <w:t xml:space="preserve">Whitelaw </w:t>
      </w:r>
      <w:r w:rsidRPr="003903AA">
        <w:rPr>
          <w:rFonts w:cs="Arial"/>
          <w:i/>
          <w:color w:val="000000" w:themeColor="text1"/>
          <w:highlight w:val="white"/>
          <w:lang w:val="en-GB"/>
        </w:rPr>
        <w:t xml:space="preserve">et al. </w:t>
      </w:r>
      <w:r w:rsidRPr="003903AA">
        <w:rPr>
          <w:rFonts w:cs="Arial"/>
          <w:color w:val="000000" w:themeColor="text1"/>
          <w:highlight w:val="white"/>
          <w:lang w:val="en-GB"/>
        </w:rPr>
        <w:t>2021)</w:t>
      </w:r>
      <w:r w:rsidRPr="003903AA">
        <w:rPr>
          <w:rFonts w:cs="Arial"/>
          <w:color w:val="000000" w:themeColor="text1"/>
          <w:lang w:val="en-GB"/>
        </w:rPr>
        <w:t>. The Mortality Reduction in Sepsis utilise multiple screening tools in healthcare associated with s significant reduction in mortality, as almost 23% lower risk of death within 30 days, while a reduction in hospital admissions for chronic conditions randomised controlled trial evaluating the long-term conditions. Cost Savings via Preventive Apps utilised by the UK digital health almost 45% reduction in emergency hospital admissions and a 20% reduction in emergency department visits among the individual participants through using telehealth inventions (Ncbi, 2025). Remote monitoring and early detection increase patient empowerment as medication reminders or exercise tracking systems manage patients' health and improve self-efficacy to improve primary outcomes. The challenges and considerations need primary support through making effective human communications which implement security and privacy to prevent data breaches (</w:t>
      </w:r>
      <w:r w:rsidRPr="003903AA">
        <w:rPr>
          <w:rFonts w:cs="Arial"/>
          <w:color w:val="000000" w:themeColor="text1"/>
          <w:highlight w:val="white"/>
          <w:lang w:val="en-GB"/>
        </w:rPr>
        <w:t xml:space="preserve">Kotecha </w:t>
      </w:r>
      <w:r w:rsidRPr="003903AA">
        <w:rPr>
          <w:rFonts w:cs="Arial"/>
          <w:i/>
          <w:color w:val="000000" w:themeColor="text1"/>
          <w:highlight w:val="white"/>
          <w:lang w:val="en-GB"/>
        </w:rPr>
        <w:t xml:space="preserve">et al. </w:t>
      </w:r>
      <w:r w:rsidRPr="003903AA">
        <w:rPr>
          <w:rFonts w:cs="Arial"/>
          <w:color w:val="000000" w:themeColor="text1"/>
          <w:highlight w:val="white"/>
          <w:lang w:val="en-GB"/>
        </w:rPr>
        <w:t>2023)</w:t>
      </w:r>
      <w:r w:rsidRPr="003903AA">
        <w:rPr>
          <w:rFonts w:cs="Arial"/>
          <w:color w:val="000000" w:themeColor="text1"/>
          <w:lang w:val="en-GB"/>
        </w:rPr>
        <w:t xml:space="preserve">.     </w:t>
      </w:r>
    </w:p>
    <w:p w14:paraId="1AE57784" w14:textId="77777777" w:rsidR="00814717" w:rsidRPr="003903AA" w:rsidRDefault="004A2BAC" w:rsidP="00E56E38">
      <w:pPr>
        <w:spacing w:before="120" w:after="120"/>
        <w:jc w:val="center"/>
        <w:rPr>
          <w:rFonts w:cs="Arial"/>
          <w:color w:val="000000" w:themeColor="text1"/>
          <w:lang w:val="en-GB"/>
        </w:rPr>
      </w:pPr>
      <w:r w:rsidRPr="003903AA">
        <w:rPr>
          <w:rFonts w:cs="Arial"/>
          <w:noProof/>
          <w:color w:val="000000" w:themeColor="text1"/>
          <w:lang w:val="en-GB" w:eastAsia="en-GB"/>
        </w:rPr>
        <w:lastRenderedPageBreak/>
        <w:drawing>
          <wp:inline distT="114300" distB="114300" distL="114300" distR="114300" wp14:anchorId="43D31463" wp14:editId="13C1F83A">
            <wp:extent cx="5638800" cy="2609850"/>
            <wp:effectExtent l="76200" t="76200" r="133350" b="13335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638800" cy="2609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3903AA">
        <w:rPr>
          <w:rFonts w:cs="Arial"/>
          <w:color w:val="000000" w:themeColor="text1"/>
          <w:lang w:val="en-GB"/>
        </w:rPr>
        <w:t xml:space="preserve">   </w:t>
      </w:r>
    </w:p>
    <w:p w14:paraId="7026D0D6" w14:textId="77777777" w:rsidR="00814717" w:rsidRPr="003903AA" w:rsidRDefault="004A2BAC" w:rsidP="00E56E38">
      <w:pPr>
        <w:spacing w:before="120" w:after="120"/>
        <w:jc w:val="center"/>
        <w:rPr>
          <w:rFonts w:cs="Arial"/>
          <w:b/>
          <w:color w:val="000000" w:themeColor="text1"/>
          <w:lang w:val="en-GB"/>
        </w:rPr>
      </w:pPr>
      <w:r w:rsidRPr="003903AA">
        <w:rPr>
          <w:rFonts w:cs="Arial"/>
          <w:b/>
          <w:color w:val="000000" w:themeColor="text1"/>
          <w:lang w:val="en-GB"/>
        </w:rPr>
        <w:t>Figure 2: Weighting the Populations</w:t>
      </w:r>
    </w:p>
    <w:p w14:paraId="1C26970C" w14:textId="77777777" w:rsidR="00814717" w:rsidRPr="003903AA" w:rsidRDefault="004A2BAC" w:rsidP="00E56E38">
      <w:pPr>
        <w:spacing w:before="120" w:after="120"/>
        <w:jc w:val="center"/>
        <w:rPr>
          <w:rFonts w:cs="Arial"/>
          <w:color w:val="000000" w:themeColor="text1"/>
          <w:lang w:val="en-GB"/>
        </w:rPr>
      </w:pPr>
      <w:r w:rsidRPr="003903AA">
        <w:rPr>
          <w:rFonts w:cs="Arial"/>
          <w:color w:val="000000" w:themeColor="text1"/>
          <w:lang w:val="en-GB"/>
        </w:rPr>
        <w:t xml:space="preserve">(Source: Ncbi, 2025)   </w:t>
      </w:r>
    </w:p>
    <w:p w14:paraId="0F7D5572"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The above image illustrates that the health needs of different populations can vary greatly, as the image illustrates a weighted, registered population. The digital health instruments incorporated by the AI-powered diagnostics which advancing patient care, which can improve primary patient outcomes and efficiency. The digital instruments and advancements incorporate wearable and remote monitoring, while AI (Artificial Intelligence) analyse large patient datasets through personalised insights can predict treatment outcomes. The early detection of diseases and more personalised treatment plans lead to better prognoses (</w:t>
      </w:r>
      <w:r w:rsidRPr="003903AA">
        <w:rPr>
          <w:rFonts w:cs="Arial"/>
          <w:color w:val="000000" w:themeColor="text1"/>
          <w:highlight w:val="white"/>
          <w:lang w:val="en-GB"/>
        </w:rPr>
        <w:t xml:space="preserve">Hölsä </w:t>
      </w:r>
      <w:r w:rsidRPr="003903AA">
        <w:rPr>
          <w:rFonts w:cs="Arial"/>
          <w:i/>
          <w:color w:val="000000" w:themeColor="text1"/>
          <w:highlight w:val="white"/>
          <w:lang w:val="en-GB"/>
        </w:rPr>
        <w:t xml:space="preserve">et al. </w:t>
      </w:r>
      <w:r w:rsidRPr="003903AA">
        <w:rPr>
          <w:rFonts w:cs="Arial"/>
          <w:color w:val="000000" w:themeColor="text1"/>
          <w:highlight w:val="white"/>
          <w:lang w:val="en-GB"/>
        </w:rPr>
        <w:t>2024)</w:t>
      </w:r>
      <w:r w:rsidRPr="003903AA">
        <w:rPr>
          <w:rFonts w:cs="Arial"/>
          <w:color w:val="000000" w:themeColor="text1"/>
          <w:lang w:val="en-GB"/>
        </w:rPr>
        <w:t xml:space="preserve">. An effective AI can integrate into the patient care, while advanced technologies, such as Technologies like 3D printing, create personalised medications to address supply chain issues. Personalised and effective care increases patient engagement and improves patient outcomes by improving clinical precision. Collecting large amounts of data raises significant concerns regarding data breaches and the ethical use of information.              </w:t>
      </w:r>
    </w:p>
    <w:p w14:paraId="56439EB9" w14:textId="77777777" w:rsidR="00814717" w:rsidRPr="003903AA" w:rsidRDefault="004A2BAC" w:rsidP="00E56E38">
      <w:pPr>
        <w:spacing w:before="120" w:after="120"/>
        <w:rPr>
          <w:rFonts w:cs="Arial"/>
          <w:b/>
          <w:i/>
          <w:color w:val="000000" w:themeColor="text1"/>
          <w:lang w:val="en-GB"/>
        </w:rPr>
      </w:pPr>
      <w:r w:rsidRPr="003903AA">
        <w:rPr>
          <w:rFonts w:cs="Arial"/>
          <w:b/>
          <w:i/>
          <w:color w:val="000000" w:themeColor="text1"/>
          <w:lang w:val="en-GB"/>
        </w:rPr>
        <w:t xml:space="preserve">Recognise obstacles and facilitators influencing the use of digital health technologies among various patient populations in the UK  </w:t>
      </w:r>
    </w:p>
    <w:p w14:paraId="7B2D14C4"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Obstacles to using digital health technologies (DHTs) include technological barriers, such as poor internet access, poor digital literacy and hardware issues, while physical barriers, such as fear of technology and privacy concerns (</w:t>
      </w:r>
      <w:r w:rsidRPr="003903AA">
        <w:rPr>
          <w:rFonts w:cs="Arial"/>
          <w:color w:val="000000" w:themeColor="text1"/>
          <w:highlight w:val="white"/>
          <w:lang w:val="en-GB"/>
        </w:rPr>
        <w:t xml:space="preserve">Leckenby </w:t>
      </w:r>
      <w:r w:rsidRPr="003903AA">
        <w:rPr>
          <w:rFonts w:cs="Arial"/>
          <w:i/>
          <w:color w:val="000000" w:themeColor="text1"/>
          <w:highlight w:val="white"/>
          <w:lang w:val="en-GB"/>
        </w:rPr>
        <w:t xml:space="preserve">et al. </w:t>
      </w:r>
      <w:r w:rsidRPr="003903AA">
        <w:rPr>
          <w:rFonts w:cs="Arial"/>
          <w:color w:val="000000" w:themeColor="text1"/>
          <w:highlight w:val="white"/>
          <w:lang w:val="en-GB"/>
        </w:rPr>
        <w:t>2021)</w:t>
      </w:r>
      <w:r w:rsidRPr="003903AA">
        <w:rPr>
          <w:rFonts w:cs="Arial"/>
          <w:color w:val="000000" w:themeColor="text1"/>
          <w:lang w:val="en-GB"/>
        </w:rPr>
        <w:t xml:space="preserve">. The key facilitators are incorporated through the education and training and user user-friendly design to implement digital health </w:t>
      </w:r>
      <w:r w:rsidRPr="003903AA">
        <w:rPr>
          <w:rFonts w:cs="Arial"/>
          <w:color w:val="000000" w:themeColor="text1"/>
          <w:lang w:val="en-GB"/>
        </w:rPr>
        <w:lastRenderedPageBreak/>
        <w:t>issues. The primary issues include digital exclusion, a lack of internet access, health literacy, and mistrust within automated systems that affect care treatment. Primary obstacles incorporate through the one in one survey, while almost 316 people with no formal qualifications, only 26.3% have utilised NHS 111 online compared to 45.1% of people with a degree or higher, highlighting the long between digital and education use. Through positive support and training, taking primary initiatives with the availability of resources, trained over 220000 employees to use online health resources. The primary barriers include patient issues as limited digital literacy and skills belonging to the socioeconomic backgrounds, which include a lack of basic digital skills. Also, primary barriers are Age-related exclusion, while older individuals are less likely to utilise digital health tools and Public mistrust within the health industry (</w:t>
      </w:r>
      <w:r w:rsidRPr="003903AA">
        <w:rPr>
          <w:rFonts w:cs="Arial"/>
          <w:color w:val="000000" w:themeColor="text1"/>
          <w:highlight w:val="white"/>
          <w:lang w:val="en-GB"/>
        </w:rPr>
        <w:t xml:space="preserve">Street </w:t>
      </w:r>
      <w:r w:rsidRPr="003903AA">
        <w:rPr>
          <w:rFonts w:cs="Arial"/>
          <w:i/>
          <w:color w:val="000000" w:themeColor="text1"/>
          <w:highlight w:val="white"/>
          <w:lang w:val="en-GB"/>
        </w:rPr>
        <w:t xml:space="preserve">et al. </w:t>
      </w:r>
      <w:r w:rsidRPr="003903AA">
        <w:rPr>
          <w:rFonts w:cs="Arial"/>
          <w:color w:val="000000" w:themeColor="text1"/>
          <w:highlight w:val="white"/>
          <w:lang w:val="en-GB"/>
        </w:rPr>
        <w:t>2020)</w:t>
      </w:r>
      <w:r w:rsidRPr="003903AA">
        <w:rPr>
          <w:rFonts w:cs="Arial"/>
          <w:color w:val="000000" w:themeColor="text1"/>
          <w:lang w:val="en-GB"/>
        </w:rPr>
        <w:t xml:space="preserve">.           </w:t>
      </w:r>
    </w:p>
    <w:p w14:paraId="0B82A32F" w14:textId="77777777" w:rsidR="00814717" w:rsidRPr="003903AA" w:rsidRDefault="004A2BAC" w:rsidP="00E56E38">
      <w:pPr>
        <w:spacing w:before="120" w:after="120"/>
        <w:jc w:val="center"/>
        <w:rPr>
          <w:rFonts w:cs="Arial"/>
          <w:color w:val="000000" w:themeColor="text1"/>
          <w:lang w:val="en-GB"/>
        </w:rPr>
      </w:pPr>
      <w:r w:rsidRPr="003903AA">
        <w:rPr>
          <w:rFonts w:cs="Arial"/>
          <w:noProof/>
          <w:color w:val="000000" w:themeColor="text1"/>
          <w:lang w:val="en-GB" w:eastAsia="en-GB"/>
        </w:rPr>
        <w:drawing>
          <wp:inline distT="114300" distB="114300" distL="114300" distR="114300" wp14:anchorId="135C8FE1" wp14:editId="6108772A">
            <wp:extent cx="5095875" cy="2876550"/>
            <wp:effectExtent l="76200" t="76200" r="142875" b="13335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095875" cy="2876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BAFED8" w14:textId="77777777" w:rsidR="00814717" w:rsidRPr="003903AA" w:rsidRDefault="004A2BAC" w:rsidP="00E56E38">
      <w:pPr>
        <w:spacing w:before="120" w:after="120"/>
        <w:jc w:val="center"/>
        <w:rPr>
          <w:rFonts w:cs="Arial"/>
          <w:b/>
          <w:color w:val="000000" w:themeColor="text1"/>
          <w:lang w:val="en-GB"/>
        </w:rPr>
      </w:pPr>
      <w:r w:rsidRPr="003903AA">
        <w:rPr>
          <w:rFonts w:cs="Arial"/>
          <w:i/>
          <w:color w:val="000000" w:themeColor="text1"/>
          <w:lang w:val="en-GB"/>
        </w:rPr>
        <w:t xml:space="preserve">  </w:t>
      </w:r>
      <w:r w:rsidRPr="003903AA">
        <w:rPr>
          <w:rFonts w:cs="Arial"/>
          <w:b/>
          <w:color w:val="000000" w:themeColor="text1"/>
          <w:lang w:val="en-GB"/>
        </w:rPr>
        <w:t>Figure 3: Obstacles to Digital Health Technologies</w:t>
      </w:r>
    </w:p>
    <w:p w14:paraId="79CF63DB" w14:textId="77777777" w:rsidR="00814717" w:rsidRPr="003903AA" w:rsidRDefault="004A2BAC" w:rsidP="00E56E38">
      <w:pPr>
        <w:spacing w:before="120" w:after="120"/>
        <w:jc w:val="center"/>
        <w:rPr>
          <w:rFonts w:cs="Arial"/>
          <w:color w:val="000000" w:themeColor="text1"/>
          <w:lang w:val="en-GB"/>
        </w:rPr>
      </w:pPr>
      <w:r w:rsidRPr="003903AA">
        <w:rPr>
          <w:rFonts w:cs="Arial"/>
          <w:color w:val="000000" w:themeColor="text1"/>
          <w:lang w:val="en-GB"/>
        </w:rPr>
        <w:t xml:space="preserve">(Source: MDPI, 2025)   </w:t>
      </w:r>
    </w:p>
    <w:p w14:paraId="2436BC06" w14:textId="77777777" w:rsidR="00814717" w:rsidRPr="003903AA" w:rsidRDefault="004A2BAC" w:rsidP="00E56E38">
      <w:pPr>
        <w:spacing w:before="120" w:after="120"/>
        <w:rPr>
          <w:rFonts w:cs="Arial"/>
          <w:b/>
          <w:i/>
          <w:color w:val="000000" w:themeColor="text1"/>
          <w:lang w:val="en-GB"/>
        </w:rPr>
      </w:pPr>
      <w:r w:rsidRPr="003903AA">
        <w:rPr>
          <w:rFonts w:cs="Arial"/>
          <w:color w:val="000000" w:themeColor="text1"/>
          <w:lang w:val="en-GB"/>
        </w:rPr>
        <w:t>The primary data management and overload limitations in technological infrastructure directly impact patient engagement, while regulatory and legal barriers raise ethical concerns and trust. The primary challenges are also implemented due to patients’ wearable devices, as they significantly decrease patient outcomes (</w:t>
      </w:r>
      <w:r w:rsidRPr="003903AA">
        <w:rPr>
          <w:rFonts w:cs="Arial"/>
          <w:color w:val="000000" w:themeColor="text1"/>
          <w:highlight w:val="white"/>
          <w:lang w:val="en-GB"/>
        </w:rPr>
        <w:t xml:space="preserve">Zwack </w:t>
      </w:r>
      <w:r w:rsidRPr="003903AA">
        <w:rPr>
          <w:rFonts w:cs="Arial"/>
          <w:i/>
          <w:color w:val="000000" w:themeColor="text1"/>
          <w:highlight w:val="white"/>
          <w:lang w:val="en-GB"/>
        </w:rPr>
        <w:t xml:space="preserve">et al. </w:t>
      </w:r>
      <w:r w:rsidRPr="003903AA">
        <w:rPr>
          <w:rFonts w:cs="Arial"/>
          <w:color w:val="000000" w:themeColor="text1"/>
          <w:highlight w:val="white"/>
          <w:lang w:val="en-GB"/>
        </w:rPr>
        <w:t>2023)</w:t>
      </w:r>
      <w:r w:rsidRPr="003903AA">
        <w:rPr>
          <w:rFonts w:cs="Arial"/>
          <w:color w:val="000000" w:themeColor="text1"/>
          <w:lang w:val="en-GB"/>
        </w:rPr>
        <w:t xml:space="preserve">. The limited privacy and trust concern incorporates mistrust; almost 62.5% of participants agreed or strongly agreed that the technology can be volatile, which directly impacts the healthcare professionals. The key facilitators are incorporated into the tailored-made support and training programmes, as an individual providing clear instructions and perceived usefulness and benefits by incorporating person-centred design. </w:t>
      </w:r>
      <w:r w:rsidRPr="003903AA">
        <w:rPr>
          <w:rFonts w:cs="Arial"/>
          <w:color w:val="000000" w:themeColor="text1"/>
          <w:lang w:val="en-GB"/>
        </w:rPr>
        <w:lastRenderedPageBreak/>
        <w:t xml:space="preserve">The practical support made by the family and career support was significantly initiated by the UK government to support patients’ families, which significantly addresses the issues. The numerical data highlights a significant number of older adults in the UK suffering from a lack of digital skills, with an estimated 4.7 million people aged 65 and over unable to utilise the internet efficiently. Almost 3.8% people are supported by the training and development as the primary involvement directly linked with the individual health workers' needs favourable environment for future implementation.   </w:t>
      </w:r>
    </w:p>
    <w:p w14:paraId="62D80892" w14:textId="77777777" w:rsidR="00814717" w:rsidRPr="003903AA" w:rsidRDefault="004A2BAC" w:rsidP="00E56E38">
      <w:pPr>
        <w:spacing w:before="120" w:after="120"/>
        <w:rPr>
          <w:rFonts w:eastAsia="Arial" w:cs="Arial"/>
          <w:b/>
          <w:color w:val="000000" w:themeColor="text1"/>
          <w:lang w:val="en-GB"/>
        </w:rPr>
      </w:pPr>
      <w:r w:rsidRPr="003903AA">
        <w:rPr>
          <w:rFonts w:eastAsia="Arial" w:cs="Arial"/>
          <w:b/>
          <w:i/>
          <w:color w:val="000000" w:themeColor="text1"/>
          <w:lang w:val="en-GB"/>
        </w:rPr>
        <w:t>Impact of digital health interventions across different UK healthcare settings</w:t>
      </w:r>
    </w:p>
    <w:p w14:paraId="14CDB371" w14:textId="77777777" w:rsidR="00814717" w:rsidRPr="003903AA" w:rsidRDefault="004A2BAC" w:rsidP="00E56E38">
      <w:pPr>
        <w:spacing w:before="120" w:after="120"/>
        <w:rPr>
          <w:rFonts w:cs="Arial"/>
          <w:color w:val="000000" w:themeColor="text1"/>
          <w:lang w:val="en-GB"/>
        </w:rPr>
      </w:pPr>
      <w:r w:rsidRPr="003903AA">
        <w:rPr>
          <w:rFonts w:eastAsia="Arial" w:cs="Arial"/>
          <w:color w:val="000000" w:themeColor="text1"/>
          <w:lang w:val="en-GB"/>
        </w:rPr>
        <w:t>Digital health interventions have developed diverse impacts across different healthcare settings in the UK by elevating service accessibility, operational significance and patient-focused care. In primary care, digital triage along with an online consultation process, including eConsult and Klinik, have been considerably used. Further, it is being reported that around 6.5 million online consultation requests were submitted within GP practices in the year 2025, which exceeded capacity and minimised administrative obstruction (England.nhs.uk, 2025). Practices utilising digital triage observed a considerable reduction in same-day face-to-face demand, and this helped clinicians to give priority to complex cases. In regard to secondary care, the remote monitoring paradigm has been used successfully for chronic diseases. NHS England’s Virtual Wards approach, with 10,000 virtual ward beds, supports the health institution to treat around 240,000 patients in 2022, supporting treatment issues related to respiratory and has reduced pressure on hospital beds as the issues are managed at home (England.nhs.uk, 2025). This helps in minimising hospital readmissions of patients suffering from heart failure enrolled on remote monitoring programmes. Digital tools like ‘electronic prescribing (ePMA)’ have also imposed considerable impact as it support the minimisation of medication errors, accounting for around 50% across diverse NHS trusts (Hssib.org.uk, 2025). In regard to the mental health services, the utilisation of ‘digital cognitive behavioural therapy (dCBT)’ along with remote psychological therapies has elevated access. The rate of individuals accessing talking therapies via the NHS for situations like anxiety and depression exceeded by over one fifth, accounting for 21.5% from 1.02 million in the year 21 to around 1.24 million in the year 2022 (Medscape, 2023).</w:t>
      </w:r>
    </w:p>
    <w:p w14:paraId="3269A6D5" w14:textId="77777777" w:rsidR="00E56E38" w:rsidRPr="003903AA" w:rsidRDefault="00E56E38" w:rsidP="00E56E38">
      <w:pPr>
        <w:spacing w:before="120" w:after="120"/>
        <w:rPr>
          <w:rFonts w:cs="Arial"/>
          <w:b/>
          <w:color w:val="000000" w:themeColor="text1"/>
          <w:lang w:val="en-GB"/>
        </w:rPr>
      </w:pPr>
      <w:bookmarkStart w:id="9" w:name="_leecn8eilwxo" w:colFirst="0" w:colLast="0"/>
      <w:bookmarkEnd w:id="9"/>
      <w:r w:rsidRPr="003903AA">
        <w:rPr>
          <w:rFonts w:cs="Arial"/>
          <w:color w:val="000000" w:themeColor="text1"/>
          <w:lang w:val="en-GB"/>
        </w:rPr>
        <w:br w:type="page"/>
      </w:r>
    </w:p>
    <w:p w14:paraId="1A31F660" w14:textId="77777777" w:rsidR="00814717" w:rsidRPr="003903AA" w:rsidRDefault="004A2BAC" w:rsidP="00E56E38">
      <w:pPr>
        <w:pStyle w:val="Heading1"/>
        <w:spacing w:before="120" w:after="120"/>
        <w:rPr>
          <w:rFonts w:cs="Arial"/>
          <w:color w:val="000000" w:themeColor="text1"/>
          <w:lang w:val="en-GB"/>
        </w:rPr>
      </w:pPr>
      <w:bookmarkStart w:id="10" w:name="_Toc213439684"/>
      <w:r w:rsidRPr="003903AA">
        <w:rPr>
          <w:rFonts w:cs="Arial"/>
          <w:color w:val="000000" w:themeColor="text1"/>
          <w:lang w:val="en-GB"/>
        </w:rPr>
        <w:lastRenderedPageBreak/>
        <w:t>Discussion</w:t>
      </w:r>
      <w:bookmarkEnd w:id="10"/>
    </w:p>
    <w:p w14:paraId="09C56ECF"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The scoping review reflected that digital health technologies have made a cosdnerable contribution to elevating the engagement of patients across the UK healthcare system. The ongoing uptake of platforms like as the NHS App, with a number of 37 million activated users, reflected he change in behaviour towards ‘digital-first interactions’. These findings stated that there has been elevated accessibility, convenience, and autonomy that promoted sustained engagement in digital health. The exceeding rate of remote consultations at the time of the pandemic, accounting for 85% of all consultations, has reflected that digital tools reduce access barriers and support patients in managing their own care (PMC, 2025). Nevertheless, the findings also reflected that engagement is not effective for population groups, specifically for older adults, as individuals lacking digital literacy and residing in any deprived regions fail to interact significantly and get treatment using digital platforms. This reflects that while digital health elevated engagement, its reach is still not equal, and further long-term support is needed to tackle with exceeding health inequalities.</w:t>
      </w:r>
    </w:p>
    <w:p w14:paraId="7638BBEF"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In relation to health </w:t>
      </w:r>
      <w:r w:rsidR="00E56E38" w:rsidRPr="003903AA">
        <w:rPr>
          <w:rFonts w:cs="Arial"/>
          <w:color w:val="000000" w:themeColor="text1"/>
          <w:lang w:val="en-GB"/>
        </w:rPr>
        <w:t>result</w:t>
      </w:r>
      <w:r w:rsidRPr="003903AA">
        <w:rPr>
          <w:rFonts w:cs="Arial"/>
          <w:color w:val="000000" w:themeColor="text1"/>
          <w:lang w:val="en-GB"/>
        </w:rPr>
        <w:t xml:space="preserve">, the results reflected that digital technologies support in imposing a positive impact on clinical performance metrics, like minimising mortality, reduction in emergency admissions and elevated management of long-term conditions. Remote monitoring interventions, like those considered within NHS Virtual Wards, reflected minimisation in hospital readmissions for chronic health issues, while digital screening tools used for sepsis have supported in 23% reduction in 30-day mortality (Ncbi, 2025). These findings reflected that patient engagement is associated with the developed health </w:t>
      </w:r>
      <w:r w:rsidR="00FF21D6" w:rsidRPr="003903AA">
        <w:rPr>
          <w:rFonts w:cs="Arial"/>
          <w:color w:val="000000" w:themeColor="text1"/>
          <w:lang w:val="en-GB"/>
        </w:rPr>
        <w:t>result</w:t>
      </w:r>
      <w:r w:rsidRPr="003903AA">
        <w:rPr>
          <w:rFonts w:cs="Arial"/>
          <w:color w:val="000000" w:themeColor="text1"/>
          <w:lang w:val="en-GB"/>
        </w:rPr>
        <w:t xml:space="preserve">, increasing range of self-monitoring and adherence to treatment are supported by digital technologies. Further, the range of benefits tends to differ for such tools based on citation variation and reflects the need for situation-focused design and evaluation. The result even reflected on certain barriers and facilitators that hinder the use of digital health technologies. Key facilitators incorporate developing convenience, timeliness, along </w:t>
      </w:r>
      <w:r w:rsidR="00E56E38" w:rsidRPr="003903AA">
        <w:rPr>
          <w:rFonts w:cs="Arial"/>
          <w:color w:val="000000" w:themeColor="text1"/>
          <w:lang w:val="en-GB"/>
        </w:rPr>
        <w:t>with</w:t>
      </w:r>
      <w:r w:rsidRPr="003903AA">
        <w:rPr>
          <w:rFonts w:cs="Arial"/>
          <w:color w:val="000000" w:themeColor="text1"/>
          <w:lang w:val="en-GB"/>
        </w:rPr>
        <w:t xml:space="preserve"> elevate communication with healthcare professionals. The key barriers reflected digital exclusion, a lack of internet access, health literacy, and mistrust within automated systems that affect care treatment. The findings indicated that the use of digital tools also depended on the socioeconomic determinants, with digitally literate as well as younger populations acquiring the most advantages. In terms of accessing the impact of digital health interventions tends to differ across organisational settings (Moschonis </w:t>
      </w:r>
      <w:r w:rsidRPr="003903AA">
        <w:rPr>
          <w:rFonts w:cs="Arial"/>
          <w:i/>
          <w:color w:val="000000" w:themeColor="text1"/>
          <w:lang w:val="en-GB"/>
        </w:rPr>
        <w:t xml:space="preserve">et al. </w:t>
      </w:r>
      <w:r w:rsidRPr="003903AA">
        <w:rPr>
          <w:rFonts w:cs="Arial"/>
          <w:color w:val="000000" w:themeColor="text1"/>
          <w:lang w:val="en-GB"/>
        </w:rPr>
        <w:t xml:space="preserve">2023). Primary care acquires advantages from administrative efficiency and streamlined triage, while secondary care acquires advantages from the remote disease management and minimisation of hospital bed pressures. Mental health </w:t>
      </w:r>
      <w:r w:rsidRPr="003903AA">
        <w:rPr>
          <w:rFonts w:cs="Arial"/>
          <w:color w:val="000000" w:themeColor="text1"/>
          <w:lang w:val="en-GB"/>
        </w:rPr>
        <w:lastRenderedPageBreak/>
        <w:t>services have also been impacted, as there was an increase in the reach of patients accessing treatment using digital therapies, however, the range of engagement tends to vary based on demographic group.</w:t>
      </w:r>
    </w:p>
    <w:p w14:paraId="798EBDA0" w14:textId="77777777" w:rsidR="00E56E38" w:rsidRPr="003903AA" w:rsidRDefault="00E56E38" w:rsidP="00E56E38">
      <w:pPr>
        <w:spacing w:before="120" w:after="120"/>
        <w:rPr>
          <w:rFonts w:cs="Arial"/>
          <w:b/>
          <w:color w:val="000000" w:themeColor="text1"/>
          <w:lang w:val="en-GB"/>
        </w:rPr>
      </w:pPr>
      <w:bookmarkStart w:id="11" w:name="_ribb7g3teojw" w:colFirst="0" w:colLast="0"/>
      <w:bookmarkEnd w:id="11"/>
      <w:r w:rsidRPr="003903AA">
        <w:rPr>
          <w:rFonts w:cs="Arial"/>
          <w:color w:val="000000" w:themeColor="text1"/>
          <w:lang w:val="en-GB"/>
        </w:rPr>
        <w:br w:type="page"/>
      </w:r>
    </w:p>
    <w:p w14:paraId="740DA26D" w14:textId="77777777" w:rsidR="00814717" w:rsidRPr="003903AA" w:rsidRDefault="004A2BAC" w:rsidP="00E56E38">
      <w:pPr>
        <w:pStyle w:val="Heading1"/>
        <w:spacing w:before="120" w:after="120"/>
        <w:rPr>
          <w:rFonts w:cs="Arial"/>
          <w:color w:val="000000" w:themeColor="text1"/>
          <w:lang w:val="en-GB"/>
        </w:rPr>
      </w:pPr>
      <w:bookmarkStart w:id="12" w:name="_Toc213439685"/>
      <w:r w:rsidRPr="003903AA">
        <w:rPr>
          <w:rFonts w:cs="Arial"/>
          <w:color w:val="000000" w:themeColor="text1"/>
          <w:lang w:val="en-GB"/>
        </w:rPr>
        <w:lastRenderedPageBreak/>
        <w:t>C</w:t>
      </w:r>
      <w:r w:rsidR="00E56E38" w:rsidRPr="003903AA">
        <w:rPr>
          <w:rFonts w:cs="Arial"/>
          <w:color w:val="000000" w:themeColor="text1"/>
          <w:lang w:val="en-GB"/>
        </w:rPr>
        <w:t>onclusion and Recommendations</w:t>
      </w:r>
      <w:bookmarkEnd w:id="12"/>
    </w:p>
    <w:p w14:paraId="4A1D20D0" w14:textId="77777777" w:rsidR="00814717" w:rsidRPr="003903AA" w:rsidRDefault="00E56E38" w:rsidP="00E56E38">
      <w:pPr>
        <w:spacing w:before="120" w:after="120"/>
        <w:rPr>
          <w:rFonts w:cs="Arial"/>
          <w:b/>
          <w:i/>
          <w:color w:val="000000" w:themeColor="text1"/>
          <w:lang w:val="en-GB"/>
        </w:rPr>
      </w:pPr>
      <w:r w:rsidRPr="003903AA">
        <w:rPr>
          <w:rFonts w:cs="Arial"/>
          <w:b/>
          <w:i/>
          <w:color w:val="000000" w:themeColor="text1"/>
          <w:lang w:val="en-GB"/>
        </w:rPr>
        <w:t xml:space="preserve">Conclusion </w:t>
      </w:r>
    </w:p>
    <w:p w14:paraId="5A80B715"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In essence, digital </w:t>
      </w:r>
      <w:r w:rsidR="00E56E38" w:rsidRPr="003903AA">
        <w:rPr>
          <w:rFonts w:cs="Arial"/>
          <w:color w:val="000000" w:themeColor="text1"/>
          <w:lang w:val="en-GB"/>
        </w:rPr>
        <w:t>healthcare</w:t>
      </w:r>
      <w:r w:rsidRPr="003903AA">
        <w:rPr>
          <w:rFonts w:cs="Arial"/>
          <w:color w:val="000000" w:themeColor="text1"/>
          <w:lang w:val="en-GB"/>
        </w:rPr>
        <w:t xml:space="preserve"> technologies impose assertive influence on the patient involvement and output within the UK healthcare. It contribute to the improvement of communication which enables the self-management while expanding care access. The inclusion of the applications such as mobile health apps, telemedicine and wearable devices empowered the patients to access the </w:t>
      </w:r>
      <w:r w:rsidR="00E56E38" w:rsidRPr="003903AA">
        <w:rPr>
          <w:rFonts w:cs="Arial"/>
          <w:color w:val="000000" w:themeColor="text1"/>
          <w:lang w:val="en-GB"/>
        </w:rPr>
        <w:t>efficient</w:t>
      </w:r>
      <w:r w:rsidRPr="003903AA">
        <w:rPr>
          <w:rFonts w:cs="Arial"/>
          <w:color w:val="000000" w:themeColor="text1"/>
          <w:lang w:val="en-GB"/>
        </w:rPr>
        <w:t xml:space="preserve"> and </w:t>
      </w:r>
      <w:r w:rsidR="00E56E38" w:rsidRPr="003903AA">
        <w:rPr>
          <w:rFonts w:cs="Arial"/>
          <w:color w:val="000000" w:themeColor="text1"/>
          <w:lang w:val="en-GB"/>
        </w:rPr>
        <w:t>personalised</w:t>
      </w:r>
      <w:r w:rsidRPr="003903AA">
        <w:rPr>
          <w:rFonts w:cs="Arial"/>
          <w:color w:val="000000" w:themeColor="text1"/>
          <w:lang w:val="en-GB"/>
        </w:rPr>
        <w:t xml:space="preserve"> care. However, the issues such as digital divide and the challenges related to data reliability underlines the need for including more strategic and proactive strategies. It was reflected that even though the digital tools supported in elevating efficiency and developing person-centred care, it needed consistent investment to elevate the </w:t>
      </w:r>
      <w:r w:rsidR="00E56E38" w:rsidRPr="003903AA">
        <w:rPr>
          <w:rFonts w:cs="Arial"/>
          <w:color w:val="000000" w:themeColor="text1"/>
          <w:lang w:val="en-GB"/>
        </w:rPr>
        <w:t>process</w:t>
      </w:r>
      <w:r w:rsidRPr="003903AA">
        <w:rPr>
          <w:rFonts w:cs="Arial"/>
          <w:color w:val="000000" w:themeColor="text1"/>
          <w:lang w:val="en-GB"/>
        </w:rPr>
        <w:t>, form targeted inclusion tactics and effective frameworks. The digital health technologies have the capability to upgrade treatment pace, effectiveness, safety as well as accessibility, which minimises the pressure on the UK healthcare firms.</w:t>
      </w:r>
    </w:p>
    <w:p w14:paraId="16FC9392" w14:textId="77777777" w:rsidR="00814717" w:rsidRPr="003903AA" w:rsidRDefault="00E56E38" w:rsidP="00E56E38">
      <w:pPr>
        <w:spacing w:before="120" w:after="120"/>
        <w:rPr>
          <w:rFonts w:cs="Arial"/>
          <w:b/>
          <w:i/>
          <w:color w:val="000000" w:themeColor="text1"/>
          <w:lang w:val="en-GB"/>
        </w:rPr>
      </w:pPr>
      <w:r w:rsidRPr="003903AA">
        <w:rPr>
          <w:rFonts w:cs="Arial"/>
          <w:b/>
          <w:i/>
          <w:color w:val="000000" w:themeColor="text1"/>
          <w:lang w:val="en-GB"/>
        </w:rPr>
        <w:t xml:space="preserve">Recommendations </w:t>
      </w:r>
    </w:p>
    <w:p w14:paraId="72B613F0" w14:textId="77777777" w:rsidR="00814717" w:rsidRPr="003903AA" w:rsidRDefault="004A2BAC" w:rsidP="00E56E38">
      <w:pPr>
        <w:spacing w:before="120" w:after="120"/>
        <w:rPr>
          <w:rFonts w:cs="Arial"/>
          <w:b/>
          <w:color w:val="000000" w:themeColor="text1"/>
          <w:lang w:val="en-GB"/>
        </w:rPr>
      </w:pPr>
      <w:r w:rsidRPr="003903AA">
        <w:rPr>
          <w:rFonts w:cs="Arial"/>
          <w:b/>
          <w:color w:val="000000" w:themeColor="text1"/>
          <w:lang w:val="en-GB"/>
        </w:rPr>
        <w:t>Future Research</w:t>
      </w:r>
    </w:p>
    <w:p w14:paraId="4E27DE77" w14:textId="77777777" w:rsidR="00814717" w:rsidRPr="003903AA" w:rsidRDefault="004A2BAC" w:rsidP="00E56E38">
      <w:pPr>
        <w:spacing w:before="120" w:after="120"/>
        <w:rPr>
          <w:rFonts w:cs="Arial"/>
          <w:i/>
          <w:color w:val="000000" w:themeColor="text1"/>
          <w:u w:val="single"/>
          <w:lang w:val="en-GB"/>
        </w:rPr>
      </w:pPr>
      <w:r w:rsidRPr="003903AA">
        <w:rPr>
          <w:rFonts w:cs="Arial"/>
          <w:i/>
          <w:color w:val="000000" w:themeColor="text1"/>
          <w:u w:val="single"/>
          <w:lang w:val="en-GB"/>
        </w:rPr>
        <w:t xml:space="preserve">Recommendations for Future Research </w:t>
      </w:r>
    </w:p>
    <w:p w14:paraId="6A8E53DE"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In the context of the future work, there is a need to evaluate the long-term health </w:t>
      </w:r>
      <w:r w:rsidR="00E56E38" w:rsidRPr="003903AA">
        <w:rPr>
          <w:rFonts w:cs="Arial"/>
          <w:color w:val="000000" w:themeColor="text1"/>
          <w:lang w:val="en-GB"/>
        </w:rPr>
        <w:t>result</w:t>
      </w:r>
      <w:r w:rsidRPr="003903AA">
        <w:rPr>
          <w:rFonts w:cs="Arial"/>
          <w:color w:val="000000" w:themeColor="text1"/>
          <w:lang w:val="en-GB"/>
        </w:rPr>
        <w:t xml:space="preserve"> formed due to using digital interventions for </w:t>
      </w:r>
      <w:r w:rsidR="00E56E38" w:rsidRPr="003903AA">
        <w:rPr>
          <w:rFonts w:cs="Arial"/>
          <w:color w:val="000000" w:themeColor="text1"/>
          <w:lang w:val="en-GB"/>
        </w:rPr>
        <w:t>distinctive</w:t>
      </w:r>
      <w:r w:rsidRPr="003903AA">
        <w:rPr>
          <w:rFonts w:cs="Arial"/>
          <w:color w:val="000000" w:themeColor="text1"/>
          <w:lang w:val="en-GB"/>
        </w:rPr>
        <w:t xml:space="preserve"> population groups, incorporating older adults, people with disabilities as well as residents of deprived regions even </w:t>
      </w:r>
      <w:r w:rsidR="00E56E38" w:rsidRPr="003903AA">
        <w:rPr>
          <w:rFonts w:cs="Arial"/>
          <w:color w:val="000000" w:themeColor="text1"/>
          <w:lang w:val="en-GB"/>
        </w:rPr>
        <w:t>the</w:t>
      </w:r>
      <w:r w:rsidRPr="003903AA">
        <w:rPr>
          <w:rFonts w:cs="Arial"/>
          <w:color w:val="000000" w:themeColor="text1"/>
          <w:lang w:val="en-GB"/>
        </w:rPr>
        <w:t xml:space="preserve"> </w:t>
      </w:r>
      <w:r w:rsidR="00E56E38" w:rsidRPr="003903AA">
        <w:rPr>
          <w:rFonts w:cs="Arial"/>
          <w:color w:val="000000" w:themeColor="text1"/>
          <w:lang w:val="en-GB"/>
        </w:rPr>
        <w:t>evolution</w:t>
      </w:r>
      <w:r w:rsidRPr="003903AA">
        <w:rPr>
          <w:rFonts w:cs="Arial"/>
          <w:color w:val="000000" w:themeColor="text1"/>
          <w:lang w:val="en-GB"/>
        </w:rPr>
        <w:t xml:space="preserve"> of digital health risks like algorithmic bias, data privacy issues and the impact of automation on decision formation is required to be dete</w:t>
      </w:r>
      <w:r w:rsidR="00E56E38" w:rsidRPr="003903AA">
        <w:rPr>
          <w:rFonts w:cs="Arial"/>
          <w:color w:val="000000" w:themeColor="text1"/>
          <w:lang w:val="en-GB"/>
        </w:rPr>
        <w:t xml:space="preserve">rmined in detail. Studies with </w:t>
      </w:r>
      <w:r w:rsidRPr="003903AA">
        <w:rPr>
          <w:rFonts w:cs="Arial"/>
          <w:color w:val="000000" w:themeColor="text1"/>
          <w:lang w:val="en-GB"/>
        </w:rPr>
        <w:t>NHS Trusts would support in determining best-practice models to support virtual wards, digital triage and remote monitoring. In future. This reflected the requirement for emerging AI-based diagnostic tools and wearable biosensors to support clinical safety and ethical use.</w:t>
      </w:r>
    </w:p>
    <w:p w14:paraId="71346747" w14:textId="77777777" w:rsidR="00814717" w:rsidRPr="003903AA" w:rsidRDefault="004A2BAC" w:rsidP="00E56E38">
      <w:pPr>
        <w:spacing w:before="120" w:after="120"/>
        <w:rPr>
          <w:rFonts w:cs="Arial"/>
          <w:i/>
          <w:color w:val="000000" w:themeColor="text1"/>
          <w:u w:val="single"/>
          <w:lang w:val="en-GB"/>
        </w:rPr>
      </w:pPr>
      <w:r w:rsidRPr="003903AA">
        <w:rPr>
          <w:rFonts w:cs="Arial"/>
          <w:i/>
          <w:color w:val="000000" w:themeColor="text1"/>
          <w:u w:val="single"/>
          <w:lang w:val="en-GB"/>
        </w:rPr>
        <w:t>Policy Recommendations</w:t>
      </w:r>
    </w:p>
    <w:p w14:paraId="026B03C3"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National policy requires prioritising the minimisation of digital exclusion by investing in digital literacy initiatives, subsidising internet access and </w:t>
      </w:r>
      <w:r w:rsidR="00E56E38" w:rsidRPr="003903AA">
        <w:rPr>
          <w:rFonts w:cs="Arial"/>
          <w:color w:val="000000" w:themeColor="text1"/>
          <w:lang w:val="en-GB"/>
        </w:rPr>
        <w:t>guaranteeing</w:t>
      </w:r>
      <w:r w:rsidRPr="003903AA">
        <w:rPr>
          <w:rFonts w:cs="Arial"/>
          <w:color w:val="000000" w:themeColor="text1"/>
          <w:lang w:val="en-GB"/>
        </w:rPr>
        <w:t xml:space="preserve"> accessibility standards across all NHS digital services. Elevating data governance, interoperability and upgrading digital infrastructure is vital to being integrated within future digital policies. Policymakers thus needed to form inclusive design principles to enhance the viability of the digital tools.</w:t>
      </w:r>
    </w:p>
    <w:p w14:paraId="5E7BF1C8" w14:textId="77777777" w:rsidR="00FF21D6" w:rsidRPr="003903AA" w:rsidRDefault="00FF21D6">
      <w:pPr>
        <w:rPr>
          <w:rFonts w:cs="Arial"/>
          <w:i/>
          <w:color w:val="000000" w:themeColor="text1"/>
          <w:u w:val="single"/>
          <w:lang w:val="en-GB"/>
        </w:rPr>
      </w:pPr>
      <w:r w:rsidRPr="003903AA">
        <w:rPr>
          <w:rFonts w:cs="Arial"/>
          <w:i/>
          <w:color w:val="000000" w:themeColor="text1"/>
          <w:u w:val="single"/>
          <w:lang w:val="en-GB"/>
        </w:rPr>
        <w:br w:type="page"/>
      </w:r>
    </w:p>
    <w:p w14:paraId="53F76A5C" w14:textId="77777777" w:rsidR="00814717" w:rsidRPr="003903AA" w:rsidRDefault="004A2BAC" w:rsidP="00E56E38">
      <w:pPr>
        <w:spacing w:before="120" w:after="120"/>
        <w:rPr>
          <w:rFonts w:cs="Arial"/>
          <w:i/>
          <w:color w:val="000000" w:themeColor="text1"/>
          <w:u w:val="single"/>
          <w:lang w:val="en-GB"/>
        </w:rPr>
      </w:pPr>
      <w:r w:rsidRPr="003903AA">
        <w:rPr>
          <w:rFonts w:cs="Arial"/>
          <w:i/>
          <w:color w:val="000000" w:themeColor="text1"/>
          <w:u w:val="single"/>
          <w:lang w:val="en-GB"/>
        </w:rPr>
        <w:lastRenderedPageBreak/>
        <w:t>Practice Recommendations</w:t>
      </w:r>
    </w:p>
    <w:p w14:paraId="55B8410F"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t xml:space="preserve">Healthcare professionals need to incorporate the use of models that amalgamate digital and face-to-face treatment to </w:t>
      </w:r>
      <w:r w:rsidR="00E56E38" w:rsidRPr="003903AA">
        <w:rPr>
          <w:rFonts w:cs="Arial"/>
          <w:color w:val="000000" w:themeColor="text1"/>
          <w:lang w:val="en-GB"/>
        </w:rPr>
        <w:t>guarantee</w:t>
      </w:r>
      <w:r w:rsidRPr="003903AA">
        <w:rPr>
          <w:rFonts w:cs="Arial"/>
          <w:color w:val="000000" w:themeColor="text1"/>
          <w:lang w:val="en-GB"/>
        </w:rPr>
        <w:t xml:space="preserve"> flexibility and patient choice. NHS firms and other health care providers need to give staff training in the context of digital communication, remote monitoring, </w:t>
      </w:r>
      <w:r w:rsidR="00E56E38" w:rsidRPr="003903AA">
        <w:rPr>
          <w:rFonts w:cs="Arial"/>
          <w:color w:val="000000" w:themeColor="text1"/>
          <w:lang w:val="en-GB"/>
        </w:rPr>
        <w:t>and evaluation</w:t>
      </w:r>
      <w:r w:rsidRPr="003903AA">
        <w:rPr>
          <w:rFonts w:cs="Arial"/>
          <w:color w:val="000000" w:themeColor="text1"/>
          <w:lang w:val="en-GB"/>
        </w:rPr>
        <w:t xml:space="preserve"> and secure use of digital tools. Monitoring of performance of the digital tool, satisfaction rate of patients and health effectiveness need to be considered to promote development and </w:t>
      </w:r>
      <w:r w:rsidR="00E56E38" w:rsidRPr="003903AA">
        <w:rPr>
          <w:rFonts w:cs="Arial"/>
          <w:color w:val="000000" w:themeColor="text1"/>
          <w:lang w:val="en-GB"/>
        </w:rPr>
        <w:t>guaranteeing</w:t>
      </w:r>
      <w:r w:rsidRPr="003903AA">
        <w:rPr>
          <w:rFonts w:cs="Arial"/>
          <w:color w:val="000000" w:themeColor="text1"/>
          <w:lang w:val="en-GB"/>
        </w:rPr>
        <w:t xml:space="preserve"> that use of the digital health technologies could elevate care and not trigger inequalities in care access.</w:t>
      </w:r>
    </w:p>
    <w:p w14:paraId="18A4BD09" w14:textId="77777777" w:rsidR="00814717" w:rsidRPr="003903AA" w:rsidRDefault="00814717" w:rsidP="00E56E38">
      <w:pPr>
        <w:spacing w:before="120" w:after="120"/>
        <w:rPr>
          <w:rFonts w:cs="Arial"/>
          <w:color w:val="000000" w:themeColor="text1"/>
          <w:lang w:val="en-GB"/>
        </w:rPr>
      </w:pPr>
    </w:p>
    <w:p w14:paraId="02F4BAEB" w14:textId="77777777" w:rsidR="00814717" w:rsidRPr="003903AA" w:rsidRDefault="00814717" w:rsidP="00E56E38">
      <w:pPr>
        <w:spacing w:before="120" w:after="120"/>
        <w:rPr>
          <w:rFonts w:cs="Arial"/>
          <w:color w:val="000000" w:themeColor="text1"/>
          <w:lang w:val="en-GB"/>
        </w:rPr>
      </w:pPr>
    </w:p>
    <w:p w14:paraId="01B38924" w14:textId="77777777" w:rsidR="00814717" w:rsidRPr="003903AA" w:rsidRDefault="00814717" w:rsidP="00E56E38">
      <w:pPr>
        <w:spacing w:before="120" w:after="120"/>
        <w:rPr>
          <w:rFonts w:cs="Arial"/>
          <w:color w:val="000000" w:themeColor="text1"/>
          <w:lang w:val="en-GB"/>
        </w:rPr>
      </w:pPr>
    </w:p>
    <w:p w14:paraId="5FA0CD4C" w14:textId="77777777" w:rsidR="00814717" w:rsidRPr="003903AA" w:rsidRDefault="004A2BAC" w:rsidP="00E56E38">
      <w:pPr>
        <w:spacing w:before="120" w:after="120"/>
        <w:rPr>
          <w:rFonts w:cs="Arial"/>
          <w:color w:val="000000" w:themeColor="text1"/>
          <w:lang w:val="en-GB"/>
        </w:rPr>
      </w:pPr>
      <w:r w:rsidRPr="003903AA">
        <w:rPr>
          <w:rFonts w:cs="Arial"/>
          <w:color w:val="000000" w:themeColor="text1"/>
          <w:lang w:val="en-GB"/>
        </w:rPr>
        <w:br w:type="page"/>
      </w:r>
    </w:p>
    <w:p w14:paraId="36F0B552" w14:textId="77777777" w:rsidR="00814717" w:rsidRPr="003903AA" w:rsidRDefault="004A2BAC" w:rsidP="00E56E38">
      <w:pPr>
        <w:pStyle w:val="Heading1"/>
        <w:spacing w:before="120" w:after="120"/>
        <w:rPr>
          <w:rFonts w:cs="Arial"/>
          <w:color w:val="000000" w:themeColor="text1"/>
          <w:lang w:val="en-GB"/>
        </w:rPr>
      </w:pPr>
      <w:bookmarkStart w:id="13" w:name="_ucqf7dhlned8" w:colFirst="0" w:colLast="0"/>
      <w:bookmarkStart w:id="14" w:name="_Toc213439686"/>
      <w:bookmarkEnd w:id="13"/>
      <w:r w:rsidRPr="003903AA">
        <w:rPr>
          <w:rFonts w:cs="Arial"/>
          <w:color w:val="000000" w:themeColor="text1"/>
        </w:rPr>
        <w:lastRenderedPageBreak/>
        <w:t>Reference</w:t>
      </w:r>
      <w:r w:rsidRPr="003903AA">
        <w:rPr>
          <w:rFonts w:cs="Arial"/>
          <w:color w:val="000000" w:themeColor="text1"/>
          <w:lang w:val="en-GB"/>
        </w:rPr>
        <w:t xml:space="preserve"> List</w:t>
      </w:r>
      <w:bookmarkEnd w:id="14"/>
      <w:r w:rsidRPr="003903AA">
        <w:rPr>
          <w:rFonts w:cs="Arial"/>
          <w:color w:val="000000" w:themeColor="text1"/>
          <w:lang w:val="en-GB"/>
        </w:rPr>
        <w:t xml:space="preserve">    </w:t>
      </w:r>
    </w:p>
    <w:p w14:paraId="4B68DF62" w14:textId="77777777" w:rsidR="00E56E38" w:rsidRPr="003903AA" w:rsidRDefault="00E56E38" w:rsidP="00E56E38">
      <w:pPr>
        <w:spacing w:before="120" w:after="120"/>
        <w:rPr>
          <w:rFonts w:cs="Arial"/>
          <w:color w:val="000000" w:themeColor="text1"/>
          <w:lang w:val="en-GB"/>
        </w:rPr>
      </w:pPr>
      <w:r w:rsidRPr="003903AA">
        <w:rPr>
          <w:rFonts w:cs="Arial"/>
          <w:color w:val="000000" w:themeColor="text1"/>
          <w:lang w:val="en-GB"/>
        </w:rPr>
        <w:t xml:space="preserve">Adu, P. (2019) </w:t>
      </w:r>
      <w:r w:rsidRPr="003903AA">
        <w:rPr>
          <w:rFonts w:cs="Arial"/>
          <w:i/>
          <w:color w:val="000000" w:themeColor="text1"/>
          <w:lang w:val="en-GB"/>
        </w:rPr>
        <w:t>A step-by-step guide to qualitative data coding</w:t>
      </w:r>
      <w:r w:rsidRPr="003903AA">
        <w:rPr>
          <w:rFonts w:cs="Arial"/>
          <w:color w:val="000000" w:themeColor="text1"/>
          <w:lang w:val="en-GB"/>
        </w:rPr>
        <w:t>, Routledge. Available at:</w:t>
      </w:r>
      <w:hyperlink r:id="rId11">
        <w:r w:rsidRPr="003903AA">
          <w:rPr>
            <w:rFonts w:cs="Arial"/>
            <w:color w:val="000000" w:themeColor="text1"/>
            <w:lang w:val="en-GB"/>
          </w:rPr>
          <w:t xml:space="preserve"> https://doi.org/10.4324/9781351044516</w:t>
        </w:r>
      </w:hyperlink>
    </w:p>
    <w:p w14:paraId="114E8F37" w14:textId="77777777" w:rsidR="00E56E38"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t>Baines, R., Bradwell, H., Edwards, K., Stevens, S., Prime, S., Tredinnick</w:t>
      </w:r>
      <w:r w:rsidRPr="003903AA">
        <w:rPr>
          <w:rFonts w:ascii="Cambria Math" w:hAnsi="Cambria Math" w:cs="Cambria Math"/>
          <w:color w:val="000000" w:themeColor="text1"/>
          <w:highlight w:val="white"/>
          <w:lang w:val="en-GB"/>
        </w:rPr>
        <w:t>‐</w:t>
      </w:r>
      <w:r w:rsidRPr="003903AA">
        <w:rPr>
          <w:rFonts w:cs="Arial"/>
          <w:color w:val="000000" w:themeColor="text1"/>
          <w:highlight w:val="white"/>
          <w:lang w:val="en-GB"/>
        </w:rPr>
        <w:t xml:space="preserve">Rowe, J., Sibley, M. and Bouvy, A. (2022) ‘Meaningful patient and public involvement in digital health innovation, implementation and evaluation: a systematic review’, </w:t>
      </w:r>
      <w:r w:rsidRPr="003903AA">
        <w:rPr>
          <w:rFonts w:cs="Arial"/>
          <w:i/>
          <w:color w:val="000000" w:themeColor="text1"/>
          <w:highlight w:val="white"/>
          <w:lang w:val="en-GB"/>
        </w:rPr>
        <w:t>Health Expectations</w:t>
      </w:r>
      <w:r w:rsidRPr="003903AA">
        <w:rPr>
          <w:rFonts w:cs="Arial"/>
          <w:color w:val="000000" w:themeColor="text1"/>
          <w:highlight w:val="white"/>
          <w:lang w:val="en-GB"/>
        </w:rPr>
        <w:t xml:space="preserve">, </w:t>
      </w:r>
      <w:r w:rsidRPr="003903AA">
        <w:rPr>
          <w:rFonts w:cs="Arial"/>
          <w:i/>
          <w:color w:val="000000" w:themeColor="text1"/>
          <w:highlight w:val="white"/>
          <w:lang w:val="en-GB"/>
        </w:rPr>
        <w:t>25</w:t>
      </w:r>
      <w:r w:rsidRPr="003903AA">
        <w:rPr>
          <w:rFonts w:cs="Arial"/>
          <w:color w:val="000000" w:themeColor="text1"/>
          <w:highlight w:val="white"/>
          <w:lang w:val="en-GB"/>
        </w:rPr>
        <w:t>(4), pp. 1232-1245. Available at:</w:t>
      </w:r>
      <w:hyperlink r:id="rId12">
        <w:r w:rsidRPr="003903AA">
          <w:rPr>
            <w:rFonts w:cs="Arial"/>
            <w:color w:val="000000" w:themeColor="text1"/>
            <w:highlight w:val="white"/>
            <w:lang w:val="en-GB"/>
          </w:rPr>
          <w:t xml:space="preserve"> </w:t>
        </w:r>
      </w:hyperlink>
      <w:hyperlink r:id="rId13">
        <w:r w:rsidRPr="003903AA">
          <w:rPr>
            <w:rFonts w:cs="Arial"/>
            <w:color w:val="000000" w:themeColor="text1"/>
            <w:highlight w:val="white"/>
            <w:lang w:val="en-GB"/>
          </w:rPr>
          <w:t>https://onlinelibrary.wiley.com/doi/pdfdirect/10.1111/hex.13506</w:t>
        </w:r>
      </w:hyperlink>
    </w:p>
    <w:p w14:paraId="0DD8F7F1" w14:textId="77777777" w:rsidR="00E56E38" w:rsidRPr="003903AA" w:rsidRDefault="00E56E38" w:rsidP="00E56E38">
      <w:pPr>
        <w:spacing w:before="120" w:after="120"/>
        <w:rPr>
          <w:rFonts w:cs="Arial"/>
          <w:color w:val="000000" w:themeColor="text1"/>
          <w:lang w:val="en-GB"/>
        </w:rPr>
      </w:pPr>
      <w:r w:rsidRPr="003903AA">
        <w:rPr>
          <w:rFonts w:cs="Arial"/>
          <w:color w:val="000000" w:themeColor="text1"/>
          <w:lang w:val="en-GB"/>
        </w:rPr>
        <w:t xml:space="preserve">Braun, V. and Clarke, V. (2021) ‘One size fits all? What counts as quality practice in (reflexive) thematic analysis?’, </w:t>
      </w:r>
      <w:r w:rsidRPr="003903AA">
        <w:rPr>
          <w:rFonts w:cs="Arial"/>
          <w:i/>
          <w:color w:val="000000" w:themeColor="text1"/>
          <w:lang w:val="en-GB"/>
        </w:rPr>
        <w:t>Qualitative research in psychology</w:t>
      </w:r>
      <w:r w:rsidRPr="003903AA">
        <w:rPr>
          <w:rFonts w:cs="Arial"/>
          <w:color w:val="000000" w:themeColor="text1"/>
          <w:lang w:val="en-GB"/>
        </w:rPr>
        <w:t xml:space="preserve">, </w:t>
      </w:r>
      <w:r w:rsidRPr="003903AA">
        <w:rPr>
          <w:rFonts w:cs="Arial"/>
          <w:i/>
          <w:color w:val="000000" w:themeColor="text1"/>
          <w:lang w:val="en-GB"/>
        </w:rPr>
        <w:t>18</w:t>
      </w:r>
      <w:r w:rsidRPr="003903AA">
        <w:rPr>
          <w:rFonts w:cs="Arial"/>
          <w:color w:val="000000" w:themeColor="text1"/>
          <w:lang w:val="en-GB"/>
        </w:rPr>
        <w:t>(3), pp. 328-352. Available at:</w:t>
      </w:r>
      <w:hyperlink r:id="rId14">
        <w:r w:rsidRPr="003903AA">
          <w:rPr>
            <w:rFonts w:cs="Arial"/>
            <w:color w:val="000000" w:themeColor="text1"/>
            <w:lang w:val="en-GB"/>
          </w:rPr>
          <w:t xml:space="preserve"> https://doi.org/10.1080/14780887.2020.1769238</w:t>
        </w:r>
      </w:hyperlink>
    </w:p>
    <w:p w14:paraId="57AC8C8D" w14:textId="77777777" w:rsidR="00E56E38" w:rsidRPr="003903AA" w:rsidRDefault="00E56E38" w:rsidP="00E56E38">
      <w:pPr>
        <w:spacing w:before="120" w:after="120"/>
        <w:rPr>
          <w:rFonts w:cs="Arial"/>
          <w:color w:val="000000" w:themeColor="text1"/>
          <w:lang w:val="en-GB"/>
        </w:rPr>
      </w:pPr>
      <w:r w:rsidRPr="003903AA">
        <w:rPr>
          <w:rFonts w:cs="Arial"/>
          <w:color w:val="000000" w:themeColor="text1"/>
          <w:lang w:val="en-GB"/>
        </w:rPr>
        <w:t xml:space="preserve">DePoy, E. (2024) </w:t>
      </w:r>
      <w:r w:rsidRPr="003903AA">
        <w:rPr>
          <w:rFonts w:cs="Arial"/>
          <w:i/>
          <w:color w:val="000000" w:themeColor="text1"/>
          <w:lang w:val="en-GB"/>
        </w:rPr>
        <w:t>Introduction to research-e-book: Understanding and applying multiple strategies</w:t>
      </w:r>
      <w:r w:rsidRPr="003903AA">
        <w:rPr>
          <w:rFonts w:cs="Arial"/>
          <w:color w:val="000000" w:themeColor="text1"/>
          <w:lang w:val="en-GB"/>
        </w:rPr>
        <w:t>, Elsevier Health Sciences. Available at:</w:t>
      </w:r>
      <w:hyperlink r:id="rId15">
        <w:r w:rsidRPr="003903AA">
          <w:rPr>
            <w:rFonts w:cs="Arial"/>
            <w:color w:val="000000" w:themeColor="text1"/>
            <w:lang w:val="en-GB"/>
          </w:rPr>
          <w:t xml:space="preserve"> https://books.google.com/books?hl=en&amp;lr=&amp;id=G5AzEQAAQBAJ&amp;oi=fnd&amp;pg=PP1&amp;dq=research+methodology+book&amp;ots=PzatvMEdTj&amp;sig=Q_ljVok97O3P8HQu3HuCcZZtJ6U</w:t>
        </w:r>
      </w:hyperlink>
    </w:p>
    <w:p w14:paraId="1198D950" w14:textId="77777777" w:rsidR="00E56E38" w:rsidRPr="003903AA" w:rsidRDefault="00E56E38" w:rsidP="00E56E38">
      <w:pPr>
        <w:spacing w:before="120" w:after="120"/>
        <w:rPr>
          <w:rFonts w:cs="Arial"/>
          <w:color w:val="000000" w:themeColor="text1"/>
          <w:lang w:val="en-GB"/>
        </w:rPr>
      </w:pPr>
      <w:r w:rsidRPr="003903AA">
        <w:rPr>
          <w:rFonts w:cs="Arial"/>
          <w:color w:val="000000" w:themeColor="text1"/>
          <w:lang w:val="en-GB"/>
        </w:rPr>
        <w:t xml:space="preserve">Dinc, R. (2024) </w:t>
      </w:r>
      <w:r w:rsidRPr="003903AA">
        <w:rPr>
          <w:rFonts w:cs="Arial"/>
          <w:i/>
          <w:color w:val="000000" w:themeColor="text1"/>
          <w:lang w:val="en-GB"/>
        </w:rPr>
        <w:t>Digital Health: The Impact of Technology on Healthcare</w:t>
      </w:r>
      <w:r w:rsidRPr="003903AA">
        <w:rPr>
          <w:rFonts w:cs="Arial"/>
          <w:color w:val="000000" w:themeColor="text1"/>
          <w:lang w:val="en-GB"/>
        </w:rPr>
        <w:t>, Troubador Publishing Ltd. Available at:</w:t>
      </w:r>
      <w:hyperlink r:id="rId16">
        <w:r w:rsidRPr="003903AA">
          <w:rPr>
            <w:rFonts w:cs="Arial"/>
            <w:color w:val="000000" w:themeColor="text1"/>
            <w:lang w:val="en-GB"/>
          </w:rPr>
          <w:t xml:space="preserve"> https://books.google.com/books?hl=en&amp;lr=&amp;id=dQ39EAAAQBAJ&amp;oi=fnd&amp;pg=PT9&amp;dq=digital+technologies+in+the+UK+healthcare+system+book&amp;ots=qneyR-v6kU&amp;sig=1SLVVwACVtHYEwOGHjPdujcdv88</w:t>
        </w:r>
      </w:hyperlink>
    </w:p>
    <w:p w14:paraId="2FD58E9B" w14:textId="77777777" w:rsidR="00E56E38" w:rsidRPr="003903AA" w:rsidRDefault="00E56E38" w:rsidP="00E56E38">
      <w:pPr>
        <w:spacing w:before="120" w:after="120"/>
        <w:rPr>
          <w:rFonts w:eastAsia="Arial" w:cs="Arial"/>
          <w:color w:val="000000" w:themeColor="text1"/>
          <w:lang w:val="en-GB"/>
        </w:rPr>
      </w:pPr>
      <w:r w:rsidRPr="003903AA">
        <w:rPr>
          <w:rFonts w:eastAsia="Arial" w:cs="Arial"/>
          <w:color w:val="000000" w:themeColor="text1"/>
          <w:lang w:val="en-GB"/>
        </w:rPr>
        <w:t xml:space="preserve">England.nhs.uk (2023) </w:t>
      </w:r>
      <w:r w:rsidRPr="003903AA">
        <w:rPr>
          <w:rFonts w:eastAsia="Arial" w:cs="Arial"/>
          <w:i/>
          <w:color w:val="000000" w:themeColor="text1"/>
          <w:lang w:val="en-GB"/>
        </w:rPr>
        <w:t xml:space="preserve">NHS virtual wards to treat thousands of patients with heart failure at home. </w:t>
      </w:r>
      <w:r w:rsidRPr="003903AA">
        <w:rPr>
          <w:rFonts w:eastAsia="Arial" w:cs="Arial"/>
          <w:color w:val="000000" w:themeColor="text1"/>
          <w:lang w:val="en-GB"/>
        </w:rPr>
        <w:t xml:space="preserve">Available at:  </w:t>
      </w:r>
      <w:hyperlink r:id="rId17" w:anchor=":~:text=Thousands%20of%20patients%20with%20heart%20failure%20will%20now%20be%20treated,easing%20pressure%20on%20hospital%20beds">
        <w:r w:rsidRPr="003903AA">
          <w:rPr>
            <w:rFonts w:eastAsia="Arial" w:cs="Arial"/>
            <w:color w:val="000000" w:themeColor="text1"/>
            <w:lang w:val="en-GB"/>
          </w:rPr>
          <w:t>https://www.england.nhs.uk/2023/10/nhs-virtual-wards-to-treat-thousands-of-patients-with-heart-failure-at-home/#:~:text=Thousands%20of%20patients%20with%20heart%20failure%20will%20now%20be%20treated,easing%20pressure%20on%20hospital%20beds</w:t>
        </w:r>
      </w:hyperlink>
      <w:r w:rsidRPr="003903AA">
        <w:rPr>
          <w:rFonts w:eastAsia="Arial" w:cs="Arial"/>
          <w:color w:val="000000" w:themeColor="text1"/>
          <w:lang w:val="en-GB"/>
        </w:rPr>
        <w:t xml:space="preserve"> [Accessed on: 07</w:t>
      </w:r>
      <w:r w:rsidRPr="003903AA">
        <w:rPr>
          <w:rFonts w:eastAsia="Arial" w:cs="Arial"/>
          <w:color w:val="000000" w:themeColor="text1"/>
          <w:vertAlign w:val="superscript"/>
          <w:lang w:val="en-GB"/>
        </w:rPr>
        <w:t>th</w:t>
      </w:r>
      <w:r w:rsidRPr="003903AA">
        <w:rPr>
          <w:rFonts w:eastAsia="Arial" w:cs="Arial"/>
          <w:color w:val="000000" w:themeColor="text1"/>
          <w:lang w:val="en-GB"/>
        </w:rPr>
        <w:t xml:space="preserve"> November, 2025] . </w:t>
      </w:r>
    </w:p>
    <w:p w14:paraId="2ECCA128" w14:textId="77777777" w:rsidR="00E56E38" w:rsidRPr="003903AA" w:rsidRDefault="00E56E38" w:rsidP="00E56E38">
      <w:pPr>
        <w:spacing w:before="120" w:after="120"/>
        <w:rPr>
          <w:rFonts w:eastAsia="Arial" w:cs="Arial"/>
          <w:color w:val="000000" w:themeColor="text1"/>
          <w:lang w:val="en-GB"/>
        </w:rPr>
      </w:pPr>
      <w:r w:rsidRPr="003903AA">
        <w:rPr>
          <w:rFonts w:eastAsia="Arial" w:cs="Arial"/>
          <w:color w:val="000000" w:themeColor="text1"/>
          <w:lang w:val="en-GB"/>
        </w:rPr>
        <w:t xml:space="preserve">England.nhs.uk (2025) </w:t>
      </w:r>
      <w:r w:rsidRPr="003903AA">
        <w:rPr>
          <w:rFonts w:eastAsia="Arial" w:cs="Arial"/>
          <w:i/>
          <w:color w:val="000000" w:themeColor="text1"/>
          <w:lang w:val="en-GB"/>
        </w:rPr>
        <w:t xml:space="preserve">Millions more online consultation submissions by patients to practices in September. </w:t>
      </w:r>
      <w:r w:rsidRPr="003903AA">
        <w:rPr>
          <w:rFonts w:eastAsia="Arial" w:cs="Arial"/>
          <w:color w:val="000000" w:themeColor="text1"/>
          <w:lang w:val="en-GB"/>
        </w:rPr>
        <w:t xml:space="preserve">Available at: </w:t>
      </w:r>
      <w:hyperlink r:id="rId18">
        <w:r w:rsidRPr="003903AA">
          <w:rPr>
            <w:rFonts w:eastAsia="Arial" w:cs="Arial"/>
            <w:color w:val="000000" w:themeColor="text1"/>
            <w:lang w:val="en-GB"/>
          </w:rPr>
          <w:t>https://www.england.nhs.uk/2025/10/millions-more-online-consultation-submissions-by-patients-to-practices-in-september/</w:t>
        </w:r>
      </w:hyperlink>
      <w:r w:rsidRPr="003903AA">
        <w:rPr>
          <w:rFonts w:eastAsia="Arial" w:cs="Arial"/>
          <w:color w:val="000000" w:themeColor="text1"/>
          <w:lang w:val="en-GB"/>
        </w:rPr>
        <w:t xml:space="preserve"> [Accessed on: 07</w:t>
      </w:r>
      <w:r w:rsidRPr="003903AA">
        <w:rPr>
          <w:rFonts w:eastAsia="Arial" w:cs="Arial"/>
          <w:color w:val="000000" w:themeColor="text1"/>
          <w:vertAlign w:val="superscript"/>
          <w:lang w:val="en-GB"/>
        </w:rPr>
        <w:t>th</w:t>
      </w:r>
      <w:r w:rsidRPr="003903AA">
        <w:rPr>
          <w:rFonts w:eastAsia="Arial" w:cs="Arial"/>
          <w:color w:val="000000" w:themeColor="text1"/>
          <w:lang w:val="en-GB"/>
        </w:rPr>
        <w:t xml:space="preserve"> November, 2025]  </w:t>
      </w:r>
    </w:p>
    <w:p w14:paraId="7B4F54FE" w14:textId="77777777" w:rsidR="00E56E38" w:rsidRPr="003903AA" w:rsidRDefault="00E56E38" w:rsidP="00E56E38">
      <w:pPr>
        <w:spacing w:before="120" w:after="120"/>
        <w:rPr>
          <w:rFonts w:cs="Arial"/>
          <w:color w:val="000000" w:themeColor="text1"/>
          <w:lang w:val="en-GB"/>
        </w:rPr>
      </w:pPr>
      <w:r w:rsidRPr="003903AA">
        <w:rPr>
          <w:rFonts w:cs="Arial"/>
          <w:color w:val="000000" w:themeColor="text1"/>
          <w:lang w:val="en-GB"/>
        </w:rPr>
        <w:t xml:space="preserve">GDPR (2025) </w:t>
      </w:r>
      <w:r w:rsidRPr="003903AA">
        <w:rPr>
          <w:rFonts w:cs="Arial"/>
          <w:i/>
          <w:color w:val="000000" w:themeColor="text1"/>
          <w:lang w:val="en-GB"/>
        </w:rPr>
        <w:t>What is GDPR, the EU’s new data protection law?</w:t>
      </w:r>
      <w:r w:rsidRPr="003903AA">
        <w:rPr>
          <w:rFonts w:cs="Arial"/>
          <w:color w:val="000000" w:themeColor="text1"/>
          <w:lang w:val="en-GB"/>
        </w:rPr>
        <w:t xml:space="preserve"> Available at:</w:t>
      </w:r>
      <w:hyperlink r:id="rId19">
        <w:r w:rsidRPr="003903AA">
          <w:rPr>
            <w:rFonts w:cs="Arial"/>
            <w:color w:val="000000" w:themeColor="text1"/>
            <w:lang w:val="en-GB"/>
          </w:rPr>
          <w:t xml:space="preserve"> https://gdpr.eu/what-is-gdpr/</w:t>
        </w:r>
      </w:hyperlink>
      <w:r w:rsidRPr="003903AA">
        <w:rPr>
          <w:rFonts w:cs="Arial"/>
          <w:color w:val="000000" w:themeColor="text1"/>
          <w:lang w:val="en-GB"/>
        </w:rPr>
        <w:t xml:space="preserve"> [Accessed on: 07</w:t>
      </w:r>
      <w:r w:rsidRPr="003903AA">
        <w:rPr>
          <w:rFonts w:cs="Arial"/>
          <w:color w:val="000000" w:themeColor="text1"/>
          <w:vertAlign w:val="superscript"/>
          <w:lang w:val="en-GB"/>
        </w:rPr>
        <w:t>th</w:t>
      </w:r>
      <w:r w:rsidRPr="003903AA">
        <w:rPr>
          <w:rFonts w:cs="Arial"/>
          <w:color w:val="000000" w:themeColor="text1"/>
          <w:lang w:val="en-GB"/>
        </w:rPr>
        <w:t xml:space="preserve"> November, 2025]</w:t>
      </w:r>
    </w:p>
    <w:p w14:paraId="2D7C8FD5" w14:textId="77777777" w:rsidR="00E56E38"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lastRenderedPageBreak/>
        <w:t xml:space="preserve">Health.org (2025) </w:t>
      </w:r>
      <w:r w:rsidRPr="003903AA">
        <w:rPr>
          <w:rFonts w:cs="Arial"/>
          <w:i/>
          <w:color w:val="000000" w:themeColor="text1"/>
          <w:highlight w:val="white"/>
          <w:lang w:val="en-GB"/>
        </w:rPr>
        <w:t>Exploring public attitudes towards the use of digital health technologies and data.</w:t>
      </w:r>
      <w:r w:rsidRPr="003903AA">
        <w:rPr>
          <w:rFonts w:cs="Arial"/>
          <w:color w:val="000000" w:themeColor="text1"/>
          <w:highlight w:val="white"/>
          <w:lang w:val="en-GB"/>
        </w:rPr>
        <w:t xml:space="preserve"> Available at: https://www.health.org.uk/reports-and-analysis/briefings/exploring-public-attitudes-towards-the-use-of-digital-health [Accessed on: 07</w:t>
      </w:r>
      <w:r w:rsidRPr="003903AA">
        <w:rPr>
          <w:rFonts w:cs="Arial"/>
          <w:color w:val="000000" w:themeColor="text1"/>
          <w:highlight w:val="white"/>
          <w:vertAlign w:val="superscript"/>
          <w:lang w:val="en-GB"/>
        </w:rPr>
        <w:t>th</w:t>
      </w:r>
      <w:r w:rsidRPr="003903AA">
        <w:rPr>
          <w:rFonts w:cs="Arial"/>
          <w:color w:val="000000" w:themeColor="text1"/>
          <w:highlight w:val="white"/>
          <w:lang w:val="en-GB"/>
        </w:rPr>
        <w:t xml:space="preserve"> November, 2025]</w:t>
      </w:r>
    </w:p>
    <w:p w14:paraId="1EA6A616" w14:textId="77777777" w:rsidR="00E56E38"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t xml:space="preserve">Hölsä, S., Viitanen, J., Valkonen, P., Lääveri, T. and Rauta, V. (2024) ‘Developing eHealth for Home Dialysis: Clinicians' Needs for a Digital Patient Engagement Platform’, </w:t>
      </w:r>
      <w:r w:rsidRPr="003903AA">
        <w:rPr>
          <w:rFonts w:cs="Arial"/>
          <w:i/>
          <w:color w:val="000000" w:themeColor="text1"/>
          <w:highlight w:val="white"/>
          <w:lang w:val="en-GB"/>
        </w:rPr>
        <w:t>Studies in health technology and informatics</w:t>
      </w:r>
      <w:r w:rsidRPr="003903AA">
        <w:rPr>
          <w:rFonts w:cs="Arial"/>
          <w:color w:val="000000" w:themeColor="text1"/>
          <w:highlight w:val="white"/>
          <w:lang w:val="en-GB"/>
        </w:rPr>
        <w:t>, pp. 1111-1115. Available at:</w:t>
      </w:r>
      <w:hyperlink r:id="rId20">
        <w:r w:rsidRPr="003903AA">
          <w:rPr>
            <w:rFonts w:cs="Arial"/>
            <w:color w:val="000000" w:themeColor="text1"/>
            <w:highlight w:val="white"/>
            <w:lang w:val="en-GB"/>
          </w:rPr>
          <w:t xml:space="preserve"> </w:t>
        </w:r>
      </w:hyperlink>
      <w:hyperlink r:id="rId21">
        <w:r w:rsidRPr="003903AA">
          <w:rPr>
            <w:rFonts w:cs="Arial"/>
            <w:color w:val="000000" w:themeColor="text1"/>
            <w:highlight w:val="white"/>
            <w:lang w:val="en-GB"/>
          </w:rPr>
          <w:t>https://research.aalto.fi/files/181062039/Developing_eHealth_for_Home_Dialysis_-_Clinicians_Needs_for_a_Digital_Patient_Engagement_Platform.pdf</w:t>
        </w:r>
      </w:hyperlink>
    </w:p>
    <w:p w14:paraId="7A3E6D4F" w14:textId="77777777" w:rsidR="00E56E38" w:rsidRPr="003903AA" w:rsidRDefault="00E56E38" w:rsidP="00E56E38">
      <w:pPr>
        <w:spacing w:before="120" w:after="120"/>
        <w:rPr>
          <w:rFonts w:eastAsia="Arial" w:cs="Arial"/>
          <w:color w:val="000000" w:themeColor="text1"/>
          <w:lang w:val="en-GB"/>
        </w:rPr>
      </w:pPr>
      <w:r w:rsidRPr="003903AA">
        <w:rPr>
          <w:rFonts w:eastAsia="Arial" w:cs="Arial"/>
          <w:color w:val="000000" w:themeColor="text1"/>
          <w:lang w:val="en-GB"/>
        </w:rPr>
        <w:t xml:space="preserve">Hssib.org.uk (2025). Available at: </w:t>
      </w:r>
      <w:hyperlink r:id="rId22" w:anchor=":~:text=The%20implementation%20of%20electronic%20prescribing,improve%20communication%20between%20care%20settings">
        <w:r w:rsidRPr="003903AA">
          <w:rPr>
            <w:rFonts w:eastAsia="Arial" w:cs="Arial"/>
            <w:color w:val="000000" w:themeColor="text1"/>
            <w:lang w:val="en-GB"/>
          </w:rPr>
          <w:t>https://www.hssib.org.uk/patient-safety-investigations/electronic-prescribing-and-medicines-administration-systems-and-safe-discharge/investigation-report/#:~:text=The%20implementation%20of%20electronic%20prescribing,improve%20communication%20between%20care%20settings</w:t>
        </w:r>
      </w:hyperlink>
      <w:r w:rsidRPr="003903AA">
        <w:rPr>
          <w:rFonts w:eastAsia="Arial" w:cs="Arial"/>
          <w:color w:val="000000" w:themeColor="text1"/>
          <w:lang w:val="en-GB"/>
        </w:rPr>
        <w:t xml:space="preserve"> [Accessed on: 07</w:t>
      </w:r>
      <w:r w:rsidRPr="003903AA">
        <w:rPr>
          <w:rFonts w:eastAsia="Arial" w:cs="Arial"/>
          <w:color w:val="000000" w:themeColor="text1"/>
          <w:vertAlign w:val="superscript"/>
          <w:lang w:val="en-GB"/>
        </w:rPr>
        <w:t>th</w:t>
      </w:r>
      <w:r w:rsidRPr="003903AA">
        <w:rPr>
          <w:rFonts w:eastAsia="Arial" w:cs="Arial"/>
          <w:color w:val="000000" w:themeColor="text1"/>
          <w:lang w:val="en-GB"/>
        </w:rPr>
        <w:t xml:space="preserve"> November, 2025].  </w:t>
      </w:r>
    </w:p>
    <w:p w14:paraId="47F46F4D" w14:textId="77777777" w:rsidR="00E56E38" w:rsidRPr="003903AA" w:rsidRDefault="00E56E38" w:rsidP="00E56E38">
      <w:pPr>
        <w:spacing w:before="120" w:after="120"/>
        <w:rPr>
          <w:rFonts w:eastAsia="Arial" w:cs="Arial"/>
          <w:color w:val="000000" w:themeColor="text1"/>
          <w:highlight w:val="white"/>
          <w:lang w:val="en-GB"/>
        </w:rPr>
      </w:pPr>
      <w:r w:rsidRPr="003903AA">
        <w:rPr>
          <w:rFonts w:cs="Arial"/>
          <w:color w:val="000000" w:themeColor="text1"/>
          <w:highlight w:val="white"/>
          <w:lang w:val="en-GB"/>
        </w:rPr>
        <w:t xml:space="preserve">Hutchings, R. and Sherlaw-Johnson, C. (2022) ‘Supporting patient engagement with digital health care innovations’, </w:t>
      </w:r>
      <w:r w:rsidRPr="003903AA">
        <w:rPr>
          <w:rFonts w:eastAsia="Arial" w:cs="Arial"/>
          <w:i/>
          <w:color w:val="000000" w:themeColor="text1"/>
          <w:highlight w:val="white"/>
          <w:lang w:val="en-GB"/>
        </w:rPr>
        <w:t>Research summary</w:t>
      </w:r>
      <w:r w:rsidRPr="003903AA">
        <w:rPr>
          <w:rFonts w:eastAsia="Arial" w:cs="Arial"/>
          <w:color w:val="000000" w:themeColor="text1"/>
          <w:highlight w:val="white"/>
          <w:lang w:val="en-GB"/>
        </w:rPr>
        <w:t>, pp. 2022-04. Available at:</w:t>
      </w:r>
      <w:hyperlink r:id="rId23">
        <w:r w:rsidRPr="003903AA">
          <w:rPr>
            <w:rFonts w:eastAsia="Arial" w:cs="Arial"/>
            <w:color w:val="000000" w:themeColor="text1"/>
            <w:highlight w:val="white"/>
            <w:lang w:val="en-GB"/>
          </w:rPr>
          <w:t xml:space="preserve"> </w:t>
        </w:r>
      </w:hyperlink>
      <w:hyperlink r:id="rId24">
        <w:r w:rsidRPr="003903AA">
          <w:rPr>
            <w:rFonts w:eastAsia="Arial" w:cs="Arial"/>
            <w:color w:val="000000" w:themeColor="text1"/>
            <w:highlight w:val="white"/>
            <w:lang w:val="en-GB"/>
          </w:rPr>
          <w:t>https://www.nuffieldtrust.org.uk/sites/default/files/2022-04/1651161363_supporting-patient-engagement-web.pdf</w:t>
        </w:r>
      </w:hyperlink>
    </w:p>
    <w:p w14:paraId="075EC3B4" w14:textId="77777777" w:rsidR="00E56E38"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t xml:space="preserve">Kotecha, D., DeVore, A.D. and Asselbergs, F.W. (2023) ‘Fit for the future: empowering clinical trials with digital technology’, </w:t>
      </w:r>
      <w:r w:rsidRPr="003903AA">
        <w:rPr>
          <w:rFonts w:cs="Arial"/>
          <w:i/>
          <w:color w:val="000000" w:themeColor="text1"/>
          <w:highlight w:val="white"/>
          <w:lang w:val="en-GB"/>
        </w:rPr>
        <w:t>Heart journal</w:t>
      </w:r>
      <w:r w:rsidRPr="003903AA">
        <w:rPr>
          <w:rFonts w:cs="Arial"/>
          <w:color w:val="000000" w:themeColor="text1"/>
          <w:highlight w:val="white"/>
          <w:lang w:val="en-GB"/>
        </w:rPr>
        <w:t xml:space="preserve">, </w:t>
      </w:r>
      <w:r w:rsidRPr="003903AA">
        <w:rPr>
          <w:rFonts w:cs="Arial"/>
          <w:i/>
          <w:color w:val="000000" w:themeColor="text1"/>
          <w:highlight w:val="white"/>
          <w:lang w:val="en-GB"/>
        </w:rPr>
        <w:t>44</w:t>
      </w:r>
      <w:r w:rsidRPr="003903AA">
        <w:rPr>
          <w:rFonts w:cs="Arial"/>
          <w:color w:val="000000" w:themeColor="text1"/>
          <w:highlight w:val="white"/>
          <w:lang w:val="en-GB"/>
        </w:rPr>
        <w:t>(1), pp. 64-67. Available at:</w:t>
      </w:r>
      <w:hyperlink r:id="rId25">
        <w:r w:rsidRPr="003903AA">
          <w:rPr>
            <w:rFonts w:cs="Arial"/>
            <w:color w:val="000000" w:themeColor="text1"/>
            <w:highlight w:val="white"/>
            <w:lang w:val="en-GB"/>
          </w:rPr>
          <w:t xml:space="preserve"> </w:t>
        </w:r>
      </w:hyperlink>
      <w:hyperlink r:id="rId26">
        <w:r w:rsidRPr="003903AA">
          <w:rPr>
            <w:rFonts w:cs="Arial"/>
            <w:color w:val="000000" w:themeColor="text1"/>
            <w:highlight w:val="white"/>
            <w:lang w:val="en-GB"/>
          </w:rPr>
          <w:t>https://discovery.ucl.ac.uk/id/eprint/10159909/1/Asselbergs_EHJ%20digital%20viewpoint%202022_final%20accepted.pdf</w:t>
        </w:r>
      </w:hyperlink>
    </w:p>
    <w:p w14:paraId="598684FD" w14:textId="77777777" w:rsidR="00E56E38"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t xml:space="preserve">Leckenby, E., Dawoud, D., Bouvy, J. and Jónsson, P. (2021) ‘The sandbox approach and its potential for use in health technology assessment: a literature review’, </w:t>
      </w:r>
      <w:r w:rsidRPr="003903AA">
        <w:rPr>
          <w:rFonts w:cs="Arial"/>
          <w:i/>
          <w:color w:val="000000" w:themeColor="text1"/>
          <w:highlight w:val="white"/>
          <w:lang w:val="en-GB"/>
        </w:rPr>
        <w:t>Applied health economics and health policy</w:t>
      </w:r>
      <w:r w:rsidRPr="003903AA">
        <w:rPr>
          <w:rFonts w:cs="Arial"/>
          <w:color w:val="000000" w:themeColor="text1"/>
          <w:highlight w:val="white"/>
          <w:lang w:val="en-GB"/>
        </w:rPr>
        <w:t xml:space="preserve">, </w:t>
      </w:r>
      <w:r w:rsidRPr="003903AA">
        <w:rPr>
          <w:rFonts w:cs="Arial"/>
          <w:i/>
          <w:color w:val="000000" w:themeColor="text1"/>
          <w:highlight w:val="white"/>
          <w:lang w:val="en-GB"/>
        </w:rPr>
        <w:t>19</w:t>
      </w:r>
      <w:r w:rsidRPr="003903AA">
        <w:rPr>
          <w:rFonts w:cs="Arial"/>
          <w:color w:val="000000" w:themeColor="text1"/>
          <w:highlight w:val="white"/>
          <w:lang w:val="en-GB"/>
        </w:rPr>
        <w:t>(6), pp. 857-869. Available at:</w:t>
      </w:r>
      <w:hyperlink r:id="rId27">
        <w:r w:rsidRPr="003903AA">
          <w:rPr>
            <w:rFonts w:cs="Arial"/>
            <w:color w:val="000000" w:themeColor="text1"/>
            <w:highlight w:val="white"/>
            <w:lang w:val="en-GB"/>
          </w:rPr>
          <w:t xml:space="preserve"> </w:t>
        </w:r>
      </w:hyperlink>
      <w:hyperlink r:id="rId28">
        <w:r w:rsidRPr="003903AA">
          <w:rPr>
            <w:rFonts w:cs="Arial"/>
            <w:color w:val="000000" w:themeColor="text1"/>
            <w:highlight w:val="white"/>
            <w:lang w:val="en-GB"/>
          </w:rPr>
          <w:t>https://link.springer.com/content/pdf/10.1007/s40258-021-00665-1.pdf</w:t>
        </w:r>
      </w:hyperlink>
    </w:p>
    <w:p w14:paraId="18A8CB62" w14:textId="77777777" w:rsidR="00E56E38"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t xml:space="preserve">Mdpi (2025) </w:t>
      </w:r>
      <w:r w:rsidRPr="003903AA">
        <w:rPr>
          <w:rFonts w:cs="Arial"/>
          <w:i/>
          <w:color w:val="000000" w:themeColor="text1"/>
          <w:highlight w:val="white"/>
          <w:lang w:val="en-GB"/>
        </w:rPr>
        <w:t>Challenges in Leveraging Digital Health for UHC and Global Public Health.</w:t>
      </w:r>
      <w:r w:rsidRPr="003903AA">
        <w:rPr>
          <w:rFonts w:cs="Arial"/>
          <w:color w:val="000000" w:themeColor="text1"/>
          <w:highlight w:val="white"/>
          <w:lang w:val="en-GB"/>
        </w:rPr>
        <w:t xml:space="preserve"> Available at:</w:t>
      </w:r>
      <w:hyperlink r:id="rId29">
        <w:r w:rsidRPr="003903AA">
          <w:rPr>
            <w:rFonts w:cs="Arial"/>
            <w:color w:val="000000" w:themeColor="text1"/>
            <w:highlight w:val="white"/>
            <w:lang w:val="en-GB"/>
          </w:rPr>
          <w:t xml:space="preserve"> </w:t>
        </w:r>
      </w:hyperlink>
      <w:hyperlink r:id="rId30">
        <w:r w:rsidRPr="003903AA">
          <w:rPr>
            <w:rFonts w:cs="Arial"/>
            <w:color w:val="000000" w:themeColor="text1"/>
            <w:highlight w:val="white"/>
            <w:lang w:val="en-GB"/>
          </w:rPr>
          <w:t>https://www.mdpi.com/2227-9032/13/9/1060</w:t>
        </w:r>
      </w:hyperlink>
      <w:r w:rsidRPr="003903AA">
        <w:rPr>
          <w:rFonts w:cs="Arial"/>
          <w:color w:val="000000" w:themeColor="text1"/>
          <w:highlight w:val="white"/>
          <w:lang w:val="en-GB"/>
        </w:rPr>
        <w:t xml:space="preserve"> [Accessed on: 07</w:t>
      </w:r>
      <w:r w:rsidRPr="003903AA">
        <w:rPr>
          <w:rFonts w:cs="Arial"/>
          <w:color w:val="000000" w:themeColor="text1"/>
          <w:highlight w:val="white"/>
          <w:vertAlign w:val="superscript"/>
          <w:lang w:val="en-GB"/>
        </w:rPr>
        <w:t>th</w:t>
      </w:r>
      <w:r w:rsidRPr="003903AA">
        <w:rPr>
          <w:rFonts w:cs="Arial"/>
          <w:color w:val="000000" w:themeColor="text1"/>
          <w:highlight w:val="white"/>
          <w:lang w:val="en-GB"/>
        </w:rPr>
        <w:t xml:space="preserve"> November, 2025]</w:t>
      </w:r>
    </w:p>
    <w:p w14:paraId="1E8F308A" w14:textId="77777777" w:rsidR="00E56E38" w:rsidRPr="003903AA" w:rsidRDefault="00E56E38" w:rsidP="00E56E38">
      <w:pPr>
        <w:spacing w:before="120" w:after="120"/>
        <w:rPr>
          <w:rFonts w:eastAsia="Arial" w:cs="Arial"/>
          <w:color w:val="000000" w:themeColor="text1"/>
          <w:highlight w:val="white"/>
          <w:lang w:val="en-GB"/>
        </w:rPr>
      </w:pPr>
      <w:r w:rsidRPr="003903AA">
        <w:rPr>
          <w:rFonts w:eastAsia="Arial" w:cs="Arial"/>
          <w:color w:val="000000" w:themeColor="text1"/>
          <w:highlight w:val="white"/>
          <w:lang w:val="en-GB"/>
        </w:rPr>
        <w:t xml:space="preserve">Moschonis, G., Siopis, G., Jung, J., Eweka, E., Willems, R., Kwasnicka, D., Asare, B.Y.A., Kodithuwakku, V., Verhaeghe, N., Vedanthan, R. and Annemans, L. (2023) ‘Effectiveness, reach, uptake, and feasibility of digital health interventions for adults with type 2 diabetes: a systematic review and meta-analysis of randomised controlled trials’, </w:t>
      </w:r>
      <w:r w:rsidRPr="003903AA">
        <w:rPr>
          <w:rFonts w:eastAsia="Arial" w:cs="Arial"/>
          <w:i/>
          <w:color w:val="000000" w:themeColor="text1"/>
          <w:highlight w:val="white"/>
          <w:lang w:val="en-GB"/>
        </w:rPr>
        <w:t>The Lancet Digital Health</w:t>
      </w:r>
      <w:r w:rsidRPr="003903AA">
        <w:rPr>
          <w:rFonts w:eastAsia="Arial" w:cs="Arial"/>
          <w:color w:val="000000" w:themeColor="text1"/>
          <w:highlight w:val="white"/>
          <w:lang w:val="en-GB"/>
        </w:rPr>
        <w:t xml:space="preserve">, </w:t>
      </w:r>
      <w:r w:rsidRPr="003903AA">
        <w:rPr>
          <w:rFonts w:eastAsia="Arial" w:cs="Arial"/>
          <w:i/>
          <w:color w:val="000000" w:themeColor="text1"/>
          <w:highlight w:val="white"/>
          <w:lang w:val="en-GB"/>
        </w:rPr>
        <w:t>5</w:t>
      </w:r>
      <w:r w:rsidRPr="003903AA">
        <w:rPr>
          <w:rFonts w:eastAsia="Arial" w:cs="Arial"/>
          <w:color w:val="000000" w:themeColor="text1"/>
          <w:highlight w:val="white"/>
          <w:lang w:val="en-GB"/>
        </w:rPr>
        <w:t xml:space="preserve">(3), pp. </w:t>
      </w:r>
      <w:r w:rsidRPr="003903AA">
        <w:rPr>
          <w:rFonts w:eastAsia="Arial" w:cs="Arial"/>
          <w:color w:val="000000" w:themeColor="text1"/>
          <w:highlight w:val="white"/>
          <w:lang w:val="en-GB"/>
        </w:rPr>
        <w:lastRenderedPageBreak/>
        <w:t xml:space="preserve">e125-e143. Available at: </w:t>
      </w:r>
      <w:hyperlink r:id="rId31">
        <w:r w:rsidRPr="003903AA">
          <w:rPr>
            <w:rFonts w:eastAsia="Arial" w:cs="Arial"/>
            <w:color w:val="000000" w:themeColor="text1"/>
            <w:highlight w:val="white"/>
            <w:lang w:val="en-GB"/>
          </w:rPr>
          <w:t>https://www.thelancet.com/pdfs/journals/landig/PIIS2589-7500(22)00233-3.pdf</w:t>
        </w:r>
      </w:hyperlink>
      <w:r w:rsidRPr="003903AA">
        <w:rPr>
          <w:rFonts w:eastAsia="Arial" w:cs="Arial"/>
          <w:color w:val="000000" w:themeColor="text1"/>
          <w:highlight w:val="white"/>
          <w:lang w:val="en-GB"/>
        </w:rPr>
        <w:t xml:space="preserve">  </w:t>
      </w:r>
    </w:p>
    <w:p w14:paraId="7645F1F9" w14:textId="77777777" w:rsidR="00E56E38"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t xml:space="preserve">Ncbi (2025) </w:t>
      </w:r>
      <w:r w:rsidRPr="003903AA">
        <w:rPr>
          <w:rFonts w:cs="Arial"/>
          <w:i/>
          <w:color w:val="000000" w:themeColor="text1"/>
          <w:highlight w:val="white"/>
          <w:lang w:val="en-GB"/>
        </w:rPr>
        <w:t>Uptake and adoption of the NHS App in England: an observational study.</w:t>
      </w:r>
      <w:r w:rsidRPr="003903AA">
        <w:rPr>
          <w:rFonts w:cs="Arial"/>
          <w:color w:val="000000" w:themeColor="text1"/>
          <w:highlight w:val="white"/>
          <w:lang w:val="en-GB"/>
        </w:rPr>
        <w:t xml:space="preserve"> Available at: https://pubmed.ncbi.nlm.nih.gov/37783512/ [Accessed on: 07</w:t>
      </w:r>
      <w:r w:rsidRPr="003903AA">
        <w:rPr>
          <w:rFonts w:cs="Arial"/>
          <w:color w:val="000000" w:themeColor="text1"/>
          <w:highlight w:val="white"/>
          <w:vertAlign w:val="superscript"/>
          <w:lang w:val="en-GB"/>
        </w:rPr>
        <w:t>th</w:t>
      </w:r>
      <w:r w:rsidRPr="003903AA">
        <w:rPr>
          <w:rFonts w:cs="Arial"/>
          <w:color w:val="000000" w:themeColor="text1"/>
          <w:highlight w:val="white"/>
          <w:lang w:val="en-GB"/>
        </w:rPr>
        <w:t xml:space="preserve"> November, 2025]</w:t>
      </w:r>
    </w:p>
    <w:p w14:paraId="7460E779" w14:textId="77777777" w:rsidR="00E56E38"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t xml:space="preserve">Ncbi (2025) </w:t>
      </w:r>
      <w:r w:rsidRPr="003903AA">
        <w:rPr>
          <w:rFonts w:cs="Arial"/>
          <w:i/>
          <w:color w:val="000000" w:themeColor="text1"/>
          <w:highlight w:val="white"/>
          <w:lang w:val="en-GB"/>
        </w:rPr>
        <w:t>Weighting the Populations.</w:t>
      </w:r>
      <w:r w:rsidRPr="003903AA">
        <w:rPr>
          <w:rFonts w:cs="Arial"/>
          <w:color w:val="000000" w:themeColor="text1"/>
          <w:highlight w:val="white"/>
          <w:lang w:val="en-GB"/>
        </w:rPr>
        <w:t xml:space="preserve"> Available at: https://pmc.ncbi.nlm.nih.gov/articles/PMC8367118/ [Accessed on: 07</w:t>
      </w:r>
      <w:r w:rsidRPr="003903AA">
        <w:rPr>
          <w:rFonts w:cs="Arial"/>
          <w:color w:val="000000" w:themeColor="text1"/>
          <w:highlight w:val="white"/>
          <w:vertAlign w:val="superscript"/>
          <w:lang w:val="en-GB"/>
        </w:rPr>
        <w:t>th</w:t>
      </w:r>
      <w:r w:rsidRPr="003903AA">
        <w:rPr>
          <w:rFonts w:cs="Arial"/>
          <w:color w:val="000000" w:themeColor="text1"/>
          <w:highlight w:val="white"/>
          <w:lang w:val="en-GB"/>
        </w:rPr>
        <w:t xml:space="preserve"> November, 2025]</w:t>
      </w:r>
    </w:p>
    <w:p w14:paraId="449CFD20" w14:textId="77777777" w:rsidR="00E56E38" w:rsidRPr="003903AA" w:rsidRDefault="00E56E38" w:rsidP="00E56E38">
      <w:pPr>
        <w:spacing w:before="120" w:after="120"/>
        <w:rPr>
          <w:rFonts w:cs="Arial"/>
          <w:color w:val="000000" w:themeColor="text1"/>
          <w:lang w:val="en-GB"/>
        </w:rPr>
      </w:pPr>
      <w:r w:rsidRPr="003903AA">
        <w:rPr>
          <w:rFonts w:cs="Arial"/>
          <w:color w:val="000000" w:themeColor="text1"/>
          <w:lang w:val="en-GB"/>
        </w:rPr>
        <w:t xml:space="preserve">Nhs.uk (2025) </w:t>
      </w:r>
      <w:r w:rsidRPr="003903AA">
        <w:rPr>
          <w:rFonts w:cs="Arial"/>
          <w:i/>
          <w:color w:val="000000" w:themeColor="text1"/>
          <w:lang w:val="en-GB"/>
        </w:rPr>
        <w:t>Digital transformation.</w:t>
      </w:r>
      <w:r w:rsidRPr="003903AA">
        <w:rPr>
          <w:rFonts w:cs="Arial"/>
          <w:color w:val="000000" w:themeColor="text1"/>
          <w:lang w:val="en-GB"/>
        </w:rPr>
        <w:t xml:space="preserve"> Available at:</w:t>
      </w:r>
      <w:hyperlink r:id="rId32">
        <w:r w:rsidRPr="003903AA">
          <w:rPr>
            <w:rFonts w:cs="Arial"/>
            <w:color w:val="000000" w:themeColor="text1"/>
            <w:lang w:val="en-GB"/>
          </w:rPr>
          <w:t xml:space="preserve"> https://www.england.nhs.uk/digitaltechnology/</w:t>
        </w:r>
      </w:hyperlink>
      <w:r w:rsidRPr="003903AA">
        <w:rPr>
          <w:rFonts w:cs="Arial"/>
          <w:color w:val="000000" w:themeColor="text1"/>
          <w:lang w:val="en-GB"/>
        </w:rPr>
        <w:t xml:space="preserve"> [Accessed on: 07</w:t>
      </w:r>
      <w:r w:rsidRPr="003903AA">
        <w:rPr>
          <w:rFonts w:cs="Arial"/>
          <w:color w:val="000000" w:themeColor="text1"/>
          <w:vertAlign w:val="superscript"/>
          <w:lang w:val="en-GB"/>
        </w:rPr>
        <w:t>th</w:t>
      </w:r>
      <w:r w:rsidRPr="003903AA">
        <w:rPr>
          <w:rFonts w:cs="Arial"/>
          <w:color w:val="000000" w:themeColor="text1"/>
          <w:lang w:val="en-GB"/>
        </w:rPr>
        <w:t xml:space="preserve"> November, 2025]</w:t>
      </w:r>
    </w:p>
    <w:p w14:paraId="55A78B51" w14:textId="77777777" w:rsidR="00E56E38" w:rsidRPr="003903AA" w:rsidRDefault="00E56E38" w:rsidP="00E56E38">
      <w:pPr>
        <w:spacing w:before="120" w:after="120"/>
        <w:rPr>
          <w:rFonts w:cs="Arial"/>
          <w:color w:val="000000" w:themeColor="text1"/>
          <w:lang w:val="en-GB"/>
        </w:rPr>
      </w:pPr>
      <w:r w:rsidRPr="003903AA">
        <w:rPr>
          <w:rFonts w:cs="Arial"/>
          <w:color w:val="000000" w:themeColor="text1"/>
          <w:lang w:val="en-GB"/>
        </w:rPr>
        <w:t xml:space="preserve">Ori.hhs.gov (2025) </w:t>
      </w:r>
      <w:r w:rsidRPr="003903AA">
        <w:rPr>
          <w:rFonts w:cs="Arial"/>
          <w:i/>
          <w:color w:val="000000" w:themeColor="text1"/>
          <w:lang w:val="en-GB"/>
        </w:rPr>
        <w:t>Data Analysis.</w:t>
      </w:r>
      <w:r w:rsidRPr="003903AA">
        <w:rPr>
          <w:rFonts w:cs="Arial"/>
          <w:color w:val="000000" w:themeColor="text1"/>
          <w:lang w:val="en-GB"/>
        </w:rPr>
        <w:t xml:space="preserve"> Available at:</w:t>
      </w:r>
      <w:hyperlink r:id="rId33">
        <w:r w:rsidRPr="003903AA">
          <w:rPr>
            <w:rFonts w:cs="Arial"/>
            <w:color w:val="000000" w:themeColor="text1"/>
            <w:lang w:val="en-GB"/>
          </w:rPr>
          <w:t xml:space="preserve"> https://ori.hhs.gov/education/products/n_illinois_u/datamanagement/datopic.html</w:t>
        </w:r>
      </w:hyperlink>
      <w:r w:rsidRPr="003903AA">
        <w:rPr>
          <w:rFonts w:cs="Arial"/>
          <w:color w:val="000000" w:themeColor="text1"/>
          <w:lang w:val="en-GB"/>
        </w:rPr>
        <w:t xml:space="preserve"> [Accessed on: 07</w:t>
      </w:r>
      <w:r w:rsidRPr="003903AA">
        <w:rPr>
          <w:rFonts w:cs="Arial"/>
          <w:color w:val="000000" w:themeColor="text1"/>
          <w:vertAlign w:val="superscript"/>
          <w:lang w:val="en-GB"/>
        </w:rPr>
        <w:t>th</w:t>
      </w:r>
      <w:r w:rsidRPr="003903AA">
        <w:rPr>
          <w:rFonts w:cs="Arial"/>
          <w:color w:val="000000" w:themeColor="text1"/>
          <w:lang w:val="en-GB"/>
        </w:rPr>
        <w:t xml:space="preserve"> November, 2025]</w:t>
      </w:r>
    </w:p>
    <w:p w14:paraId="17988256" w14:textId="77777777" w:rsidR="00E56E38"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t xml:space="preserve">PMC (2025) </w:t>
      </w:r>
      <w:r w:rsidRPr="003903AA">
        <w:rPr>
          <w:rFonts w:cs="Arial"/>
          <w:i/>
          <w:color w:val="000000" w:themeColor="text1"/>
          <w:highlight w:val="white"/>
          <w:lang w:val="en-GB"/>
        </w:rPr>
        <w:t>National Library of medicine.</w:t>
      </w:r>
      <w:r w:rsidRPr="003903AA">
        <w:rPr>
          <w:rFonts w:cs="Arial"/>
          <w:color w:val="000000" w:themeColor="text1"/>
          <w:highlight w:val="white"/>
          <w:lang w:val="en-GB"/>
        </w:rPr>
        <w:t xml:space="preserve"> Available at:</w:t>
      </w:r>
      <w:hyperlink r:id="rId34">
        <w:r w:rsidRPr="003903AA">
          <w:rPr>
            <w:rFonts w:cs="Arial"/>
            <w:color w:val="000000" w:themeColor="text1"/>
            <w:highlight w:val="white"/>
            <w:lang w:val="en-GB"/>
          </w:rPr>
          <w:t xml:space="preserve"> </w:t>
        </w:r>
      </w:hyperlink>
      <w:hyperlink r:id="rId35">
        <w:r w:rsidRPr="003903AA">
          <w:rPr>
            <w:rFonts w:cs="Arial"/>
            <w:color w:val="000000" w:themeColor="text1"/>
            <w:highlight w:val="white"/>
            <w:lang w:val="en-GB"/>
          </w:rPr>
          <w:t>https://pmc.ncbi.nlm.nih.gov/articles/PMC10562999/</w:t>
        </w:r>
      </w:hyperlink>
      <w:r w:rsidRPr="003903AA">
        <w:rPr>
          <w:rFonts w:cs="Arial"/>
          <w:color w:val="000000" w:themeColor="text1"/>
          <w:highlight w:val="white"/>
          <w:lang w:val="en-GB"/>
        </w:rPr>
        <w:t xml:space="preserve"> [Accessed on: 07</w:t>
      </w:r>
      <w:r w:rsidRPr="003903AA">
        <w:rPr>
          <w:rFonts w:cs="Arial"/>
          <w:color w:val="000000" w:themeColor="text1"/>
          <w:highlight w:val="white"/>
          <w:vertAlign w:val="superscript"/>
          <w:lang w:val="en-GB"/>
        </w:rPr>
        <w:t>th</w:t>
      </w:r>
      <w:r w:rsidRPr="003903AA">
        <w:rPr>
          <w:rFonts w:cs="Arial"/>
          <w:color w:val="000000" w:themeColor="text1"/>
          <w:highlight w:val="white"/>
          <w:lang w:val="en-GB"/>
        </w:rPr>
        <w:t xml:space="preserve"> November, 2025]</w:t>
      </w:r>
    </w:p>
    <w:p w14:paraId="50CCE3E6" w14:textId="77777777" w:rsidR="00E56E38"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t xml:space="preserve">Street, J., Stafinski, T., Lopes, E. and Menon, D. (2020) ‘Defining the role of the public in Health Technology Assessment (HTA) and HTA-informed decision-making processes’, </w:t>
      </w:r>
      <w:r w:rsidRPr="003903AA">
        <w:rPr>
          <w:rFonts w:cs="Arial"/>
          <w:i/>
          <w:color w:val="000000" w:themeColor="text1"/>
          <w:highlight w:val="white"/>
          <w:lang w:val="en-GB"/>
        </w:rPr>
        <w:t>International journal of technology assessment in health care</w:t>
      </w:r>
      <w:r w:rsidRPr="003903AA">
        <w:rPr>
          <w:rFonts w:cs="Arial"/>
          <w:color w:val="000000" w:themeColor="text1"/>
          <w:highlight w:val="white"/>
          <w:lang w:val="en-GB"/>
        </w:rPr>
        <w:t xml:space="preserve">, </w:t>
      </w:r>
      <w:r w:rsidRPr="003903AA">
        <w:rPr>
          <w:rFonts w:cs="Arial"/>
          <w:i/>
          <w:color w:val="000000" w:themeColor="text1"/>
          <w:highlight w:val="white"/>
          <w:lang w:val="en-GB"/>
        </w:rPr>
        <w:t>36</w:t>
      </w:r>
      <w:r w:rsidRPr="003903AA">
        <w:rPr>
          <w:rFonts w:cs="Arial"/>
          <w:color w:val="000000" w:themeColor="text1"/>
          <w:highlight w:val="white"/>
          <w:lang w:val="en-GB"/>
        </w:rPr>
        <w:t>(2), pp. 87-95. Available at:</w:t>
      </w:r>
      <w:hyperlink r:id="rId36">
        <w:r w:rsidRPr="003903AA">
          <w:rPr>
            <w:rFonts w:cs="Arial"/>
            <w:color w:val="000000" w:themeColor="text1"/>
            <w:highlight w:val="white"/>
            <w:lang w:val="en-GB"/>
          </w:rPr>
          <w:t xml:space="preserve"> </w:t>
        </w:r>
      </w:hyperlink>
      <w:hyperlink r:id="rId37">
        <w:r w:rsidRPr="003903AA">
          <w:rPr>
            <w:rFonts w:cs="Arial"/>
            <w:color w:val="000000" w:themeColor="text1"/>
            <w:highlight w:val="white"/>
            <w:lang w:val="en-GB"/>
          </w:rPr>
          <w:t>https://www.academia.edu/download/99443769/hdl_126731.pdf</w:t>
        </w:r>
      </w:hyperlink>
    </w:p>
    <w:p w14:paraId="5F4FD368" w14:textId="77777777" w:rsidR="00E56E38"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t xml:space="preserve">Whitelaw, S., Pellegrini, D.M., Mamas, M.A., Cowie, M. and Van Spall, H.G. (2021) ‘Barriers and facilitators of the uptake of digital health technology in cardiovascular care: a systematic scoping review’, </w:t>
      </w:r>
      <w:r w:rsidRPr="003903AA">
        <w:rPr>
          <w:rFonts w:cs="Arial"/>
          <w:i/>
          <w:color w:val="000000" w:themeColor="text1"/>
          <w:highlight w:val="white"/>
          <w:lang w:val="en-GB"/>
        </w:rPr>
        <w:t>Heart Journal-Digital Health</w:t>
      </w:r>
      <w:r w:rsidRPr="003903AA">
        <w:rPr>
          <w:rFonts w:cs="Arial"/>
          <w:color w:val="000000" w:themeColor="text1"/>
          <w:highlight w:val="white"/>
          <w:lang w:val="en-GB"/>
        </w:rPr>
        <w:t xml:space="preserve">, </w:t>
      </w:r>
      <w:r w:rsidRPr="003903AA">
        <w:rPr>
          <w:rFonts w:cs="Arial"/>
          <w:i/>
          <w:color w:val="000000" w:themeColor="text1"/>
          <w:highlight w:val="white"/>
          <w:lang w:val="en-GB"/>
        </w:rPr>
        <w:t>2</w:t>
      </w:r>
      <w:r w:rsidRPr="003903AA">
        <w:rPr>
          <w:rFonts w:cs="Arial"/>
          <w:color w:val="000000" w:themeColor="text1"/>
          <w:highlight w:val="white"/>
          <w:lang w:val="en-GB"/>
        </w:rPr>
        <w:t>(1), pp. 62-74. Available at:</w:t>
      </w:r>
      <w:hyperlink r:id="rId38">
        <w:r w:rsidRPr="003903AA">
          <w:rPr>
            <w:rFonts w:cs="Arial"/>
            <w:color w:val="000000" w:themeColor="text1"/>
            <w:highlight w:val="white"/>
            <w:lang w:val="en-GB"/>
          </w:rPr>
          <w:t xml:space="preserve"> </w:t>
        </w:r>
      </w:hyperlink>
      <w:hyperlink r:id="rId39">
        <w:r w:rsidRPr="003903AA">
          <w:rPr>
            <w:rFonts w:cs="Arial"/>
            <w:color w:val="000000" w:themeColor="text1"/>
            <w:highlight w:val="white"/>
            <w:lang w:val="en-GB"/>
          </w:rPr>
          <w:t>https://academic.oup.com/ehjdh/article-pdf/2/1/62/47116158/ztab005.pdf</w:t>
        </w:r>
      </w:hyperlink>
    </w:p>
    <w:p w14:paraId="146E295B" w14:textId="77777777" w:rsidR="00814717" w:rsidRPr="003903AA" w:rsidRDefault="00E56E38" w:rsidP="00E56E38">
      <w:pPr>
        <w:spacing w:before="120" w:after="120"/>
        <w:rPr>
          <w:rFonts w:cs="Arial"/>
          <w:color w:val="000000" w:themeColor="text1"/>
          <w:highlight w:val="white"/>
          <w:lang w:val="en-GB"/>
        </w:rPr>
      </w:pPr>
      <w:r w:rsidRPr="003903AA">
        <w:rPr>
          <w:rFonts w:cs="Arial"/>
          <w:color w:val="000000" w:themeColor="text1"/>
          <w:highlight w:val="white"/>
          <w:lang w:val="en-GB"/>
        </w:rPr>
        <w:t xml:space="preserve">Zwack, C.C., Haghani, M., Hollings, M., Zhang, L., Gauci, S., Gallagher, R. and Redfern, J. (2023) ‘The evolution of digital health technologies in cardiovascular disease research’, </w:t>
      </w:r>
      <w:r w:rsidRPr="003903AA">
        <w:rPr>
          <w:rFonts w:cs="Arial"/>
          <w:i/>
          <w:color w:val="000000" w:themeColor="text1"/>
          <w:highlight w:val="white"/>
          <w:lang w:val="en-GB"/>
        </w:rPr>
        <w:t>NPJ digital medicine</w:t>
      </w:r>
      <w:r w:rsidRPr="003903AA">
        <w:rPr>
          <w:rFonts w:cs="Arial"/>
          <w:color w:val="000000" w:themeColor="text1"/>
          <w:highlight w:val="white"/>
          <w:lang w:val="en-GB"/>
        </w:rPr>
        <w:t xml:space="preserve">, </w:t>
      </w:r>
      <w:r w:rsidRPr="003903AA">
        <w:rPr>
          <w:rFonts w:cs="Arial"/>
          <w:i/>
          <w:color w:val="000000" w:themeColor="text1"/>
          <w:highlight w:val="white"/>
          <w:lang w:val="en-GB"/>
        </w:rPr>
        <w:t>6</w:t>
      </w:r>
      <w:r w:rsidRPr="003903AA">
        <w:rPr>
          <w:rFonts w:cs="Arial"/>
          <w:color w:val="000000" w:themeColor="text1"/>
          <w:highlight w:val="white"/>
          <w:lang w:val="en-GB"/>
        </w:rPr>
        <w:t>(1), pp. 1. Available at:</w:t>
      </w:r>
      <w:hyperlink r:id="rId40">
        <w:r w:rsidRPr="003903AA">
          <w:rPr>
            <w:rFonts w:cs="Arial"/>
            <w:color w:val="000000" w:themeColor="text1"/>
            <w:highlight w:val="white"/>
            <w:lang w:val="en-GB"/>
          </w:rPr>
          <w:t xml:space="preserve"> </w:t>
        </w:r>
      </w:hyperlink>
      <w:hyperlink r:id="rId41">
        <w:r w:rsidRPr="003903AA">
          <w:rPr>
            <w:rFonts w:cs="Arial"/>
            <w:color w:val="000000" w:themeColor="text1"/>
            <w:highlight w:val="white"/>
            <w:lang w:val="en-GB"/>
          </w:rPr>
          <w:t>https://www.nature.com/articles/s41746-022-00734-2.pdf</w:t>
        </w:r>
      </w:hyperlink>
    </w:p>
    <w:p w14:paraId="6135431A" w14:textId="77777777" w:rsidR="00814717" w:rsidRPr="003903AA" w:rsidRDefault="004A2BAC" w:rsidP="00E56E38">
      <w:pPr>
        <w:spacing w:before="120" w:after="120"/>
        <w:rPr>
          <w:rFonts w:cs="Arial"/>
          <w:color w:val="000000" w:themeColor="text1"/>
          <w:sz w:val="24"/>
          <w:szCs w:val="24"/>
          <w:highlight w:val="white"/>
          <w:lang w:val="en-GB"/>
        </w:rPr>
      </w:pPr>
      <w:r w:rsidRPr="003903AA">
        <w:rPr>
          <w:rFonts w:cs="Arial"/>
          <w:color w:val="000000" w:themeColor="text1"/>
          <w:sz w:val="24"/>
          <w:szCs w:val="24"/>
          <w:highlight w:val="white"/>
          <w:lang w:val="en-GB"/>
        </w:rPr>
        <w:t xml:space="preserve"> </w:t>
      </w:r>
    </w:p>
    <w:p w14:paraId="535C1B61" w14:textId="77777777" w:rsidR="00814717" w:rsidRPr="003903AA" w:rsidRDefault="00814717" w:rsidP="00E56E38">
      <w:pPr>
        <w:spacing w:before="120" w:after="120"/>
        <w:rPr>
          <w:rFonts w:cs="Arial"/>
          <w:color w:val="000000" w:themeColor="text1"/>
          <w:lang w:val="en-GB"/>
        </w:rPr>
      </w:pPr>
    </w:p>
    <w:p w14:paraId="0F933767" w14:textId="77777777" w:rsidR="00814717" w:rsidRPr="003903AA" w:rsidRDefault="00814717" w:rsidP="00E56E38">
      <w:pPr>
        <w:spacing w:before="120" w:after="120"/>
        <w:rPr>
          <w:rFonts w:cs="Arial"/>
          <w:color w:val="000000" w:themeColor="text1"/>
          <w:lang w:val="en-GB"/>
        </w:rPr>
      </w:pPr>
    </w:p>
    <w:sectPr w:rsidR="00814717" w:rsidRPr="003903AA" w:rsidSect="00E56E38">
      <w:footerReference w:type="default" r:id="rId4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7CCBF" w14:textId="77777777" w:rsidR="008B474B" w:rsidRDefault="008B474B" w:rsidP="00E56E38">
      <w:pPr>
        <w:spacing w:line="240" w:lineRule="auto"/>
      </w:pPr>
      <w:r>
        <w:separator/>
      </w:r>
    </w:p>
  </w:endnote>
  <w:endnote w:type="continuationSeparator" w:id="0">
    <w:p w14:paraId="138D3E21" w14:textId="77777777" w:rsidR="008B474B" w:rsidRDefault="008B474B" w:rsidP="00E56E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A653E634-60EF-4374-AB04-27A83B78D2AC}"/>
  </w:font>
  <w:font w:name="Cambria">
    <w:panose1 w:val="02040503050406030204"/>
    <w:charset w:val="00"/>
    <w:family w:val="roman"/>
    <w:pitch w:val="variable"/>
    <w:sig w:usb0="E00006FF" w:usb1="420024FF" w:usb2="02000000" w:usb3="00000000" w:csb0="0000019F" w:csb1="00000000"/>
    <w:embedRegular r:id="rId2" w:fontKey="{F6AB6CAE-99CD-4EA6-94F8-ED00074BC7D2}"/>
  </w:font>
  <w:font w:name="Cambria Math">
    <w:panose1 w:val="02040503050406030204"/>
    <w:charset w:val="00"/>
    <w:family w:val="roman"/>
    <w:pitch w:val="variable"/>
    <w:sig w:usb0="E00006FF" w:usb1="420024FF" w:usb2="02000000" w:usb3="00000000" w:csb0="0000019F" w:csb1="00000000"/>
    <w:embedRegular r:id="rId3" w:fontKey="{DC44A58B-CB57-4388-A76F-63051862ED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866879"/>
      <w:docPartObj>
        <w:docPartGallery w:val="Page Numbers (Bottom of Page)"/>
        <w:docPartUnique/>
      </w:docPartObj>
    </w:sdtPr>
    <w:sdtEndPr>
      <w:rPr>
        <w:rFonts w:cs="Arial"/>
        <w:noProof/>
      </w:rPr>
    </w:sdtEndPr>
    <w:sdtContent>
      <w:p w14:paraId="71218C5E" w14:textId="77777777" w:rsidR="00E56E38" w:rsidRPr="00E56E38" w:rsidRDefault="00E56E38">
        <w:pPr>
          <w:pStyle w:val="Footer"/>
          <w:jc w:val="right"/>
          <w:rPr>
            <w:rFonts w:cs="Arial"/>
          </w:rPr>
        </w:pPr>
        <w:r w:rsidRPr="00E56E38">
          <w:rPr>
            <w:rFonts w:cs="Arial"/>
          </w:rPr>
          <w:fldChar w:fldCharType="begin"/>
        </w:r>
        <w:r w:rsidRPr="00E56E38">
          <w:rPr>
            <w:rFonts w:cs="Arial"/>
          </w:rPr>
          <w:instrText xml:space="preserve"> PAGE   \* MERGEFORMAT </w:instrText>
        </w:r>
        <w:r w:rsidRPr="00E56E38">
          <w:rPr>
            <w:rFonts w:cs="Arial"/>
          </w:rPr>
          <w:fldChar w:fldCharType="separate"/>
        </w:r>
        <w:r w:rsidR="003903AA">
          <w:rPr>
            <w:rFonts w:cs="Arial"/>
            <w:noProof/>
          </w:rPr>
          <w:t>4</w:t>
        </w:r>
        <w:r w:rsidRPr="00E56E38">
          <w:rPr>
            <w:rFonts w:cs="Arial"/>
            <w:noProof/>
          </w:rPr>
          <w:fldChar w:fldCharType="end"/>
        </w:r>
      </w:p>
    </w:sdtContent>
  </w:sdt>
  <w:p w14:paraId="2F12D9C7" w14:textId="77777777" w:rsidR="00E56E38" w:rsidRDefault="00E56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B5E32" w14:textId="77777777" w:rsidR="008B474B" w:rsidRDefault="008B474B" w:rsidP="00E56E38">
      <w:pPr>
        <w:spacing w:line="240" w:lineRule="auto"/>
      </w:pPr>
      <w:r>
        <w:separator/>
      </w:r>
    </w:p>
  </w:footnote>
  <w:footnote w:type="continuationSeparator" w:id="0">
    <w:p w14:paraId="04B2B0C6" w14:textId="77777777" w:rsidR="008B474B" w:rsidRDefault="008B474B" w:rsidP="00E56E3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D6B4C"/>
    <w:multiLevelType w:val="hybridMultilevel"/>
    <w:tmpl w:val="18863E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3E64D09"/>
    <w:multiLevelType w:val="multilevel"/>
    <w:tmpl w:val="3DAEB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95303B4"/>
    <w:multiLevelType w:val="multilevel"/>
    <w:tmpl w:val="7610B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3526481">
    <w:abstractNumId w:val="1"/>
  </w:num>
  <w:num w:numId="2" w16cid:durableId="1039427766">
    <w:abstractNumId w:val="0"/>
  </w:num>
  <w:num w:numId="3" w16cid:durableId="7281134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1"/>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717"/>
    <w:rsid w:val="0011438C"/>
    <w:rsid w:val="002D3F01"/>
    <w:rsid w:val="003306A2"/>
    <w:rsid w:val="003903AA"/>
    <w:rsid w:val="00445FFC"/>
    <w:rsid w:val="004A2BAC"/>
    <w:rsid w:val="004A7272"/>
    <w:rsid w:val="005F767D"/>
    <w:rsid w:val="006770D3"/>
    <w:rsid w:val="007D50C9"/>
    <w:rsid w:val="00814717"/>
    <w:rsid w:val="008B474B"/>
    <w:rsid w:val="009528DF"/>
    <w:rsid w:val="00B02924"/>
    <w:rsid w:val="00CC6008"/>
    <w:rsid w:val="00E56E38"/>
    <w:rsid w:val="00E803BE"/>
    <w:rsid w:val="00FF21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1D16D"/>
  <w15:docId w15:val="{2F2BFAFA-B1E7-4C61-90D1-32EBC11B9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D50C9"/>
    <w:rPr>
      <w:rFonts w:ascii="Arial" w:hAnsi="Arial"/>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eastAsia="Arial" w:cs="Arial"/>
      <w:color w:val="666666"/>
      <w:sz w:val="30"/>
      <w:szCs w:val="30"/>
    </w:rPr>
  </w:style>
  <w:style w:type="paragraph" w:styleId="ListParagraph">
    <w:name w:val="List Paragraph"/>
    <w:basedOn w:val="Normal"/>
    <w:uiPriority w:val="34"/>
    <w:qFormat/>
    <w:rsid w:val="00E56E38"/>
    <w:pPr>
      <w:ind w:left="720"/>
      <w:contextualSpacing/>
    </w:pPr>
  </w:style>
  <w:style w:type="paragraph" w:styleId="Header">
    <w:name w:val="header"/>
    <w:basedOn w:val="Normal"/>
    <w:link w:val="HeaderChar"/>
    <w:uiPriority w:val="99"/>
    <w:unhideWhenUsed/>
    <w:rsid w:val="00E56E38"/>
    <w:pPr>
      <w:tabs>
        <w:tab w:val="center" w:pos="4513"/>
        <w:tab w:val="right" w:pos="9026"/>
      </w:tabs>
      <w:spacing w:line="240" w:lineRule="auto"/>
    </w:pPr>
  </w:style>
  <w:style w:type="character" w:customStyle="1" w:styleId="HeaderChar">
    <w:name w:val="Header Char"/>
    <w:basedOn w:val="DefaultParagraphFont"/>
    <w:link w:val="Header"/>
    <w:uiPriority w:val="99"/>
    <w:rsid w:val="00E56E38"/>
  </w:style>
  <w:style w:type="paragraph" w:styleId="Footer">
    <w:name w:val="footer"/>
    <w:basedOn w:val="Normal"/>
    <w:link w:val="FooterChar"/>
    <w:uiPriority w:val="99"/>
    <w:unhideWhenUsed/>
    <w:rsid w:val="00E56E38"/>
    <w:pPr>
      <w:tabs>
        <w:tab w:val="center" w:pos="4513"/>
        <w:tab w:val="right" w:pos="9026"/>
      </w:tabs>
      <w:spacing w:line="240" w:lineRule="auto"/>
    </w:pPr>
  </w:style>
  <w:style w:type="character" w:customStyle="1" w:styleId="FooterChar">
    <w:name w:val="Footer Char"/>
    <w:basedOn w:val="DefaultParagraphFont"/>
    <w:link w:val="Footer"/>
    <w:uiPriority w:val="99"/>
    <w:rsid w:val="00E56E38"/>
  </w:style>
  <w:style w:type="paragraph" w:styleId="TOCHeading">
    <w:name w:val="TOC Heading"/>
    <w:basedOn w:val="Heading1"/>
    <w:next w:val="Normal"/>
    <w:uiPriority w:val="39"/>
    <w:unhideWhenUsed/>
    <w:qFormat/>
    <w:rsid w:val="00E56E3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E56E38"/>
    <w:pPr>
      <w:spacing w:after="100"/>
      <w:ind w:left="220"/>
    </w:pPr>
  </w:style>
  <w:style w:type="paragraph" w:styleId="TOC1">
    <w:name w:val="toc 1"/>
    <w:basedOn w:val="Normal"/>
    <w:next w:val="Normal"/>
    <w:autoRedefine/>
    <w:uiPriority w:val="39"/>
    <w:unhideWhenUsed/>
    <w:rsid w:val="00E56E38"/>
    <w:pPr>
      <w:spacing w:after="100"/>
    </w:pPr>
  </w:style>
  <w:style w:type="character" w:styleId="Hyperlink">
    <w:name w:val="Hyperlink"/>
    <w:basedOn w:val="DefaultParagraphFont"/>
    <w:uiPriority w:val="99"/>
    <w:unhideWhenUsed/>
    <w:rsid w:val="00E56E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onlinelibrary.wiley.com/doi/pdfdirect/10.1111/hex.13506" TargetMode="External" /><Relationship Id="rId18" Type="http://schemas.openxmlformats.org/officeDocument/2006/relationships/hyperlink" Target="https://www.england.nhs.uk/2025/10/millions-more-online-consultation-submissions-by-patients-to-practices-in-september/" TargetMode="External" /><Relationship Id="rId26" Type="http://schemas.openxmlformats.org/officeDocument/2006/relationships/hyperlink" Target="https://discovery.ucl.ac.uk/id/eprint/10159909/1/Asselbergs_EHJ%20digital%20viewpoint%202022_final%20accepted.pdf" TargetMode="External" /><Relationship Id="rId39" Type="http://schemas.openxmlformats.org/officeDocument/2006/relationships/hyperlink" Target="https://academic.oup.com/ehjdh/article-pdf/2/1/62/47116158/ztab005.pdf" TargetMode="External" /><Relationship Id="rId3" Type="http://schemas.openxmlformats.org/officeDocument/2006/relationships/styles" Target="styles.xml" /><Relationship Id="rId21" Type="http://schemas.openxmlformats.org/officeDocument/2006/relationships/hyperlink" Target="https://research.aalto.fi/files/181062039/Developing_eHealth_for_Home_Dialysis_-_Clinicians_Needs_for_a_Digital_Patient_Engagement_Platform.pdf" TargetMode="External" /><Relationship Id="rId34" Type="http://schemas.openxmlformats.org/officeDocument/2006/relationships/hyperlink" Target="https://pmc.ncbi.nlm.nih.gov/articles/PMC10562999/" TargetMode="External" /><Relationship Id="rId42"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onlinelibrary.wiley.com/doi/pdfdirect/10.1111/hex.13506" TargetMode="External" /><Relationship Id="rId17" Type="http://schemas.openxmlformats.org/officeDocument/2006/relationships/hyperlink" Target="https://www.england.nhs.uk/2023/10/nhs-virtual-wards-to-treat-thousands-of-patients-with-heart-failure-at-home/" TargetMode="External" /><Relationship Id="rId25" Type="http://schemas.openxmlformats.org/officeDocument/2006/relationships/hyperlink" Target="https://discovery.ucl.ac.uk/id/eprint/10159909/1/Asselbergs_EHJ%20digital%20viewpoint%202022_final%20accepted.pdf" TargetMode="External" /><Relationship Id="rId33" Type="http://schemas.openxmlformats.org/officeDocument/2006/relationships/hyperlink" Target="https://ori.hhs.gov/education/products/n_illinois_u/datamanagement/datopic.html" TargetMode="External" /><Relationship Id="rId38" Type="http://schemas.openxmlformats.org/officeDocument/2006/relationships/hyperlink" Target="https://academic.oup.com/ehjdh/article-pdf/2/1/62/47116158/ztab005.pdf" TargetMode="External" /><Relationship Id="rId2" Type="http://schemas.openxmlformats.org/officeDocument/2006/relationships/numbering" Target="numbering.xml" /><Relationship Id="rId16" Type="http://schemas.openxmlformats.org/officeDocument/2006/relationships/hyperlink" Target="https://books.google.com/books?hl=en&amp;lr=&amp;id=dQ39EAAAQBAJ&amp;oi=fnd&amp;pg=PT9&amp;dq=digital+technologies+in+the+UK+healthcare+system+book&amp;ots=qneyR-v6kU&amp;sig=1SLVVwACVtHYEwOGHjPdujcdv88" TargetMode="External" /><Relationship Id="rId20" Type="http://schemas.openxmlformats.org/officeDocument/2006/relationships/hyperlink" Target="https://research.aalto.fi/files/181062039/Developing_eHealth_for_Home_Dialysis_-_Clinicians_Needs_for_a_Digital_Patient_Engagement_Platform.pdf" TargetMode="External" /><Relationship Id="rId29" Type="http://schemas.openxmlformats.org/officeDocument/2006/relationships/hyperlink" Target="https://www.mdpi.com/2227-9032/13/9/1060" TargetMode="External" /><Relationship Id="rId41" Type="http://schemas.openxmlformats.org/officeDocument/2006/relationships/hyperlink" Target="https://www.nature.com/articles/s41746-022-00734-2.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4324/9781351044516" TargetMode="External" /><Relationship Id="rId24" Type="http://schemas.openxmlformats.org/officeDocument/2006/relationships/hyperlink" Target="https://www.nuffieldtrust.org.uk/sites/default/files/2022-04/1651161363_supporting-patient-engagement-web.pdf" TargetMode="External" /><Relationship Id="rId32" Type="http://schemas.openxmlformats.org/officeDocument/2006/relationships/hyperlink" Target="https://www.england.nhs.uk/digitaltechnology/" TargetMode="External" /><Relationship Id="rId37" Type="http://schemas.openxmlformats.org/officeDocument/2006/relationships/hyperlink" Target="https://www.academia.edu/download/99443769/hdl_126731.pdf" TargetMode="External" /><Relationship Id="rId40" Type="http://schemas.openxmlformats.org/officeDocument/2006/relationships/hyperlink" Target="https://www.nature.com/articles/s41746-022-00734-2.pdf" TargetMode="External" /><Relationship Id="rId5" Type="http://schemas.openxmlformats.org/officeDocument/2006/relationships/webSettings" Target="webSettings.xml" /><Relationship Id="rId15" Type="http://schemas.openxmlformats.org/officeDocument/2006/relationships/hyperlink" Target="https://books.google.com/books?hl=en&amp;lr=&amp;id=G5AzEQAAQBAJ&amp;oi=fnd&amp;pg=PP1&amp;dq=research+methodology+book&amp;ots=PzatvMEdTj&amp;sig=Q_ljVok97O3P8HQu3HuCcZZtJ6U" TargetMode="External" /><Relationship Id="rId23" Type="http://schemas.openxmlformats.org/officeDocument/2006/relationships/hyperlink" Target="https://www.nuffieldtrust.org.uk/sites/default/files/2022-04/1651161363_supporting-patient-engagement-web.pdf" TargetMode="External" /><Relationship Id="rId28" Type="http://schemas.openxmlformats.org/officeDocument/2006/relationships/hyperlink" Target="https://link.springer.com/content/pdf/10.1007/s40258-021-00665-1.pdf" TargetMode="External" /><Relationship Id="rId36" Type="http://schemas.openxmlformats.org/officeDocument/2006/relationships/hyperlink" Target="https://www.academia.edu/download/99443769/hdl_126731.pdf" TargetMode="External" /><Relationship Id="rId10" Type="http://schemas.openxmlformats.org/officeDocument/2006/relationships/image" Target="media/image3.png" /><Relationship Id="rId19" Type="http://schemas.openxmlformats.org/officeDocument/2006/relationships/hyperlink" Target="https://gdpr.eu/what-is-gdpr/" TargetMode="External" /><Relationship Id="rId31" Type="http://schemas.openxmlformats.org/officeDocument/2006/relationships/hyperlink" Target="https://www.thelancet.com/pdfs/journals/landig/PIIS2589-7500(22)00233-3.pdf" TargetMode="External" /><Relationship Id="rId44"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080/14780887.2020.1769238" TargetMode="External" /><Relationship Id="rId22" Type="http://schemas.openxmlformats.org/officeDocument/2006/relationships/hyperlink" Target="https://www.hssib.org.uk/patient-safety-investigations/electronic-prescribing-and-medicines-administration-systems-and-safe-discharge/investigation-report/" TargetMode="External" /><Relationship Id="rId27" Type="http://schemas.openxmlformats.org/officeDocument/2006/relationships/hyperlink" Target="https://link.springer.com/content/pdf/10.1007/s40258-021-00665-1.pdf" TargetMode="External" /><Relationship Id="rId30" Type="http://schemas.openxmlformats.org/officeDocument/2006/relationships/hyperlink" Target="https://www.mdpi.com/2227-9032/13/9/1060" TargetMode="External" /><Relationship Id="rId35" Type="http://schemas.openxmlformats.org/officeDocument/2006/relationships/hyperlink" Target="https://pmc.ncbi.nlm.nih.gov/articles/PMC10562999/" TargetMode="External" /><Relationship Id="rId43"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FB03F-5E07-49F1-93FE-ECA6351825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5719</Words>
  <Characters>32601</Characters>
  <Application>Microsoft Office Word</Application>
  <DocSecurity>0</DocSecurity>
  <Lines>271</Lines>
  <Paragraphs>76</Paragraphs>
  <ScaleCrop>false</ScaleCrop>
  <Company/>
  <LinksUpToDate>false</LinksUpToDate>
  <CharactersWithSpaces>38244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Cătălin Laica</cp:lastModifiedBy>
  <cp:revision>2</cp:revision>
  <dcterms:created xsi:type="dcterms:W3CDTF">2025-11-16T20:07:00Z</dcterms:created>
  <dcterms:modified xsi:type="dcterms:W3CDTF">2025-11-16T20:07:00Z</dcterms:modified>
</cp:coreProperties>
</file>