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8A6FD0" w14:textId="5CF509A6" w:rsidR="002F07B1" w:rsidRDefault="00C25AD9">
      <w:r>
        <w:t>David Bonagura</w:t>
      </w:r>
    </w:p>
    <w:p w14:paraId="3F8005F6" w14:textId="576F56E1" w:rsidR="00C25AD9" w:rsidRDefault="00C25AD9">
      <w:r>
        <w:t>HPLA 7010: Petronius</w:t>
      </w:r>
    </w:p>
    <w:p w14:paraId="635ED196" w14:textId="590646DC" w:rsidR="00C25AD9" w:rsidRDefault="00C25AD9">
      <w:r>
        <w:t>Non-Assessed Assignment #</w:t>
      </w:r>
      <w:r w:rsidR="00EC72F0">
        <w:t>4</w:t>
      </w:r>
    </w:p>
    <w:p w14:paraId="1C10CE42" w14:textId="10336119" w:rsidR="00C25AD9" w:rsidRDefault="00EC72F0">
      <w:r>
        <w:t>Dec</w:t>
      </w:r>
      <w:r w:rsidR="00796749">
        <w:t>em</w:t>
      </w:r>
      <w:r w:rsidR="00C25AD9">
        <w:t xml:space="preserve">ber </w:t>
      </w:r>
      <w:r>
        <w:t>1</w:t>
      </w:r>
      <w:r w:rsidR="00C25AD9">
        <w:t>, 2019</w:t>
      </w:r>
    </w:p>
    <w:p w14:paraId="4B934374" w14:textId="6B8FA928" w:rsidR="00C25AD9" w:rsidRDefault="00C25AD9"/>
    <w:p w14:paraId="01595294" w14:textId="716AB32E" w:rsidR="00C25AD9" w:rsidRDefault="00C25AD9">
      <w:r>
        <w:t xml:space="preserve">Translation: </w:t>
      </w:r>
      <w:proofErr w:type="spellStart"/>
      <w:r>
        <w:rPr>
          <w:i/>
          <w:iCs/>
        </w:rPr>
        <w:t>Satyricon</w:t>
      </w:r>
      <w:proofErr w:type="spellEnd"/>
      <w:r>
        <w:t xml:space="preserve"> </w:t>
      </w:r>
      <w:r w:rsidR="00EC72F0">
        <w:t>68</w:t>
      </w:r>
    </w:p>
    <w:p w14:paraId="0D2069DA" w14:textId="2F8989BE" w:rsidR="00C25AD9" w:rsidRDefault="00C25AD9"/>
    <w:p w14:paraId="4A7604AE" w14:textId="2B18B120" w:rsidR="00C25AD9" w:rsidRDefault="00C25AD9" w:rsidP="00C25AD9">
      <w:pPr>
        <w:spacing w:line="480" w:lineRule="auto"/>
      </w:pPr>
      <w:r>
        <w:tab/>
      </w:r>
      <w:r w:rsidR="00C74A8F">
        <w:t xml:space="preserve">Then, after time had intervened, when </w:t>
      </w:r>
      <w:proofErr w:type="spellStart"/>
      <w:r w:rsidR="00C74A8F">
        <w:t>Trimalchio</w:t>
      </w:r>
      <w:proofErr w:type="spellEnd"/>
      <w:r w:rsidR="00C74A8F">
        <w:t xml:space="preserve"> had ordered dessert to be brought forth, the slaves lifted all the courses and brought in others, and they sprinkled sawdust dipped in saffron and cinnamon, and, a thing which I had never seen before, rubbing dust from a transparent stone. Immediately, </w:t>
      </w:r>
      <w:proofErr w:type="spellStart"/>
      <w:r w:rsidR="00C74A8F">
        <w:t>Trimalchio</w:t>
      </w:r>
      <w:proofErr w:type="spellEnd"/>
      <w:r w:rsidR="00C74A8F">
        <w:t xml:space="preserve"> said, “I was able to be satisfied by this dish; for you all have dessert. But if you prefer something beautiful, bring it forth.” Meanwhile, the boy </w:t>
      </w:r>
      <w:proofErr w:type="spellStart"/>
      <w:r w:rsidR="00C74A8F">
        <w:t>Alexandrinus</w:t>
      </w:r>
      <w:proofErr w:type="spellEnd"/>
      <w:r w:rsidR="00C74A8F">
        <w:t xml:space="preserve">, who was serving the hot water, began to imitate </w:t>
      </w:r>
      <w:r w:rsidR="00320CCC">
        <w:t xml:space="preserve">nightingales while </w:t>
      </w:r>
      <w:proofErr w:type="spellStart"/>
      <w:r w:rsidR="00320CCC">
        <w:t>Trimalchio</w:t>
      </w:r>
      <w:proofErr w:type="spellEnd"/>
      <w:r w:rsidR="00320CCC">
        <w:t xml:space="preserve"> was shouting along: “Change [the mode]!” Behold, another game. The slave who was sitting at </w:t>
      </w:r>
      <w:proofErr w:type="spellStart"/>
      <w:r w:rsidR="00320CCC">
        <w:t>Habbina’s</w:t>
      </w:r>
      <w:proofErr w:type="spellEnd"/>
      <w:r w:rsidR="00320CCC">
        <w:t xml:space="preserve"> feet, who had been ordered, I believe, by his master, suddenly proclaimed in a melodious voice</w:t>
      </w:r>
      <w:proofErr w:type="gramStart"/>
      <w:r w:rsidR="00320CCC">
        <w:t>…..</w:t>
      </w:r>
      <w:proofErr w:type="gramEnd"/>
    </w:p>
    <w:p w14:paraId="0A1A903F" w14:textId="381C82D3" w:rsidR="00940CF7" w:rsidRDefault="00940CF7" w:rsidP="00C25AD9">
      <w:pPr>
        <w:spacing w:line="480" w:lineRule="auto"/>
      </w:pPr>
    </w:p>
    <w:p w14:paraId="38D3AC7F" w14:textId="26F7B5E4" w:rsidR="00940CF7" w:rsidRPr="004F24C2" w:rsidRDefault="00940CF7" w:rsidP="00C25AD9">
      <w:pPr>
        <w:spacing w:line="480" w:lineRule="auto"/>
      </w:pPr>
      <w:r>
        <w:t xml:space="preserve">Comment: </w:t>
      </w:r>
      <w:proofErr w:type="spellStart"/>
      <w:r>
        <w:rPr>
          <w:i/>
          <w:iCs/>
        </w:rPr>
        <w:t>Satyricon</w:t>
      </w:r>
      <w:proofErr w:type="spellEnd"/>
      <w:r>
        <w:rPr>
          <w:i/>
          <w:iCs/>
        </w:rPr>
        <w:t xml:space="preserve"> </w:t>
      </w:r>
      <w:r w:rsidR="00EC72F0">
        <w:t>78</w:t>
      </w:r>
    </w:p>
    <w:p w14:paraId="6FCA510B" w14:textId="3C61840E" w:rsidR="0054689A" w:rsidRDefault="00133ED1" w:rsidP="004160B7">
      <w:pPr>
        <w:spacing w:line="480" w:lineRule="auto"/>
      </w:pPr>
      <w:r>
        <w:tab/>
      </w:r>
      <w:r w:rsidR="005A597B">
        <w:t xml:space="preserve">Having told his “rags to riches” story to his guests, </w:t>
      </w:r>
      <w:proofErr w:type="spellStart"/>
      <w:r w:rsidR="005A597B">
        <w:t>Trimalchio</w:t>
      </w:r>
      <w:proofErr w:type="spellEnd"/>
      <w:r w:rsidR="005A597B">
        <w:t xml:space="preserve"> changes topic suddenly: </w:t>
      </w:r>
      <w:r w:rsidR="00B17C34">
        <w:t xml:space="preserve">turning </w:t>
      </w:r>
      <w:r w:rsidR="005A597B">
        <w:t xml:space="preserve">from discussing the layout of his palace, he asks his slave </w:t>
      </w:r>
      <w:proofErr w:type="spellStart"/>
      <w:r w:rsidR="005A597B">
        <w:t>Stichus</w:t>
      </w:r>
      <w:proofErr w:type="spellEnd"/>
      <w:r w:rsidR="005A597B">
        <w:t xml:space="preserve"> to bring out his funerary clothes. </w:t>
      </w:r>
      <w:proofErr w:type="spellStart"/>
      <w:r w:rsidR="005A597B">
        <w:t>Stichus</w:t>
      </w:r>
      <w:proofErr w:type="spellEnd"/>
      <w:r w:rsidR="005A597B">
        <w:t xml:space="preserve"> promptly brings forth a white pall and the toga praetexta; the latter was his garment when serving as </w:t>
      </w:r>
      <w:proofErr w:type="spellStart"/>
      <w:r w:rsidR="005A597B">
        <w:t>sevir</w:t>
      </w:r>
      <w:proofErr w:type="spellEnd"/>
      <w:r w:rsidR="005A597B">
        <w:t xml:space="preserve"> </w:t>
      </w:r>
      <w:proofErr w:type="spellStart"/>
      <w:r w:rsidR="005A597B">
        <w:t>Augustalis</w:t>
      </w:r>
      <w:proofErr w:type="spellEnd"/>
      <w:r w:rsidR="005A597B">
        <w:t>.</w:t>
      </w:r>
      <w:r w:rsidR="005A597B">
        <w:rPr>
          <w:rStyle w:val="FootnoteReference"/>
        </w:rPr>
        <w:footnoteReference w:id="1"/>
      </w:r>
      <w:r w:rsidR="002317E3">
        <w:t xml:space="preserve"> It is noteworthy that </w:t>
      </w:r>
      <w:proofErr w:type="spellStart"/>
      <w:r w:rsidR="002317E3">
        <w:t>Trimalchio</w:t>
      </w:r>
      <w:proofErr w:type="spellEnd"/>
      <w:r w:rsidR="002317E3">
        <w:t xml:space="preserve"> chooses in death to follow the Roman </w:t>
      </w:r>
      <w:proofErr w:type="spellStart"/>
      <w:r w:rsidR="002317E3">
        <w:rPr>
          <w:i/>
          <w:iCs/>
        </w:rPr>
        <w:t>mos</w:t>
      </w:r>
      <w:proofErr w:type="spellEnd"/>
      <w:r w:rsidR="002317E3">
        <w:rPr>
          <w:i/>
          <w:iCs/>
        </w:rPr>
        <w:t xml:space="preserve"> maiorum</w:t>
      </w:r>
      <w:r w:rsidR="002317E3">
        <w:t xml:space="preserve"> of being clad in official toga rather than, say, as</w:t>
      </w:r>
      <w:r w:rsidR="00B17C34">
        <w:t xml:space="preserve"> a god, in the manner</w:t>
      </w:r>
      <w:r w:rsidR="002317E3">
        <w:t xml:space="preserve"> he </w:t>
      </w:r>
      <w:r w:rsidR="00B17C34">
        <w:t>was</w:t>
      </w:r>
      <w:r w:rsidR="002317E3">
        <w:t xml:space="preserve"> depicted in </w:t>
      </w:r>
      <w:r w:rsidR="00B17C34">
        <w:t>his palace</w:t>
      </w:r>
      <w:r w:rsidR="002317E3">
        <w:t xml:space="preserve"> murals: after turning his nose up at tradition in life, he suddenly embraces it in death. Of course, </w:t>
      </w:r>
      <w:proofErr w:type="spellStart"/>
      <w:r w:rsidR="002317E3">
        <w:t>Encolpius</w:t>
      </w:r>
      <w:proofErr w:type="spellEnd"/>
      <w:r w:rsidR="002317E3">
        <w:t xml:space="preserve"> is also quick to add that, in keeping with </w:t>
      </w:r>
      <w:proofErr w:type="spellStart"/>
      <w:r w:rsidR="002317E3">
        <w:t>Trimalchio’s</w:t>
      </w:r>
      <w:proofErr w:type="spellEnd"/>
      <w:r w:rsidR="002317E3">
        <w:t xml:space="preserve"> custom of extravagance, these materials are made from “</w:t>
      </w:r>
      <w:proofErr w:type="spellStart"/>
      <w:r w:rsidR="002317E3">
        <w:rPr>
          <w:i/>
          <w:iCs/>
        </w:rPr>
        <w:t>bonis</w:t>
      </w:r>
      <w:proofErr w:type="spellEnd"/>
      <w:r w:rsidR="002317E3">
        <w:rPr>
          <w:i/>
          <w:iCs/>
        </w:rPr>
        <w:t xml:space="preserve"> </w:t>
      </w:r>
      <w:proofErr w:type="spellStart"/>
      <w:r w:rsidR="002317E3">
        <w:rPr>
          <w:i/>
          <w:iCs/>
        </w:rPr>
        <w:t>lanis</w:t>
      </w:r>
      <w:proofErr w:type="spellEnd"/>
      <w:r w:rsidR="002317E3">
        <w:t xml:space="preserve">.” </w:t>
      </w:r>
      <w:proofErr w:type="spellStart"/>
      <w:r w:rsidR="002317E3">
        <w:t>Trimalchio</w:t>
      </w:r>
      <w:proofErr w:type="spellEnd"/>
      <w:r w:rsidR="002317E3">
        <w:t xml:space="preserve"> </w:t>
      </w:r>
      <w:r w:rsidR="00B17C34">
        <w:lastRenderedPageBreak/>
        <w:t>quickly reverts</w:t>
      </w:r>
      <w:r w:rsidR="002317E3">
        <w:t xml:space="preserve"> back to his old </w:t>
      </w:r>
      <w:r w:rsidR="00B17C34">
        <w:t xml:space="preserve">ways </w:t>
      </w:r>
      <w:r w:rsidR="002317E3">
        <w:t xml:space="preserve">in threatening </w:t>
      </w:r>
      <w:proofErr w:type="spellStart"/>
      <w:r w:rsidR="002317E3">
        <w:t>Stichus</w:t>
      </w:r>
      <w:proofErr w:type="spellEnd"/>
      <w:r w:rsidR="002317E3">
        <w:t xml:space="preserve"> with </w:t>
      </w:r>
      <w:r w:rsidR="004160B7">
        <w:t>being burned alive if these materials are defiled by vermin</w:t>
      </w:r>
      <w:r w:rsidR="00B17C34">
        <w:t>: this is the final promise of mistreatment of a slave, coming on the heels of numerous such mistreatments throughout the evening</w:t>
      </w:r>
      <w:r w:rsidR="004160B7">
        <w:t>. “</w:t>
      </w:r>
      <w:proofErr w:type="spellStart"/>
      <w:r w:rsidR="004160B7">
        <w:rPr>
          <w:i/>
          <w:iCs/>
        </w:rPr>
        <w:t>Gloriosus</w:t>
      </w:r>
      <w:proofErr w:type="spellEnd"/>
      <w:r w:rsidR="004160B7">
        <w:t xml:space="preserve">” is used for the only time in the narrative when </w:t>
      </w:r>
      <w:proofErr w:type="spellStart"/>
      <w:r w:rsidR="004160B7">
        <w:t>Trimalchio</w:t>
      </w:r>
      <w:proofErr w:type="spellEnd"/>
      <w:r w:rsidR="004160B7">
        <w:t xml:space="preserve"> describes how he wishes to be wrapped for his funeral procession: this is the culmination of his life’s work, and all he has earned and done </w:t>
      </w:r>
      <w:r w:rsidR="00B17C34">
        <w:t xml:space="preserve">has </w:t>
      </w:r>
      <w:r w:rsidR="004160B7">
        <w:t xml:space="preserve">led to this climatic moment, when for </w:t>
      </w:r>
      <w:proofErr w:type="spellStart"/>
      <w:r w:rsidR="004160B7">
        <w:t>Trimalchio</w:t>
      </w:r>
      <w:proofErr w:type="spellEnd"/>
      <w:r w:rsidR="004160B7">
        <w:t xml:space="preserve"> “</w:t>
      </w:r>
      <w:proofErr w:type="spellStart"/>
      <w:r w:rsidR="004160B7">
        <w:rPr>
          <w:i/>
          <w:iCs/>
        </w:rPr>
        <w:t>aeque</w:t>
      </w:r>
      <w:proofErr w:type="spellEnd"/>
      <w:r w:rsidR="004160B7">
        <w:rPr>
          <w:i/>
          <w:iCs/>
        </w:rPr>
        <w:t xml:space="preserve"> me mortuum </w:t>
      </w:r>
      <w:proofErr w:type="spellStart"/>
      <w:r w:rsidR="004160B7">
        <w:rPr>
          <w:i/>
          <w:iCs/>
        </w:rPr>
        <w:t>iuvet</w:t>
      </w:r>
      <w:proofErr w:type="spellEnd"/>
      <w:r w:rsidR="004160B7">
        <w:rPr>
          <w:i/>
          <w:iCs/>
        </w:rPr>
        <w:t xml:space="preserve"> </w:t>
      </w:r>
      <w:proofErr w:type="spellStart"/>
      <w:r w:rsidR="004160B7">
        <w:rPr>
          <w:i/>
          <w:iCs/>
        </w:rPr>
        <w:t>tamquam</w:t>
      </w:r>
      <w:proofErr w:type="spellEnd"/>
      <w:r w:rsidR="004160B7">
        <w:rPr>
          <w:i/>
          <w:iCs/>
        </w:rPr>
        <w:t xml:space="preserve"> </w:t>
      </w:r>
      <w:proofErr w:type="spellStart"/>
      <w:r w:rsidR="004160B7">
        <w:rPr>
          <w:i/>
          <w:iCs/>
        </w:rPr>
        <w:t>vivum</w:t>
      </w:r>
      <w:proofErr w:type="spellEnd"/>
      <w:r w:rsidR="004160B7">
        <w:t xml:space="preserve">.” </w:t>
      </w:r>
    </w:p>
    <w:p w14:paraId="3478925C" w14:textId="34763D08" w:rsidR="004160B7" w:rsidRPr="00347B93" w:rsidRDefault="004160B7" w:rsidP="004160B7">
      <w:pPr>
        <w:spacing w:line="480" w:lineRule="auto"/>
      </w:pPr>
      <w:r>
        <w:tab/>
      </w:r>
      <w:proofErr w:type="spellStart"/>
      <w:r>
        <w:t>Encolpius</w:t>
      </w:r>
      <w:proofErr w:type="spellEnd"/>
      <w:r>
        <w:t xml:space="preserve"> continues to be disgusted with </w:t>
      </w:r>
      <w:proofErr w:type="spellStart"/>
      <w:r>
        <w:t>Trimalchio’s</w:t>
      </w:r>
      <w:proofErr w:type="spellEnd"/>
      <w:r>
        <w:t xml:space="preserve"> act “</w:t>
      </w:r>
      <w:r>
        <w:rPr>
          <w:i/>
          <w:iCs/>
        </w:rPr>
        <w:t xml:space="preserve">ad </w:t>
      </w:r>
      <w:proofErr w:type="spellStart"/>
      <w:r>
        <w:rPr>
          <w:i/>
          <w:iCs/>
        </w:rPr>
        <w:t>summam</w:t>
      </w:r>
      <w:proofErr w:type="spellEnd"/>
      <w:r>
        <w:rPr>
          <w:i/>
          <w:iCs/>
        </w:rPr>
        <w:t xml:space="preserve"> nauseam</w:t>
      </w:r>
      <w:r>
        <w:t>,” which Se</w:t>
      </w:r>
      <w:r w:rsidR="00D15D10">
        <w:t>dgwick reads as “to a disgusting extent.”</w:t>
      </w:r>
      <w:r w:rsidR="00D15D10">
        <w:rPr>
          <w:rStyle w:val="FootnoteReference"/>
        </w:rPr>
        <w:footnoteReference w:id="2"/>
      </w:r>
      <w:r w:rsidR="00D15D10">
        <w:t xml:space="preserve"> A </w:t>
      </w:r>
      <w:r w:rsidR="00D15D10">
        <w:rPr>
          <w:i/>
          <w:iCs/>
        </w:rPr>
        <w:t>cum</w:t>
      </w:r>
      <w:r w:rsidR="00D15D10">
        <w:t xml:space="preserve"> clause then transitions a new action: the heavily drunk </w:t>
      </w:r>
      <w:proofErr w:type="spellStart"/>
      <w:r w:rsidR="00D15D10">
        <w:t>Trimalchio</w:t>
      </w:r>
      <w:proofErr w:type="spellEnd"/>
      <w:r w:rsidR="00D15D10">
        <w:t xml:space="preserve"> calls forth his entertainers and horn-players, stretches himself out on his couch, and asks everyone to imagine that he is dead. The horn players </w:t>
      </w:r>
      <w:r w:rsidR="00B17C34">
        <w:t>are ordered to</w:t>
      </w:r>
      <w:r w:rsidR="00D15D10">
        <w:t xml:space="preserve"> play “something beautiful” for the occasion; they commence with a “</w:t>
      </w:r>
      <w:proofErr w:type="spellStart"/>
      <w:r w:rsidR="00D15D10">
        <w:rPr>
          <w:i/>
          <w:iCs/>
        </w:rPr>
        <w:t>funebri</w:t>
      </w:r>
      <w:proofErr w:type="spellEnd"/>
      <w:r w:rsidR="00D15D10">
        <w:rPr>
          <w:i/>
          <w:iCs/>
        </w:rPr>
        <w:t xml:space="preserve"> </w:t>
      </w:r>
      <w:proofErr w:type="spellStart"/>
      <w:r w:rsidR="00D15D10">
        <w:rPr>
          <w:i/>
          <w:iCs/>
        </w:rPr>
        <w:t>strepitu</w:t>
      </w:r>
      <w:proofErr w:type="spellEnd"/>
      <w:r w:rsidR="00D15D10">
        <w:t xml:space="preserve">.” There is an irony here between the grand funeral ceremony </w:t>
      </w:r>
      <w:proofErr w:type="spellStart"/>
      <w:r w:rsidR="00D15D10">
        <w:t>Trimalchio</w:t>
      </w:r>
      <w:proofErr w:type="spellEnd"/>
      <w:r w:rsidR="00D15D10">
        <w:t xml:space="preserve"> had just articulated</w:t>
      </w:r>
      <w:r w:rsidR="00347B93">
        <w:t xml:space="preserve">, and the bawdy, drunken play-funeral that is suddenly taking place before his guests. There is more irony when </w:t>
      </w:r>
      <w:proofErr w:type="spellStart"/>
      <w:r w:rsidR="00347B93">
        <w:t>Encolpius</w:t>
      </w:r>
      <w:proofErr w:type="spellEnd"/>
      <w:r w:rsidR="00347B93">
        <w:t xml:space="preserve"> identifies the slave of the undertaker, who </w:t>
      </w:r>
      <w:proofErr w:type="spellStart"/>
      <w:r w:rsidR="00347B93">
        <w:t>Lawall</w:t>
      </w:r>
      <w:proofErr w:type="spellEnd"/>
      <w:r w:rsidR="00347B93">
        <w:t xml:space="preserve"> notes is the freedman and fellow dinner guest C. Julius </w:t>
      </w:r>
      <w:proofErr w:type="spellStart"/>
      <w:r w:rsidR="00347B93">
        <w:t>Proculus</w:t>
      </w:r>
      <w:proofErr w:type="spellEnd"/>
      <w:r w:rsidR="00347B93">
        <w:t>,</w:t>
      </w:r>
      <w:r w:rsidR="00347B93">
        <w:rPr>
          <w:rStyle w:val="FootnoteReference"/>
        </w:rPr>
        <w:footnoteReference w:id="3"/>
      </w:r>
      <w:r w:rsidR="00347B93">
        <w:t xml:space="preserve"> as “</w:t>
      </w:r>
      <w:r w:rsidR="00347B93">
        <w:rPr>
          <w:i/>
          <w:iCs/>
        </w:rPr>
        <w:t xml:space="preserve">inter hos </w:t>
      </w:r>
      <w:proofErr w:type="spellStart"/>
      <w:r w:rsidR="00347B93">
        <w:rPr>
          <w:i/>
          <w:iCs/>
        </w:rPr>
        <w:t>honestissimus</w:t>
      </w:r>
      <w:proofErr w:type="spellEnd"/>
      <w:r w:rsidR="00347B93">
        <w:t xml:space="preserve">,” as honor was not an attribute affixed to slaves. This slave disturbed the whole neighborhood with his funeral dirge, so much so that fireman rush in, thinking that </w:t>
      </w:r>
      <w:proofErr w:type="spellStart"/>
      <w:r w:rsidR="00347B93">
        <w:t>Trimalchio’s</w:t>
      </w:r>
      <w:proofErr w:type="spellEnd"/>
      <w:r w:rsidR="00347B93">
        <w:t xml:space="preserve"> house was on fire, presumably from the act of cremation. This commotion, the first </w:t>
      </w:r>
      <w:r w:rsidR="00B17C34">
        <w:t>in</w:t>
      </w:r>
      <w:r w:rsidR="00347B93">
        <w:t xml:space="preserve"> many hours not orchestrated by </w:t>
      </w:r>
      <w:proofErr w:type="spellStart"/>
      <w:r w:rsidR="00347B93">
        <w:t>Trimalchio</w:t>
      </w:r>
      <w:proofErr w:type="spellEnd"/>
      <w:r w:rsidR="00347B93">
        <w:t xml:space="preserve">, provides the occasion for </w:t>
      </w:r>
      <w:proofErr w:type="spellStart"/>
      <w:r w:rsidR="00347B93">
        <w:t>Encolpius</w:t>
      </w:r>
      <w:proofErr w:type="spellEnd"/>
      <w:r w:rsidR="00347B93">
        <w:t xml:space="preserve"> and his companions to escape the party at long last. That they flee as if the house were really on fire shows just how </w:t>
      </w:r>
      <w:r w:rsidR="00A55DB8">
        <w:t>desperately they</w:t>
      </w:r>
      <w:r w:rsidR="00347B93">
        <w:t xml:space="preserve"> wanted to leave. </w:t>
      </w:r>
      <w:proofErr w:type="spellStart"/>
      <w:r w:rsidR="00347B93">
        <w:t>Lawall</w:t>
      </w:r>
      <w:proofErr w:type="spellEnd"/>
      <w:r w:rsidR="00347B93">
        <w:t xml:space="preserve"> also suggests this is an allusion to Horace’s </w:t>
      </w:r>
      <w:r w:rsidR="00347B93">
        <w:rPr>
          <w:i/>
          <w:iCs/>
        </w:rPr>
        <w:t>Satires</w:t>
      </w:r>
      <w:r w:rsidR="00347B93">
        <w:t xml:space="preserve"> 2.8, when </w:t>
      </w:r>
      <w:proofErr w:type="spellStart"/>
      <w:r w:rsidR="00347B93">
        <w:t>Fundanius</w:t>
      </w:r>
      <w:proofErr w:type="spellEnd"/>
      <w:r w:rsidR="00347B93">
        <w:t xml:space="preserve"> and his companions flee </w:t>
      </w:r>
      <w:r w:rsidR="00347B93">
        <w:lastRenderedPageBreak/>
        <w:t xml:space="preserve">from </w:t>
      </w:r>
      <w:proofErr w:type="spellStart"/>
      <w:r w:rsidR="00347B93">
        <w:t>Nasidienus’s</w:t>
      </w:r>
      <w:proofErr w:type="spellEnd"/>
      <w:r w:rsidR="00347B93">
        <w:t xml:space="preserve"> dinner.</w:t>
      </w:r>
      <w:r w:rsidR="00347B93">
        <w:rPr>
          <w:rStyle w:val="FootnoteReference"/>
        </w:rPr>
        <w:footnoteReference w:id="4"/>
      </w:r>
      <w:r w:rsidR="00A55DB8">
        <w:t xml:space="preserve"> This ending shows that </w:t>
      </w:r>
      <w:proofErr w:type="spellStart"/>
      <w:r w:rsidR="00A55DB8">
        <w:t>Trimalchio</w:t>
      </w:r>
      <w:proofErr w:type="spellEnd"/>
      <w:r w:rsidR="00A55DB8">
        <w:t xml:space="preserve"> was not as in control of his life, his party, and his fortune as he projected to his guests all the evening long.</w:t>
      </w:r>
    </w:p>
    <w:p w14:paraId="24E9ECB4" w14:textId="3D2A87E3" w:rsidR="003F08EF" w:rsidRDefault="003F08EF" w:rsidP="003F08EF">
      <w:pPr>
        <w:spacing w:line="480" w:lineRule="auto"/>
        <w:ind w:firstLine="720"/>
      </w:pPr>
    </w:p>
    <w:p w14:paraId="23ABE8C8" w14:textId="150E07EA" w:rsidR="003F08EF" w:rsidRDefault="003F08EF" w:rsidP="003F08EF">
      <w:pPr>
        <w:spacing w:line="480" w:lineRule="auto"/>
        <w:ind w:firstLine="720"/>
      </w:pPr>
    </w:p>
    <w:p w14:paraId="56526BE1" w14:textId="330188B5" w:rsidR="003F08EF" w:rsidRDefault="003F08EF" w:rsidP="003F08EF">
      <w:pPr>
        <w:spacing w:line="480" w:lineRule="auto"/>
        <w:ind w:firstLine="720"/>
      </w:pPr>
    </w:p>
    <w:p w14:paraId="628396C9" w14:textId="303689E7" w:rsidR="003F08EF" w:rsidRDefault="003F08EF" w:rsidP="00D0682E">
      <w:pPr>
        <w:spacing w:line="480" w:lineRule="auto"/>
      </w:pPr>
    </w:p>
    <w:p w14:paraId="37553591" w14:textId="37103A8B" w:rsidR="00D0682E" w:rsidRDefault="00D0682E" w:rsidP="00D0682E">
      <w:pPr>
        <w:spacing w:line="480" w:lineRule="auto"/>
      </w:pPr>
    </w:p>
    <w:p w14:paraId="04A2A9C9" w14:textId="6F583BD7" w:rsidR="00B17C34" w:rsidRDefault="00B17C34" w:rsidP="00D0682E">
      <w:pPr>
        <w:spacing w:line="480" w:lineRule="auto"/>
      </w:pPr>
    </w:p>
    <w:p w14:paraId="26FC8D4F" w14:textId="41C5E03F" w:rsidR="00B17C34" w:rsidRDefault="00B17C34" w:rsidP="00D0682E">
      <w:pPr>
        <w:spacing w:line="480" w:lineRule="auto"/>
      </w:pPr>
    </w:p>
    <w:p w14:paraId="5F38B4D7" w14:textId="1D7E81C9" w:rsidR="00B17C34" w:rsidRDefault="00B17C34" w:rsidP="00D0682E">
      <w:pPr>
        <w:spacing w:line="480" w:lineRule="auto"/>
      </w:pPr>
    </w:p>
    <w:p w14:paraId="1945C228" w14:textId="24362C9C" w:rsidR="00B17C34" w:rsidRDefault="00B17C34" w:rsidP="00D0682E">
      <w:pPr>
        <w:spacing w:line="480" w:lineRule="auto"/>
      </w:pPr>
    </w:p>
    <w:p w14:paraId="4D5A195D" w14:textId="148BE393" w:rsidR="00B17C34" w:rsidRDefault="00B17C34" w:rsidP="00D0682E">
      <w:pPr>
        <w:spacing w:line="480" w:lineRule="auto"/>
      </w:pPr>
    </w:p>
    <w:p w14:paraId="55A62943" w14:textId="6289C548" w:rsidR="00B17C34" w:rsidRDefault="00B17C34" w:rsidP="00D0682E">
      <w:pPr>
        <w:spacing w:line="480" w:lineRule="auto"/>
      </w:pPr>
    </w:p>
    <w:p w14:paraId="5A62421B" w14:textId="068EF5AE" w:rsidR="00B17C34" w:rsidRDefault="00B17C34" w:rsidP="00D0682E">
      <w:pPr>
        <w:spacing w:line="480" w:lineRule="auto"/>
      </w:pPr>
    </w:p>
    <w:p w14:paraId="3573CEF5" w14:textId="36D75011" w:rsidR="00B17C34" w:rsidRDefault="00B17C34" w:rsidP="00D0682E">
      <w:pPr>
        <w:spacing w:line="480" w:lineRule="auto"/>
      </w:pPr>
    </w:p>
    <w:p w14:paraId="7D276574" w14:textId="6B6C05B4" w:rsidR="00B17C34" w:rsidRDefault="00B17C34" w:rsidP="00D0682E">
      <w:pPr>
        <w:spacing w:line="480" w:lineRule="auto"/>
      </w:pPr>
    </w:p>
    <w:p w14:paraId="2A23C041" w14:textId="38934CD0" w:rsidR="00B17C34" w:rsidRDefault="00B17C34" w:rsidP="00D0682E">
      <w:pPr>
        <w:spacing w:line="480" w:lineRule="auto"/>
      </w:pPr>
    </w:p>
    <w:p w14:paraId="05F6A12E" w14:textId="61921E7A" w:rsidR="00B17C34" w:rsidRDefault="00B17C34" w:rsidP="00D0682E">
      <w:pPr>
        <w:spacing w:line="480" w:lineRule="auto"/>
      </w:pPr>
    </w:p>
    <w:p w14:paraId="3DA81413" w14:textId="7416EA00" w:rsidR="00B17C34" w:rsidRDefault="00B17C34" w:rsidP="00D0682E">
      <w:pPr>
        <w:spacing w:line="480" w:lineRule="auto"/>
      </w:pPr>
    </w:p>
    <w:p w14:paraId="2E1BFEAF" w14:textId="03063CA5" w:rsidR="00B17C34" w:rsidRDefault="00B17C34" w:rsidP="00D0682E">
      <w:pPr>
        <w:spacing w:line="480" w:lineRule="auto"/>
      </w:pPr>
    </w:p>
    <w:p w14:paraId="28FF3480" w14:textId="618DD688" w:rsidR="00B17C34" w:rsidRDefault="00B17C34" w:rsidP="00D0682E">
      <w:pPr>
        <w:spacing w:line="480" w:lineRule="auto"/>
      </w:pPr>
    </w:p>
    <w:p w14:paraId="196C1CEA" w14:textId="77777777" w:rsidR="00B17C34" w:rsidRPr="00216330" w:rsidRDefault="00B17C34" w:rsidP="00D0682E">
      <w:pPr>
        <w:spacing w:line="480" w:lineRule="auto"/>
      </w:pPr>
      <w:bookmarkStart w:id="0" w:name="_GoBack"/>
      <w:bookmarkEnd w:id="0"/>
    </w:p>
    <w:p w14:paraId="2A8C0587" w14:textId="0F0312A1" w:rsidR="008062BE" w:rsidRDefault="008062BE" w:rsidP="008062BE">
      <w:pPr>
        <w:spacing w:line="480" w:lineRule="auto"/>
        <w:jc w:val="center"/>
      </w:pPr>
      <w:r>
        <w:lastRenderedPageBreak/>
        <w:t>Bibliography</w:t>
      </w:r>
    </w:p>
    <w:p w14:paraId="150BBF99" w14:textId="77777777" w:rsidR="008062BE" w:rsidRDefault="008062BE" w:rsidP="008062BE">
      <w:proofErr w:type="spellStart"/>
      <w:r>
        <w:t>Lawall</w:t>
      </w:r>
      <w:proofErr w:type="spellEnd"/>
      <w:r>
        <w:t xml:space="preserve">, G. 2011. </w:t>
      </w:r>
      <w:r>
        <w:rPr>
          <w:i/>
          <w:iCs/>
        </w:rPr>
        <w:t xml:space="preserve">Petronius: Selections from the </w:t>
      </w:r>
      <w:proofErr w:type="spellStart"/>
      <w:r>
        <w:rPr>
          <w:i/>
          <w:iCs/>
        </w:rPr>
        <w:t>Satyricon</w:t>
      </w:r>
      <w:proofErr w:type="spellEnd"/>
      <w:r>
        <w:t xml:space="preserve">. Mundelein, Illinois: </w:t>
      </w:r>
      <w:proofErr w:type="spellStart"/>
      <w:r>
        <w:t>Bolchazy</w:t>
      </w:r>
      <w:proofErr w:type="spellEnd"/>
      <w:r>
        <w:t>-</w:t>
      </w:r>
    </w:p>
    <w:p w14:paraId="03EE5A26" w14:textId="0F2EE4CA" w:rsidR="008062BE" w:rsidRDefault="008062BE" w:rsidP="008062BE">
      <w:pPr>
        <w:ind w:firstLine="720"/>
      </w:pPr>
      <w:r>
        <w:t>Carducci Publishers, Inc.</w:t>
      </w:r>
    </w:p>
    <w:p w14:paraId="4595641F" w14:textId="77777777" w:rsidR="008062BE" w:rsidRDefault="008062BE" w:rsidP="008062BE"/>
    <w:p w14:paraId="50E90536" w14:textId="6DF2640B" w:rsidR="008062BE" w:rsidRPr="008062BE" w:rsidRDefault="008062BE" w:rsidP="008062BE">
      <w:pPr>
        <w:spacing w:line="480" w:lineRule="auto"/>
      </w:pPr>
      <w:r>
        <w:t xml:space="preserve">Sedgwick, W.B. 1964. </w:t>
      </w:r>
      <w:r>
        <w:rPr>
          <w:i/>
          <w:iCs/>
        </w:rPr>
        <w:t xml:space="preserve">The Cena </w:t>
      </w:r>
      <w:proofErr w:type="spellStart"/>
      <w:r>
        <w:rPr>
          <w:i/>
          <w:iCs/>
        </w:rPr>
        <w:t>Trimalchionis</w:t>
      </w:r>
      <w:proofErr w:type="spellEnd"/>
      <w:r>
        <w:rPr>
          <w:i/>
          <w:iCs/>
        </w:rPr>
        <w:t xml:space="preserve"> of Petronius</w:t>
      </w:r>
      <w:r>
        <w:t>. Oxford: The Clarendon Press.</w:t>
      </w:r>
    </w:p>
    <w:p w14:paraId="1398327A" w14:textId="48FCEBE8" w:rsidR="004A45A0" w:rsidRPr="004A45A0" w:rsidRDefault="004A45A0" w:rsidP="00C25AD9">
      <w:pPr>
        <w:spacing w:line="480" w:lineRule="auto"/>
      </w:pPr>
    </w:p>
    <w:sectPr w:rsidR="004A45A0" w:rsidRPr="004A45A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78C491" w14:textId="77777777" w:rsidR="004B764E" w:rsidRDefault="004B764E" w:rsidP="004B764E">
      <w:r>
        <w:separator/>
      </w:r>
    </w:p>
  </w:endnote>
  <w:endnote w:type="continuationSeparator" w:id="0">
    <w:p w14:paraId="59EA4EF6" w14:textId="77777777" w:rsidR="004B764E" w:rsidRDefault="004B764E" w:rsidP="004B76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FB636C" w14:textId="77777777" w:rsidR="004B764E" w:rsidRDefault="004B764E" w:rsidP="004B764E">
      <w:r>
        <w:separator/>
      </w:r>
    </w:p>
  </w:footnote>
  <w:footnote w:type="continuationSeparator" w:id="0">
    <w:p w14:paraId="63AA888A" w14:textId="77777777" w:rsidR="004B764E" w:rsidRDefault="004B764E" w:rsidP="004B764E">
      <w:r>
        <w:continuationSeparator/>
      </w:r>
    </w:p>
  </w:footnote>
  <w:footnote w:id="1">
    <w:p w14:paraId="1EBEFC5A" w14:textId="762F47F6" w:rsidR="005A597B" w:rsidRDefault="005A59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Lawall</w:t>
      </w:r>
      <w:proofErr w:type="spellEnd"/>
      <w:r>
        <w:t xml:space="preserve"> 2011: 201.</w:t>
      </w:r>
    </w:p>
  </w:footnote>
  <w:footnote w:id="2">
    <w:p w14:paraId="5F4E308C" w14:textId="4919890A" w:rsidR="00D15D10" w:rsidRDefault="00D15D10">
      <w:pPr>
        <w:pStyle w:val="FootnoteText"/>
      </w:pPr>
      <w:r>
        <w:rPr>
          <w:rStyle w:val="FootnoteReference"/>
        </w:rPr>
        <w:footnoteRef/>
      </w:r>
      <w:r>
        <w:t xml:space="preserve"> Sedgwick 1964: 131.</w:t>
      </w:r>
    </w:p>
  </w:footnote>
  <w:footnote w:id="3">
    <w:p w14:paraId="5CA803BE" w14:textId="3626BA25" w:rsidR="00347B93" w:rsidRDefault="00347B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Lawall</w:t>
      </w:r>
      <w:proofErr w:type="spellEnd"/>
      <w:r>
        <w:t>: 2011: 203.</w:t>
      </w:r>
    </w:p>
  </w:footnote>
  <w:footnote w:id="4">
    <w:p w14:paraId="44986986" w14:textId="4485343C" w:rsidR="00347B93" w:rsidRDefault="00347B93">
      <w:pPr>
        <w:pStyle w:val="FootnoteText"/>
      </w:pPr>
      <w:r>
        <w:rPr>
          <w:rStyle w:val="FootnoteReference"/>
        </w:rPr>
        <w:footnoteRef/>
      </w:r>
      <w:r>
        <w:t xml:space="preserve"> Ibid., 205.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5AD9"/>
    <w:rsid w:val="000007C4"/>
    <w:rsid w:val="00036BBF"/>
    <w:rsid w:val="000F4564"/>
    <w:rsid w:val="00133ED1"/>
    <w:rsid w:val="00141344"/>
    <w:rsid w:val="00200889"/>
    <w:rsid w:val="00216330"/>
    <w:rsid w:val="002235A0"/>
    <w:rsid w:val="002317E3"/>
    <w:rsid w:val="002476D2"/>
    <w:rsid w:val="002F07B1"/>
    <w:rsid w:val="00320CCC"/>
    <w:rsid w:val="00337ACA"/>
    <w:rsid w:val="00347B93"/>
    <w:rsid w:val="003F08EF"/>
    <w:rsid w:val="004160B7"/>
    <w:rsid w:val="00435B8C"/>
    <w:rsid w:val="00442ADC"/>
    <w:rsid w:val="004A45A0"/>
    <w:rsid w:val="004B764E"/>
    <w:rsid w:val="004D307F"/>
    <w:rsid w:val="004F24C2"/>
    <w:rsid w:val="00535480"/>
    <w:rsid w:val="0054689A"/>
    <w:rsid w:val="00550F35"/>
    <w:rsid w:val="005A597B"/>
    <w:rsid w:val="00670E8B"/>
    <w:rsid w:val="007320C6"/>
    <w:rsid w:val="00796749"/>
    <w:rsid w:val="008062BE"/>
    <w:rsid w:val="008F66FE"/>
    <w:rsid w:val="00926722"/>
    <w:rsid w:val="00940CF7"/>
    <w:rsid w:val="00A55DB8"/>
    <w:rsid w:val="00A97903"/>
    <w:rsid w:val="00B17C34"/>
    <w:rsid w:val="00B264F8"/>
    <w:rsid w:val="00B332CF"/>
    <w:rsid w:val="00B92E6D"/>
    <w:rsid w:val="00BF6F7A"/>
    <w:rsid w:val="00C25AD9"/>
    <w:rsid w:val="00C74A8F"/>
    <w:rsid w:val="00D0682E"/>
    <w:rsid w:val="00D15D10"/>
    <w:rsid w:val="00DB0EDF"/>
    <w:rsid w:val="00E36CB4"/>
    <w:rsid w:val="00EC72F0"/>
    <w:rsid w:val="00F364C1"/>
    <w:rsid w:val="00F64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3F4B3D"/>
  <w15:chartTrackingRefBased/>
  <w15:docId w15:val="{140D7B35-C099-46E5-AFB7-507A636F8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4B764E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B764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B764E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476D2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476D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2476D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TURABIAN.XSL" StyleName="Turabian" Version="6"/>
</file>

<file path=customXml/itemProps1.xml><?xml version="1.0" encoding="utf-8"?>
<ds:datastoreItem xmlns:ds="http://schemas.openxmlformats.org/officeDocument/2006/customXml" ds:itemID="{BF0AFC92-379C-4333-B6CD-C9A78EA73C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4</Pages>
  <Words>601</Words>
  <Characters>3431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Owner</cp:lastModifiedBy>
  <cp:revision>8</cp:revision>
  <dcterms:created xsi:type="dcterms:W3CDTF">2019-11-28T20:14:00Z</dcterms:created>
  <dcterms:modified xsi:type="dcterms:W3CDTF">2019-11-30T22:55:00Z</dcterms:modified>
</cp:coreProperties>
</file>