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6B366C19" w:rsidP="4A48454A" w:rsidRDefault="4A48454A" w14:paraId="2DC20087" w14:textId="2148525D">
      <w:pPr>
        <w:spacing w:line="360" w:lineRule="auto"/>
        <w:jc w:val="cente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Content page</w:t>
      </w:r>
    </w:p>
    <w:p w:rsidR="4A48454A" w:rsidP="4A48454A" w:rsidRDefault="4A48454A" w14:paraId="26BBF672" w14:textId="6DB819BE">
      <w:pPr>
        <w:spacing w:line="360" w:lineRule="auto"/>
        <w:jc w:val="center"/>
        <w:rPr>
          <w:rFonts w:ascii="Times New Roman" w:hAnsi="Times New Roman" w:eastAsia="Times New Roman" w:cs="Times New Roman"/>
          <w:sz w:val="24"/>
          <w:szCs w:val="24"/>
        </w:rPr>
      </w:pPr>
    </w:p>
    <w:tbl>
      <w:tblPr>
        <w:tblStyle w:val="TableGrid"/>
        <w:tblW w:w="0" w:type="auto"/>
        <w:tblLayout w:type="fixed"/>
        <w:tblLook w:val="06A0" w:firstRow="1" w:lastRow="0" w:firstColumn="1" w:lastColumn="0" w:noHBand="1" w:noVBand="1"/>
      </w:tblPr>
      <w:tblGrid>
        <w:gridCol w:w="4513"/>
        <w:gridCol w:w="4513"/>
      </w:tblGrid>
      <w:tr w:rsidR="4A48454A" w:rsidTr="213BDE6A" w14:paraId="74BEF107" w14:textId="77777777">
        <w:tc>
          <w:tcPr>
            <w:tcW w:w="4513" w:type="dxa"/>
            <w:tcMar/>
          </w:tcPr>
          <w:p w:rsidR="4A48454A" w:rsidP="4A48454A" w:rsidRDefault="4A48454A" w14:paraId="7675931E" w14:textId="67E6ECFB">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Section 1</w:t>
            </w:r>
          </w:p>
          <w:p w:rsidR="4A48454A" w:rsidP="4A48454A" w:rsidRDefault="4A48454A" w14:paraId="7ADDD708" w14:textId="2001C6BA">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-Activity Plan</w:t>
            </w:r>
          </w:p>
          <w:p w:rsidR="4A48454A" w:rsidP="4A48454A" w:rsidRDefault="4A48454A" w14:paraId="74CCF9A1" w14:textId="07D5AFF9">
            <w:pPr>
              <w:rPr>
                <w:rFonts w:ascii="Times New Roman" w:hAnsi="Times New Roman" w:eastAsia="Times New Roman" w:cs="Times New Roman"/>
                <w:sz w:val="24"/>
                <w:szCs w:val="24"/>
              </w:rPr>
            </w:pPr>
          </w:p>
        </w:tc>
        <w:tc>
          <w:tcPr>
            <w:tcW w:w="4513" w:type="dxa"/>
            <w:tcMar/>
          </w:tcPr>
          <w:p w:rsidR="4A48454A" w:rsidP="4A48454A" w:rsidRDefault="4A48454A" w14:paraId="1C69E4DF" w14:textId="76401AEA">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Page number</w:t>
            </w:r>
          </w:p>
          <w:p w:rsidR="4A48454A" w:rsidP="4A48454A" w:rsidRDefault="4A48454A" w14:paraId="3AD87707" w14:textId="4CCDF2E2">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2-4</w:t>
            </w:r>
          </w:p>
          <w:p w:rsidR="4A48454A" w:rsidP="4A48454A" w:rsidRDefault="4A48454A" w14:paraId="0FA18F57" w14:textId="70C6A8AE">
            <w:pPr>
              <w:rPr>
                <w:rFonts w:ascii="Times New Roman" w:hAnsi="Times New Roman" w:eastAsia="Times New Roman" w:cs="Times New Roman"/>
                <w:sz w:val="24"/>
                <w:szCs w:val="24"/>
              </w:rPr>
            </w:pPr>
          </w:p>
        </w:tc>
      </w:tr>
      <w:tr w:rsidR="4A48454A" w:rsidTr="213BDE6A" w14:paraId="7F617E1B" w14:textId="77777777">
        <w:tc>
          <w:tcPr>
            <w:tcW w:w="4513" w:type="dxa"/>
            <w:tcMar/>
          </w:tcPr>
          <w:p w:rsidR="4A48454A" w:rsidP="4A48454A" w:rsidRDefault="4A48454A" w14:paraId="7E1D6817" w14:textId="4BA0AEB6">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Section 2</w:t>
            </w:r>
          </w:p>
          <w:p w:rsidR="4A48454A" w:rsidP="4A48454A" w:rsidRDefault="4A48454A" w14:paraId="5B83B021" w14:textId="18D40DA8">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-Evaluation</w:t>
            </w:r>
          </w:p>
          <w:p w:rsidR="4A48454A" w:rsidP="4A48454A" w:rsidRDefault="4A48454A" w14:paraId="6A595218" w14:textId="109099D6">
            <w:pPr>
              <w:rPr>
                <w:rFonts w:ascii="Times New Roman" w:hAnsi="Times New Roman" w:eastAsia="Times New Roman" w:cs="Times New Roman"/>
                <w:sz w:val="24"/>
                <w:szCs w:val="24"/>
              </w:rPr>
            </w:pPr>
          </w:p>
        </w:tc>
        <w:tc>
          <w:tcPr>
            <w:tcW w:w="4513" w:type="dxa"/>
            <w:tcMar/>
          </w:tcPr>
          <w:p w:rsidR="4A48454A" w:rsidP="4A48454A" w:rsidRDefault="4A48454A" w14:paraId="11B50BE0" w14:textId="17751569">
            <w:pPr>
              <w:rPr>
                <w:rFonts w:ascii="Times New Roman" w:hAnsi="Times New Roman" w:eastAsia="Times New Roman" w:cs="Times New Roman"/>
                <w:sz w:val="24"/>
                <w:szCs w:val="24"/>
              </w:rPr>
            </w:pPr>
          </w:p>
          <w:p w:rsidR="4A48454A" w:rsidP="4A48454A" w:rsidRDefault="4A48454A" w14:paraId="0524B491" w14:textId="44316575">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5-6 </w:t>
            </w:r>
          </w:p>
        </w:tc>
      </w:tr>
      <w:tr w:rsidR="4A48454A" w:rsidTr="213BDE6A" w14:paraId="3E16926C" w14:textId="77777777">
        <w:tc>
          <w:tcPr>
            <w:tcW w:w="4513" w:type="dxa"/>
            <w:tcMar/>
          </w:tcPr>
          <w:p w:rsidR="4A48454A" w:rsidP="4A48454A" w:rsidRDefault="4A48454A" w14:paraId="061D3533" w14:textId="70C629F5">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Section 3</w:t>
            </w:r>
          </w:p>
          <w:p w:rsidR="4A48454A" w:rsidP="4A48454A" w:rsidRDefault="4A48454A" w14:paraId="79A989A8" w14:textId="1DA594A9">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-Discussion</w:t>
            </w:r>
          </w:p>
          <w:p w:rsidR="4A48454A" w:rsidP="4A48454A" w:rsidRDefault="4A48454A" w14:paraId="2E2B1583" w14:textId="306EE018">
            <w:pPr>
              <w:rPr>
                <w:rFonts w:ascii="Times New Roman" w:hAnsi="Times New Roman" w:eastAsia="Times New Roman" w:cs="Times New Roman"/>
                <w:sz w:val="24"/>
                <w:szCs w:val="24"/>
              </w:rPr>
            </w:pPr>
          </w:p>
        </w:tc>
        <w:tc>
          <w:tcPr>
            <w:tcW w:w="4513" w:type="dxa"/>
            <w:tcMar/>
          </w:tcPr>
          <w:p w:rsidR="4A48454A" w:rsidP="4A48454A" w:rsidRDefault="4A48454A" w14:paraId="21972613" w14:textId="5AC0B7A1">
            <w:pPr>
              <w:rPr>
                <w:rFonts w:ascii="Times New Roman" w:hAnsi="Times New Roman" w:eastAsia="Times New Roman" w:cs="Times New Roman"/>
                <w:sz w:val="24"/>
                <w:szCs w:val="24"/>
              </w:rPr>
            </w:pPr>
          </w:p>
          <w:p w:rsidR="4A48454A" w:rsidP="4A48454A" w:rsidRDefault="4A48454A" w14:paraId="5087E2F7" w14:textId="230440C0">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7-8</w:t>
            </w:r>
          </w:p>
        </w:tc>
      </w:tr>
      <w:tr w:rsidR="4A48454A" w:rsidTr="213BDE6A" w14:paraId="368C13F0" w14:textId="77777777">
        <w:tc>
          <w:tcPr>
            <w:tcW w:w="4513" w:type="dxa"/>
            <w:tcMar/>
          </w:tcPr>
          <w:p w:rsidR="4A48454A" w:rsidP="4A48454A" w:rsidRDefault="4A48454A" w14:paraId="43E14A85" w14:textId="17502210">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Section 4</w:t>
            </w:r>
          </w:p>
          <w:p w:rsidR="4A48454A" w:rsidP="4A48454A" w:rsidRDefault="4A48454A" w14:paraId="677A38E2" w14:textId="485FEC21">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-Explanation</w:t>
            </w:r>
          </w:p>
          <w:p w:rsidR="4A48454A" w:rsidP="4A48454A" w:rsidRDefault="4A48454A" w14:paraId="5B0E2B4B" w14:textId="3F6CD5FF">
            <w:pPr>
              <w:rPr>
                <w:rFonts w:ascii="Times New Roman" w:hAnsi="Times New Roman" w:eastAsia="Times New Roman" w:cs="Times New Roman"/>
                <w:sz w:val="24"/>
                <w:szCs w:val="24"/>
              </w:rPr>
            </w:pPr>
          </w:p>
        </w:tc>
        <w:tc>
          <w:tcPr>
            <w:tcW w:w="4513" w:type="dxa"/>
            <w:tcMar/>
          </w:tcPr>
          <w:p w:rsidR="4A48454A" w:rsidP="4A48454A" w:rsidRDefault="4A48454A" w14:paraId="1CE5450A" w14:textId="77EA3318">
            <w:pPr>
              <w:rPr>
                <w:rFonts w:ascii="Times New Roman" w:hAnsi="Times New Roman" w:eastAsia="Times New Roman" w:cs="Times New Roman"/>
                <w:sz w:val="24"/>
                <w:szCs w:val="24"/>
              </w:rPr>
            </w:pPr>
          </w:p>
          <w:p w:rsidR="4A48454A" w:rsidP="4A48454A" w:rsidRDefault="4A48454A" w14:paraId="4C94678E" w14:textId="480030FF">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9</w:t>
            </w:r>
          </w:p>
        </w:tc>
      </w:tr>
      <w:tr w:rsidR="4A48454A" w:rsidTr="213BDE6A" w14:paraId="12F6D135" w14:textId="77777777">
        <w:tc>
          <w:tcPr>
            <w:tcW w:w="4513" w:type="dxa"/>
            <w:tcMar/>
          </w:tcPr>
          <w:p w:rsidR="4A48454A" w:rsidP="4A48454A" w:rsidRDefault="4A48454A" w14:paraId="5066F540" w14:textId="5441014B">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References</w:t>
            </w:r>
          </w:p>
          <w:p w:rsidR="4A48454A" w:rsidP="4A48454A" w:rsidRDefault="4A48454A" w14:paraId="77A86EA2" w14:textId="50235C63">
            <w:pPr>
              <w:rPr>
                <w:rFonts w:ascii="Times New Roman" w:hAnsi="Times New Roman" w:eastAsia="Times New Roman" w:cs="Times New Roman"/>
                <w:sz w:val="24"/>
                <w:szCs w:val="24"/>
              </w:rPr>
            </w:pPr>
          </w:p>
          <w:p w:rsidR="4A48454A" w:rsidP="4A48454A" w:rsidRDefault="4A48454A" w14:paraId="6938726B" w14:textId="16F9FD62">
            <w:pPr>
              <w:rPr>
                <w:rFonts w:ascii="Times New Roman" w:hAnsi="Times New Roman" w:eastAsia="Times New Roman" w:cs="Times New Roman"/>
                <w:sz w:val="24"/>
                <w:szCs w:val="24"/>
              </w:rPr>
            </w:pPr>
          </w:p>
        </w:tc>
        <w:tc>
          <w:tcPr>
            <w:tcW w:w="4513" w:type="dxa"/>
            <w:tcMar/>
          </w:tcPr>
          <w:p w:rsidR="4A48454A" w:rsidP="4A48454A" w:rsidRDefault="4A48454A" w14:paraId="0E45F89F" w14:textId="14CB0543">
            <w:pPr>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10</w:t>
            </w:r>
          </w:p>
        </w:tc>
      </w:tr>
    </w:tbl>
    <w:p w:rsidR="6B366C19" w:rsidP="310EB332" w:rsidRDefault="6B366C19" w14:paraId="33939016" w14:textId="5849F8BD">
      <w:pPr>
        <w:spacing w:line="360" w:lineRule="auto"/>
        <w:jc w:val="both"/>
        <w:rPr>
          <w:rFonts w:ascii="Times New Roman" w:hAnsi="Times New Roman" w:eastAsia="Times New Roman" w:cs="Times New Roman"/>
          <w:sz w:val="24"/>
          <w:szCs w:val="24"/>
        </w:rPr>
      </w:pPr>
    </w:p>
    <w:p w:rsidR="6B366C19" w:rsidP="310EB332" w:rsidRDefault="6B366C19" w14:paraId="5D5D17BE" w14:textId="74EDC6C2">
      <w:pPr>
        <w:spacing w:line="360" w:lineRule="auto"/>
        <w:jc w:val="both"/>
        <w:rPr>
          <w:rFonts w:ascii="Times New Roman" w:hAnsi="Times New Roman" w:eastAsia="Times New Roman" w:cs="Times New Roman"/>
          <w:sz w:val="24"/>
          <w:szCs w:val="24"/>
        </w:rPr>
      </w:pPr>
    </w:p>
    <w:p w:rsidR="6B366C19" w:rsidP="310EB332" w:rsidRDefault="6B366C19" w14:paraId="272A87B6" w14:textId="5B83A26E">
      <w:pPr>
        <w:spacing w:line="360" w:lineRule="auto"/>
        <w:jc w:val="both"/>
        <w:rPr>
          <w:rFonts w:ascii="Times New Roman" w:hAnsi="Times New Roman" w:eastAsia="Times New Roman" w:cs="Times New Roman"/>
          <w:sz w:val="24"/>
          <w:szCs w:val="24"/>
        </w:rPr>
      </w:pPr>
    </w:p>
    <w:p w:rsidR="6B366C19" w:rsidP="310EB332" w:rsidRDefault="6B366C19" w14:paraId="19120E00" w14:textId="4C2C8345">
      <w:pPr>
        <w:spacing w:line="360" w:lineRule="auto"/>
        <w:jc w:val="both"/>
        <w:rPr>
          <w:rFonts w:ascii="Times New Roman" w:hAnsi="Times New Roman" w:eastAsia="Times New Roman" w:cs="Times New Roman"/>
          <w:sz w:val="24"/>
          <w:szCs w:val="24"/>
        </w:rPr>
      </w:pPr>
    </w:p>
    <w:p w:rsidR="6B366C19" w:rsidP="310EB332" w:rsidRDefault="6B366C19" w14:paraId="12D49FCD" w14:textId="2470EC7E">
      <w:pPr>
        <w:spacing w:line="360" w:lineRule="auto"/>
        <w:jc w:val="both"/>
        <w:rPr>
          <w:rFonts w:ascii="Times New Roman" w:hAnsi="Times New Roman" w:eastAsia="Times New Roman" w:cs="Times New Roman"/>
          <w:sz w:val="24"/>
          <w:szCs w:val="24"/>
        </w:rPr>
      </w:pPr>
    </w:p>
    <w:p w:rsidR="6B366C19" w:rsidP="310EB332" w:rsidRDefault="6B366C19" w14:paraId="6022D785" w14:textId="62DA0627">
      <w:pPr>
        <w:spacing w:line="360" w:lineRule="auto"/>
        <w:jc w:val="both"/>
        <w:rPr>
          <w:rFonts w:ascii="Times New Roman" w:hAnsi="Times New Roman" w:eastAsia="Times New Roman" w:cs="Times New Roman"/>
          <w:sz w:val="24"/>
          <w:szCs w:val="24"/>
        </w:rPr>
      </w:pPr>
    </w:p>
    <w:p w:rsidR="6B366C19" w:rsidP="310EB332" w:rsidRDefault="6B366C19" w14:paraId="6D9D3FAC" w14:textId="38A4D439">
      <w:pPr>
        <w:spacing w:line="360" w:lineRule="auto"/>
        <w:jc w:val="both"/>
        <w:rPr>
          <w:rFonts w:ascii="Times New Roman" w:hAnsi="Times New Roman" w:eastAsia="Times New Roman" w:cs="Times New Roman"/>
          <w:sz w:val="24"/>
          <w:szCs w:val="24"/>
        </w:rPr>
      </w:pPr>
    </w:p>
    <w:p w:rsidR="6B366C19" w:rsidP="310EB332" w:rsidRDefault="6B366C19" w14:paraId="4C0F7B23" w14:textId="3B85B05C">
      <w:pPr>
        <w:spacing w:line="360" w:lineRule="auto"/>
        <w:jc w:val="both"/>
        <w:rPr>
          <w:rFonts w:ascii="Times New Roman" w:hAnsi="Times New Roman" w:eastAsia="Times New Roman" w:cs="Times New Roman"/>
          <w:sz w:val="24"/>
          <w:szCs w:val="24"/>
        </w:rPr>
      </w:pPr>
    </w:p>
    <w:p w:rsidR="6B366C19" w:rsidP="310EB332" w:rsidRDefault="6B366C19" w14:paraId="706E3966" w14:textId="2D02717C">
      <w:pPr>
        <w:spacing w:line="360" w:lineRule="auto"/>
        <w:jc w:val="both"/>
        <w:rPr>
          <w:rFonts w:ascii="Times New Roman" w:hAnsi="Times New Roman" w:eastAsia="Times New Roman" w:cs="Times New Roman"/>
          <w:sz w:val="24"/>
          <w:szCs w:val="24"/>
        </w:rPr>
      </w:pPr>
    </w:p>
    <w:p w:rsidR="6B366C19" w:rsidP="310EB332" w:rsidRDefault="6B366C19" w14:paraId="5CFF7443" w14:textId="24EE4A6A">
      <w:pPr>
        <w:spacing w:line="360" w:lineRule="auto"/>
        <w:jc w:val="both"/>
        <w:rPr>
          <w:rFonts w:ascii="Times New Roman" w:hAnsi="Times New Roman" w:eastAsia="Times New Roman" w:cs="Times New Roman"/>
          <w:sz w:val="24"/>
          <w:szCs w:val="24"/>
        </w:rPr>
      </w:pPr>
    </w:p>
    <w:p w:rsidR="6B366C19" w:rsidP="310EB332" w:rsidRDefault="6B366C19" w14:paraId="08F3B42A" w14:textId="5C7FB95F">
      <w:pPr>
        <w:spacing w:line="360" w:lineRule="auto"/>
        <w:jc w:val="both"/>
        <w:rPr>
          <w:rFonts w:ascii="Times New Roman" w:hAnsi="Times New Roman" w:eastAsia="Times New Roman" w:cs="Times New Roman"/>
          <w:sz w:val="24"/>
          <w:szCs w:val="24"/>
        </w:rPr>
      </w:pPr>
    </w:p>
    <w:p w:rsidR="6B366C19" w:rsidP="310EB332" w:rsidRDefault="6B366C19" w14:paraId="4CAF73E5" w14:textId="0A6DEA9E">
      <w:pPr>
        <w:spacing w:line="360" w:lineRule="auto"/>
        <w:jc w:val="both"/>
        <w:rPr>
          <w:rFonts w:ascii="Times New Roman" w:hAnsi="Times New Roman" w:eastAsia="Times New Roman" w:cs="Times New Roman"/>
          <w:sz w:val="24"/>
          <w:szCs w:val="24"/>
        </w:rPr>
      </w:pPr>
    </w:p>
    <w:p w:rsidR="6B366C19" w:rsidP="310EB332" w:rsidRDefault="6B366C19" w14:paraId="7BD3BB27" w14:textId="3C73C5F8">
      <w:pPr>
        <w:spacing w:line="360" w:lineRule="auto"/>
        <w:jc w:val="both"/>
        <w:rPr>
          <w:rFonts w:ascii="Times New Roman" w:hAnsi="Times New Roman" w:eastAsia="Times New Roman" w:cs="Times New Roman"/>
          <w:sz w:val="24"/>
          <w:szCs w:val="24"/>
        </w:rPr>
      </w:pPr>
    </w:p>
    <w:p w:rsidR="6B366C19" w:rsidP="310EB332" w:rsidRDefault="6B366C19" w14:paraId="62EC575E" w14:textId="50430A9E">
      <w:pPr>
        <w:spacing w:line="360" w:lineRule="auto"/>
        <w:jc w:val="both"/>
        <w:rPr>
          <w:rFonts w:ascii="Times New Roman" w:hAnsi="Times New Roman" w:eastAsia="Times New Roman" w:cs="Times New Roman"/>
          <w:sz w:val="24"/>
          <w:szCs w:val="24"/>
        </w:rPr>
      </w:pPr>
    </w:p>
    <w:p w:rsidR="6B366C19" w:rsidP="310EB332" w:rsidRDefault="6B366C19" w14:paraId="659CDFCE" w14:textId="6A7E80A9">
      <w:pPr>
        <w:spacing w:line="360" w:lineRule="auto"/>
        <w:jc w:val="both"/>
        <w:rPr>
          <w:rFonts w:ascii="Times New Roman" w:hAnsi="Times New Roman" w:eastAsia="Times New Roman" w:cs="Times New Roman"/>
          <w:sz w:val="24"/>
          <w:szCs w:val="24"/>
        </w:rPr>
      </w:pPr>
    </w:p>
    <w:p w:rsidR="6B366C19" w:rsidP="310EB332" w:rsidRDefault="6B366C19" w14:paraId="466ED081" w14:textId="4DBB0030">
      <w:pPr>
        <w:spacing w:line="360" w:lineRule="auto"/>
        <w:jc w:val="both"/>
        <w:rPr>
          <w:rFonts w:ascii="Times New Roman" w:hAnsi="Times New Roman" w:eastAsia="Times New Roman" w:cs="Times New Roman"/>
          <w:sz w:val="24"/>
          <w:szCs w:val="24"/>
        </w:rPr>
      </w:pPr>
    </w:p>
    <w:p w:rsidR="6B366C19" w:rsidP="310EB332" w:rsidRDefault="6B366C19" w14:paraId="6E02BB9C" w14:textId="41AA3A10">
      <w:pPr>
        <w:spacing w:line="360" w:lineRule="auto"/>
        <w:jc w:val="both"/>
        <w:rPr>
          <w:rFonts w:ascii="Times New Roman" w:hAnsi="Times New Roman" w:eastAsia="Times New Roman" w:cs="Times New Roman"/>
          <w:sz w:val="24"/>
          <w:szCs w:val="24"/>
        </w:rPr>
      </w:pPr>
    </w:p>
    <w:p w:rsidR="6B366C19" w:rsidP="213BDE6A" w:rsidRDefault="4A48454A" w14:paraId="4A359015" w14:textId="7A6FEBB7">
      <w:pPr>
        <w:spacing w:line="360" w:lineRule="auto"/>
        <w:jc w:val="both"/>
        <w:rPr>
          <w:rFonts w:ascii="Times New Roman" w:hAnsi="Times New Roman" w:eastAsia="Times New Roman" w:cs="Times New Roman"/>
          <w:sz w:val="24"/>
          <w:szCs w:val="24"/>
          <w:u w:val="single"/>
        </w:rPr>
      </w:pPr>
      <w:r w:rsidRPr="213BDE6A" w:rsidR="213BDE6A">
        <w:rPr>
          <w:rFonts w:ascii="Times New Roman" w:hAnsi="Times New Roman" w:eastAsia="Times New Roman" w:cs="Times New Roman"/>
          <w:sz w:val="24"/>
          <w:szCs w:val="24"/>
          <w:u w:val="single"/>
        </w:rPr>
        <w:t>Section 1</w:t>
      </w:r>
    </w:p>
    <w:p w:rsidR="6B366C19" w:rsidP="310EB332" w:rsidRDefault="6B366C19" w14:paraId="31E912F8" w14:textId="63182E4C">
      <w:pPr>
        <w:spacing w:line="360" w:lineRule="auto"/>
        <w:jc w:val="both"/>
        <w:rPr>
          <w:rFonts w:ascii="Times New Roman" w:hAnsi="Times New Roman" w:eastAsia="Times New Roman" w:cs="Times New Roman"/>
          <w:sz w:val="24"/>
          <w:szCs w:val="24"/>
        </w:rPr>
      </w:pPr>
    </w:p>
    <w:tbl>
      <w:tblPr>
        <w:tblStyle w:val="TableGrid"/>
        <w:tblW w:w="0" w:type="auto"/>
        <w:tblLayout w:type="fixed"/>
        <w:tblLook w:val="06A0" w:firstRow="1" w:lastRow="0" w:firstColumn="1" w:lastColumn="0" w:noHBand="1" w:noVBand="1"/>
      </w:tblPr>
      <w:tblGrid>
        <w:gridCol w:w="2805"/>
        <w:gridCol w:w="3212"/>
        <w:gridCol w:w="3009"/>
      </w:tblGrid>
      <w:tr w:rsidR="6B366C19" w:rsidTr="213BDE6A" w14:paraId="253D1658" w14:textId="77777777">
        <w:tc>
          <w:tcPr>
            <w:tcW w:w="2805" w:type="dxa"/>
            <w:tcMar/>
          </w:tcPr>
          <w:p w:rsidR="6B366C19" w:rsidP="310EB332" w:rsidRDefault="6B366C19" w14:paraId="7B74EAB5" w14:textId="1F630B0F">
            <w:pPr>
              <w:spacing w:line="360" w:lineRule="auto"/>
              <w:jc w:val="both"/>
              <w:rPr>
                <w:rFonts w:ascii="Times New Roman" w:hAnsi="Times New Roman" w:eastAsia="Times New Roman" w:cs="Times New Roman"/>
                <w:sz w:val="24"/>
                <w:szCs w:val="24"/>
              </w:rPr>
            </w:pPr>
          </w:p>
        </w:tc>
        <w:tc>
          <w:tcPr>
            <w:tcW w:w="3212" w:type="dxa"/>
            <w:tcMar/>
          </w:tcPr>
          <w:p w:rsidR="6B366C19" w:rsidP="310EB332" w:rsidRDefault="310EB332" w14:paraId="7F879AED" w14:textId="41574C8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Activity Plan</w:t>
            </w:r>
          </w:p>
          <w:p w:rsidR="6B366C19" w:rsidP="310EB332" w:rsidRDefault="6B366C19" w14:paraId="52516FE5" w14:textId="30027A9C">
            <w:pPr>
              <w:spacing w:line="360" w:lineRule="auto"/>
              <w:jc w:val="both"/>
              <w:rPr>
                <w:rFonts w:ascii="Times New Roman" w:hAnsi="Times New Roman" w:eastAsia="Times New Roman" w:cs="Times New Roman"/>
                <w:sz w:val="24"/>
                <w:szCs w:val="24"/>
              </w:rPr>
            </w:pPr>
          </w:p>
        </w:tc>
        <w:tc>
          <w:tcPr>
            <w:tcW w:w="3009" w:type="dxa"/>
            <w:tcMar/>
          </w:tcPr>
          <w:p w:rsidR="6B366C19" w:rsidP="310EB332" w:rsidRDefault="6B366C19" w14:paraId="5B287CF4" w14:textId="32011694">
            <w:pPr>
              <w:spacing w:line="360" w:lineRule="auto"/>
              <w:jc w:val="both"/>
              <w:rPr>
                <w:rFonts w:ascii="Times New Roman" w:hAnsi="Times New Roman" w:eastAsia="Times New Roman" w:cs="Times New Roman"/>
                <w:sz w:val="24"/>
                <w:szCs w:val="24"/>
              </w:rPr>
            </w:pPr>
          </w:p>
        </w:tc>
      </w:tr>
      <w:tr w:rsidR="6B366C19" w:rsidTr="213BDE6A" w14:paraId="64677061" w14:textId="77777777">
        <w:tc>
          <w:tcPr>
            <w:tcW w:w="9026" w:type="dxa"/>
            <w:gridSpan w:val="3"/>
            <w:tcMar/>
          </w:tcPr>
          <w:p w:rsidR="6B366C19" w:rsidP="310EB332" w:rsidRDefault="310EB332" w14:paraId="450939A7" w14:textId="47612F8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Activity: Making pizza’s</w:t>
            </w:r>
          </w:p>
          <w:p w:rsidR="6B366C19" w:rsidP="310EB332" w:rsidRDefault="6B366C19" w14:paraId="49E39E2F" w14:textId="0FB52224">
            <w:pPr>
              <w:spacing w:line="360" w:lineRule="auto"/>
              <w:jc w:val="both"/>
              <w:rPr>
                <w:rFonts w:ascii="Times New Roman" w:hAnsi="Times New Roman" w:eastAsia="Times New Roman" w:cs="Times New Roman"/>
                <w:sz w:val="24"/>
                <w:szCs w:val="24"/>
              </w:rPr>
            </w:pPr>
            <w:r>
              <w:br/>
            </w:r>
          </w:p>
        </w:tc>
      </w:tr>
      <w:tr w:rsidR="6B366C19" w:rsidTr="213BDE6A" w14:paraId="5CB25B48" w14:textId="77777777">
        <w:tc>
          <w:tcPr>
            <w:tcW w:w="2805" w:type="dxa"/>
            <w:tcMar/>
          </w:tcPr>
          <w:p w:rsidR="6B366C19" w:rsidP="310EB332" w:rsidRDefault="310EB332" w14:paraId="149BAC09" w14:textId="33022FA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Number of children: 8</w:t>
            </w:r>
          </w:p>
          <w:p w:rsidR="6B366C19" w:rsidP="310EB332" w:rsidRDefault="6B366C19" w14:paraId="5DCBA9FD" w14:textId="0934BAFC">
            <w:pPr>
              <w:spacing w:line="360" w:lineRule="auto"/>
              <w:jc w:val="both"/>
              <w:rPr>
                <w:rFonts w:ascii="Times New Roman" w:hAnsi="Times New Roman" w:eastAsia="Times New Roman" w:cs="Times New Roman"/>
                <w:sz w:val="24"/>
                <w:szCs w:val="24"/>
              </w:rPr>
            </w:pPr>
            <w:r>
              <w:br/>
            </w:r>
          </w:p>
        </w:tc>
        <w:tc>
          <w:tcPr>
            <w:tcW w:w="3212" w:type="dxa"/>
            <w:tcMar/>
          </w:tcPr>
          <w:p w:rsidR="6B366C19" w:rsidP="310EB332" w:rsidRDefault="310EB332" w14:paraId="2486F7B8" w14:textId="417669F8">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Age of children: 3-5</w:t>
            </w:r>
          </w:p>
        </w:tc>
        <w:tc>
          <w:tcPr>
            <w:tcW w:w="3009" w:type="dxa"/>
            <w:tcMar/>
          </w:tcPr>
          <w:p w:rsidR="6B366C19" w:rsidP="310EB332" w:rsidRDefault="310EB332" w14:paraId="31C9E003" w14:textId="51D148E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Number of adults: 2</w:t>
            </w:r>
          </w:p>
        </w:tc>
      </w:tr>
      <w:tr w:rsidR="6B366C19" w:rsidTr="213BDE6A" w14:paraId="6A7B412C" w14:textId="77777777">
        <w:tc>
          <w:tcPr>
            <w:tcW w:w="2805" w:type="dxa"/>
            <w:tcMar/>
          </w:tcPr>
          <w:p w:rsidR="6B366C19" w:rsidP="310EB332" w:rsidRDefault="310EB332" w14:paraId="44B5138F" w14:textId="1D8CBD2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Location: School Classroom</w:t>
            </w:r>
          </w:p>
          <w:p w:rsidR="6B366C19" w:rsidP="310EB332" w:rsidRDefault="6B366C19" w14:paraId="499C29B0" w14:textId="1D68E7E3">
            <w:pPr>
              <w:spacing w:line="360" w:lineRule="auto"/>
              <w:jc w:val="both"/>
              <w:rPr>
                <w:rFonts w:ascii="Times New Roman" w:hAnsi="Times New Roman" w:eastAsia="Times New Roman" w:cs="Times New Roman"/>
                <w:sz w:val="24"/>
                <w:szCs w:val="24"/>
              </w:rPr>
            </w:pPr>
            <w:r>
              <w:br/>
            </w:r>
          </w:p>
        </w:tc>
        <w:tc>
          <w:tcPr>
            <w:tcW w:w="3212" w:type="dxa"/>
            <w:tcMar/>
          </w:tcPr>
          <w:p w:rsidR="6B366C19" w:rsidP="310EB332" w:rsidRDefault="310EB332" w14:paraId="7A16A7EA" w14:textId="200AFB28">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Preparation time: 25 minutes</w:t>
            </w:r>
          </w:p>
        </w:tc>
        <w:tc>
          <w:tcPr>
            <w:tcW w:w="3009" w:type="dxa"/>
            <w:tcMar/>
          </w:tcPr>
          <w:p w:rsidR="6B366C19" w:rsidP="310EB332" w:rsidRDefault="310EB332" w14:paraId="40F6B847" w14:textId="60F873CF">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Activity time:1 hour</w:t>
            </w:r>
          </w:p>
        </w:tc>
      </w:tr>
      <w:tr w:rsidR="6B366C19" w:rsidTr="213BDE6A" w14:paraId="3730A839" w14:textId="77777777">
        <w:tc>
          <w:tcPr>
            <w:tcW w:w="9026" w:type="dxa"/>
            <w:gridSpan w:val="3"/>
            <w:tcMar/>
          </w:tcPr>
          <w:p w:rsidR="6B366C19" w:rsidP="310EB332" w:rsidRDefault="310EB332" w14:paraId="10E30E26" w14:textId="7050548B">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Resources: 8 pizza bases</w:t>
            </w:r>
          </w:p>
          <w:p w:rsidR="6B366C19" w:rsidP="77801750" w:rsidRDefault="77801750" w14:paraId="5C11F4CF" w14:textId="3B2EDF00">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8 tbsp of tomato puree</w:t>
            </w:r>
          </w:p>
          <w:p w:rsidR="6B366C19" w:rsidP="310EB332" w:rsidRDefault="310EB332" w14:paraId="7624CEE4" w14:textId="5E7CA9FB">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4 tsp of mixed herbs</w:t>
            </w:r>
          </w:p>
          <w:p w:rsidR="6B366C19" w:rsidP="310EB332" w:rsidRDefault="310EB332" w14:paraId="59911F5B" w14:textId="7F1A5AF5">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100g of grated cheese</w:t>
            </w:r>
          </w:p>
          <w:p w:rsidR="6B366C19" w:rsidP="310EB332" w:rsidRDefault="310EB332" w14:paraId="57DEA2D0" w14:textId="2D04D824">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50g of chopped ham</w:t>
            </w:r>
          </w:p>
          <w:p w:rsidR="6B366C19" w:rsidP="310EB332" w:rsidRDefault="310EB332" w14:paraId="7A8CA832" w14:textId="32943F84">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50g of pineapple</w:t>
            </w:r>
          </w:p>
          <w:p w:rsidR="6B366C19" w:rsidP="310EB332" w:rsidRDefault="310EB332" w14:paraId="23E23C61" w14:textId="690D42D1">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50g of cooked diced chicken</w:t>
            </w:r>
          </w:p>
          <w:p w:rsidR="6B366C19" w:rsidP="310EB332" w:rsidRDefault="310EB332" w14:paraId="4475E585" w14:textId="5E57B8ED">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50g of pepperoni</w:t>
            </w:r>
          </w:p>
          <w:p w:rsidR="6B366C19" w:rsidP="310EB332" w:rsidRDefault="310EB332" w14:paraId="792B2F74" w14:textId="7CB697F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1 tablespoon</w:t>
            </w:r>
          </w:p>
          <w:p w:rsidR="6B366C19" w:rsidP="310EB332" w:rsidRDefault="310EB332" w14:paraId="3CF5652E" w14:textId="5B003D4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1 teaspoon</w:t>
            </w:r>
          </w:p>
          <w:p w:rsidR="6B366C19" w:rsidP="310EB332" w:rsidRDefault="310EB332" w14:paraId="40152CB7" w14:textId="0D4C774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1 knife</w:t>
            </w:r>
          </w:p>
          <w:p w:rsidR="6B366C19" w:rsidP="310EB332" w:rsidRDefault="310EB332" w14:paraId="150DCD05" w14:textId="24E1E88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Plate, chopping board or clean surface</w:t>
            </w:r>
          </w:p>
          <w:p w:rsidR="6B366C19" w:rsidP="310EB332" w:rsidRDefault="310EB332" w14:paraId="1C2AECAB" w14:textId="02E16E97">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Grill</w:t>
            </w:r>
          </w:p>
          <w:p w:rsidR="6B366C19" w:rsidP="310EB332" w:rsidRDefault="310EB332" w14:paraId="49BA424B" w14:textId="44ABBDA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Weight scales</w:t>
            </w:r>
          </w:p>
          <w:p w:rsidR="6B366C19" w:rsidP="310EB332" w:rsidRDefault="310EB332" w14:paraId="2E9896B3" w14:textId="40BA5338">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Aprons</w:t>
            </w:r>
          </w:p>
          <w:p w:rsidR="6B366C19" w:rsidP="310EB332" w:rsidRDefault="6B366C19" w14:paraId="049F7C88" w14:textId="7D77E4CE">
            <w:pPr>
              <w:spacing w:line="360" w:lineRule="auto"/>
              <w:jc w:val="both"/>
              <w:rPr>
                <w:rFonts w:ascii="Times New Roman" w:hAnsi="Times New Roman" w:eastAsia="Times New Roman" w:cs="Times New Roman"/>
                <w:sz w:val="24"/>
                <w:szCs w:val="24"/>
              </w:rPr>
            </w:pPr>
          </w:p>
          <w:p w:rsidR="6B366C19" w:rsidP="310EB332" w:rsidRDefault="6B366C19" w14:paraId="42D5D153" w14:textId="639F6F9D">
            <w:pPr>
              <w:spacing w:line="360" w:lineRule="auto"/>
              <w:jc w:val="both"/>
              <w:rPr>
                <w:rFonts w:ascii="Times New Roman" w:hAnsi="Times New Roman" w:eastAsia="Times New Roman" w:cs="Times New Roman"/>
                <w:sz w:val="24"/>
                <w:szCs w:val="24"/>
              </w:rPr>
            </w:pPr>
          </w:p>
          <w:p w:rsidR="6B366C19" w:rsidP="310EB332" w:rsidRDefault="310EB332" w14:paraId="6A6692DE" w14:textId="680AFED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t>
            </w:r>
          </w:p>
        </w:tc>
      </w:tr>
      <w:tr w:rsidR="6B366C19" w:rsidTr="213BDE6A" w14:paraId="66713343" w14:textId="77777777">
        <w:tc>
          <w:tcPr>
            <w:tcW w:w="9026" w:type="dxa"/>
            <w:gridSpan w:val="3"/>
            <w:tcMar/>
          </w:tcPr>
          <w:p w:rsidR="6B366C19" w:rsidP="77801750" w:rsidRDefault="77801750" w14:paraId="380EB39D" w14:textId="1A75A41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Aim/s of activity: Enables the child to understand the mathematical concept of classification. The aim is to support the children's development of mathematic concepts and skills such as fractions, measuring and time.</w:t>
            </w:r>
          </w:p>
          <w:p w:rsidR="6B366C19" w:rsidP="77801750" w:rsidRDefault="6B366C19" w14:paraId="4C1DBDD9" w14:textId="681671AE">
            <w:pPr>
              <w:spacing w:line="360" w:lineRule="auto"/>
              <w:jc w:val="both"/>
              <w:rPr>
                <w:rFonts w:ascii="Times New Roman" w:hAnsi="Times New Roman" w:eastAsia="Times New Roman" w:cs="Times New Roman"/>
                <w:sz w:val="24"/>
                <w:szCs w:val="24"/>
              </w:rPr>
            </w:pPr>
            <w:r>
              <w:br/>
            </w:r>
          </w:p>
        </w:tc>
      </w:tr>
      <w:tr w:rsidR="6B366C19" w:rsidTr="213BDE6A" w14:paraId="74677F76" w14:textId="77777777">
        <w:tc>
          <w:tcPr>
            <w:tcW w:w="9026" w:type="dxa"/>
            <w:gridSpan w:val="3"/>
            <w:tcMar/>
          </w:tcPr>
          <w:p w:rsidR="6B366C19" w:rsidP="77801750" w:rsidRDefault="77801750" w14:paraId="1B08AC0F" w14:textId="3C58C9E0">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Links to outcomes: foundation phase, welsh government (2015): -</w:t>
            </w:r>
          </w:p>
          <w:p w:rsidR="6B366C19" w:rsidP="77801750" w:rsidRDefault="77801750" w14:paraId="5CF2B045" w14:textId="338C1A10">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Using number skills</w:t>
            </w:r>
          </w:p>
          <w:p w:rsidR="6B366C19" w:rsidP="77801750" w:rsidRDefault="77801750" w14:paraId="69C1A12C" w14:textId="41F21F81">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use number facts and relationships.</w:t>
            </w:r>
          </w:p>
          <w:p w:rsidR="77801750" w:rsidP="77801750" w:rsidRDefault="77801750" w14:paraId="5579A1C8" w14:textId="25BD069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Counts in 2s to 10 and in 10s to 100.</w:t>
            </w:r>
          </w:p>
          <w:p w:rsidR="77801750" w:rsidP="77801750" w:rsidRDefault="77801750" w14:paraId="69D83616" w14:textId="685067CC">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Fractions, decimals, percentages and ratio.</w:t>
            </w:r>
          </w:p>
          <w:p w:rsidR="77801750" w:rsidP="77801750" w:rsidRDefault="77801750" w14:paraId="3B9694D7" w14:textId="70309150">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Recall halves up to 10.</w:t>
            </w:r>
          </w:p>
          <w:p w:rsidR="6B366C19" w:rsidP="310EB332" w:rsidRDefault="6B366C19" w14:paraId="65207CB8" w14:textId="49A5649E">
            <w:pPr>
              <w:spacing w:line="360" w:lineRule="auto"/>
              <w:jc w:val="both"/>
              <w:rPr>
                <w:rFonts w:ascii="Times New Roman" w:hAnsi="Times New Roman" w:eastAsia="Times New Roman" w:cs="Times New Roman"/>
                <w:sz w:val="24"/>
                <w:szCs w:val="24"/>
              </w:rPr>
            </w:pPr>
          </w:p>
          <w:p w:rsidR="6B366C19" w:rsidP="310EB332" w:rsidRDefault="310EB332" w14:paraId="18F00075" w14:textId="5FEA4E64">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Using measuring skills</w:t>
            </w:r>
          </w:p>
          <w:p w:rsidR="6B366C19" w:rsidP="77801750" w:rsidRDefault="77801750" w14:paraId="0218F1D4" w14:textId="2C1D0E6D">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time.</w:t>
            </w:r>
          </w:p>
          <w:p w:rsidR="77801750" w:rsidP="77801750" w:rsidRDefault="77801750" w14:paraId="3F47BB9D" w14:textId="539B0F25">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Demonstrate a developing sense of how long tasks and everyday events take.</w:t>
            </w:r>
          </w:p>
          <w:p w:rsidR="6B366C19" w:rsidP="77801750" w:rsidRDefault="77801750" w14:paraId="13A0443F" w14:textId="1A6FAC9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temperature.</w:t>
            </w:r>
          </w:p>
          <w:p w:rsidR="77801750" w:rsidP="77801750" w:rsidRDefault="77801750" w14:paraId="7DF28FA3" w14:textId="038F117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Use direct comparisons when describing temperature, e.g. hot/cold.</w:t>
            </w:r>
          </w:p>
          <w:p w:rsidR="6B366C19" w:rsidP="77801750" w:rsidRDefault="77801750" w14:paraId="2B18AD39" w14:textId="343AB423">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-Length, weight/mass, capacity.</w:t>
            </w:r>
          </w:p>
          <w:p w:rsidR="6B366C19" w:rsidP="77801750" w:rsidRDefault="77801750" w14:paraId="6ED20F8B" w14:textId="5F8E08C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Use direct comparison with weight/mass, e.g. heavier/lighter than capacity, e.g. holds             more/less than.</w:t>
            </w:r>
          </w:p>
          <w:p w:rsidR="77801750" w:rsidP="77801750" w:rsidRDefault="77801750" w14:paraId="18D0DE8F" w14:textId="5ADB0A17">
            <w:pPr>
              <w:spacing w:line="360" w:lineRule="auto"/>
              <w:jc w:val="both"/>
              <w:rPr>
                <w:rFonts w:ascii="Times New Roman" w:hAnsi="Times New Roman" w:eastAsia="Times New Roman" w:cs="Times New Roman"/>
                <w:sz w:val="24"/>
                <w:szCs w:val="24"/>
              </w:rPr>
            </w:pPr>
          </w:p>
          <w:p w:rsidR="6B366C19" w:rsidP="77801750" w:rsidRDefault="77801750" w14:paraId="4BBA877E" w14:textId="21E7E62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New Curriculum, Donaldson (2015): - </w:t>
            </w:r>
          </w:p>
          <w:p w:rsidR="77801750" w:rsidP="77801750" w:rsidRDefault="77801750" w14:paraId="4C216556" w14:textId="549D114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Ambitious, capable learners who:</w:t>
            </w:r>
          </w:p>
          <w:p w:rsidR="77801750" w:rsidP="77801750" w:rsidRDefault="77801750" w14:paraId="6A3F80A0" w14:textId="0AB65A8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-Set themselves high standards and seek and enjoy challenge.</w:t>
            </w:r>
          </w:p>
          <w:p w:rsidR="77801750" w:rsidP="77801750" w:rsidRDefault="77801750" w14:paraId="6EF5E237" w14:textId="387558D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-Can explain the ideas and concepts they are learning about.</w:t>
            </w:r>
          </w:p>
          <w:p w:rsidR="77801750" w:rsidP="77801750" w:rsidRDefault="77801750" w14:paraId="62E9D1B0" w14:textId="61E23D25">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Enterprising, creative contributors who:</w:t>
            </w:r>
          </w:p>
          <w:p w:rsidR="77801750" w:rsidP="77801750" w:rsidRDefault="77801750" w14:paraId="135D4434" w14:textId="7D0C23D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Connect and apply their knowledge and skills to create ideas and products.</w:t>
            </w:r>
          </w:p>
          <w:p w:rsidR="77801750" w:rsidP="77801750" w:rsidRDefault="77801750" w14:paraId="7E541E88" w14:textId="0B3628B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 Think creatively to reframe and solve problems.</w:t>
            </w:r>
          </w:p>
          <w:p w:rsidR="77801750" w:rsidP="77801750" w:rsidRDefault="77801750" w14:paraId="4F084D49" w14:textId="1E9C8BAD">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Ethical, informed citizens who: </w:t>
            </w:r>
          </w:p>
          <w:p w:rsidR="77801750" w:rsidP="77801750" w:rsidRDefault="77801750" w14:paraId="07DE96BC" w14:textId="79AE120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-Understanding and consider the impact of their actions when making choices and acting.</w:t>
            </w:r>
          </w:p>
          <w:p w:rsidR="77801750" w:rsidP="77801750" w:rsidRDefault="77801750" w14:paraId="5BA2A956" w14:textId="38FEFCFF">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-Show their commitment to the sustainability of the planet.</w:t>
            </w:r>
          </w:p>
          <w:p w:rsidR="77801750" w:rsidP="77801750" w:rsidRDefault="77801750" w14:paraId="5D2D1CE5" w14:textId="23B4F18B">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Healthy, confident individuals who:</w:t>
            </w:r>
          </w:p>
          <w:p w:rsidR="77801750" w:rsidP="77801750" w:rsidRDefault="77801750" w14:paraId="537A8DB6" w14:textId="7811C70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-Are building their mental and emotional well-being by developing confidence, resilience and empathy.</w:t>
            </w:r>
          </w:p>
          <w:p w:rsidR="77801750" w:rsidP="77801750" w:rsidRDefault="77801750" w14:paraId="45E2260A" w14:textId="43DF1249">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-Rake part in physical activity.</w:t>
            </w:r>
          </w:p>
          <w:p w:rsidR="77801750" w:rsidP="77801750" w:rsidRDefault="77801750" w14:paraId="0239357A" w14:textId="4208C8E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t>
            </w:r>
          </w:p>
          <w:p w:rsidR="6B366C19" w:rsidP="77801750" w:rsidRDefault="6B366C19" w14:paraId="4D198AAB" w14:textId="04338D77">
            <w:pPr>
              <w:spacing w:line="360" w:lineRule="auto"/>
              <w:jc w:val="both"/>
              <w:rPr>
                <w:rFonts w:ascii="Times New Roman" w:hAnsi="Times New Roman" w:eastAsia="Times New Roman" w:cs="Times New Roman"/>
                <w:sz w:val="24"/>
                <w:szCs w:val="24"/>
              </w:rPr>
            </w:pPr>
          </w:p>
        </w:tc>
      </w:tr>
      <w:tr w:rsidR="6B366C19" w:rsidTr="213BDE6A" w14:paraId="291EA3C2" w14:textId="77777777">
        <w:tc>
          <w:tcPr>
            <w:tcW w:w="9026" w:type="dxa"/>
            <w:gridSpan w:val="3"/>
            <w:tcMar/>
          </w:tcPr>
          <w:p w:rsidR="6B366C19" w:rsidP="4A48454A" w:rsidRDefault="4A48454A" w14:paraId="156720A2" w14:textId="77015D8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Differentiation:  one to one support would be given to any children with any learning needs. A raised table can be used for children in a wheelchair.</w:t>
            </w:r>
            <w:r>
              <w:br/>
            </w:r>
            <w:r w:rsidRPr="213BDE6A" w:rsidR="213BDE6A">
              <w:rPr>
                <w:rFonts w:ascii="Times New Roman" w:hAnsi="Times New Roman" w:eastAsia="Times New Roman" w:cs="Times New Roman"/>
                <w:sz w:val="24"/>
                <w:szCs w:val="24"/>
              </w:rPr>
              <w:t>Gifted and talented children will be provided with their own recipe to follow and will be encouraged to weigh and measure theory own ingredients</w:t>
            </w:r>
          </w:p>
        </w:tc>
      </w:tr>
      <w:tr w:rsidR="6B366C19" w:rsidTr="213BDE6A" w14:paraId="42925E48" w14:textId="77777777">
        <w:tc>
          <w:tcPr>
            <w:tcW w:w="9026" w:type="dxa"/>
            <w:gridSpan w:val="3"/>
            <w:tcMar/>
          </w:tcPr>
          <w:p w:rsidR="6B366C19" w:rsidP="77801750" w:rsidRDefault="77801750" w14:paraId="28DD4707" w14:textId="736F48F3">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Health and safety: - Health and safety rules will be followed. Adults will also supervise the activity.</w:t>
            </w:r>
          </w:p>
          <w:p w:rsidR="6B366C19" w:rsidP="77801750" w:rsidRDefault="6B366C19" w14:paraId="59108CA4" w14:textId="455661C4">
            <w:pPr>
              <w:spacing w:line="360" w:lineRule="auto"/>
              <w:jc w:val="both"/>
              <w:rPr>
                <w:rFonts w:ascii="Times New Roman" w:hAnsi="Times New Roman" w:eastAsia="Times New Roman" w:cs="Times New Roman"/>
                <w:sz w:val="24"/>
                <w:szCs w:val="24"/>
              </w:rPr>
            </w:pPr>
            <w:r>
              <w:br/>
            </w:r>
          </w:p>
        </w:tc>
      </w:tr>
      <w:tr w:rsidR="6B366C19" w:rsidTr="213BDE6A" w14:paraId="72260708" w14:textId="77777777">
        <w:tc>
          <w:tcPr>
            <w:tcW w:w="9026" w:type="dxa"/>
            <w:gridSpan w:val="3"/>
            <w:tcMar/>
          </w:tcPr>
          <w:p w:rsidR="77801750" w:rsidP="77801750" w:rsidRDefault="77801750" w14:paraId="016895D5" w14:textId="65046CA8">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The role of the adult: - The role of the adult will always be to supervise. Provide the resources for the activity and engage in sustained shared learning.</w:t>
            </w:r>
          </w:p>
          <w:p w:rsidR="77801750" w:rsidP="77801750" w:rsidRDefault="77801750" w14:paraId="4CEF9534" w14:textId="6DBF08AB">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t>
            </w:r>
          </w:p>
          <w:p w:rsidR="6B366C19" w:rsidP="77801750" w:rsidRDefault="6B366C19" w14:paraId="5DF9A977" w14:textId="6FD1F85B">
            <w:pPr>
              <w:spacing w:line="360" w:lineRule="auto"/>
              <w:jc w:val="both"/>
              <w:rPr>
                <w:rFonts w:ascii="Times New Roman" w:hAnsi="Times New Roman" w:eastAsia="Times New Roman" w:cs="Times New Roman"/>
                <w:sz w:val="24"/>
                <w:szCs w:val="24"/>
              </w:rPr>
            </w:pPr>
          </w:p>
        </w:tc>
      </w:tr>
      <w:tr w:rsidR="6B366C19" w:rsidTr="213BDE6A" w14:paraId="2583399E" w14:textId="77777777">
        <w:tc>
          <w:tcPr>
            <w:tcW w:w="9026" w:type="dxa"/>
            <w:gridSpan w:val="3"/>
            <w:tcMar/>
          </w:tcPr>
          <w:p w:rsidR="6B366C19" w:rsidP="310EB332" w:rsidRDefault="310EB332" w14:paraId="67061DE1" w14:textId="44334B31">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The activity: - Children will be sent to wash their hands.</w:t>
            </w:r>
          </w:p>
          <w:p w:rsidR="6B366C19" w:rsidP="77801750" w:rsidRDefault="77801750" w14:paraId="32F62ECA" w14:textId="20C77845">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Children will be sent around the table.</w:t>
            </w:r>
          </w:p>
          <w:p w:rsidR="6B366C19" w:rsidP="77801750" w:rsidRDefault="77801750" w14:paraId="1C990DD2" w14:textId="41C21E91">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children then will be each given </w:t>
            </w:r>
            <w:proofErr w:type="gramStart"/>
            <w:r w:rsidRPr="213BDE6A" w:rsidR="213BDE6A">
              <w:rPr>
                <w:rFonts w:ascii="Times New Roman" w:hAnsi="Times New Roman" w:eastAsia="Times New Roman" w:cs="Times New Roman"/>
                <w:sz w:val="24"/>
                <w:szCs w:val="24"/>
              </w:rPr>
              <w:t>a</w:t>
            </w:r>
            <w:proofErr w:type="gramEnd"/>
            <w:r w:rsidRPr="213BDE6A" w:rsidR="213BDE6A">
              <w:rPr>
                <w:rFonts w:ascii="Times New Roman" w:hAnsi="Times New Roman" w:eastAsia="Times New Roman" w:cs="Times New Roman"/>
                <w:sz w:val="24"/>
                <w:szCs w:val="24"/>
              </w:rPr>
              <w:t xml:space="preserve"> apron to put on.</w:t>
            </w:r>
          </w:p>
          <w:p w:rsidR="6B366C19" w:rsidP="77801750" w:rsidRDefault="77801750" w14:paraId="1508F563" w14:textId="6D0A90BF">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practitioner will then put the children in pairs allowing them to choose what topping they would like to cut up, ready for the pizza.</w:t>
            </w:r>
          </w:p>
          <w:p w:rsidR="6B366C19" w:rsidP="310EB332" w:rsidRDefault="310EB332" w14:paraId="5B5DFDFE" w14:textId="7F61418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Each child would then pick their own pizza base.           </w:t>
            </w:r>
          </w:p>
          <w:p w:rsidR="6B366C19" w:rsidP="310EB332" w:rsidRDefault="310EB332" w14:paraId="5C89BD60" w14:textId="131D543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practitioner would then help each child weigh and measure each resource they choose to use on their pizza.</w:t>
            </w:r>
          </w:p>
          <w:p w:rsidR="6B366C19" w:rsidP="310EB332" w:rsidRDefault="310EB332" w14:paraId="4E9198D8" w14:textId="69A029E5">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Children will then put together their very own pizza.</w:t>
            </w:r>
          </w:p>
          <w:p w:rsidR="6B366C19" w:rsidP="310EB332" w:rsidRDefault="310EB332" w14:paraId="27636EE5" w14:textId="7C77E77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practitioner will then put the pizzas in the oven.</w:t>
            </w:r>
          </w:p>
          <w:p w:rsidR="6B366C19" w:rsidP="310EB332" w:rsidRDefault="310EB332" w14:paraId="10C0BA56" w14:textId="577CD384">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Within the time the pizzas take to cook, the practitioner should use this time to encourage the children to experiment with the weight scales and shape recognition.</w:t>
            </w:r>
          </w:p>
          <w:p w:rsidR="6B366C19" w:rsidP="310EB332" w:rsidRDefault="310EB332" w14:paraId="02B23965" w14:textId="27D377C4">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After 20mins the practitioner will then retrieve the pizzas from the oven.</w:t>
            </w:r>
          </w:p>
          <w:p w:rsidR="6B366C19" w:rsidP="310EB332" w:rsidRDefault="310EB332" w14:paraId="2F82CBF2" w14:textId="7F62A93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pizzas will be left to cool in a safe place away from the children.</w:t>
            </w:r>
          </w:p>
          <w:p w:rsidR="6B366C19" w:rsidP="310EB332" w:rsidRDefault="310EB332" w14:paraId="3ED59302" w14:textId="0CCC4F47">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The children will then take them home to share with their family and friends encouraging them to learn about sharing and dividing, which will develop their mathematical skills.</w:t>
            </w:r>
          </w:p>
          <w:p w:rsidR="6B366C19" w:rsidP="310EB332" w:rsidRDefault="310EB332" w14:paraId="6868F449" w14:textId="7E05392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t>
            </w:r>
          </w:p>
          <w:p w:rsidR="6B366C19" w:rsidP="310EB332" w:rsidRDefault="6B366C19" w14:paraId="3E224AF3" w14:textId="6B02770F">
            <w:pPr>
              <w:spacing w:line="360" w:lineRule="auto"/>
              <w:jc w:val="both"/>
              <w:rPr>
                <w:rFonts w:ascii="Times New Roman" w:hAnsi="Times New Roman" w:eastAsia="Times New Roman" w:cs="Times New Roman"/>
                <w:sz w:val="24"/>
                <w:szCs w:val="24"/>
              </w:rPr>
            </w:pPr>
          </w:p>
          <w:p w:rsidR="6B366C19" w:rsidP="77801750" w:rsidRDefault="6B366C19" w14:paraId="58531617" w14:textId="0EAA3865">
            <w:pPr>
              <w:spacing w:line="360" w:lineRule="auto"/>
              <w:jc w:val="both"/>
              <w:rPr>
                <w:rFonts w:ascii="Times New Roman" w:hAnsi="Times New Roman" w:eastAsia="Times New Roman" w:cs="Times New Roman"/>
                <w:sz w:val="24"/>
                <w:szCs w:val="24"/>
              </w:rPr>
            </w:pPr>
          </w:p>
        </w:tc>
      </w:tr>
    </w:tbl>
    <w:p w:rsidR="6B366C19" w:rsidP="310EB332" w:rsidRDefault="6B366C19" w14:paraId="398927F9" w14:textId="38EE1AB0">
      <w:pPr>
        <w:spacing w:line="360" w:lineRule="auto"/>
        <w:jc w:val="both"/>
        <w:rPr>
          <w:rFonts w:ascii="Times New Roman" w:hAnsi="Times New Roman" w:eastAsia="Times New Roman" w:cs="Times New Roman"/>
          <w:sz w:val="24"/>
          <w:szCs w:val="24"/>
        </w:rPr>
      </w:pPr>
    </w:p>
    <w:p w:rsidR="6B366C19" w:rsidP="213BDE6A" w:rsidRDefault="77801750" w14:paraId="431ED8AC" w14:textId="3AB3D8A7">
      <w:pPr>
        <w:spacing w:line="360" w:lineRule="auto"/>
        <w:jc w:val="both"/>
        <w:rPr>
          <w:rFonts w:ascii="Times New Roman" w:hAnsi="Times New Roman" w:eastAsia="Times New Roman" w:cs="Times New Roman"/>
          <w:sz w:val="24"/>
          <w:szCs w:val="24"/>
          <w:u w:val="single"/>
        </w:rPr>
      </w:pPr>
      <w:r w:rsidRPr="213BDE6A" w:rsidR="213BDE6A">
        <w:rPr>
          <w:rFonts w:ascii="Times New Roman" w:hAnsi="Times New Roman" w:eastAsia="Times New Roman" w:cs="Times New Roman"/>
          <w:sz w:val="24"/>
          <w:szCs w:val="24"/>
          <w:u w:val="single"/>
        </w:rPr>
        <w:t>Section 2</w:t>
      </w:r>
      <w:r w:rsidRPr="213BDE6A" w:rsidR="213BDE6A">
        <w:rPr>
          <w:rFonts w:ascii="Times New Roman" w:hAnsi="Times New Roman" w:eastAsia="Times New Roman" w:cs="Times New Roman"/>
          <w:sz w:val="24"/>
          <w:szCs w:val="24"/>
        </w:rPr>
        <w:t xml:space="preserve"> </w:t>
      </w:r>
    </w:p>
    <w:p w:rsidR="6B366C19" w:rsidP="5830900B" w:rsidRDefault="4A48454A" w14:paraId="49276FC5" w14:textId="4470DD0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The activity plan clearly demonstrated links to the foundation phase mathematical outcomes. The foundation stage (2015) outcomes incorporated number skills and measuring skills. The number skills included counting products by touching them, one to one correspondence, estimating, counting, matching. how many ingredients and toppings will they need? </w:t>
      </w:r>
      <w:r w:rsidRPr="213BDE6A" w:rsidR="213BDE6A">
        <w:rPr>
          <w:rFonts w:ascii="Times New Roman" w:hAnsi="Times New Roman" w:eastAsia="Times New Roman" w:cs="Times New Roman"/>
          <w:color w:val="auto"/>
          <w:sz w:val="24"/>
          <w:szCs w:val="24"/>
        </w:rPr>
        <w:t>The activity enabled the children to engage with c</w:t>
      </w:r>
      <w:r w:rsidRPr="213BDE6A" w:rsidR="213BDE6A">
        <w:rPr>
          <w:rFonts w:ascii="Times New Roman" w:hAnsi="Times New Roman" w:eastAsia="Times New Roman" w:cs="Times New Roman"/>
          <w:sz w:val="24"/>
          <w:szCs w:val="24"/>
        </w:rPr>
        <w:t xml:space="preserve">ounting, sharing experiences, comparing quantity. cutting the pizza in sections which links to fractions. Looking at patterns/shapes on plates, placemats, pizza bases and different toppings (DfE, 2018). </w:t>
      </w:r>
      <w:r w:rsidRPr="213BDE6A" w:rsidR="213BDE6A">
        <w:rPr>
          <w:rFonts w:ascii="Times New Roman" w:hAnsi="Times New Roman" w:eastAsia="Times New Roman" w:cs="Times New Roman"/>
          <w:color w:val="auto"/>
          <w:sz w:val="24"/>
          <w:szCs w:val="24"/>
        </w:rPr>
        <w:t>Tucker (2014) explains how opportunities should be provided for children</w:t>
      </w:r>
      <w:r w:rsidRPr="213BDE6A" w:rsidR="213BDE6A">
        <w:rPr>
          <w:rFonts w:ascii="Times New Roman" w:hAnsi="Times New Roman" w:eastAsia="Times New Roman" w:cs="Times New Roman"/>
          <w:color w:val="auto"/>
          <w:sz w:val="24"/>
          <w:szCs w:val="24"/>
        </w:rPr>
        <w:t xml:space="preserve"> </w:t>
      </w:r>
      <w:r w:rsidRPr="213BDE6A" w:rsidR="213BDE6A">
        <w:rPr>
          <w:rFonts w:ascii="Times New Roman" w:hAnsi="Times New Roman" w:eastAsia="Times New Roman" w:cs="Times New Roman"/>
          <w:sz w:val="24"/>
          <w:szCs w:val="24"/>
        </w:rPr>
        <w:t xml:space="preserve">to separate objects into unequal groups as well as equal groups which helps the children learn about multiplying or dividing. </w:t>
      </w:r>
      <w:r w:rsidRPr="213BDE6A" w:rsidR="213BDE6A">
        <w:rPr>
          <w:rFonts w:ascii="Times New Roman" w:hAnsi="Times New Roman" w:eastAsia="Times New Roman" w:cs="Times New Roman"/>
          <w:color w:val="auto"/>
          <w:sz w:val="24"/>
          <w:szCs w:val="24"/>
        </w:rPr>
        <w:t>The children achieved</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sz w:val="24"/>
          <w:szCs w:val="24"/>
        </w:rPr>
        <w:t xml:space="preserve">this when cutting the pizzas in to halves and quarters which also shows them different shapes and </w:t>
      </w:r>
      <w:r w:rsidRPr="213BDE6A" w:rsidR="213BDE6A">
        <w:rPr>
          <w:rFonts w:ascii="Times New Roman" w:hAnsi="Times New Roman" w:eastAsia="Times New Roman" w:cs="Times New Roman"/>
          <w:color w:val="auto"/>
          <w:sz w:val="24"/>
          <w:szCs w:val="24"/>
        </w:rPr>
        <w:t>makes links to fractions. The children also had opportunity to use</w:t>
      </w:r>
      <w:r w:rsidRPr="213BDE6A" w:rsidR="213BDE6A">
        <w:rPr>
          <w:rFonts w:ascii="Times New Roman" w:hAnsi="Times New Roman" w:eastAsia="Times New Roman" w:cs="Times New Roman"/>
          <w:color w:val="auto"/>
          <w:sz w:val="24"/>
          <w:szCs w:val="24"/>
        </w:rPr>
        <w:t xml:space="preserve"> </w:t>
      </w:r>
      <w:r w:rsidRPr="213BDE6A" w:rsidR="213BDE6A">
        <w:rPr>
          <w:rFonts w:ascii="Times New Roman" w:hAnsi="Times New Roman" w:eastAsia="Times New Roman" w:cs="Times New Roman"/>
          <w:sz w:val="24"/>
          <w:szCs w:val="24"/>
        </w:rPr>
        <w:t xml:space="preserve">measuring skills that included learning how to use the scales </w:t>
      </w:r>
      <w:r w:rsidRPr="213BDE6A" w:rsidR="213BDE6A">
        <w:rPr>
          <w:rFonts w:ascii="Times New Roman" w:hAnsi="Times New Roman" w:eastAsia="Times New Roman" w:cs="Times New Roman"/>
          <w:color w:val="auto"/>
          <w:sz w:val="24"/>
          <w:szCs w:val="24"/>
        </w:rPr>
        <w:t>therefore weighing</w:t>
      </w:r>
      <w:r w:rsidRPr="213BDE6A" w:rsidR="213BDE6A">
        <w:rPr>
          <w:rFonts w:ascii="Times New Roman" w:hAnsi="Times New Roman" w:eastAsia="Times New Roman" w:cs="Times New Roman"/>
          <w:sz w:val="24"/>
          <w:szCs w:val="24"/>
        </w:rPr>
        <w:t xml:space="preserve"> the ingredients that they need for their pizzas (Tucker, 2014). The activity plan supported maths through play as this as Tucker (2014) suggests is an appropriate learning style to ensure that the children make agreed progress in their mathematical understanding. Pratt (2011, cited in Tucker, 2014) mentions that for children to become effective mathematicians they should develop a mathematical disposition, this is achieved through them developing an awareness that maths is involved in everyday </w:t>
      </w:r>
      <w:r w:rsidRPr="213BDE6A" w:rsidR="213BDE6A">
        <w:rPr>
          <w:rFonts w:ascii="Times New Roman" w:hAnsi="Times New Roman" w:eastAsia="Times New Roman" w:cs="Times New Roman"/>
          <w:sz w:val="24"/>
          <w:szCs w:val="24"/>
        </w:rPr>
        <w:t>occurrences</w:t>
      </w:r>
      <w:r w:rsidRPr="213BDE6A" w:rsidR="213BDE6A">
        <w:rPr>
          <w:rFonts w:ascii="Times New Roman" w:hAnsi="Times New Roman" w:eastAsia="Times New Roman" w:cs="Times New Roman"/>
          <w:sz w:val="24"/>
          <w:szCs w:val="24"/>
        </w:rPr>
        <w:t xml:space="preserve"> allowing them to make connections in their learning and experience natural materials in situ. In this case preparing and cooking food.</w:t>
      </w:r>
    </w:p>
    <w:p w:rsidR="6B366C19" w:rsidP="61A3A70F" w:rsidRDefault="4A48454A" w14:paraId="1FEA7AFA" w14:textId="51817978">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After considering the activity plan, the health and safety aspect was clear and precise and met the requirements as dictated by the health and safety regulations needed to allow a safe and controlled environment for the activity (HSE, 2018). By the practitioners planning practical enjoyable activities like cooking fully supports and develops mathematical development (DfE, 2012; SE, 2007; WAG, 2008). This activity also enables children to follow their maths schemes by using their ability to link numbers to objects (Piaget, 1958). Unlike Piaget, Vygotsky (1978) suggests that to encourage mathematics teaching it needs to be related to the child’s own experiences. The activity supported this by allowing the children to cut the topping in to different types and making their own pizzas therefore supporting the child and encouraging them to talk about the mathematics that they have experienced (Tucker, 2014). While doing this activity the children utilise play and make use of mathematics.</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color w:val="auto"/>
          <w:sz w:val="24"/>
          <w:szCs w:val="24"/>
        </w:rPr>
        <w:t>Tucker (2014) explains how</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sz w:val="24"/>
          <w:szCs w:val="24"/>
        </w:rPr>
        <w:t>this combination will allow children to gain an understanding of the culture role of mathematics, have a heightened awareness that mathematics can be useful in the real world, recognize that mathematical activity  can be both sociable and cooperative and perceive mathematical activity to be enjoyable and purposeful (Tucker, 2014). This experience gives the children opportunities to count in ones from number 1 to 10. The activity is arranged in small steps thus supporting the skills crucial in problem solving. (Tucker, 2014) children can be encouraged to develop a positive attitude towards their learning and enjoyment of mathematics and this is particularly important in problem solving activities, which can be recognised through observation and should be encouraged (Montague-Smith et al. 2018). After the activity children get the opportunity to recite back to friends and family what they have</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sz w:val="24"/>
          <w:szCs w:val="24"/>
        </w:rPr>
        <w:t xml:space="preserve">done whilst doing the activity and what they gained at the end. </w:t>
      </w:r>
    </w:p>
    <w:p w:rsidR="5830900B" w:rsidP="5830900B" w:rsidRDefault="4A48454A" w14:paraId="74D1CB93" w14:textId="2AC6BF01">
      <w:pPr>
        <w:spacing w:line="360" w:lineRule="auto"/>
        <w:jc w:val="both"/>
        <w:rPr>
          <w:rFonts w:ascii="Times New Roman" w:hAnsi="Times New Roman" w:eastAsia="Times New Roman" w:cs="Times New Roman"/>
          <w:color w:val="000000" w:themeColor="text1"/>
          <w:sz w:val="24"/>
          <w:szCs w:val="24"/>
        </w:rPr>
      </w:pPr>
      <w:r w:rsidRPr="213BDE6A" w:rsidR="213BDE6A">
        <w:rPr>
          <w:rFonts w:ascii="Times New Roman" w:hAnsi="Times New Roman" w:eastAsia="Times New Roman" w:cs="Times New Roman"/>
          <w:sz w:val="24"/>
          <w:szCs w:val="24"/>
        </w:rPr>
        <w:t>On reflecting upon the active plan, it was clear to see the weaknesses. Incorporating a greater number of children in the activity may have provided opportunities to encourage peer learning which would enabled scaffolding (Vygotsky, 1978). Also, further maths could have been included through support of the adult- thus this should have been clearer within the plan for example; children estimating how many children are present, say how many children would be here if one were away, etc. When revisiting this activity, practitioners could expand the role the children have by taking them to a local shop so they can have the experience of buying the ingredients this roleplay provides a context for developing an understanding of specific mathematical concepts, often those include the use of money (</w:t>
      </w:r>
      <w:proofErr w:type="spellStart"/>
      <w:r w:rsidRPr="213BDE6A" w:rsidR="213BDE6A">
        <w:rPr>
          <w:rFonts w:ascii="Times New Roman" w:hAnsi="Times New Roman" w:eastAsia="Times New Roman" w:cs="Times New Roman"/>
          <w:sz w:val="24"/>
          <w:szCs w:val="24"/>
        </w:rPr>
        <w:t>Smilansky</w:t>
      </w:r>
      <w:proofErr w:type="spellEnd"/>
      <w:r w:rsidRPr="213BDE6A" w:rsidR="213BDE6A">
        <w:rPr>
          <w:rFonts w:ascii="Times New Roman" w:hAnsi="Times New Roman" w:eastAsia="Times New Roman" w:cs="Times New Roman"/>
          <w:sz w:val="24"/>
          <w:szCs w:val="24"/>
        </w:rPr>
        <w:t xml:space="preserve"> and </w:t>
      </w:r>
      <w:proofErr w:type="spellStart"/>
      <w:r w:rsidRPr="213BDE6A" w:rsidR="213BDE6A">
        <w:rPr>
          <w:rFonts w:ascii="Times New Roman" w:hAnsi="Times New Roman" w:eastAsia="Times New Roman" w:cs="Times New Roman"/>
          <w:sz w:val="24"/>
          <w:szCs w:val="24"/>
        </w:rPr>
        <w:t>Shefatya</w:t>
      </w:r>
      <w:proofErr w:type="spellEnd"/>
      <w:r w:rsidRPr="213BDE6A" w:rsidR="213BDE6A">
        <w:rPr>
          <w:rFonts w:ascii="Times New Roman" w:hAnsi="Times New Roman" w:eastAsia="Times New Roman" w:cs="Times New Roman"/>
          <w:sz w:val="24"/>
          <w:szCs w:val="24"/>
        </w:rPr>
        <w:t>, 1990). The activity plan did not consider the range of toppings as more choice would have supported the development of mathematical skills such as shape-size sorting and ordering. It was clear to see that the children should have had more range of toppings so they could experiment trying new things, taking risks which helps show curiosity making it more of a free-flow activity (Bruce, 1991). There was an opportunity to make more links to the foundation phase mathematical outcomes however this might have made the activity adult led which according to Howard and McInnes, (2012) could have altered the children’s perception of the activity as not play based, the children are more likely not to be engaged and interested therefore the children may not develop their skills, knowledge and understanding of mathematics through oral, practical and play activities. (Foundation Phase, 2015). C</w:t>
      </w:r>
      <w:r w:rsidRPr="213BDE6A" w:rsidR="213BDE6A">
        <w:rPr>
          <w:rFonts w:ascii="Times New Roman" w:hAnsi="Times New Roman" w:eastAsia="Times New Roman" w:cs="Times New Roman"/>
          <w:color w:val="000000" w:themeColor="text1" w:themeTint="FF" w:themeShade="FF"/>
          <w:sz w:val="24"/>
          <w:szCs w:val="24"/>
        </w:rPr>
        <w:t>hildren acquire and develop skills at different rates and must be allowed to develop at their own unique, individual pace (Foundation Phase, 2015). As children learn new skills, they should be given opportunities to practise them in different situations, to reflect on and evaluate their work.</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color w:val="000000" w:themeColor="text1" w:themeTint="FF" w:themeShade="FF"/>
          <w:sz w:val="24"/>
          <w:szCs w:val="24"/>
        </w:rPr>
        <w:t>In all aspects of their development, children’s own work should be respected, valued and encouraged for its honesty (Foundation Phase, 2015).</w:t>
      </w:r>
    </w:p>
    <w:p w:rsidR="310EB332" w:rsidP="213BDE6A" w:rsidRDefault="4B853104" w14:paraId="05887333" w14:textId="68B42DC1">
      <w:pPr>
        <w:spacing w:line="360" w:lineRule="auto"/>
        <w:jc w:val="both"/>
        <w:rPr>
          <w:rFonts w:ascii="Times New Roman" w:hAnsi="Times New Roman" w:eastAsia="Times New Roman" w:cs="Times New Roman"/>
          <w:sz w:val="24"/>
          <w:szCs w:val="24"/>
          <w:u w:val="single"/>
        </w:rPr>
      </w:pPr>
      <w:r w:rsidRPr="213BDE6A" w:rsidR="213BDE6A">
        <w:rPr>
          <w:rFonts w:ascii="Times New Roman" w:hAnsi="Times New Roman" w:eastAsia="Times New Roman" w:cs="Times New Roman"/>
          <w:sz w:val="24"/>
          <w:szCs w:val="24"/>
          <w:u w:val="single"/>
        </w:rPr>
        <w:t>Section 3</w:t>
      </w:r>
    </w:p>
    <w:p w:rsidR="4B853104" w:rsidP="213BDE6A" w:rsidRDefault="4B853104" w14:paraId="4C2C6242" w14:textId="2C9B13F7">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According to Fox and Surtees (2010) knowing a child well enough to respect how they want to learn recommend the effective use of resources and group interaction is important. </w:t>
      </w:r>
    </w:p>
    <w:p w:rsidR="4B853104" w:rsidP="213BDE6A" w:rsidRDefault="4B853104" w14:paraId="09D2C294" w14:textId="687FD3CA">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There are three main learning styles which are Auditory which is speaking and listening. Visual which is seeing and reading and </w:t>
      </w:r>
      <w:proofErr w:type="spellStart"/>
      <w:r w:rsidRPr="213BDE6A" w:rsidR="213BDE6A">
        <w:rPr>
          <w:rFonts w:ascii="Times New Roman" w:hAnsi="Times New Roman" w:eastAsia="Times New Roman" w:cs="Times New Roman"/>
          <w:sz w:val="24"/>
          <w:szCs w:val="24"/>
        </w:rPr>
        <w:t>Kinesthetic</w:t>
      </w:r>
      <w:proofErr w:type="spellEnd"/>
      <w:r w:rsidRPr="213BDE6A" w:rsidR="213BDE6A">
        <w:rPr>
          <w:rFonts w:ascii="Times New Roman" w:hAnsi="Times New Roman" w:eastAsia="Times New Roman" w:cs="Times New Roman"/>
          <w:sz w:val="24"/>
          <w:szCs w:val="24"/>
        </w:rPr>
        <w:t xml:space="preserve"> which is touching and doing (VAK). The curriculum requires all these learning styles. (Foundation Phase, 201</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sz w:val="24"/>
          <w:szCs w:val="24"/>
        </w:rPr>
        <w:t>So, using the VAK style for learning and teaching the appropriate use of resources has an important part of play in the classroom (Fox and Surtees, 2010). There are two main categorizes that resources can be put in, namely, structured and unstructured. Bottle (2005) explains that unstructured, general mathematics resources such as measuring tools, arrow cards, number lines and multi-link can be used by the teacher to explain, model, support and motivate the learning process. These resources should be readily available in the classroom as the children continually use these resources. Organization of resources is important as they should be saying to the children ‘come use me.’ cupboards and draws should be labelled with pictures and word. Like Montessori (1973) bright and attractive colours should be used, natural materials, fascinating cultural objects and interesting pictures on the wall all offer the children complex sensory and intellectual experiences. Used equipment should be stored where it is easy access this is essential to avoid ‘off task’ behaviour and time wasting (Bottle, 2005).</w:t>
      </w:r>
      <w:proofErr w:type="spellStart"/>
      <w:proofErr w:type="spellEnd"/>
    </w:p>
    <w:p w:rsidR="310EB332" w:rsidP="213BDE6A" w:rsidRDefault="5830900B" w14:paraId="22A669BF" w14:textId="40A2EFD5">
      <w:pPr>
        <w:pStyle w:val="Normal"/>
        <w:spacing w:line="360" w:lineRule="auto"/>
        <w:jc w:val="both"/>
        <w:rPr>
          <w:rFonts w:ascii="Times New Roman" w:hAnsi="Times New Roman" w:eastAsia="Times New Roman" w:cs="Times New Roman"/>
          <w:color w:val="FF0000"/>
          <w:sz w:val="24"/>
          <w:szCs w:val="24"/>
        </w:rPr>
      </w:pPr>
      <w:r w:rsidRPr="213BDE6A" w:rsidR="213BDE6A">
        <w:rPr>
          <w:rFonts w:ascii="Times New Roman" w:hAnsi="Times New Roman" w:eastAsia="Times New Roman" w:cs="Times New Roman"/>
          <w:sz w:val="24"/>
          <w:szCs w:val="24"/>
        </w:rPr>
        <w:t>Books can be a sort of resources. There are story books, poems and songs that can be a rich source of stimulus right through the primary phase. They can contain pictures, mathematical vocabulary and story lines which are guaranteed to provide an extra, meaningful dimension to learning and teaching (Fox and Surtees, 2010).</w:t>
      </w:r>
    </w:p>
    <w:p w:rsidR="5830900B" w:rsidP="213BDE6A" w:rsidRDefault="5830900B" w14:paraId="3D1C5E6D" w14:textId="2666AFA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 </w:t>
      </w:r>
      <w:proofErr w:type="spellStart"/>
      <w:r w:rsidRPr="213BDE6A" w:rsidR="213BDE6A">
        <w:rPr>
          <w:rFonts w:ascii="Times New Roman" w:hAnsi="Times New Roman" w:eastAsia="Times New Roman" w:cs="Times New Roman"/>
          <w:sz w:val="24"/>
          <w:szCs w:val="24"/>
        </w:rPr>
        <w:t>McVarish</w:t>
      </w:r>
      <w:proofErr w:type="spellEnd"/>
      <w:r w:rsidRPr="213BDE6A" w:rsidR="213BDE6A">
        <w:rPr>
          <w:rFonts w:ascii="Times New Roman" w:hAnsi="Times New Roman" w:eastAsia="Times New Roman" w:cs="Times New Roman"/>
          <w:sz w:val="24"/>
          <w:szCs w:val="24"/>
        </w:rPr>
        <w:t xml:space="preserve"> (2008, p.10) used Math Curse (Scieszka, 1995) as an example of a humorous story book in which children believed that their world is filled with mathematical ideas essential to helping them become confident problem solvers and mathematical thinkers, which helps with their </w:t>
      </w:r>
      <w:proofErr w:type="spellStart"/>
      <w:r w:rsidRPr="213BDE6A" w:rsidR="213BDE6A">
        <w:rPr>
          <w:rFonts w:ascii="Times New Roman" w:hAnsi="Times New Roman" w:eastAsia="Times New Roman" w:cs="Times New Roman"/>
          <w:sz w:val="24"/>
          <w:szCs w:val="24"/>
        </w:rPr>
        <w:t>mathamatical</w:t>
      </w:r>
      <w:proofErr w:type="spellEnd"/>
      <w:r w:rsidRPr="213BDE6A" w:rsidR="213BDE6A">
        <w:rPr>
          <w:rFonts w:ascii="Times New Roman" w:hAnsi="Times New Roman" w:eastAsia="Times New Roman" w:cs="Times New Roman"/>
          <w:sz w:val="24"/>
          <w:szCs w:val="24"/>
        </w:rPr>
        <w:t xml:space="preserve"> development.</w:t>
      </w:r>
      <w:proofErr w:type="spellStart"/>
      <w:proofErr w:type="spellEnd"/>
      <w:proofErr w:type="gramStart"/>
      <w:proofErr w:type="gramEnd"/>
      <w:proofErr w:type="spellStart"/>
      <w:proofErr w:type="spellEnd"/>
    </w:p>
    <w:p w:rsidR="5830900B" w:rsidP="213BDE6A" w:rsidRDefault="5830900B" w14:paraId="0ED2EBD9" w14:textId="5D2411B6">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There are a variety of resources for the children to use from small individual chalk or white boards which children can use to show their answers and get other children involved, particularly in the mental/oral phase (Mooney et al, 2014). White or chalk boards help the children think about what learning objectives are and how using the boards will assist them to achieve it, if its writing numbers either digital or word which helps the children also practise other skills like writing, numbers and communication (Mooney et al, 2014). Arrow cards is another resource </w:t>
      </w:r>
      <w:proofErr w:type="gramStart"/>
      <w:r w:rsidRPr="213BDE6A" w:rsidR="213BDE6A">
        <w:rPr>
          <w:rFonts w:ascii="Times New Roman" w:hAnsi="Times New Roman" w:eastAsia="Times New Roman" w:cs="Times New Roman"/>
          <w:sz w:val="24"/>
          <w:szCs w:val="24"/>
        </w:rPr>
        <w:t>children</w:t>
      </w:r>
      <w:proofErr w:type="gramEnd"/>
      <w:r w:rsidRPr="213BDE6A" w:rsidR="213BDE6A">
        <w:rPr>
          <w:rFonts w:ascii="Times New Roman" w:hAnsi="Times New Roman" w:eastAsia="Times New Roman" w:cs="Times New Roman"/>
          <w:sz w:val="24"/>
          <w:szCs w:val="24"/>
        </w:rPr>
        <w:t xml:space="preserve"> can use to help them understand place value and how to read and write numbers up to ten. Mooney et al, (2014) states that fans and paddles have a variety of different types that are available, those which show decimals, money, shapes and fractions as well as digits and there are individual number lines which are strips of paper attached to table tops that help the children in calculating in different lessons (Mooney et al, 2014).  Everyday materials can be a source of resources that the children can bring into the classroom and used successfully to support and develop children's understanding of some of the purposes of mathematics in real life contexts. These materials could include packaging materials, fabrics or paper, timetables, receipts photographs of the environment. These resources have use in class teaching, group activities, displays and cross curricular role play situations. (Drews and Hansen, 2007). </w:t>
      </w:r>
    </w:p>
    <w:p w:rsidR="5830900B" w:rsidP="213BDE6A" w:rsidRDefault="5830900B" w14:paraId="6F135F0D" w14:textId="6F1AB39C">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Drews and  Hansen (2007) discuss how In addition to these real-world resources there are many other resources that are not designed for mathematical learning can also be explored to help assist with learning such as environmental or malleable materials such as sand, water and playdough which helps support early concepts in number, shape and measurements. This is supported by tucker (2014) who mentions exploration of shapes is essential for good quality teaching and learning when the children construct model shapes they experience and understand more about 2D and 3D shapes, making bodies and pictures. The advantages to these wide range of resources are that they motivate children, help provide variety to teaching and learning experiences, connects classroom mathematics with application to the real world as discussed by Donaldson (2015) within the new curriculum as well as acting as a visual aid to allow children to build up a store of mental images (Drews and Hansen, 2007).</w:t>
      </w:r>
    </w:p>
    <w:p w:rsidR="5830900B" w:rsidP="213BDE6A" w:rsidRDefault="4A48454A" w14:paraId="7EF7C7F5" w14:textId="003C4340">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Natural and open-ended resources provide a vast range of opportunities; they can be used by children in their original state or imagined into something else. (Tts, 2017) The use of natural resources allows children to experience what they are and what they could possibly be used for. So, get rid of the old plastic</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color w:val="auto"/>
          <w:sz w:val="24"/>
          <w:szCs w:val="24"/>
        </w:rPr>
        <w:t>way of learning and supporting more natural, open-ended resources and loose parts (</w:t>
      </w:r>
      <w:proofErr w:type="spellStart"/>
      <w:r w:rsidRPr="213BDE6A" w:rsidR="213BDE6A">
        <w:rPr>
          <w:rFonts w:ascii="Times New Roman" w:hAnsi="Times New Roman" w:eastAsia="Times New Roman" w:cs="Times New Roman"/>
          <w:color w:val="auto"/>
          <w:sz w:val="24"/>
          <w:szCs w:val="24"/>
        </w:rPr>
        <w:t>tts</w:t>
      </w:r>
      <w:proofErr w:type="spellEnd"/>
      <w:r w:rsidRPr="213BDE6A" w:rsidR="213BDE6A">
        <w:rPr>
          <w:rFonts w:ascii="Times New Roman" w:hAnsi="Times New Roman" w:eastAsia="Times New Roman" w:cs="Times New Roman"/>
          <w:color w:val="auto"/>
          <w:sz w:val="24"/>
          <w:szCs w:val="24"/>
        </w:rPr>
        <w:t xml:space="preserve">, 2017). The way </w:t>
      </w:r>
      <w:hyperlink r:id="Rad79f92b93c84c24">
        <w:r w:rsidRPr="213BDE6A" w:rsidR="213BDE6A">
          <w:rPr>
            <w:rStyle w:val="Hyperlink"/>
            <w:rFonts w:ascii="Times New Roman" w:hAnsi="Times New Roman" w:eastAsia="Times New Roman" w:cs="Times New Roman"/>
            <w:color w:val="auto"/>
            <w:sz w:val="24"/>
            <w:szCs w:val="24"/>
            <w:u w:val="none"/>
          </w:rPr>
          <w:t>natural resources</w:t>
        </w:r>
      </w:hyperlink>
      <w:r w:rsidRPr="213BDE6A" w:rsidR="213BDE6A">
        <w:rPr>
          <w:rFonts w:ascii="Times New Roman" w:hAnsi="Times New Roman" w:eastAsia="Times New Roman" w:cs="Times New Roman"/>
          <w:sz w:val="24"/>
          <w:szCs w:val="24"/>
        </w:rPr>
        <w:t xml:space="preserve"> look, feel, taste and smell all provide children with great learning opportunities whilst also ensuring they are getting a better understanding of those objects. As suggested by Montessori (1973) it helps</w:t>
      </w:r>
      <w:r w:rsidRPr="213BDE6A" w:rsidR="213BDE6A">
        <w:rPr>
          <w:rFonts w:ascii="Times New Roman" w:hAnsi="Times New Roman" w:eastAsia="Times New Roman" w:cs="Times New Roman"/>
          <w:noProof w:val="0"/>
          <w:color w:val="363636"/>
          <w:sz w:val="24"/>
          <w:szCs w:val="24"/>
          <w:lang w:val="en-GB"/>
        </w:rPr>
        <w:t xml:space="preserve"> </w:t>
      </w:r>
      <w:r w:rsidRPr="213BDE6A" w:rsidR="213BDE6A">
        <w:rPr>
          <w:rFonts w:ascii="Times New Roman" w:hAnsi="Times New Roman" w:eastAsia="Times New Roman" w:cs="Times New Roman"/>
          <w:noProof w:val="0"/>
          <w:color w:val="auto"/>
          <w:sz w:val="24"/>
          <w:szCs w:val="24"/>
          <w:lang w:val="en-GB"/>
        </w:rPr>
        <w:t>children understand the world around them by using sensory materials in our classrooms. These sensorial activities help develop important lifelong skills such as logic, awareness, and perception</w:t>
      </w:r>
      <w:r w:rsidRPr="213BDE6A" w:rsidR="213BDE6A">
        <w:rPr>
          <w:rFonts w:ascii="Times New Roman" w:hAnsi="Times New Roman" w:eastAsia="Times New Roman" w:cs="Times New Roman"/>
          <w:noProof w:val="0"/>
          <w:color w:val="363636"/>
          <w:sz w:val="24"/>
          <w:szCs w:val="24"/>
          <w:lang w:val="en-GB"/>
        </w:rPr>
        <w:t>.</w:t>
      </w:r>
      <w:r w:rsidRPr="213BDE6A" w:rsidR="213BDE6A">
        <w:rPr>
          <w:rFonts w:ascii="Times New Roman" w:hAnsi="Times New Roman" w:eastAsia="Times New Roman" w:cs="Times New Roman"/>
          <w:sz w:val="24"/>
          <w:szCs w:val="24"/>
        </w:rPr>
        <w:t xml:space="preserve"> Plastic characterization do not give anything like the same option. Providing a child with the real thing is a great way to help support their understanding of the natural world (Tts, 2017).</w:t>
      </w:r>
    </w:p>
    <w:p w:rsidR="5830900B" w:rsidP="213BDE6A" w:rsidRDefault="4A48454A" w14:paraId="0479B086" w14:textId="41BBC46A">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Section 4 </w:t>
      </w:r>
    </w:p>
    <w:p w:rsidR="5830900B" w:rsidP="213BDE6A" w:rsidRDefault="4A48454A" w14:paraId="289077B5" w14:textId="6E8A76A8">
      <w:pPr>
        <w:spacing w:line="360" w:lineRule="auto"/>
        <w:jc w:val="both"/>
        <w:rPr>
          <w:rFonts w:ascii="Times New Roman" w:hAnsi="Times New Roman" w:eastAsia="Times New Roman" w:cs="Times New Roman"/>
          <w:color w:val="FF0000"/>
          <w:sz w:val="24"/>
          <w:szCs w:val="24"/>
        </w:rPr>
      </w:pPr>
      <w:r w:rsidRPr="0E9D2C24" w:rsidR="0E9D2C24">
        <w:rPr>
          <w:rFonts w:ascii="Times New Roman" w:hAnsi="Times New Roman" w:eastAsia="Times New Roman" w:cs="Times New Roman"/>
          <w:color w:val="auto"/>
          <w:sz w:val="24"/>
          <w:szCs w:val="24"/>
        </w:rPr>
        <w:t>The foundation Phase (2015) discuss how</w:t>
      </w:r>
      <w:r w:rsidRPr="0E9D2C24" w:rsidR="0E9D2C24">
        <w:rPr>
          <w:rFonts w:ascii="Times New Roman" w:hAnsi="Times New Roman" w:eastAsia="Times New Roman" w:cs="Times New Roman"/>
          <w:color w:val="FF0000"/>
          <w:sz w:val="24"/>
          <w:szCs w:val="24"/>
        </w:rPr>
        <w:t xml:space="preserve"> </w:t>
      </w:r>
      <w:r w:rsidRPr="0E9D2C24" w:rsidR="0E9D2C24">
        <w:rPr>
          <w:rFonts w:ascii="Times New Roman" w:hAnsi="Times New Roman" w:eastAsia="Times New Roman" w:cs="Times New Roman"/>
          <w:sz w:val="24"/>
          <w:szCs w:val="24"/>
        </w:rPr>
        <w:t>Practitioners are required to initiate, control and manage lessons by themselves. When planning for</w:t>
      </w:r>
      <w:r w:rsidRPr="0E9D2C24" w:rsidR="0E9D2C24">
        <w:rPr>
          <w:rFonts w:ascii="Times New Roman" w:hAnsi="Times New Roman" w:eastAsia="Times New Roman" w:cs="Times New Roman"/>
          <w:color w:val="FF0000"/>
          <w:sz w:val="24"/>
          <w:szCs w:val="24"/>
        </w:rPr>
        <w:t xml:space="preserve"> </w:t>
      </w:r>
      <w:r w:rsidRPr="0E9D2C24" w:rsidR="0E9D2C24">
        <w:rPr>
          <w:rFonts w:ascii="Times New Roman" w:hAnsi="Times New Roman" w:eastAsia="Times New Roman" w:cs="Times New Roman"/>
          <w:sz w:val="24"/>
          <w:szCs w:val="24"/>
        </w:rPr>
        <w:t>mathematical activities within  settings there are targets and standards, set out objectives, consideration of the prior knowledge children have  in order for the children to benefit from the planned activities, also anticipate potential obstacles in the resources to be used by the children (McAteer, 2012). Practitioners take time and effort for planning, judging on the children's capability and how interested the children maybe. According to Haylock (2010) the major task when teaching mathematics</w:t>
      </w:r>
      <w:r w:rsidRPr="0E9D2C24" w:rsidR="0E9D2C24">
        <w:rPr>
          <w:rFonts w:ascii="Times New Roman" w:hAnsi="Times New Roman" w:eastAsia="Times New Roman" w:cs="Times New Roman"/>
          <w:color w:val="FF0000"/>
          <w:sz w:val="24"/>
          <w:szCs w:val="24"/>
        </w:rPr>
        <w:t xml:space="preserve"> </w:t>
      </w:r>
      <w:r w:rsidRPr="0E9D2C24" w:rsidR="0E9D2C24">
        <w:rPr>
          <w:rFonts w:ascii="Times New Roman" w:hAnsi="Times New Roman" w:eastAsia="Times New Roman" w:cs="Times New Roman"/>
          <w:color w:val="auto"/>
          <w:sz w:val="24"/>
          <w:szCs w:val="24"/>
        </w:rPr>
        <w:t xml:space="preserve">or planning mathematical activities is having a positive attitude especially when teaching ages  Practitioners suggest that to achieve </w:t>
      </w:r>
      <w:r w:rsidRPr="0E9D2C24" w:rsidR="0E9D2C24">
        <w:rPr>
          <w:rFonts w:ascii="Times New Roman" w:hAnsi="Times New Roman" w:eastAsia="Times New Roman" w:cs="Times New Roman"/>
          <w:color w:val="auto"/>
          <w:sz w:val="24"/>
          <w:szCs w:val="24"/>
        </w:rPr>
        <w:t>this</w:t>
      </w:r>
      <w:r w:rsidRPr="0E9D2C24" w:rsidR="0E9D2C24">
        <w:rPr>
          <w:rFonts w:ascii="Times New Roman" w:hAnsi="Times New Roman" w:eastAsia="Times New Roman" w:cs="Times New Roman"/>
          <w:color w:val="auto"/>
          <w:sz w:val="24"/>
          <w:szCs w:val="24"/>
        </w:rPr>
        <w:t xml:space="preserve"> we need to shift perceptions of teaching mathematics away from the notion of teaching recipes and more towards the development of understanding.</w:t>
      </w:r>
      <w:r w:rsidRPr="0E9D2C24" w:rsidR="0E9D2C24">
        <w:rPr>
          <w:rFonts w:ascii="Times New Roman" w:hAnsi="Times New Roman" w:eastAsia="Times New Roman" w:cs="Times New Roman"/>
          <w:color w:val="FF0000"/>
          <w:sz w:val="24"/>
          <w:szCs w:val="24"/>
        </w:rPr>
        <w:t xml:space="preserve"> </w:t>
      </w:r>
    </w:p>
    <w:p w:rsidR="5830900B" w:rsidP="213BDE6A" w:rsidRDefault="4A48454A" w14:paraId="21EE2468" w14:textId="30852131">
      <w:pPr>
        <w:spacing w:line="360" w:lineRule="auto"/>
        <w:jc w:val="both"/>
        <w:rPr>
          <w:rFonts w:ascii="Times New Roman" w:hAnsi="Times New Roman" w:eastAsia="Times New Roman" w:cs="Times New Roman"/>
          <w:color w:val="auto"/>
          <w:sz w:val="24"/>
          <w:szCs w:val="24"/>
        </w:rPr>
      </w:pPr>
      <w:r w:rsidRPr="213BDE6A" w:rsidR="213BDE6A">
        <w:rPr>
          <w:rFonts w:ascii="Times New Roman" w:hAnsi="Times New Roman" w:eastAsia="Times New Roman" w:cs="Times New Roman"/>
          <w:color w:val="auto"/>
          <w:sz w:val="24"/>
          <w:szCs w:val="24"/>
        </w:rPr>
        <w:t>Practitioners when shaping, monitoring, and evaluating their medium-term planning should ensure the children now how important mathematics is in everyday life and society and other curriculum areas. (Haylock, 2010)</w:t>
      </w:r>
    </w:p>
    <w:p w:rsidR="5830900B" w:rsidP="213BDE6A" w:rsidRDefault="4A48454A" w14:paraId="5F3B3539" w14:textId="2D0E5F89">
      <w:pPr>
        <w:spacing w:line="360" w:lineRule="auto"/>
        <w:jc w:val="both"/>
        <w:rPr>
          <w:rFonts w:ascii="Times New Roman" w:hAnsi="Times New Roman" w:eastAsia="Times New Roman" w:cs="Times New Roman"/>
          <w:color w:val="auto"/>
          <w:sz w:val="24"/>
          <w:szCs w:val="24"/>
        </w:rPr>
      </w:pPr>
      <w:r w:rsidRPr="213BDE6A" w:rsidR="213BDE6A">
        <w:rPr>
          <w:rFonts w:ascii="Times New Roman" w:hAnsi="Times New Roman" w:eastAsia="Times New Roman" w:cs="Times New Roman"/>
          <w:color w:val="auto"/>
          <w:sz w:val="24"/>
          <w:szCs w:val="24"/>
        </w:rPr>
        <w:t xml:space="preserve">It's important in relation to the children’s intellectual development, also developing the children’s enjoyment of learning and its place in human knowledge and culture Haylock, 2010).   </w:t>
      </w:r>
    </w:p>
    <w:p w:rsidR="4A48454A" w:rsidP="213BDE6A" w:rsidRDefault="4A48454A" w14:paraId="534BCE5F" w14:textId="2E2E7043">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Mathematics is one of the four specific areas within the early </w:t>
      </w:r>
      <w:r w:rsidRPr="213BDE6A" w:rsidR="213BDE6A">
        <w:rPr>
          <w:rFonts w:ascii="Times New Roman" w:hAnsi="Times New Roman" w:eastAsia="Times New Roman" w:cs="Times New Roman"/>
          <w:sz w:val="24"/>
          <w:szCs w:val="24"/>
        </w:rPr>
        <w:t>year's</w:t>
      </w:r>
      <w:r w:rsidRPr="213BDE6A" w:rsidR="213BDE6A">
        <w:rPr>
          <w:rFonts w:ascii="Times New Roman" w:hAnsi="Times New Roman" w:eastAsia="Times New Roman" w:cs="Times New Roman"/>
          <w:sz w:val="24"/>
          <w:szCs w:val="24"/>
        </w:rPr>
        <w:t xml:space="preserve"> foundation stage. (DfE, 2018)  Mathematics involves providing children with the opportunity to develop and improve their skills in counting, understanding and using numbers, calculating, simple addition, shape space and measuring (DfE, 2018) When planning to teach </w:t>
      </w:r>
      <w:r w:rsidRPr="213BDE6A" w:rsidR="213BDE6A">
        <w:rPr>
          <w:rFonts w:ascii="Times New Roman" w:hAnsi="Times New Roman" w:eastAsia="Times New Roman" w:cs="Times New Roman"/>
          <w:color w:val="auto"/>
          <w:sz w:val="24"/>
          <w:szCs w:val="24"/>
        </w:rPr>
        <w:t>or provide activities that support</w:t>
      </w:r>
      <w:r w:rsidRPr="213BDE6A" w:rsidR="213BDE6A">
        <w:rPr>
          <w:rFonts w:ascii="Times New Roman" w:hAnsi="Times New Roman" w:eastAsia="Times New Roman" w:cs="Times New Roman"/>
          <w:color w:val="auto"/>
          <w:sz w:val="24"/>
          <w:szCs w:val="24"/>
        </w:rPr>
        <w:t xml:space="preserve"> mathematics, they are divided into two aspects which are numbers and shapes, space an</w:t>
      </w:r>
      <w:r w:rsidRPr="213BDE6A" w:rsidR="213BDE6A">
        <w:rPr>
          <w:rFonts w:ascii="Times New Roman" w:hAnsi="Times New Roman" w:eastAsia="Times New Roman" w:cs="Times New Roman"/>
          <w:sz w:val="24"/>
          <w:szCs w:val="24"/>
        </w:rPr>
        <w:t xml:space="preserve">d measure. </w:t>
      </w:r>
    </w:p>
    <w:p w:rsidR="4A48454A" w:rsidP="213BDE6A" w:rsidRDefault="4A48454A" w14:paraId="73F2E53B" w14:textId="764F0E9F">
      <w:pPr>
        <w:spacing w:line="360" w:lineRule="auto"/>
        <w:jc w:val="both"/>
        <w:rPr>
          <w:rFonts w:ascii="Times New Roman" w:hAnsi="Times New Roman" w:eastAsia="Times New Roman" w:cs="Times New Roman"/>
          <w:color w:val="FF0000"/>
          <w:sz w:val="24"/>
          <w:szCs w:val="24"/>
        </w:rPr>
      </w:pPr>
      <w:r w:rsidRPr="213BDE6A" w:rsidR="213BDE6A">
        <w:rPr>
          <w:rFonts w:ascii="Times New Roman" w:hAnsi="Times New Roman" w:eastAsia="Times New Roman" w:cs="Times New Roman"/>
          <w:color w:val="auto"/>
          <w:sz w:val="24"/>
          <w:szCs w:val="24"/>
        </w:rPr>
        <w:t>The role of the adult is to then support the early concepts through the planning of activities that support the development t of mathematics starting with counting with numbers children learn from one to 20, placing them in order and saying each number is one more or one less than the given number. Using quantities and objects, they add and subtract two single -digit numbers and count on or back to find the answer. (DfE, 2018)</w:t>
      </w:r>
    </w:p>
    <w:p w:rsidR="4A48454A" w:rsidP="213BDE6A" w:rsidRDefault="4A48454A" w14:paraId="53636467" w14:textId="6D304F9B">
      <w:pPr>
        <w:spacing w:line="360" w:lineRule="auto"/>
        <w:jc w:val="both"/>
        <w:rPr>
          <w:rFonts w:ascii="Times New Roman" w:hAnsi="Times New Roman" w:eastAsia="Times New Roman" w:cs="Times New Roman"/>
          <w:sz w:val="24"/>
          <w:szCs w:val="24"/>
        </w:rPr>
      </w:pPr>
      <w:r w:rsidRPr="0E9D2C24" w:rsidR="0E9D2C24">
        <w:rPr>
          <w:rFonts w:ascii="Times New Roman" w:hAnsi="Times New Roman" w:eastAsia="Times New Roman" w:cs="Times New Roman"/>
          <w:color w:val="auto"/>
          <w:sz w:val="24"/>
          <w:szCs w:val="24"/>
        </w:rPr>
        <w:t xml:space="preserve">Activities should also provide </w:t>
      </w:r>
      <w:r w:rsidRPr="0E9D2C24" w:rsidR="0E9D2C24">
        <w:rPr>
          <w:rFonts w:ascii="Times New Roman" w:hAnsi="Times New Roman" w:eastAsia="Times New Roman" w:cs="Times New Roman"/>
          <w:color w:val="auto"/>
          <w:sz w:val="24"/>
          <w:szCs w:val="24"/>
        </w:rPr>
        <w:t>opportunities</w:t>
      </w:r>
      <w:r w:rsidRPr="0E9D2C24" w:rsidR="0E9D2C24">
        <w:rPr>
          <w:rFonts w:ascii="Times New Roman" w:hAnsi="Times New Roman" w:eastAsia="Times New Roman" w:cs="Times New Roman"/>
          <w:color w:val="auto"/>
          <w:sz w:val="24"/>
          <w:szCs w:val="24"/>
        </w:rPr>
        <w:t xml:space="preserve"> for</w:t>
      </w:r>
      <w:r w:rsidRPr="0E9D2C24" w:rsidR="0E9D2C24">
        <w:rPr>
          <w:rFonts w:ascii="Times New Roman" w:hAnsi="Times New Roman" w:eastAsia="Times New Roman" w:cs="Times New Roman"/>
          <w:color w:val="FF0000"/>
          <w:sz w:val="24"/>
          <w:szCs w:val="24"/>
        </w:rPr>
        <w:t xml:space="preserve"> </w:t>
      </w:r>
      <w:r w:rsidRPr="0E9D2C24" w:rsidR="0E9D2C24">
        <w:rPr>
          <w:rFonts w:ascii="Times New Roman" w:hAnsi="Times New Roman" w:eastAsia="Times New Roman" w:cs="Times New Roman"/>
          <w:sz w:val="24"/>
          <w:szCs w:val="24"/>
        </w:rPr>
        <w:t>They solve problems, the ability to think through a problem, to recognize there is more than one path to the answer. It means using past knowledge and logical thinking skills to find an answer including doubling, halving and sharing (DfE, 2018).</w:t>
      </w:r>
    </w:p>
    <w:p w:rsidR="310EB332" w:rsidP="213BDE6A" w:rsidRDefault="310EB332" w14:paraId="31424BA4" w14:textId="5DC78D09">
      <w:pPr>
        <w:spacing w:line="360" w:lineRule="auto"/>
        <w:jc w:val="both"/>
        <w:rPr>
          <w:rFonts w:ascii="Times New Roman" w:hAnsi="Times New Roman" w:eastAsia="Times New Roman" w:cs="Times New Roman"/>
          <w:color w:val="auto"/>
          <w:sz w:val="24"/>
          <w:szCs w:val="24"/>
        </w:rPr>
      </w:pPr>
      <w:r w:rsidRPr="213BDE6A" w:rsidR="213BDE6A">
        <w:rPr>
          <w:rFonts w:ascii="Times New Roman" w:hAnsi="Times New Roman" w:eastAsia="Times New Roman" w:cs="Times New Roman"/>
          <w:sz w:val="24"/>
          <w:szCs w:val="24"/>
        </w:rPr>
        <w:t xml:space="preserve"> According to the DfE (2018) the role of the adult their job is to monitor all children’s progress and ensure additional support and appropriate interventions are provided when needed. To ensure the children keep a positive attitude towards mathematics when learning. To plan plenty of play based activities some of which will be focused on maths. Use a range of numerous that displayed meaningfully to help provide a stimulating learning environment. Make good use of everyday activities to discuss mathematics for example snack time. Plan practical enjoyable activities that develop mathematical understanding and the use of mathematical language. To encourage participation by children during groups when counting/singing to provide opportunities for children to use mark making to support their thinking about numbers.</w:t>
      </w:r>
      <w:r w:rsidRPr="213BDE6A" w:rsidR="213BDE6A">
        <w:rPr>
          <w:rFonts w:ascii="Times New Roman" w:hAnsi="Times New Roman" w:eastAsia="Times New Roman" w:cs="Times New Roman"/>
          <w:color w:val="FF0000"/>
          <w:sz w:val="24"/>
          <w:szCs w:val="24"/>
        </w:rPr>
        <w:t xml:space="preserve"> </w:t>
      </w:r>
      <w:r w:rsidRPr="213BDE6A" w:rsidR="213BDE6A">
        <w:rPr>
          <w:rFonts w:ascii="Times New Roman" w:hAnsi="Times New Roman" w:eastAsia="Times New Roman" w:cs="Times New Roman"/>
          <w:color w:val="auto"/>
          <w:sz w:val="24"/>
          <w:szCs w:val="24"/>
        </w:rPr>
        <w:t>(Taylor and Harris, 2014)</w:t>
      </w:r>
    </w:p>
    <w:p w:rsidR="310EB332" w:rsidP="213BDE6A" w:rsidRDefault="310EB332" w14:paraId="4ECB74F8" w14:textId="6F05861F">
      <w:pPr>
        <w:pStyle w:val="Normal"/>
        <w:spacing w:line="360" w:lineRule="auto"/>
        <w:jc w:val="both"/>
        <w:rPr>
          <w:rFonts w:ascii="Times New Roman" w:hAnsi="Times New Roman" w:eastAsia="Times New Roman" w:cs="Times New Roman"/>
          <w:color w:val="auto"/>
          <w:sz w:val="24"/>
          <w:szCs w:val="24"/>
        </w:rPr>
      </w:pPr>
      <w:r w:rsidRPr="0E9D2C24" w:rsidR="0E9D2C24">
        <w:rPr>
          <w:rFonts w:ascii="Times New Roman" w:hAnsi="Times New Roman" w:eastAsia="Times New Roman" w:cs="Times New Roman"/>
          <w:color w:val="auto"/>
          <w:sz w:val="24"/>
          <w:szCs w:val="24"/>
        </w:rPr>
        <w:t>Parents also play a key role in developing their children's ability to comprehend and use language. They also can engage with informal mathematics in day to day life. This could be from family activities whilst at home to noticing patterns everywhere they go indoors and outdoors. The interaction between parent and child during normal activities provides the child with a context in which to situate learning and thus build understanding of mathematics (Taylor and Harris, 2014)</w:t>
      </w:r>
    </w:p>
    <w:p w:rsidR="310EB332" w:rsidP="213BDE6A" w:rsidRDefault="310EB332" w14:paraId="120DB7C9" w14:textId="208CF510">
      <w:pPr>
        <w:pStyle w:val="Normal"/>
        <w:spacing w:line="360" w:lineRule="auto"/>
        <w:jc w:val="both"/>
        <w:rPr>
          <w:rFonts w:ascii="Times New Roman" w:hAnsi="Times New Roman" w:eastAsia="Times New Roman" w:cs="Times New Roman"/>
          <w:color w:val="auto"/>
          <w:sz w:val="24"/>
          <w:szCs w:val="24"/>
        </w:rPr>
      </w:pPr>
    </w:p>
    <w:p w:rsidR="310EB332" w:rsidP="213BDE6A" w:rsidRDefault="310EB332" w14:paraId="2193AD4F" w14:textId="508E2F65">
      <w:pPr>
        <w:pStyle w:val="Normal"/>
        <w:spacing w:line="360" w:lineRule="auto"/>
        <w:jc w:val="both"/>
        <w:rPr>
          <w:rFonts w:ascii="Times New Roman" w:hAnsi="Times New Roman" w:eastAsia="Times New Roman" w:cs="Times New Roman"/>
          <w:color w:val="auto"/>
          <w:sz w:val="24"/>
          <w:szCs w:val="24"/>
        </w:rPr>
      </w:pPr>
    </w:p>
    <w:p w:rsidR="310EB332" w:rsidP="213BDE6A" w:rsidRDefault="310EB332" w14:paraId="467DAA6F" w14:textId="69124458">
      <w:pPr>
        <w:pStyle w:val="Normal"/>
        <w:spacing w:line="360" w:lineRule="auto"/>
        <w:jc w:val="both"/>
        <w:rPr>
          <w:rFonts w:ascii="Times New Roman" w:hAnsi="Times New Roman" w:eastAsia="Times New Roman" w:cs="Times New Roman"/>
          <w:color w:val="auto"/>
          <w:sz w:val="24"/>
          <w:szCs w:val="24"/>
          <w:u w:val="single"/>
        </w:rPr>
      </w:pPr>
      <w:r w:rsidRPr="213BDE6A" w:rsidR="213BDE6A">
        <w:rPr>
          <w:rFonts w:ascii="Times New Roman" w:hAnsi="Times New Roman" w:eastAsia="Times New Roman" w:cs="Times New Roman"/>
          <w:color w:val="auto"/>
          <w:sz w:val="24"/>
          <w:szCs w:val="24"/>
          <w:u w:val="single"/>
        </w:rPr>
        <w:t>References</w:t>
      </w:r>
    </w:p>
    <w:p w:rsidR="310EB332" w:rsidP="213BDE6A" w:rsidRDefault="310EB332" w14:paraId="2B12568C" w14:textId="53CE48E8">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Bottle, G. (2005) </w:t>
      </w:r>
      <w:r w:rsidRPr="213BDE6A" w:rsidR="213BDE6A">
        <w:rPr>
          <w:rFonts w:ascii="Times New Roman" w:hAnsi="Times New Roman" w:eastAsia="Times New Roman" w:cs="Times New Roman"/>
          <w:i w:val="1"/>
          <w:iCs w:val="1"/>
          <w:sz w:val="24"/>
          <w:szCs w:val="24"/>
        </w:rPr>
        <w:t>Teaching Mathematics in the Primary School.</w:t>
      </w:r>
      <w:r w:rsidRPr="213BDE6A" w:rsidR="213BDE6A">
        <w:rPr>
          <w:rFonts w:ascii="Times New Roman" w:hAnsi="Times New Roman" w:eastAsia="Times New Roman" w:cs="Times New Roman"/>
          <w:sz w:val="24"/>
          <w:szCs w:val="24"/>
        </w:rPr>
        <w:t xml:space="preserve"> London: Continuum International Publishing Group.</w:t>
      </w:r>
    </w:p>
    <w:p w:rsidR="310EB332" w:rsidP="213BDE6A" w:rsidRDefault="310EB332" w14:paraId="2003003E" w14:textId="48B673F7">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Bruce, T. (1991) ‘</w:t>
      </w:r>
      <w:r w:rsidRPr="213BDE6A" w:rsidR="213BDE6A">
        <w:rPr>
          <w:rFonts w:ascii="Times New Roman" w:hAnsi="Times New Roman" w:eastAsia="Times New Roman" w:cs="Times New Roman"/>
          <w:i w:val="1"/>
          <w:iCs w:val="1"/>
          <w:sz w:val="24"/>
          <w:szCs w:val="24"/>
        </w:rPr>
        <w:t xml:space="preserve">Time to Play in Early Childhood: Nature and Nurture. </w:t>
      </w:r>
      <w:r w:rsidRPr="213BDE6A" w:rsidR="213BDE6A">
        <w:rPr>
          <w:rFonts w:ascii="Times New Roman" w:hAnsi="Times New Roman" w:eastAsia="Times New Roman" w:cs="Times New Roman"/>
          <w:sz w:val="24"/>
          <w:szCs w:val="24"/>
        </w:rPr>
        <w:t>New York: Guilford Press.</w:t>
      </w:r>
    </w:p>
    <w:p w:rsidR="310EB332" w:rsidP="213BDE6A" w:rsidRDefault="310EB332" w14:paraId="3DD574A3" w14:textId="48184FEB">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Department for Education (DfE) (2012) </w:t>
      </w:r>
      <w:r w:rsidRPr="213BDE6A" w:rsidR="213BDE6A">
        <w:rPr>
          <w:rFonts w:ascii="Times New Roman" w:hAnsi="Times New Roman" w:eastAsia="Times New Roman" w:cs="Times New Roman"/>
          <w:i w:val="1"/>
          <w:iCs w:val="1"/>
          <w:sz w:val="24"/>
          <w:szCs w:val="24"/>
        </w:rPr>
        <w:t>Statutory Framework for the Early Years Foundation Stage: Setting the Standards for Learning, Development and Care for Children from Birth to Five</w:t>
      </w:r>
      <w:r w:rsidRPr="213BDE6A" w:rsidR="213BDE6A">
        <w:rPr>
          <w:rFonts w:ascii="Times New Roman" w:hAnsi="Times New Roman" w:eastAsia="Times New Roman" w:cs="Times New Roman"/>
          <w:sz w:val="24"/>
          <w:szCs w:val="24"/>
        </w:rPr>
        <w:t>. London: Department for Education.</w:t>
      </w:r>
    </w:p>
    <w:p w:rsidR="310EB332" w:rsidP="213BDE6A" w:rsidRDefault="310EB332" w14:paraId="461E7A2A" w14:textId="6759B022">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Department for Education (2018) Statutory Framework for the Early Years Foundation Stage. Available at: https://www.gov.uk/government/publications/early-years-foundation-stage-framework--2 (Accessed: 17 February 2020).</w:t>
      </w:r>
    </w:p>
    <w:p w:rsidR="310EB332" w:rsidP="213BDE6A" w:rsidRDefault="310EB332" w14:paraId="17789F0E" w14:textId="1AE42C69">
      <w:pPr>
        <w:spacing w:line="360" w:lineRule="auto"/>
        <w:jc w:val="both"/>
        <w:rPr>
          <w:rFonts w:ascii="Times New Roman" w:hAnsi="Times New Roman" w:eastAsia="Times New Roman" w:cs="Times New Roman"/>
          <w:i w:val="1"/>
          <w:iCs w:val="1"/>
          <w:sz w:val="24"/>
          <w:szCs w:val="24"/>
        </w:rPr>
      </w:pPr>
      <w:r w:rsidRPr="213BDE6A" w:rsidR="213BDE6A">
        <w:rPr>
          <w:rFonts w:ascii="Times New Roman" w:hAnsi="Times New Roman" w:eastAsia="Times New Roman" w:cs="Times New Roman"/>
          <w:sz w:val="24"/>
          <w:szCs w:val="24"/>
        </w:rPr>
        <w:t xml:space="preserve">Drews, D and Hansen, A. (2007) </w:t>
      </w:r>
      <w:r w:rsidRPr="213BDE6A" w:rsidR="213BDE6A">
        <w:rPr>
          <w:rFonts w:ascii="Times New Roman" w:hAnsi="Times New Roman" w:eastAsia="Times New Roman" w:cs="Times New Roman"/>
          <w:i w:val="1"/>
          <w:iCs w:val="1"/>
          <w:sz w:val="24"/>
          <w:szCs w:val="24"/>
        </w:rPr>
        <w:t xml:space="preserve">Using resources to Support Mathematical Thinking. Primary and Early Years. </w:t>
      </w:r>
      <w:r w:rsidRPr="213BDE6A" w:rsidR="213BDE6A">
        <w:rPr>
          <w:rFonts w:ascii="Times New Roman" w:hAnsi="Times New Roman" w:eastAsia="Times New Roman" w:cs="Times New Roman"/>
          <w:sz w:val="24"/>
          <w:szCs w:val="24"/>
        </w:rPr>
        <w:t>Exeter: Learning Matters Ltd.</w:t>
      </w:r>
    </w:p>
    <w:p w:rsidR="310EB332" w:rsidP="213BDE6A" w:rsidRDefault="310EB332" w14:paraId="4B10CD90" w14:textId="7F7BC1A1">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Foundation Phase Framework, (2015) </w:t>
      </w:r>
      <w:r w:rsidRPr="213BDE6A" w:rsidR="213BDE6A">
        <w:rPr>
          <w:rFonts w:ascii="Times New Roman" w:hAnsi="Times New Roman" w:eastAsia="Times New Roman" w:cs="Times New Roman"/>
          <w:i w:val="1"/>
          <w:iCs w:val="1"/>
          <w:sz w:val="24"/>
          <w:szCs w:val="24"/>
        </w:rPr>
        <w:t>Curriculum of Wales</w:t>
      </w:r>
    </w:p>
    <w:p w:rsidR="310EB332" w:rsidP="213BDE6A" w:rsidRDefault="310EB332" w14:paraId="3629F27C" w14:textId="60836EBA">
      <w:pPr>
        <w:spacing w:line="360" w:lineRule="auto"/>
        <w:jc w:val="both"/>
        <w:rPr>
          <w:rFonts w:ascii="Times New Roman" w:hAnsi="Times New Roman" w:eastAsia="Times New Roman" w:cs="Times New Roman"/>
          <w:i w:val="1"/>
          <w:iCs w:val="1"/>
          <w:sz w:val="24"/>
          <w:szCs w:val="24"/>
        </w:rPr>
      </w:pPr>
      <w:r w:rsidRPr="213BDE6A" w:rsidR="213BDE6A">
        <w:rPr>
          <w:rFonts w:ascii="Times New Roman" w:hAnsi="Times New Roman" w:eastAsia="Times New Roman" w:cs="Times New Roman"/>
          <w:sz w:val="24"/>
          <w:szCs w:val="24"/>
        </w:rPr>
        <w:t xml:space="preserve">Fox, S and Surtees, L. (2010) </w:t>
      </w:r>
      <w:r w:rsidRPr="213BDE6A" w:rsidR="213BDE6A">
        <w:rPr>
          <w:rFonts w:ascii="Times New Roman" w:hAnsi="Times New Roman" w:eastAsia="Times New Roman" w:cs="Times New Roman"/>
          <w:i w:val="1"/>
          <w:iCs w:val="1"/>
          <w:sz w:val="24"/>
          <w:szCs w:val="24"/>
        </w:rPr>
        <w:t>Mathematics Across the Curriculum. Problem-Solving, Reasoning and Numeracy in Primary Schools.</w:t>
      </w:r>
      <w:r w:rsidRPr="213BDE6A" w:rsidR="213BDE6A">
        <w:rPr>
          <w:rFonts w:ascii="Times New Roman" w:hAnsi="Times New Roman" w:eastAsia="Times New Roman" w:cs="Times New Roman"/>
          <w:sz w:val="24"/>
          <w:szCs w:val="24"/>
        </w:rPr>
        <w:t xml:space="preserve"> London: Continuum International Publishing Group.</w:t>
      </w:r>
    </w:p>
    <w:p w:rsidR="310EB332" w:rsidP="213BDE6A" w:rsidRDefault="310EB332" w14:paraId="5DB562CC" w14:textId="0A4171C7">
      <w:pPr>
        <w:pStyle w:val="Normal"/>
        <w:spacing w:line="360" w:lineRule="auto"/>
        <w:jc w:val="both"/>
        <w:rPr>
          <w:rFonts w:ascii="Times New Roman" w:hAnsi="Times New Roman" w:eastAsia="Times New Roman" w:cs="Times New Roman"/>
          <w:i w:val="1"/>
          <w:iCs w:val="1"/>
          <w:sz w:val="24"/>
          <w:szCs w:val="24"/>
        </w:rPr>
      </w:pPr>
      <w:r w:rsidRPr="213BDE6A" w:rsidR="213BDE6A">
        <w:rPr>
          <w:rFonts w:ascii="Times New Roman" w:hAnsi="Times New Roman" w:eastAsia="Times New Roman" w:cs="Times New Roman"/>
          <w:sz w:val="24"/>
          <w:szCs w:val="24"/>
        </w:rPr>
        <w:t>Haylock, D. (2010) Mathematics Explained for primary teachers. 4</w:t>
      </w:r>
      <w:r w:rsidRPr="213BDE6A" w:rsidR="213BDE6A">
        <w:rPr>
          <w:rFonts w:ascii="Times New Roman" w:hAnsi="Times New Roman" w:eastAsia="Times New Roman" w:cs="Times New Roman"/>
          <w:sz w:val="24"/>
          <w:szCs w:val="24"/>
          <w:vertAlign w:val="superscript"/>
        </w:rPr>
        <w:t>th</w:t>
      </w:r>
      <w:r w:rsidRPr="213BDE6A" w:rsidR="213BDE6A">
        <w:rPr>
          <w:rFonts w:ascii="Times New Roman" w:hAnsi="Times New Roman" w:eastAsia="Times New Roman" w:cs="Times New Roman"/>
          <w:sz w:val="24"/>
          <w:szCs w:val="24"/>
        </w:rPr>
        <w:t xml:space="preserve"> Ed. London: Sage Publications Ltd.</w:t>
      </w:r>
    </w:p>
    <w:p w:rsidR="310EB332" w:rsidP="213BDE6A" w:rsidRDefault="310EB332" w14:paraId="58AA2CF4" w14:textId="78BD4A41">
      <w:pPr>
        <w:pStyle w:val="Normal"/>
        <w:spacing w:line="360" w:lineRule="auto"/>
        <w:jc w:val="both"/>
        <w:rPr>
          <w:rFonts w:ascii="Times New Roman" w:hAnsi="Times New Roman" w:eastAsia="Times New Roman" w:cs="Times New Roman"/>
          <w:noProof w:val="0"/>
          <w:sz w:val="24"/>
          <w:szCs w:val="24"/>
          <w:lang w:val="en-GB"/>
        </w:rPr>
      </w:pPr>
      <w:r w:rsidRPr="213BDE6A" w:rsidR="213BDE6A">
        <w:rPr>
          <w:rFonts w:ascii="Times New Roman" w:hAnsi="Times New Roman" w:eastAsia="Times New Roman" w:cs="Times New Roman"/>
          <w:sz w:val="24"/>
          <w:szCs w:val="24"/>
        </w:rPr>
        <w:t xml:space="preserve">Health and Safety Executive. (HSE) (2018) Guidance on Childrens play and </w:t>
      </w:r>
      <w:proofErr w:type="spellStart"/>
      <w:r w:rsidRPr="213BDE6A" w:rsidR="213BDE6A">
        <w:rPr>
          <w:rFonts w:ascii="Times New Roman" w:hAnsi="Times New Roman" w:eastAsia="Times New Roman" w:cs="Times New Roman"/>
          <w:sz w:val="24"/>
          <w:szCs w:val="24"/>
        </w:rPr>
        <w:t>leaiure</w:t>
      </w:r>
      <w:proofErr w:type="spellEnd"/>
      <w:r w:rsidRPr="213BDE6A" w:rsidR="213BDE6A">
        <w:rPr>
          <w:rFonts w:ascii="Times New Roman" w:hAnsi="Times New Roman" w:eastAsia="Times New Roman" w:cs="Times New Roman"/>
          <w:sz w:val="24"/>
          <w:szCs w:val="24"/>
        </w:rPr>
        <w:t xml:space="preserve">. Available at: </w:t>
      </w:r>
      <w:hyperlink r:id="Rba1cf933b2c04f76">
        <w:r w:rsidRPr="213BDE6A" w:rsidR="213BDE6A">
          <w:rPr>
            <w:rStyle w:val="Hyperlink"/>
            <w:rFonts w:ascii="Times New Roman" w:hAnsi="Times New Roman" w:eastAsia="Times New Roman" w:cs="Times New Roman"/>
            <w:noProof w:val="0"/>
            <w:sz w:val="24"/>
            <w:szCs w:val="24"/>
            <w:lang w:val="en-GB"/>
          </w:rPr>
          <w:t>https://www.gov.uk/government/publications/health-and-safety-advice-for-schools/responsibilities-and-duties-for-schools</w:t>
        </w:r>
      </w:hyperlink>
      <w:r w:rsidRPr="213BDE6A" w:rsidR="213BDE6A">
        <w:rPr>
          <w:rFonts w:ascii="Times New Roman" w:hAnsi="Times New Roman" w:eastAsia="Times New Roman" w:cs="Times New Roman"/>
          <w:noProof w:val="0"/>
          <w:sz w:val="24"/>
          <w:szCs w:val="24"/>
          <w:lang w:val="en-GB"/>
        </w:rPr>
        <w:t xml:space="preserve"> (Accessed: 17 February 2010).</w:t>
      </w:r>
    </w:p>
    <w:p w:rsidR="310EB332" w:rsidP="213BDE6A" w:rsidRDefault="310EB332" w14:paraId="35CBE8AA" w14:textId="7CE49F9D">
      <w:pPr>
        <w:pStyle w:val="Normal"/>
        <w:spacing w:line="360" w:lineRule="auto"/>
        <w:jc w:val="both"/>
        <w:rPr>
          <w:rFonts w:ascii="Times New Roman" w:hAnsi="Times New Roman" w:eastAsia="Times New Roman" w:cs="Times New Roman"/>
          <w:sz w:val="24"/>
          <w:szCs w:val="24"/>
        </w:rPr>
      </w:pPr>
      <w:r w:rsidRPr="0E9D2C24" w:rsidR="0E9D2C24">
        <w:rPr>
          <w:rFonts w:ascii="Times New Roman" w:hAnsi="Times New Roman" w:eastAsia="Times New Roman" w:cs="Times New Roman"/>
          <w:sz w:val="24"/>
          <w:szCs w:val="24"/>
        </w:rPr>
        <w:t>Howard, J and McInnes, K. (2012)</w:t>
      </w:r>
      <w:r w:rsidRPr="0E9D2C24" w:rsidR="0E9D2C24">
        <w:rPr>
          <w:rFonts w:ascii="Times New Roman" w:hAnsi="Times New Roman" w:eastAsia="Times New Roman" w:cs="Times New Roman"/>
          <w:i w:val="1"/>
          <w:iCs w:val="1"/>
          <w:sz w:val="24"/>
          <w:szCs w:val="24"/>
        </w:rPr>
        <w:t xml:space="preserve"> The impact of children’s perception of an activity as play rather than not play on emotional well-being, </w:t>
      </w:r>
      <w:r w:rsidRPr="0E9D2C24" w:rsidR="0E9D2C24">
        <w:rPr>
          <w:rFonts w:ascii="Times New Roman" w:hAnsi="Times New Roman" w:eastAsia="Times New Roman" w:cs="Times New Roman"/>
          <w:i w:val="0"/>
          <w:iCs w:val="0"/>
          <w:sz w:val="24"/>
          <w:szCs w:val="24"/>
        </w:rPr>
        <w:t>pp. 737. DOI:10.1111/j.1365-2214.2012.01405.x</w:t>
      </w:r>
    </w:p>
    <w:p w:rsidR="310EB332" w:rsidP="213BDE6A" w:rsidRDefault="310EB332" w14:paraId="42138362" w14:textId="21DE3F29">
      <w:pPr>
        <w:spacing w:line="360" w:lineRule="auto"/>
        <w:jc w:val="both"/>
      </w:pPr>
      <w:r w:rsidRPr="213BDE6A" w:rsidR="213BDE6A">
        <w:rPr>
          <w:rFonts w:ascii="Times New Roman" w:hAnsi="Times New Roman" w:eastAsia="Times New Roman" w:cs="Times New Roman"/>
          <w:sz w:val="24"/>
          <w:szCs w:val="24"/>
        </w:rPr>
        <w:t xml:space="preserve">McAteer, M. (2012) </w:t>
      </w:r>
      <w:r w:rsidRPr="213BDE6A" w:rsidR="213BDE6A">
        <w:rPr>
          <w:rFonts w:ascii="Times New Roman" w:hAnsi="Times New Roman" w:eastAsia="Times New Roman" w:cs="Times New Roman"/>
          <w:i w:val="1"/>
          <w:iCs w:val="1"/>
          <w:sz w:val="24"/>
          <w:szCs w:val="24"/>
        </w:rPr>
        <w:t>Improving Primary Mathematics. Teaching and Learning</w:t>
      </w:r>
      <w:r w:rsidRPr="213BDE6A" w:rsidR="213BDE6A">
        <w:rPr>
          <w:rFonts w:ascii="Times New Roman" w:hAnsi="Times New Roman" w:eastAsia="Times New Roman" w:cs="Times New Roman"/>
          <w:sz w:val="24"/>
          <w:szCs w:val="24"/>
        </w:rPr>
        <w:t>. England: Open University Press.</w:t>
      </w:r>
    </w:p>
    <w:p w:rsidR="310EB332" w:rsidP="213BDE6A" w:rsidRDefault="310EB332" w14:paraId="3AE12994" w14:textId="3E3D6B86">
      <w:pPr>
        <w:spacing w:line="360" w:lineRule="auto"/>
        <w:jc w:val="both"/>
        <w:rPr>
          <w:rFonts w:ascii="Times New Roman" w:hAnsi="Times New Roman" w:eastAsia="Times New Roman" w:cs="Times New Roman"/>
          <w:sz w:val="24"/>
          <w:szCs w:val="24"/>
        </w:rPr>
      </w:pPr>
      <w:proofErr w:type="spellStart"/>
      <w:r w:rsidRPr="213BDE6A" w:rsidR="213BDE6A">
        <w:rPr>
          <w:rFonts w:ascii="Times New Roman" w:hAnsi="Times New Roman" w:eastAsia="Times New Roman" w:cs="Times New Roman"/>
          <w:sz w:val="24"/>
          <w:szCs w:val="24"/>
        </w:rPr>
        <w:t>McVanish</w:t>
      </w:r>
      <w:proofErr w:type="spellEnd"/>
      <w:r w:rsidRPr="213BDE6A" w:rsidR="213BDE6A">
        <w:rPr>
          <w:rFonts w:ascii="Times New Roman" w:hAnsi="Times New Roman" w:eastAsia="Times New Roman" w:cs="Times New Roman"/>
          <w:sz w:val="24"/>
          <w:szCs w:val="24"/>
        </w:rPr>
        <w:t xml:space="preserve">, J. (2008) </w:t>
      </w:r>
      <w:r w:rsidRPr="213BDE6A" w:rsidR="213BDE6A">
        <w:rPr>
          <w:rFonts w:ascii="Times New Roman" w:hAnsi="Times New Roman" w:eastAsia="Times New Roman" w:cs="Times New Roman"/>
          <w:i w:val="1"/>
          <w:iCs w:val="1"/>
          <w:sz w:val="24"/>
          <w:szCs w:val="24"/>
        </w:rPr>
        <w:t>Where’s the Wonder in Elementary Math?</w:t>
      </w:r>
      <w:r w:rsidRPr="213BDE6A" w:rsidR="213BDE6A">
        <w:rPr>
          <w:rFonts w:ascii="Times New Roman" w:hAnsi="Times New Roman" w:eastAsia="Times New Roman" w:cs="Times New Roman"/>
          <w:sz w:val="24"/>
          <w:szCs w:val="24"/>
        </w:rPr>
        <w:t xml:space="preserve"> Abingdon: Routledge.</w:t>
      </w:r>
    </w:p>
    <w:p w:rsidR="310EB332" w:rsidP="213BDE6A" w:rsidRDefault="310EB332" w14:paraId="46A5EE5C" w14:textId="5F3566D7">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Montague-Smith, A. et al. (2018) Mathematics in Early Years Education. New York: Routledge.</w:t>
      </w:r>
    </w:p>
    <w:p w:rsidR="310EB332" w:rsidP="0E9D2C24" w:rsidRDefault="310EB332" w14:paraId="6FED47AD" w14:textId="4CF42975">
      <w:pPr>
        <w:spacing w:line="360" w:lineRule="auto"/>
        <w:jc w:val="both"/>
        <w:rPr>
          <w:rFonts w:ascii="Times New Roman" w:hAnsi="Times New Roman" w:eastAsia="Times New Roman" w:cs="Times New Roman"/>
          <w:sz w:val="24"/>
          <w:szCs w:val="24"/>
        </w:rPr>
      </w:pPr>
      <w:r w:rsidRPr="0E9D2C24" w:rsidR="0E9D2C24">
        <w:rPr>
          <w:rFonts w:ascii="Times New Roman" w:hAnsi="Times New Roman" w:eastAsia="Times New Roman" w:cs="Times New Roman"/>
          <w:sz w:val="24"/>
          <w:szCs w:val="24"/>
        </w:rPr>
        <w:t xml:space="preserve">Montessori, M. (1973) </w:t>
      </w:r>
      <w:r w:rsidRPr="0E9D2C24" w:rsidR="0E9D2C24">
        <w:rPr>
          <w:rFonts w:ascii="Times New Roman" w:hAnsi="Times New Roman" w:eastAsia="Times New Roman" w:cs="Times New Roman"/>
          <w:i w:val="1"/>
          <w:iCs w:val="1"/>
          <w:sz w:val="24"/>
          <w:szCs w:val="24"/>
        </w:rPr>
        <w:t>The Montessori Elementary Materials: Volume 2 of the Advanced Montessori Method</w:t>
      </w:r>
      <w:r w:rsidRPr="0E9D2C24" w:rsidR="0E9D2C24">
        <w:rPr>
          <w:rFonts w:ascii="Times New Roman" w:hAnsi="Times New Roman" w:eastAsia="Times New Roman" w:cs="Times New Roman"/>
          <w:sz w:val="24"/>
          <w:szCs w:val="24"/>
        </w:rPr>
        <w:t>. New York: Schocken Books.</w:t>
      </w:r>
    </w:p>
    <w:p w:rsidR="310EB332" w:rsidP="213BDE6A" w:rsidRDefault="310EB332" w14:paraId="2A291453" w14:textId="2C09940B">
      <w:pPr>
        <w:pStyle w:val="Normal"/>
        <w:spacing w:line="360" w:lineRule="auto"/>
        <w:jc w:val="both"/>
        <w:rPr>
          <w:rFonts w:ascii="Times New Roman" w:hAnsi="Times New Roman" w:eastAsia="Times New Roman" w:cs="Times New Roman"/>
          <w:i w:val="1"/>
          <w:iCs w:val="1"/>
          <w:sz w:val="24"/>
          <w:szCs w:val="24"/>
        </w:rPr>
      </w:pPr>
      <w:r w:rsidRPr="213BDE6A" w:rsidR="213BDE6A">
        <w:rPr>
          <w:rFonts w:ascii="Times New Roman" w:hAnsi="Times New Roman" w:eastAsia="Times New Roman" w:cs="Times New Roman"/>
          <w:sz w:val="24"/>
          <w:szCs w:val="24"/>
        </w:rPr>
        <w:t xml:space="preserve">Mooney, C.et al. (2014) </w:t>
      </w:r>
      <w:r w:rsidRPr="213BDE6A" w:rsidR="213BDE6A">
        <w:rPr>
          <w:rFonts w:ascii="Times New Roman" w:hAnsi="Times New Roman" w:eastAsia="Times New Roman" w:cs="Times New Roman"/>
          <w:i w:val="1"/>
          <w:iCs w:val="1"/>
          <w:sz w:val="24"/>
          <w:szCs w:val="24"/>
        </w:rPr>
        <w:t xml:space="preserve">Primary Mathematics. Teaching Theory &amp; Practice. </w:t>
      </w:r>
      <w:r w:rsidRPr="213BDE6A" w:rsidR="213BDE6A">
        <w:rPr>
          <w:rFonts w:ascii="Times New Roman" w:hAnsi="Times New Roman" w:eastAsia="Times New Roman" w:cs="Times New Roman"/>
          <w:sz w:val="24"/>
          <w:szCs w:val="24"/>
        </w:rPr>
        <w:t>London: Sage Publications Inc.</w:t>
      </w:r>
    </w:p>
    <w:p w:rsidR="310EB332" w:rsidP="213BDE6A" w:rsidRDefault="310EB332" w14:paraId="40F874A4" w14:textId="3BF074C7">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Piaget, J. (1958) </w:t>
      </w:r>
      <w:r w:rsidRPr="213BDE6A" w:rsidR="213BDE6A">
        <w:rPr>
          <w:rFonts w:ascii="Times New Roman" w:hAnsi="Times New Roman" w:eastAsia="Times New Roman" w:cs="Times New Roman"/>
          <w:i w:val="1"/>
          <w:iCs w:val="1"/>
          <w:sz w:val="24"/>
          <w:szCs w:val="24"/>
        </w:rPr>
        <w:t>The child’s Construction of Realty</w:t>
      </w:r>
      <w:r w:rsidRPr="213BDE6A" w:rsidR="213BDE6A">
        <w:rPr>
          <w:rFonts w:ascii="Times New Roman" w:hAnsi="Times New Roman" w:eastAsia="Times New Roman" w:cs="Times New Roman"/>
          <w:sz w:val="24"/>
          <w:szCs w:val="24"/>
        </w:rPr>
        <w:t>. London: Routledge &amp; Kegan Paul.</w:t>
      </w:r>
    </w:p>
    <w:p w:rsidR="310EB332" w:rsidP="213BDE6A" w:rsidRDefault="310EB332" w14:paraId="061FF821" w14:textId="1B95B435">
      <w:pPr>
        <w:pStyle w:val="Normal"/>
        <w:spacing w:line="360" w:lineRule="auto"/>
        <w:jc w:val="both"/>
        <w:rPr>
          <w:rFonts w:ascii="Times New Roman" w:hAnsi="Times New Roman" w:eastAsia="Times New Roman" w:cs="Times New Roman"/>
          <w:sz w:val="24"/>
          <w:szCs w:val="24"/>
        </w:rPr>
      </w:pPr>
      <w:proofErr w:type="spellStart"/>
      <w:r w:rsidRPr="213BDE6A" w:rsidR="213BDE6A">
        <w:rPr>
          <w:rFonts w:ascii="Times New Roman" w:hAnsi="Times New Roman" w:eastAsia="Times New Roman" w:cs="Times New Roman"/>
          <w:sz w:val="24"/>
          <w:szCs w:val="24"/>
        </w:rPr>
        <w:t>Scieska</w:t>
      </w:r>
      <w:proofErr w:type="spellEnd"/>
      <w:r w:rsidRPr="213BDE6A" w:rsidR="213BDE6A">
        <w:rPr>
          <w:rFonts w:ascii="Times New Roman" w:hAnsi="Times New Roman" w:eastAsia="Times New Roman" w:cs="Times New Roman"/>
          <w:sz w:val="24"/>
          <w:szCs w:val="24"/>
        </w:rPr>
        <w:t xml:space="preserve">, J. (1995) </w:t>
      </w:r>
      <w:r w:rsidRPr="213BDE6A" w:rsidR="213BDE6A">
        <w:rPr>
          <w:rFonts w:ascii="Times New Roman" w:hAnsi="Times New Roman" w:eastAsia="Times New Roman" w:cs="Times New Roman"/>
          <w:i w:val="1"/>
          <w:iCs w:val="1"/>
          <w:sz w:val="24"/>
          <w:szCs w:val="24"/>
        </w:rPr>
        <w:t xml:space="preserve">Maths Curse.1 </w:t>
      </w:r>
      <w:proofErr w:type="spellStart"/>
      <w:r w:rsidRPr="213BDE6A" w:rsidR="213BDE6A">
        <w:rPr>
          <w:rFonts w:ascii="Times New Roman" w:hAnsi="Times New Roman" w:eastAsia="Times New Roman" w:cs="Times New Roman"/>
          <w:sz w:val="24"/>
          <w:szCs w:val="24"/>
        </w:rPr>
        <w:t>Harmondworth</w:t>
      </w:r>
      <w:proofErr w:type="spellEnd"/>
      <w:r w:rsidRPr="213BDE6A" w:rsidR="213BDE6A">
        <w:rPr>
          <w:rFonts w:ascii="Times New Roman" w:hAnsi="Times New Roman" w:eastAsia="Times New Roman" w:cs="Times New Roman"/>
          <w:sz w:val="24"/>
          <w:szCs w:val="24"/>
        </w:rPr>
        <w:t>: Penguin Books Ltd.</w:t>
      </w:r>
    </w:p>
    <w:p w:rsidR="310EB332" w:rsidP="213BDE6A" w:rsidRDefault="310EB332" w14:paraId="744DCAB7" w14:textId="3F11355E">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Scottish Executive (SE) (2007) A Curriculum for Excellence: Building the Curriculum 2 – Active Learning in the Early Years. Available at </w:t>
      </w:r>
      <w:hyperlink r:id="R66ea653b98c54cd3">
        <w:r w:rsidRPr="213BDE6A" w:rsidR="213BDE6A">
          <w:rPr>
            <w:rStyle w:val="Hyperlink"/>
            <w:rFonts w:ascii="Times New Roman" w:hAnsi="Times New Roman" w:eastAsia="Times New Roman" w:cs="Times New Roman"/>
            <w:sz w:val="24"/>
            <w:szCs w:val="24"/>
          </w:rPr>
          <w:t>http://www.educationscotland.gov.uk/images/Building_the_Curriculum_2_tcm4-408069.pdf</w:t>
        </w:r>
      </w:hyperlink>
      <w:r w:rsidRPr="213BDE6A" w:rsidR="213BDE6A">
        <w:rPr>
          <w:rFonts w:ascii="Times New Roman" w:hAnsi="Times New Roman" w:eastAsia="Times New Roman" w:cs="Times New Roman"/>
          <w:sz w:val="24"/>
          <w:szCs w:val="24"/>
        </w:rPr>
        <w:t xml:space="preserve"> (accessed February 2020)</w:t>
      </w:r>
    </w:p>
    <w:p w:rsidR="310EB332" w:rsidP="213BDE6A" w:rsidRDefault="310EB332" w14:paraId="62709EB5" w14:textId="3131706C">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Smilansky, S and Shefatya, L. (1990) </w:t>
      </w:r>
      <w:r w:rsidRPr="213BDE6A" w:rsidR="213BDE6A">
        <w:rPr>
          <w:rFonts w:ascii="Times New Roman" w:hAnsi="Times New Roman" w:eastAsia="Times New Roman" w:cs="Times New Roman"/>
          <w:i w:val="1"/>
          <w:iCs w:val="1"/>
          <w:sz w:val="24"/>
          <w:szCs w:val="24"/>
        </w:rPr>
        <w:t>Facilitating Play: A medium for Promoting Cognitive, Socioemotional and Academic Development in Young Children.</w:t>
      </w:r>
      <w:r w:rsidRPr="213BDE6A" w:rsidR="213BDE6A">
        <w:rPr>
          <w:rFonts w:ascii="Times New Roman" w:hAnsi="Times New Roman" w:eastAsia="Times New Roman" w:cs="Times New Roman"/>
          <w:sz w:val="24"/>
          <w:szCs w:val="24"/>
        </w:rPr>
        <w:t xml:space="preserve"> Gaithersburg, MD: Psychological and Educational Publications.</w:t>
      </w:r>
    </w:p>
    <w:p w:rsidR="310EB332" w:rsidP="213BDE6A" w:rsidRDefault="310EB332" w14:paraId="2F2C0196" w14:textId="5A979993">
      <w:pPr>
        <w:pStyle w:val="Normal"/>
        <w:spacing w:line="360" w:lineRule="auto"/>
        <w:jc w:val="both"/>
        <w:rPr>
          <w:rFonts w:ascii="Times New Roman" w:hAnsi="Times New Roman" w:eastAsia="Times New Roman" w:cs="Times New Roman"/>
          <w:color w:val="auto"/>
          <w:sz w:val="24"/>
          <w:szCs w:val="24"/>
          <w:u w:val="single"/>
        </w:rPr>
      </w:pPr>
      <w:r w:rsidRPr="213BDE6A" w:rsidR="213BDE6A">
        <w:rPr>
          <w:rFonts w:ascii="Times New Roman" w:hAnsi="Times New Roman" w:eastAsia="Times New Roman" w:cs="Times New Roman"/>
          <w:color w:val="auto"/>
          <w:sz w:val="24"/>
          <w:szCs w:val="24"/>
        </w:rPr>
        <w:t xml:space="preserve">Taylor, H and Harris, A. (2014) </w:t>
      </w:r>
      <w:r w:rsidRPr="213BDE6A" w:rsidR="213BDE6A">
        <w:rPr>
          <w:rFonts w:ascii="Times New Roman" w:hAnsi="Times New Roman" w:eastAsia="Times New Roman" w:cs="Times New Roman"/>
          <w:i w:val="1"/>
          <w:iCs w:val="1"/>
          <w:color w:val="auto"/>
          <w:sz w:val="24"/>
          <w:szCs w:val="24"/>
        </w:rPr>
        <w:t>Learning and Teaching Mathematics 0-8</w:t>
      </w:r>
      <w:r w:rsidRPr="213BDE6A" w:rsidR="213BDE6A">
        <w:rPr>
          <w:rFonts w:ascii="Times New Roman" w:hAnsi="Times New Roman" w:eastAsia="Times New Roman" w:cs="Times New Roman"/>
          <w:color w:val="auto"/>
          <w:sz w:val="24"/>
          <w:szCs w:val="24"/>
        </w:rPr>
        <w:t>. London: Sage Publications Ltd.</w:t>
      </w:r>
    </w:p>
    <w:p w:rsidR="310EB332" w:rsidP="213BDE6A" w:rsidRDefault="310EB332" w14:paraId="30A1C5EA" w14:textId="75FCB4EF">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Tts. (2017) Learning to play the natural way the benefits of natural resources [blog]. 3 April. Available at: </w:t>
      </w:r>
      <w:hyperlink r:id="R487a953717dc4038">
        <w:r w:rsidRPr="213BDE6A" w:rsidR="213BDE6A">
          <w:rPr>
            <w:rStyle w:val="Hyperlink"/>
            <w:rFonts w:ascii="Times New Roman" w:hAnsi="Times New Roman" w:eastAsia="Times New Roman" w:cs="Times New Roman"/>
            <w:sz w:val="24"/>
            <w:szCs w:val="24"/>
          </w:rPr>
          <w:t>https://www.tts-group.co.uk/blog/2017/04/03/learning-play-natural-way-benefits-natural-resources.html</w:t>
        </w:r>
      </w:hyperlink>
      <w:r w:rsidRPr="213BDE6A" w:rsidR="213BDE6A">
        <w:rPr>
          <w:rFonts w:ascii="Times New Roman" w:hAnsi="Times New Roman" w:eastAsia="Times New Roman" w:cs="Times New Roman"/>
          <w:sz w:val="24"/>
          <w:szCs w:val="24"/>
        </w:rPr>
        <w:t xml:space="preserve"> (Accessed: 17</w:t>
      </w:r>
      <w:r w:rsidRPr="213BDE6A" w:rsidR="213BDE6A">
        <w:rPr>
          <w:rFonts w:ascii="Times New Roman" w:hAnsi="Times New Roman" w:eastAsia="Times New Roman" w:cs="Times New Roman"/>
          <w:sz w:val="24"/>
          <w:szCs w:val="24"/>
          <w:vertAlign w:val="superscript"/>
        </w:rPr>
        <w:t>th</w:t>
      </w:r>
      <w:r w:rsidRPr="213BDE6A" w:rsidR="213BDE6A">
        <w:rPr>
          <w:rFonts w:ascii="Times New Roman" w:hAnsi="Times New Roman" w:eastAsia="Times New Roman" w:cs="Times New Roman"/>
          <w:sz w:val="24"/>
          <w:szCs w:val="24"/>
        </w:rPr>
        <w:t xml:space="preserve"> February 2020).</w:t>
      </w:r>
    </w:p>
    <w:p w:rsidR="310EB332" w:rsidP="213BDE6A" w:rsidRDefault="310EB332" w14:paraId="769FC1DE" w14:textId="0848692B">
      <w:pPr>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Tucker, K. (2014) </w:t>
      </w:r>
      <w:r w:rsidRPr="213BDE6A" w:rsidR="213BDE6A">
        <w:rPr>
          <w:rFonts w:ascii="Times New Roman" w:hAnsi="Times New Roman" w:eastAsia="Times New Roman" w:cs="Times New Roman"/>
          <w:i w:val="1"/>
          <w:iCs w:val="1"/>
          <w:sz w:val="24"/>
          <w:szCs w:val="24"/>
        </w:rPr>
        <w:t>Mathematics Through Play in the Early Years.</w:t>
      </w:r>
      <w:r w:rsidRPr="213BDE6A" w:rsidR="213BDE6A">
        <w:rPr>
          <w:rFonts w:ascii="Times New Roman" w:hAnsi="Times New Roman" w:eastAsia="Times New Roman" w:cs="Times New Roman"/>
          <w:sz w:val="24"/>
          <w:szCs w:val="24"/>
        </w:rPr>
        <w:t xml:space="preserve"> 3</w:t>
      </w:r>
      <w:r w:rsidRPr="213BDE6A" w:rsidR="213BDE6A">
        <w:rPr>
          <w:rFonts w:ascii="Times New Roman" w:hAnsi="Times New Roman" w:eastAsia="Times New Roman" w:cs="Times New Roman"/>
          <w:sz w:val="24"/>
          <w:szCs w:val="24"/>
          <w:vertAlign w:val="superscript"/>
        </w:rPr>
        <w:t>rd</w:t>
      </w:r>
      <w:r w:rsidRPr="213BDE6A" w:rsidR="213BDE6A">
        <w:rPr>
          <w:rFonts w:ascii="Times New Roman" w:hAnsi="Times New Roman" w:eastAsia="Times New Roman" w:cs="Times New Roman"/>
          <w:sz w:val="24"/>
          <w:szCs w:val="24"/>
        </w:rPr>
        <w:t xml:space="preserve"> Ed. London: Sage Publications Ltd.</w:t>
      </w:r>
    </w:p>
    <w:p w:rsidR="310EB332" w:rsidP="213BDE6A" w:rsidRDefault="310EB332" w14:paraId="53C40E02" w14:textId="774F0A0A">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 xml:space="preserve">Vygotsky, L.S. (1978) </w:t>
      </w:r>
      <w:r w:rsidRPr="213BDE6A" w:rsidR="213BDE6A">
        <w:rPr>
          <w:rFonts w:ascii="Times New Roman" w:hAnsi="Times New Roman" w:eastAsia="Times New Roman" w:cs="Times New Roman"/>
          <w:i w:val="1"/>
          <w:iCs w:val="1"/>
          <w:sz w:val="24"/>
          <w:szCs w:val="24"/>
        </w:rPr>
        <w:t>Mind in Society</w:t>
      </w:r>
      <w:r w:rsidRPr="213BDE6A" w:rsidR="213BDE6A">
        <w:rPr>
          <w:rFonts w:ascii="Times New Roman" w:hAnsi="Times New Roman" w:eastAsia="Times New Roman" w:cs="Times New Roman"/>
          <w:sz w:val="24"/>
          <w:szCs w:val="24"/>
        </w:rPr>
        <w:t xml:space="preserve">, translated and edited by M. Cole, V, John-Steiner, </w:t>
      </w:r>
      <w:proofErr w:type="spellStart"/>
      <w:r w:rsidRPr="213BDE6A" w:rsidR="213BDE6A">
        <w:rPr>
          <w:rFonts w:ascii="Times New Roman" w:hAnsi="Times New Roman" w:eastAsia="Times New Roman" w:cs="Times New Roman"/>
          <w:sz w:val="24"/>
          <w:szCs w:val="24"/>
        </w:rPr>
        <w:t>S.Scribner</w:t>
      </w:r>
      <w:proofErr w:type="spellEnd"/>
      <w:r w:rsidRPr="213BDE6A" w:rsidR="213BDE6A">
        <w:rPr>
          <w:rFonts w:ascii="Times New Roman" w:hAnsi="Times New Roman" w:eastAsia="Times New Roman" w:cs="Times New Roman"/>
          <w:sz w:val="24"/>
          <w:szCs w:val="24"/>
        </w:rPr>
        <w:t xml:space="preserve"> and E. Souberman. Cambridge, MA: Harvard University Press.</w:t>
      </w:r>
    </w:p>
    <w:p w:rsidR="213BDE6A" w:rsidP="213BDE6A" w:rsidRDefault="213BDE6A" w14:paraId="6100E466" w14:textId="7F47AACD">
      <w:pPr>
        <w:pStyle w:val="Normal"/>
        <w:spacing w:line="360" w:lineRule="auto"/>
        <w:jc w:val="both"/>
        <w:rPr>
          <w:rFonts w:ascii="Times New Roman" w:hAnsi="Times New Roman" w:eastAsia="Times New Roman" w:cs="Times New Roman"/>
          <w:sz w:val="24"/>
          <w:szCs w:val="24"/>
        </w:rPr>
      </w:pPr>
      <w:r w:rsidRPr="213BDE6A" w:rsidR="213BDE6A">
        <w:rPr>
          <w:rFonts w:ascii="Times New Roman" w:hAnsi="Times New Roman" w:eastAsia="Times New Roman" w:cs="Times New Roman"/>
          <w:sz w:val="24"/>
          <w:szCs w:val="24"/>
        </w:rPr>
        <w:t>Welsh Assembly Government (WAG) (2008)</w:t>
      </w:r>
      <w:r w:rsidRPr="213BDE6A" w:rsidR="213BDE6A">
        <w:rPr>
          <w:rFonts w:ascii="Times New Roman" w:hAnsi="Times New Roman" w:eastAsia="Times New Roman" w:cs="Times New Roman"/>
          <w:i w:val="1"/>
          <w:iCs w:val="1"/>
          <w:sz w:val="24"/>
          <w:szCs w:val="24"/>
        </w:rPr>
        <w:t xml:space="preserve"> Framework for Children’s Learning for 3 to 7 Years Olds in Wales</w:t>
      </w:r>
      <w:r w:rsidRPr="213BDE6A" w:rsidR="213BDE6A">
        <w:rPr>
          <w:rFonts w:ascii="Times New Roman" w:hAnsi="Times New Roman" w:eastAsia="Times New Roman" w:cs="Times New Roman"/>
          <w:sz w:val="24"/>
          <w:szCs w:val="24"/>
        </w:rPr>
        <w:t>. Cardiff: WAG.</w:t>
      </w:r>
    </w:p>
    <w:p w:rsidR="213BDE6A" w:rsidP="213BDE6A" w:rsidRDefault="213BDE6A" w14:paraId="56260E4E" w14:textId="280CDFD0">
      <w:pPr>
        <w:pStyle w:val="Normal"/>
        <w:spacing w:line="360" w:lineRule="auto"/>
        <w:jc w:val="both"/>
        <w:rPr>
          <w:rFonts w:ascii="Times New Roman" w:hAnsi="Times New Roman" w:eastAsia="Times New Roman" w:cs="Times New Roman"/>
          <w:sz w:val="24"/>
          <w:szCs w:val="24"/>
        </w:rPr>
      </w:pPr>
    </w:p>
    <w:sectPr w:rsidR="5830900B">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22822" w:rsidRDefault="00522822" w14:paraId="543227D2" w14:textId="77777777">
      <w:pPr>
        <w:spacing w:after="0" w:line="240" w:lineRule="auto"/>
      </w:pPr>
      <w:r>
        <w:separator/>
      </w:r>
    </w:p>
  </w:endnote>
  <w:endnote w:type="continuationSeparator" w:id="0">
    <w:p w:rsidR="00522822" w:rsidRDefault="00522822" w14:paraId="496C61C7" w14:textId="77777777">
      <w:pPr>
        <w:spacing w:after="0" w:line="240" w:lineRule="auto"/>
      </w:pPr>
      <w:r>
        <w:continuationSeparator/>
      </w:r>
    </w:p>
  </w:endnote>
  <w:endnote w:type="continuationNotice" w:id="1">
    <w:p w:rsidR="00522822" w:rsidRDefault="00522822" w14:paraId="4F3A31E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B366C19" w:rsidTr="4A48454A" w14:paraId="082B6852" w14:textId="77777777">
      <w:tc>
        <w:tcPr>
          <w:tcW w:w="3009" w:type="dxa"/>
        </w:tcPr>
        <w:p w:rsidR="6B366C19" w:rsidP="6B366C19" w:rsidRDefault="6B366C19" w14:paraId="5E04B292" w14:textId="2FB37CF3">
          <w:pPr>
            <w:pStyle w:val="Header"/>
            <w:ind w:left="-115"/>
          </w:pPr>
        </w:p>
      </w:tc>
      <w:tc>
        <w:tcPr>
          <w:tcW w:w="3009" w:type="dxa"/>
        </w:tcPr>
        <w:p w:rsidR="6B366C19" w:rsidP="6B366C19" w:rsidRDefault="6B366C19" w14:paraId="7DE074F0" w14:textId="5ECAA934">
          <w:pPr>
            <w:pStyle w:val="Header"/>
            <w:jc w:val="center"/>
          </w:pPr>
          <w:r>
            <w:fldChar w:fldCharType="begin"/>
          </w:r>
          <w:r>
            <w:instrText>PAGE</w:instrText>
          </w:r>
          <w:r w:rsidR="00522822">
            <w:fldChar w:fldCharType="separate"/>
          </w:r>
          <w:r w:rsidR="00522822">
            <w:rPr>
              <w:noProof/>
            </w:rPr>
            <w:t>1</w:t>
          </w:r>
          <w:r>
            <w:fldChar w:fldCharType="end"/>
          </w:r>
        </w:p>
      </w:tc>
      <w:tc>
        <w:tcPr>
          <w:tcW w:w="3009" w:type="dxa"/>
        </w:tcPr>
        <w:p w:rsidR="6B366C19" w:rsidP="6B366C19" w:rsidRDefault="6B366C19" w14:paraId="3E8CBF71" w14:textId="7E6C56A8">
          <w:pPr>
            <w:pStyle w:val="Header"/>
            <w:ind w:right="-115"/>
            <w:jc w:val="right"/>
          </w:pPr>
        </w:p>
      </w:tc>
    </w:tr>
  </w:tbl>
  <w:p w:rsidR="6B366C19" w:rsidP="6B366C19" w:rsidRDefault="6B366C19" w14:paraId="2E112131" w14:textId="525A3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22822" w:rsidRDefault="00522822" w14:paraId="3E40EE7E" w14:textId="77777777">
      <w:pPr>
        <w:spacing w:after="0" w:line="240" w:lineRule="auto"/>
      </w:pPr>
      <w:r>
        <w:separator/>
      </w:r>
    </w:p>
  </w:footnote>
  <w:footnote w:type="continuationSeparator" w:id="0">
    <w:p w:rsidR="00522822" w:rsidRDefault="00522822" w14:paraId="15B2EFE4" w14:textId="77777777">
      <w:pPr>
        <w:spacing w:after="0" w:line="240" w:lineRule="auto"/>
      </w:pPr>
      <w:r>
        <w:continuationSeparator/>
      </w:r>
    </w:p>
  </w:footnote>
  <w:footnote w:type="continuationNotice" w:id="1">
    <w:p w:rsidR="00522822" w:rsidRDefault="00522822" w14:paraId="6ED7BC5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B366C19" w:rsidTr="4A48454A" w14:paraId="2A02305B" w14:textId="77777777">
      <w:tc>
        <w:tcPr>
          <w:tcW w:w="3009" w:type="dxa"/>
        </w:tcPr>
        <w:p w:rsidR="6B366C19" w:rsidP="4A48454A" w:rsidRDefault="4A48454A" w14:paraId="29F8732F" w14:textId="146C2A45">
          <w:pPr>
            <w:pStyle w:val="Header"/>
            <w:ind w:left="-115"/>
            <w:rPr>
              <w:rFonts w:ascii="Times New Roman" w:hAnsi="Times New Roman" w:eastAsia="Times New Roman" w:cs="Times New Roman"/>
              <w:sz w:val="24"/>
              <w:szCs w:val="24"/>
            </w:rPr>
          </w:pPr>
          <w:r w:rsidRPr="4A48454A">
            <w:rPr>
              <w:rFonts w:ascii="Times New Roman" w:hAnsi="Times New Roman" w:eastAsia="Times New Roman" w:cs="Times New Roman"/>
              <w:sz w:val="24"/>
              <w:szCs w:val="24"/>
            </w:rPr>
            <w:t>1910287</w:t>
          </w:r>
        </w:p>
      </w:tc>
      <w:tc>
        <w:tcPr>
          <w:tcW w:w="3009" w:type="dxa"/>
        </w:tcPr>
        <w:p w:rsidR="6B366C19" w:rsidP="6B366C19" w:rsidRDefault="4A48454A" w14:paraId="6FB19BCA" w14:textId="1D10B0F5">
          <w:pPr>
            <w:pStyle w:val="Header"/>
            <w:jc w:val="center"/>
          </w:pPr>
          <w:r>
            <w:t>EAEE4005/C</w:t>
          </w:r>
        </w:p>
      </w:tc>
      <w:tc>
        <w:tcPr>
          <w:tcW w:w="3009" w:type="dxa"/>
        </w:tcPr>
        <w:p w:rsidR="6B366C19" w:rsidP="6B366C19" w:rsidRDefault="6B366C19" w14:paraId="07538DC8" w14:textId="6B08C435">
          <w:pPr>
            <w:pStyle w:val="Header"/>
            <w:ind w:right="-115"/>
            <w:jc w:val="right"/>
          </w:pPr>
        </w:p>
      </w:tc>
    </w:tr>
  </w:tbl>
  <w:p w:rsidR="6B366C19" w:rsidP="6B366C19" w:rsidRDefault="6B366C19" w14:paraId="7F4B4FD5" w14:textId="3E5B5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0B8506"/>
    <w:rsid w:val="000B3BE6"/>
    <w:rsid w:val="004D42E1"/>
    <w:rsid w:val="00522822"/>
    <w:rsid w:val="006448FC"/>
    <w:rsid w:val="0E9D2C24"/>
    <w:rsid w:val="213BDE6A"/>
    <w:rsid w:val="310EB332"/>
    <w:rsid w:val="470B8506"/>
    <w:rsid w:val="4A48454A"/>
    <w:rsid w:val="4B853104"/>
    <w:rsid w:val="5830900B"/>
    <w:rsid w:val="61A3A70F"/>
    <w:rsid w:val="6B366C19"/>
    <w:rsid w:val="77801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8506"/>
  <w15:chartTrackingRefBased/>
  <w15:docId w15:val="{8B0DA227-7150-4055-AF25-E7E0FBE26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www.tts-group.co.uk/early-years/natural-materials/?utm_source=blog.tts-group.co.uk&amp;utm_medium=blog&amp;utm_campaign=natural17" TargetMode="External" Id="Rad79f92b93c84c24" /><Relationship Type="http://schemas.openxmlformats.org/officeDocument/2006/relationships/hyperlink" Target="https://www.gov.uk/government/publications/health-and-safety-advice-for-schools/responsibilities-and-duties-for-schools" TargetMode="External" Id="Rba1cf933b2c04f76" /><Relationship Type="http://schemas.openxmlformats.org/officeDocument/2006/relationships/hyperlink" Target="http://www.educationscotland.gov.uk/images/Building_the_Curriculum_2_tcm4-408069.pdf" TargetMode="External" Id="R66ea653b98c54cd3" /><Relationship Type="http://schemas.openxmlformats.org/officeDocument/2006/relationships/hyperlink" Target="https://www.tts-group.co.uk/blog/2017/04/03/learning-play-natural-way-benefits-natural-resources.html" TargetMode="External" Id="R487a953717dc40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Kathryn Sanders (1910287)</dc:creator>
  <keywords/>
  <dc:description/>
  <lastModifiedBy>Kathryn Sanders (1910287)</lastModifiedBy>
  <revision>11</revision>
  <dcterms:created xsi:type="dcterms:W3CDTF">2020-02-09T23:05:00.0000000Z</dcterms:created>
  <dcterms:modified xsi:type="dcterms:W3CDTF">2020-02-21T13:50:33.8549231Z</dcterms:modified>
</coreProperties>
</file>