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1AD46" w14:textId="2DF24D85" w:rsidR="00184303" w:rsidRDefault="00184303" w:rsidP="004E540F">
      <w:pPr>
        <w:pStyle w:val="NormalWeb"/>
        <w:rPr>
          <w:b/>
          <w:bCs/>
          <w:sz w:val="52"/>
          <w:szCs w:val="52"/>
        </w:rPr>
      </w:pPr>
    </w:p>
    <w:p w14:paraId="5742B486" w14:textId="0D05C488" w:rsidR="00184303" w:rsidRDefault="004D591E" w:rsidP="004E540F">
      <w:pPr>
        <w:pStyle w:val="NormalWeb"/>
        <w:rPr>
          <w:b/>
          <w:bCs/>
          <w:sz w:val="52"/>
          <w:szCs w:val="52"/>
        </w:rPr>
      </w:pPr>
      <w:r>
        <w:rPr>
          <w:noProof/>
        </w:rPr>
        <w:drawing>
          <wp:anchor distT="0" distB="0" distL="114300" distR="114300" simplePos="0" relativeHeight="251659264" behindDoc="0" locked="0" layoutInCell="1" allowOverlap="1" wp14:anchorId="31515A44" wp14:editId="1900B9C6">
            <wp:simplePos x="0" y="0"/>
            <wp:positionH relativeFrom="column">
              <wp:posOffset>0</wp:posOffset>
            </wp:positionH>
            <wp:positionV relativeFrom="paragraph">
              <wp:posOffset>557530</wp:posOffset>
            </wp:positionV>
            <wp:extent cx="5731510" cy="3183890"/>
            <wp:effectExtent l="0" t="0" r="2540" b="0"/>
            <wp:wrapTopAndBottom/>
            <wp:docPr id="205225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57859" name=""/>
                    <pic:cNvPicPr/>
                  </pic:nvPicPr>
                  <pic:blipFill>
                    <a:blip r:embed="rId5"/>
                    <a:stretch>
                      <a:fillRect/>
                    </a:stretch>
                  </pic:blipFill>
                  <pic:spPr>
                    <a:xfrm>
                      <a:off x="0" y="0"/>
                      <a:ext cx="5731510" cy="3183890"/>
                    </a:xfrm>
                    <a:prstGeom prst="rect">
                      <a:avLst/>
                    </a:prstGeom>
                  </pic:spPr>
                </pic:pic>
              </a:graphicData>
            </a:graphic>
          </wp:anchor>
        </w:drawing>
      </w:r>
    </w:p>
    <w:p w14:paraId="68132576" w14:textId="77777777" w:rsidR="00184303" w:rsidRDefault="00184303" w:rsidP="004E540F">
      <w:pPr>
        <w:pStyle w:val="NormalWeb"/>
        <w:rPr>
          <w:b/>
          <w:bCs/>
          <w:sz w:val="52"/>
          <w:szCs w:val="52"/>
        </w:rPr>
      </w:pPr>
    </w:p>
    <w:p w14:paraId="7318B74B" w14:textId="77777777" w:rsidR="00184303" w:rsidRDefault="00184303" w:rsidP="004E540F">
      <w:pPr>
        <w:pStyle w:val="NormalWeb"/>
        <w:rPr>
          <w:b/>
          <w:bCs/>
          <w:sz w:val="52"/>
          <w:szCs w:val="52"/>
        </w:rPr>
      </w:pPr>
    </w:p>
    <w:p w14:paraId="4CB6A1A0" w14:textId="0DB91938" w:rsidR="00184303" w:rsidRDefault="00184303" w:rsidP="004E540F">
      <w:pPr>
        <w:pStyle w:val="NormalWeb"/>
        <w:rPr>
          <w:b/>
          <w:bCs/>
          <w:sz w:val="52"/>
          <w:szCs w:val="52"/>
        </w:rPr>
      </w:pPr>
    </w:p>
    <w:p w14:paraId="1D8D8C42" w14:textId="2F09E6F7" w:rsidR="00184303" w:rsidRPr="00863E66" w:rsidRDefault="004D591E" w:rsidP="004E540F">
      <w:pPr>
        <w:pStyle w:val="NormalWeb"/>
        <w:rPr>
          <w:sz w:val="32"/>
          <w:szCs w:val="32"/>
        </w:rPr>
      </w:pPr>
      <w:r w:rsidRPr="00863E66">
        <w:rPr>
          <w:sz w:val="32"/>
          <w:szCs w:val="32"/>
        </w:rPr>
        <w:t xml:space="preserve">Student name- Eduard </w:t>
      </w:r>
      <w:proofErr w:type="spellStart"/>
      <w:r w:rsidRPr="00863E66">
        <w:rPr>
          <w:sz w:val="32"/>
          <w:szCs w:val="32"/>
        </w:rPr>
        <w:t>Dicusar</w:t>
      </w:r>
      <w:proofErr w:type="spellEnd"/>
      <w:r w:rsidRPr="00863E66">
        <w:rPr>
          <w:sz w:val="32"/>
          <w:szCs w:val="32"/>
        </w:rPr>
        <w:t xml:space="preserve"> </w:t>
      </w:r>
    </w:p>
    <w:p w14:paraId="3A37367F" w14:textId="702A97AB" w:rsidR="004D591E" w:rsidRPr="00863E66" w:rsidRDefault="004D591E" w:rsidP="004E540F">
      <w:pPr>
        <w:pStyle w:val="NormalWeb"/>
        <w:rPr>
          <w:sz w:val="32"/>
          <w:szCs w:val="32"/>
        </w:rPr>
      </w:pPr>
      <w:r w:rsidRPr="00863E66">
        <w:rPr>
          <w:sz w:val="32"/>
          <w:szCs w:val="32"/>
        </w:rPr>
        <w:t>Student ID – 2313365</w:t>
      </w:r>
    </w:p>
    <w:p w14:paraId="5FA4B2B5" w14:textId="4FF878B0" w:rsidR="004D591E" w:rsidRPr="00863E66" w:rsidRDefault="004D591E" w:rsidP="004E540F">
      <w:pPr>
        <w:pStyle w:val="NormalWeb"/>
        <w:rPr>
          <w:sz w:val="32"/>
          <w:szCs w:val="32"/>
        </w:rPr>
      </w:pPr>
      <w:r w:rsidRPr="00863E66">
        <w:rPr>
          <w:sz w:val="32"/>
          <w:szCs w:val="32"/>
        </w:rPr>
        <w:t xml:space="preserve">Lecturer name </w:t>
      </w:r>
      <w:r w:rsidR="00974048" w:rsidRPr="00863E66">
        <w:rPr>
          <w:sz w:val="32"/>
          <w:szCs w:val="32"/>
        </w:rPr>
        <w:t>–</w:t>
      </w:r>
      <w:r w:rsidRPr="00863E66">
        <w:rPr>
          <w:sz w:val="32"/>
          <w:szCs w:val="32"/>
        </w:rPr>
        <w:t xml:space="preserve"> </w:t>
      </w:r>
      <w:proofErr w:type="spellStart"/>
      <w:r w:rsidR="00974048" w:rsidRPr="00863E66">
        <w:rPr>
          <w:sz w:val="32"/>
          <w:szCs w:val="32"/>
        </w:rPr>
        <w:t>Dr.</w:t>
      </w:r>
      <w:proofErr w:type="spellEnd"/>
      <w:r w:rsidR="00974048" w:rsidRPr="00863E66">
        <w:rPr>
          <w:sz w:val="32"/>
          <w:szCs w:val="32"/>
        </w:rPr>
        <w:t xml:space="preserve"> Said Usman</w:t>
      </w:r>
    </w:p>
    <w:p w14:paraId="1131E711" w14:textId="1B5A3854" w:rsidR="00974048" w:rsidRPr="00863E66" w:rsidRDefault="00974048" w:rsidP="004E540F">
      <w:pPr>
        <w:pStyle w:val="NormalWeb"/>
        <w:rPr>
          <w:sz w:val="32"/>
          <w:szCs w:val="32"/>
        </w:rPr>
      </w:pPr>
      <w:r w:rsidRPr="00863E66">
        <w:rPr>
          <w:sz w:val="32"/>
          <w:szCs w:val="32"/>
        </w:rPr>
        <w:t xml:space="preserve">Module name </w:t>
      </w:r>
      <w:r w:rsidR="00863E66" w:rsidRPr="00863E66">
        <w:rPr>
          <w:sz w:val="32"/>
          <w:szCs w:val="32"/>
        </w:rPr>
        <w:t>–</w:t>
      </w:r>
      <w:r w:rsidRPr="00863E66">
        <w:rPr>
          <w:sz w:val="32"/>
          <w:szCs w:val="32"/>
        </w:rPr>
        <w:t xml:space="preserve"> </w:t>
      </w:r>
      <w:r w:rsidR="00863E66" w:rsidRPr="00863E66">
        <w:rPr>
          <w:sz w:val="32"/>
          <w:szCs w:val="32"/>
        </w:rPr>
        <w:t xml:space="preserve">Data Handling and Business Intelligence </w:t>
      </w:r>
    </w:p>
    <w:p w14:paraId="79272DAD" w14:textId="548E2BBB" w:rsidR="00184303" w:rsidRPr="00863E66" w:rsidRDefault="00863E66" w:rsidP="004E540F">
      <w:pPr>
        <w:pStyle w:val="NormalWeb"/>
        <w:rPr>
          <w:sz w:val="32"/>
          <w:szCs w:val="32"/>
        </w:rPr>
      </w:pPr>
      <w:r>
        <w:rPr>
          <w:sz w:val="32"/>
          <w:szCs w:val="32"/>
        </w:rPr>
        <w:t xml:space="preserve">Module </w:t>
      </w:r>
      <w:r w:rsidR="001D43A2">
        <w:rPr>
          <w:sz w:val="32"/>
          <w:szCs w:val="32"/>
        </w:rPr>
        <w:t xml:space="preserve">code – LCBB5014 </w:t>
      </w:r>
    </w:p>
    <w:p w14:paraId="5B7973A1" w14:textId="77777777" w:rsidR="00184303" w:rsidRDefault="00184303" w:rsidP="004E540F">
      <w:pPr>
        <w:pStyle w:val="NormalWeb"/>
        <w:rPr>
          <w:b/>
          <w:bCs/>
          <w:sz w:val="52"/>
          <w:szCs w:val="52"/>
        </w:rPr>
      </w:pPr>
    </w:p>
    <w:p w14:paraId="41561D9D" w14:textId="77777777" w:rsidR="00184303" w:rsidRDefault="00184303" w:rsidP="004E540F">
      <w:pPr>
        <w:pStyle w:val="NormalWeb"/>
        <w:rPr>
          <w:b/>
          <w:bCs/>
          <w:sz w:val="52"/>
          <w:szCs w:val="52"/>
        </w:rPr>
      </w:pPr>
    </w:p>
    <w:p w14:paraId="61578049" w14:textId="77777777" w:rsidR="00184303" w:rsidRDefault="00184303" w:rsidP="004E540F">
      <w:pPr>
        <w:pStyle w:val="NormalWeb"/>
        <w:rPr>
          <w:b/>
          <w:bCs/>
          <w:sz w:val="52"/>
          <w:szCs w:val="52"/>
        </w:rPr>
      </w:pPr>
    </w:p>
    <w:p w14:paraId="050D9925" w14:textId="77777777" w:rsidR="00184303" w:rsidRDefault="00184303" w:rsidP="004E540F">
      <w:pPr>
        <w:pStyle w:val="NormalWeb"/>
        <w:rPr>
          <w:b/>
          <w:bCs/>
          <w:sz w:val="52"/>
          <w:szCs w:val="52"/>
        </w:rPr>
      </w:pPr>
    </w:p>
    <w:p w14:paraId="4F5EA7C4" w14:textId="77777777" w:rsidR="00184303" w:rsidRDefault="00184303" w:rsidP="004E540F">
      <w:pPr>
        <w:pStyle w:val="NormalWeb"/>
        <w:rPr>
          <w:b/>
          <w:bCs/>
          <w:sz w:val="52"/>
          <w:szCs w:val="52"/>
        </w:rPr>
      </w:pPr>
    </w:p>
    <w:p w14:paraId="7B885C91" w14:textId="77777777" w:rsidR="00052950" w:rsidRDefault="00184303" w:rsidP="004E540F">
      <w:pPr>
        <w:pStyle w:val="NormalWeb"/>
        <w:rPr>
          <w:b/>
          <w:bCs/>
          <w:sz w:val="52"/>
          <w:szCs w:val="52"/>
        </w:rPr>
      </w:pPr>
      <w:r>
        <w:rPr>
          <w:b/>
          <w:bCs/>
          <w:sz w:val="52"/>
          <w:szCs w:val="52"/>
        </w:rPr>
        <w:t xml:space="preserve">                  </w:t>
      </w:r>
    </w:p>
    <w:p w14:paraId="69A9D6D6" w14:textId="77777777" w:rsidR="00052950" w:rsidRDefault="00052950" w:rsidP="004E540F">
      <w:pPr>
        <w:pStyle w:val="NormalWeb"/>
        <w:rPr>
          <w:b/>
          <w:bCs/>
          <w:sz w:val="52"/>
          <w:szCs w:val="52"/>
        </w:rPr>
      </w:pPr>
    </w:p>
    <w:p w14:paraId="52598739" w14:textId="77777777" w:rsidR="00F4620A" w:rsidRDefault="00052950" w:rsidP="004E540F">
      <w:pPr>
        <w:pStyle w:val="NormalWeb"/>
        <w:rPr>
          <w:b/>
          <w:bCs/>
          <w:sz w:val="52"/>
          <w:szCs w:val="52"/>
        </w:rPr>
      </w:pPr>
      <w:r>
        <w:rPr>
          <w:b/>
          <w:bCs/>
          <w:sz w:val="52"/>
          <w:szCs w:val="52"/>
        </w:rPr>
        <w:t xml:space="preserve">    </w:t>
      </w:r>
      <w:r w:rsidR="00184303">
        <w:rPr>
          <w:b/>
          <w:bCs/>
          <w:sz w:val="52"/>
          <w:szCs w:val="52"/>
        </w:rPr>
        <w:t xml:space="preserve"> </w:t>
      </w:r>
      <w:r>
        <w:rPr>
          <w:b/>
          <w:bCs/>
          <w:sz w:val="52"/>
          <w:szCs w:val="52"/>
        </w:rPr>
        <w:t xml:space="preserve">         </w:t>
      </w:r>
      <w:r w:rsidR="002A4A12">
        <w:rPr>
          <w:b/>
          <w:bCs/>
          <w:sz w:val="52"/>
          <w:szCs w:val="52"/>
        </w:rPr>
        <w:t xml:space="preserve">  </w:t>
      </w:r>
      <w:r w:rsidR="00F4620A">
        <w:rPr>
          <w:b/>
          <w:bCs/>
          <w:sz w:val="52"/>
          <w:szCs w:val="52"/>
        </w:rPr>
        <w:t xml:space="preserve">  </w:t>
      </w:r>
    </w:p>
    <w:p w14:paraId="0725B859" w14:textId="1395C365" w:rsidR="004E540F" w:rsidRPr="00184303" w:rsidRDefault="00F4620A" w:rsidP="004E540F">
      <w:pPr>
        <w:pStyle w:val="NormalWeb"/>
        <w:rPr>
          <w:b/>
          <w:bCs/>
          <w:sz w:val="52"/>
          <w:szCs w:val="52"/>
        </w:rPr>
      </w:pPr>
      <w:r>
        <w:rPr>
          <w:b/>
          <w:bCs/>
          <w:sz w:val="52"/>
          <w:szCs w:val="52"/>
        </w:rPr>
        <w:t xml:space="preserve">                  </w:t>
      </w:r>
      <w:r w:rsidR="00184303" w:rsidRPr="00184303">
        <w:rPr>
          <w:b/>
          <w:bCs/>
          <w:sz w:val="52"/>
          <w:szCs w:val="52"/>
        </w:rPr>
        <w:t>NEXT PLC</w:t>
      </w:r>
    </w:p>
    <w:p w14:paraId="4D1DDBF7" w14:textId="540DAAD4" w:rsidR="004E540F" w:rsidRDefault="004E540F">
      <w:pPr>
        <w:rPr>
          <w:rFonts w:eastAsia="Times New Roman"/>
        </w:rPr>
      </w:pPr>
    </w:p>
    <w:p w14:paraId="0D8C5DF6" w14:textId="77777777" w:rsidR="004E540F" w:rsidRDefault="004E540F">
      <w:pPr>
        <w:pStyle w:val="Heading1"/>
        <w:rPr>
          <w:rFonts w:eastAsia="Times New Roman"/>
        </w:rPr>
      </w:pPr>
      <w:r>
        <w:rPr>
          <w:rStyle w:val="Strong"/>
          <w:rFonts w:eastAsia="Times New Roman"/>
          <w:b w:val="0"/>
          <w:bCs w:val="0"/>
        </w:rPr>
        <w:t>Business Intelligence Report for Next plc</w:t>
      </w:r>
    </w:p>
    <w:p w14:paraId="5CFD67EE" w14:textId="77777777" w:rsidR="004E540F" w:rsidRDefault="004E540F">
      <w:pPr>
        <w:pStyle w:val="Heading2"/>
        <w:rPr>
          <w:rFonts w:eastAsia="Times New Roman"/>
        </w:rPr>
      </w:pPr>
      <w:r>
        <w:rPr>
          <w:rStyle w:val="Strong"/>
          <w:rFonts w:eastAsia="Times New Roman"/>
          <w:b w:val="0"/>
          <w:bCs w:val="0"/>
        </w:rPr>
        <w:t>Executive Summary</w:t>
      </w:r>
    </w:p>
    <w:p w14:paraId="0088ECD5" w14:textId="77777777" w:rsidR="004E540F" w:rsidRDefault="004E540F">
      <w:pPr>
        <w:pStyle w:val="NormalWeb"/>
      </w:pPr>
      <w:r>
        <w:t xml:space="preserve">This report evaluates how Business Intelligence (BI), Data Warehousing (DW), and Data Mining (DM) can enhance decision-making within Next plc, a major UK fashion retailer. The analysis explores current BI trends, outlines the strategic value of DW, and assesses how specific DM techniques—such as clustering and association rule mining—can support operational and marketing strategies. Predictive analytics tools such as Power BI, SPSS, and </w:t>
      </w:r>
      <w:proofErr w:type="spellStart"/>
      <w:r>
        <w:t>RapidMiner</w:t>
      </w:r>
      <w:proofErr w:type="spellEnd"/>
      <w:r>
        <w:t xml:space="preserve"> are compared based on usability and integration with </w:t>
      </w:r>
      <w:proofErr w:type="spellStart"/>
      <w:r>
        <w:t>Next’s</w:t>
      </w:r>
      <w:proofErr w:type="spellEnd"/>
      <w:r>
        <w:t xml:space="preserve"> existing digital and retail systems. Ethical and data security considerations, including GDPR compliance and cybersecurity risks, are also reviewed. The report concludes by proposing dashboard and reporting solutions tailored to Next plc’s KPIs, and offers recommendations to help Next strengthen operational efficiency, forecasting accuracy, and competitive performance through BI technologies.</w:t>
      </w:r>
    </w:p>
    <w:p w14:paraId="2E63A2F1" w14:textId="2B5F7743" w:rsidR="004E540F" w:rsidRDefault="004E540F" w:rsidP="004E540F">
      <w:pPr>
        <w:rPr>
          <w:rFonts w:eastAsia="Times New Roman"/>
        </w:rPr>
      </w:pPr>
    </w:p>
    <w:p w14:paraId="3F6EC4EA" w14:textId="77777777" w:rsidR="004E540F" w:rsidRDefault="004E540F">
      <w:pPr>
        <w:pStyle w:val="NormalWeb"/>
      </w:pPr>
      <w:r>
        <w:t xml:space="preserve">Next plc is one of the UK’s largest fashion and homeware retailers, operating over 400 stores alongside a substantial online presence through NEXT.co.uk. As a highly competitive retail sector faces increased digital transformation, customer personalisation, and supply chain </w:t>
      </w:r>
      <w:r>
        <w:lastRenderedPageBreak/>
        <w:t>pressures, Next requires robust Business Intelligence (BI) and analytics capabilities to remain agile and data-driven.</w:t>
      </w:r>
    </w:p>
    <w:p w14:paraId="17852089" w14:textId="77777777" w:rsidR="004E540F" w:rsidRDefault="004E540F">
      <w:pPr>
        <w:pStyle w:val="NormalWeb"/>
      </w:pPr>
      <w:r>
        <w:t xml:space="preserve">The purpose of this report is to evaluate how BI, Data Warehousing (DW), and Data Mining (DM) can support strategic and operational decision-making at Next. The report critically reviews current BI trends, explains the organisational value of DW, and identifies suitable DM techniques aligned with </w:t>
      </w:r>
      <w:proofErr w:type="spellStart"/>
      <w:r>
        <w:t>Next’s</w:t>
      </w:r>
      <w:proofErr w:type="spellEnd"/>
      <w:r>
        <w:t xml:space="preserve"> goals. It also recommends predictive analytics tools, explores ethical and security considerations, and proposes dashboard solutions for real-time retail monitoring.</w:t>
      </w:r>
    </w:p>
    <w:p w14:paraId="693DE9A1" w14:textId="77777777" w:rsidR="004E540F" w:rsidRDefault="004E540F">
      <w:pPr>
        <w:pStyle w:val="NormalWeb"/>
      </w:pPr>
      <w:r>
        <w:t xml:space="preserve">The report is structured into eight key sections, beginning with a review of BI trends and concluding with recommendations on how BI can enhance </w:t>
      </w:r>
      <w:proofErr w:type="spellStart"/>
      <w:r>
        <w:t>Next’s</w:t>
      </w:r>
      <w:proofErr w:type="spellEnd"/>
      <w:r>
        <w:t xml:space="preserve"> business performance.</w:t>
      </w:r>
    </w:p>
    <w:p w14:paraId="26139F59" w14:textId="05A3BBB3" w:rsidR="004E540F" w:rsidRDefault="004E540F" w:rsidP="00F00267">
      <w:pPr>
        <w:rPr>
          <w:rFonts w:eastAsia="Times New Roman"/>
        </w:rPr>
      </w:pPr>
    </w:p>
    <w:p w14:paraId="59D4E2C3" w14:textId="77777777" w:rsidR="004E540F" w:rsidRDefault="004E540F">
      <w:pPr>
        <w:pStyle w:val="NormalWeb"/>
      </w:pPr>
      <w:r>
        <w:t xml:space="preserve">Business Intelligence (BI) refers to technologies and processes used to collect, analyse and present business data to support decision-making (Turban et al., 2018). Data Warehousing (DW) involves consolidating data from multiple sources into a central repository for analysis (Kimball &amp; Ross, 2013). Data Mining (DM) uses statistical and machine learning techniques to uncover hidden patterns and relationships in data (Han, Pei &amp; </w:t>
      </w:r>
      <w:proofErr w:type="spellStart"/>
      <w:r>
        <w:t>Kamber</w:t>
      </w:r>
      <w:proofErr w:type="spellEnd"/>
      <w:r>
        <w:t>, 2012).</w:t>
      </w:r>
    </w:p>
    <w:p w14:paraId="570C2CFA" w14:textId="77777777" w:rsidR="004E540F" w:rsidRDefault="004E540F">
      <w:pPr>
        <w:pStyle w:val="NormalWeb"/>
      </w:pPr>
      <w:r>
        <w:t xml:space="preserve">Several contemporary trends influence how organisations like Next leverage BI. One major trend is </w:t>
      </w:r>
      <w:r>
        <w:rPr>
          <w:rStyle w:val="Strong"/>
        </w:rPr>
        <w:t>real-time BI</w:t>
      </w:r>
      <w:r>
        <w:t xml:space="preserve">, supported by event-driven analytics to provide immediate insights into sales, inventory, and customer behaviour. Another trend is the </w:t>
      </w:r>
      <w:r>
        <w:rPr>
          <w:rStyle w:val="Strong"/>
        </w:rPr>
        <w:t>shift to cloud data warehousing</w:t>
      </w:r>
      <w:r>
        <w:t xml:space="preserve">, enabling scalability and cost-efficient storage through platforms such as Azure or AWS. The integration of </w:t>
      </w:r>
      <w:r>
        <w:rPr>
          <w:rStyle w:val="Strong"/>
        </w:rPr>
        <w:t>Artificial Intelligence (AI)</w:t>
      </w:r>
      <w:r>
        <w:t xml:space="preserve"> and </w:t>
      </w:r>
      <w:r>
        <w:rPr>
          <w:rStyle w:val="Strong"/>
        </w:rPr>
        <w:t>Machine Learning (ML)</w:t>
      </w:r>
      <w:r>
        <w:t xml:space="preserve"> into BI tools has become increasingly common, improving forecasting, demand planning, and customer segmentation (Davenport &amp; Bean, 2018).</w:t>
      </w:r>
    </w:p>
    <w:p w14:paraId="0926605F" w14:textId="77777777" w:rsidR="004E540F" w:rsidRDefault="004E540F">
      <w:pPr>
        <w:pStyle w:val="NormalWeb"/>
      </w:pPr>
      <w:r>
        <w:t>Self-service BI is also growing, enabling non-technical users to access dashboards and run reports independently. Additionally, data lake architectures increasingly complement traditional DWs to accommodate semi-structured retail data such as clickstream logs and social media interactions.</w:t>
      </w:r>
    </w:p>
    <w:p w14:paraId="204BBF0E" w14:textId="77777777" w:rsidR="004E540F" w:rsidRDefault="004E540F">
      <w:pPr>
        <w:pStyle w:val="NormalWeb"/>
      </w:pPr>
      <w:r>
        <w:t xml:space="preserve">Academic models underpin many BI and DW implementations. </w:t>
      </w:r>
      <w:r>
        <w:rPr>
          <w:rStyle w:val="Strong"/>
        </w:rPr>
        <w:t>Kimball’s dimensional modelling</w:t>
      </w:r>
      <w:r>
        <w:t xml:space="preserve"> supports efficient retail reporting, particularly through star schemas for sales and inventory. </w:t>
      </w:r>
      <w:proofErr w:type="spellStart"/>
      <w:r>
        <w:rPr>
          <w:rStyle w:val="Strong"/>
        </w:rPr>
        <w:t>Inmon’s</w:t>
      </w:r>
      <w:proofErr w:type="spellEnd"/>
      <w:r>
        <w:rPr>
          <w:rStyle w:val="Strong"/>
        </w:rPr>
        <w:t xml:space="preserve"> Corporate Information Factory (CIF)</w:t>
      </w:r>
      <w:r>
        <w:t xml:space="preserve"> emphasises an integrated enterprise-wide warehouse architecture. For Data Mining, the </w:t>
      </w:r>
      <w:r>
        <w:rPr>
          <w:rStyle w:val="Strong"/>
        </w:rPr>
        <w:t>CRISP-DM</w:t>
      </w:r>
      <w:r>
        <w:t xml:space="preserve"> framework provides a structured methodology for business understanding, data preparation, modelling, evaluation, and deployment.</w:t>
      </w:r>
    </w:p>
    <w:p w14:paraId="14ED4BD0" w14:textId="77777777" w:rsidR="004E540F" w:rsidRDefault="004E540F">
      <w:pPr>
        <w:pStyle w:val="NormalWeb"/>
      </w:pPr>
      <w:r>
        <w:t>Overall, these trends underscore the strategic importance of BI, DW, and DM for retailers like Next seeking to enhance decision-making, improve personalisation, and optimise supply chain operations.</w:t>
      </w:r>
    </w:p>
    <w:p w14:paraId="124E25B8" w14:textId="6690BE53" w:rsidR="004E540F" w:rsidRDefault="004E540F" w:rsidP="00F00267">
      <w:pPr>
        <w:rPr>
          <w:rFonts w:eastAsia="Times New Roman"/>
        </w:rPr>
      </w:pPr>
    </w:p>
    <w:p w14:paraId="5B09C5DB" w14:textId="77777777" w:rsidR="004E540F" w:rsidRDefault="004E540F">
      <w:pPr>
        <w:pStyle w:val="NormalWeb"/>
      </w:pPr>
      <w:r>
        <w:t xml:space="preserve">Data Warehousing is the process of integrating data from various operational systems into a centralised repository optimised for analytics (Kimball &amp; Ross, 2013). For Next plc, a DW </w:t>
      </w:r>
      <w:r>
        <w:lastRenderedPageBreak/>
        <w:t>can consolidate data from online sales, in-store transactions, customer accounts, supply chain systems, and inventory databases—enabling a single source of truth for decision-making.</w:t>
      </w:r>
    </w:p>
    <w:p w14:paraId="20F83D60" w14:textId="77777777" w:rsidR="004E540F" w:rsidRDefault="004E540F">
      <w:pPr>
        <w:pStyle w:val="Heading3"/>
        <w:rPr>
          <w:rFonts w:eastAsia="Times New Roman"/>
        </w:rPr>
      </w:pPr>
      <w:r>
        <w:rPr>
          <w:rStyle w:val="Strong"/>
          <w:rFonts w:eastAsia="Times New Roman"/>
          <w:b w:val="0"/>
          <w:bCs w:val="0"/>
        </w:rPr>
        <w:t>Improved Data Access and Efficiency</w:t>
      </w:r>
    </w:p>
    <w:p w14:paraId="6E57450B" w14:textId="77777777" w:rsidR="004E540F" w:rsidRDefault="004E540F">
      <w:pPr>
        <w:pStyle w:val="NormalWeb"/>
      </w:pPr>
      <w:r>
        <w:t>A DW improves data accessibility by enabling employees to access clean, consistent, and integrated data. For a multi-channel retailer like Next, this means aligning online and in-store performance metrics, reducing discrepancies between systems, and improving the generation of sales reports. Automated ETL (Extract, Transform, Load) pipelines can streamline data refreshes, reducing manual effort and improving reporting reliability.</w:t>
      </w:r>
    </w:p>
    <w:p w14:paraId="2500A78A" w14:textId="77777777" w:rsidR="004E540F" w:rsidRDefault="004E540F">
      <w:pPr>
        <w:pStyle w:val="Heading3"/>
        <w:rPr>
          <w:rFonts w:eastAsia="Times New Roman"/>
        </w:rPr>
      </w:pPr>
      <w:r>
        <w:rPr>
          <w:rStyle w:val="Strong"/>
          <w:rFonts w:eastAsia="Times New Roman"/>
          <w:b w:val="0"/>
          <w:bCs w:val="0"/>
        </w:rPr>
        <w:t>Operational Improvements</w:t>
      </w:r>
    </w:p>
    <w:p w14:paraId="25282C3B" w14:textId="77777777" w:rsidR="004E540F" w:rsidRDefault="004E540F">
      <w:pPr>
        <w:pStyle w:val="NormalWeb"/>
      </w:pPr>
      <w:r>
        <w:t>Data Warehousing enables detailed operational insights. For example, Next can track stock movements, seasonal demand fluctuations, supplier performance, and product return rates. A DW allows the company to identify slow-moving stock more efficiently, support markdown planning, and optimise distribution centre operations.</w:t>
      </w:r>
    </w:p>
    <w:p w14:paraId="113597C5" w14:textId="77777777" w:rsidR="004E540F" w:rsidRDefault="004E540F">
      <w:pPr>
        <w:pStyle w:val="Heading3"/>
        <w:rPr>
          <w:rFonts w:eastAsia="Times New Roman"/>
        </w:rPr>
      </w:pPr>
      <w:r>
        <w:rPr>
          <w:rStyle w:val="Strong"/>
          <w:rFonts w:eastAsia="Times New Roman"/>
          <w:b w:val="0"/>
          <w:bCs w:val="0"/>
        </w:rPr>
        <w:t>Strategic Decision-Making</w:t>
      </w:r>
    </w:p>
    <w:p w14:paraId="500C2D38" w14:textId="77777777" w:rsidR="004E540F" w:rsidRDefault="004E540F">
      <w:pPr>
        <w:pStyle w:val="NormalWeb"/>
      </w:pPr>
      <w:r>
        <w:t>At the strategic level, a DW allows Next to evaluate long-term sales trends, customer lifetime value, and market segment performance. Management can make informed decisions about product lines, store closures, online marketing investments, and sustainability initiatives. The unified view of customer behaviour—across both online and physical channels—enables more accurate forecasting and personalised marketing campaigns.</w:t>
      </w:r>
    </w:p>
    <w:p w14:paraId="7E2F9036" w14:textId="77777777" w:rsidR="004E540F" w:rsidRDefault="004E540F">
      <w:pPr>
        <w:pStyle w:val="Heading3"/>
        <w:rPr>
          <w:rFonts w:eastAsia="Times New Roman"/>
        </w:rPr>
      </w:pPr>
      <w:r>
        <w:rPr>
          <w:rStyle w:val="Strong"/>
          <w:rFonts w:eastAsia="Times New Roman"/>
          <w:b w:val="0"/>
          <w:bCs w:val="0"/>
        </w:rPr>
        <w:t>Examples Relevant to Next</w:t>
      </w:r>
    </w:p>
    <w:p w14:paraId="01BC63C7" w14:textId="77777777" w:rsidR="004E540F" w:rsidRDefault="004E540F" w:rsidP="004E540F">
      <w:pPr>
        <w:numPr>
          <w:ilvl w:val="0"/>
          <w:numId w:val="1"/>
        </w:numPr>
        <w:spacing w:before="100" w:beforeAutospacing="1" w:after="100" w:afterAutospacing="1" w:line="240" w:lineRule="auto"/>
        <w:rPr>
          <w:rFonts w:eastAsia="Times New Roman"/>
        </w:rPr>
      </w:pPr>
      <w:r>
        <w:rPr>
          <w:rStyle w:val="Strong"/>
          <w:rFonts w:eastAsia="Times New Roman"/>
        </w:rPr>
        <w:t>Sales Reporting:</w:t>
      </w:r>
      <w:r>
        <w:rPr>
          <w:rFonts w:eastAsia="Times New Roman"/>
        </w:rPr>
        <w:t xml:space="preserve"> A DW can provide real-time visualisation of daily sales by product category, region, or store.</w:t>
      </w:r>
    </w:p>
    <w:p w14:paraId="334C7C05" w14:textId="77777777" w:rsidR="004E540F" w:rsidRDefault="004E540F" w:rsidP="004E540F">
      <w:pPr>
        <w:numPr>
          <w:ilvl w:val="0"/>
          <w:numId w:val="1"/>
        </w:numPr>
        <w:spacing w:before="100" w:beforeAutospacing="1" w:after="100" w:afterAutospacing="1" w:line="240" w:lineRule="auto"/>
        <w:rPr>
          <w:rFonts w:eastAsia="Times New Roman"/>
        </w:rPr>
      </w:pPr>
      <w:r>
        <w:rPr>
          <w:rStyle w:val="Strong"/>
          <w:rFonts w:eastAsia="Times New Roman"/>
        </w:rPr>
        <w:t>Inventory Management:</w:t>
      </w:r>
      <w:r>
        <w:rPr>
          <w:rFonts w:eastAsia="Times New Roman"/>
        </w:rPr>
        <w:t xml:space="preserve"> Next can monitor safety stock levels, reduce </w:t>
      </w:r>
      <w:proofErr w:type="spellStart"/>
      <w:r>
        <w:rPr>
          <w:rFonts w:eastAsia="Times New Roman"/>
        </w:rPr>
        <w:t>stockouts</w:t>
      </w:r>
      <w:proofErr w:type="spellEnd"/>
      <w:r>
        <w:rPr>
          <w:rFonts w:eastAsia="Times New Roman"/>
        </w:rPr>
        <w:t>, and optimise replenishment cycles.</w:t>
      </w:r>
    </w:p>
    <w:p w14:paraId="183EA489" w14:textId="77777777" w:rsidR="004E540F" w:rsidRDefault="004E540F" w:rsidP="004E540F">
      <w:pPr>
        <w:numPr>
          <w:ilvl w:val="0"/>
          <w:numId w:val="1"/>
        </w:numPr>
        <w:spacing w:before="100" w:beforeAutospacing="1" w:after="100" w:afterAutospacing="1" w:line="240" w:lineRule="auto"/>
        <w:rPr>
          <w:rFonts w:eastAsia="Times New Roman"/>
        </w:rPr>
      </w:pPr>
      <w:r>
        <w:rPr>
          <w:rStyle w:val="Strong"/>
          <w:rFonts w:eastAsia="Times New Roman"/>
        </w:rPr>
        <w:t>Supply Chain Data Consolidation:</w:t>
      </w:r>
      <w:r>
        <w:rPr>
          <w:rFonts w:eastAsia="Times New Roman"/>
        </w:rPr>
        <w:t xml:space="preserve"> Integrated supplier data allows evaluation of lead times and delivery reliability.</w:t>
      </w:r>
    </w:p>
    <w:p w14:paraId="363AE8A6" w14:textId="77777777" w:rsidR="004E540F" w:rsidRDefault="004E540F" w:rsidP="004E540F">
      <w:pPr>
        <w:numPr>
          <w:ilvl w:val="0"/>
          <w:numId w:val="1"/>
        </w:numPr>
        <w:spacing w:before="100" w:beforeAutospacing="1" w:after="100" w:afterAutospacing="1" w:line="240" w:lineRule="auto"/>
        <w:rPr>
          <w:rFonts w:eastAsia="Times New Roman"/>
        </w:rPr>
      </w:pPr>
      <w:r>
        <w:rPr>
          <w:rStyle w:val="Strong"/>
          <w:rFonts w:eastAsia="Times New Roman"/>
        </w:rPr>
        <w:t>Customer Analytics:</w:t>
      </w:r>
      <w:r>
        <w:rPr>
          <w:rFonts w:eastAsia="Times New Roman"/>
        </w:rPr>
        <w:t xml:space="preserve"> Combining online browsing data with purchase histories supports targeted promotions.</w:t>
      </w:r>
    </w:p>
    <w:p w14:paraId="0CFBE9B8" w14:textId="77777777" w:rsidR="004E540F" w:rsidRDefault="004E540F">
      <w:pPr>
        <w:pStyle w:val="Heading3"/>
        <w:rPr>
          <w:rFonts w:eastAsia="Times New Roman"/>
        </w:rPr>
      </w:pPr>
      <w:r>
        <w:rPr>
          <w:rStyle w:val="Strong"/>
          <w:rFonts w:eastAsia="Times New Roman"/>
          <w:b w:val="0"/>
          <w:bCs w:val="0"/>
        </w:rPr>
        <w:t>Academic Context</w:t>
      </w:r>
    </w:p>
    <w:p w14:paraId="37420146" w14:textId="77777777" w:rsidR="004E540F" w:rsidRDefault="004E540F">
      <w:pPr>
        <w:pStyle w:val="NormalWeb"/>
      </w:pPr>
      <w:r>
        <w:t xml:space="preserve">Applying </w:t>
      </w:r>
      <w:r>
        <w:rPr>
          <w:rStyle w:val="Strong"/>
        </w:rPr>
        <w:t>Kimball’s dimensional modelling</w:t>
      </w:r>
      <w:r>
        <w:t>, Next could design fact tables for sales, returns, and inventory levels, linked to dimensions such as store, product, date, and customer. This structure accelerates analytical queries and supports the creation of self-service BI dashboards.</w:t>
      </w:r>
    </w:p>
    <w:p w14:paraId="7D3CAF9C" w14:textId="4158EE9A" w:rsidR="004E540F" w:rsidRPr="000026B1" w:rsidRDefault="004E540F" w:rsidP="000026B1">
      <w:pPr>
        <w:pStyle w:val="NormalWeb"/>
      </w:pPr>
      <w:r>
        <w:t xml:space="preserve">Overall, DW can significantly enhance operational efficiency and strategic insight, providing Next with a strong foundation for advanced analytics and predictive </w:t>
      </w:r>
    </w:p>
    <w:p w14:paraId="1C29E9C3" w14:textId="77777777" w:rsidR="004E540F" w:rsidRDefault="004E540F">
      <w:pPr>
        <w:pStyle w:val="NormalWeb"/>
      </w:pPr>
      <w:r>
        <w:lastRenderedPageBreak/>
        <w:t xml:space="preserve">Two relevant Data Mining techniques for Next plc are </w:t>
      </w:r>
      <w:r>
        <w:rPr>
          <w:rStyle w:val="Strong"/>
        </w:rPr>
        <w:t>clustering</w:t>
      </w:r>
      <w:r>
        <w:t xml:space="preserve"> and </w:t>
      </w:r>
      <w:r>
        <w:rPr>
          <w:rStyle w:val="Strong"/>
        </w:rPr>
        <w:t>association rule mining</w:t>
      </w:r>
      <w:r>
        <w:t>.</w:t>
      </w:r>
    </w:p>
    <w:p w14:paraId="0EF99B82" w14:textId="77777777" w:rsidR="004E540F" w:rsidRDefault="004E540F">
      <w:pPr>
        <w:pStyle w:val="Heading3"/>
        <w:rPr>
          <w:rFonts w:eastAsia="Times New Roman"/>
        </w:rPr>
      </w:pPr>
      <w:r>
        <w:rPr>
          <w:rStyle w:val="Strong"/>
          <w:rFonts w:eastAsia="Times New Roman"/>
          <w:b w:val="0"/>
          <w:bCs w:val="0"/>
        </w:rPr>
        <w:t>Clustering</w:t>
      </w:r>
    </w:p>
    <w:p w14:paraId="18CF9083" w14:textId="77777777" w:rsidR="004E540F" w:rsidRDefault="004E540F">
      <w:pPr>
        <w:pStyle w:val="NormalWeb"/>
      </w:pPr>
      <w:r>
        <w:t xml:space="preserve">Clustering groups customers with similar characteristics—such as demographics, purchase frequency, or browsing behaviour. This technique is highly relevant for </w:t>
      </w:r>
      <w:proofErr w:type="spellStart"/>
      <w:r>
        <w:t>Next’s</w:t>
      </w:r>
      <w:proofErr w:type="spellEnd"/>
      <w:r>
        <w:t xml:space="preserve"> personalisation strategy. Clustering enables Next to identify customer segments such as “budget shoppers,” “premium buyers,” or “frequent online shoppers,” each of which may respond differently to promotions and product recommendations. Tools such as SPSS, </w:t>
      </w:r>
      <w:proofErr w:type="spellStart"/>
      <w:r>
        <w:t>RapidMiner</w:t>
      </w:r>
      <w:proofErr w:type="spellEnd"/>
      <w:r>
        <w:t xml:space="preserve">, and Python’s </w:t>
      </w:r>
      <w:proofErr w:type="spellStart"/>
      <w:r>
        <w:t>scikit</w:t>
      </w:r>
      <w:proofErr w:type="spellEnd"/>
      <w:r>
        <w:t>-learn library support clustering algorithms like k-means and hierarchical clustering.</w:t>
      </w:r>
    </w:p>
    <w:p w14:paraId="6DE7B399" w14:textId="77777777" w:rsidR="004E540F" w:rsidRDefault="004E540F">
      <w:pPr>
        <w:pStyle w:val="Heading3"/>
        <w:rPr>
          <w:rFonts w:eastAsia="Times New Roman"/>
        </w:rPr>
      </w:pPr>
      <w:r>
        <w:rPr>
          <w:rStyle w:val="Strong"/>
          <w:rFonts w:eastAsia="Times New Roman"/>
          <w:b w:val="0"/>
          <w:bCs w:val="0"/>
        </w:rPr>
        <w:t>Association Rule Mining</w:t>
      </w:r>
    </w:p>
    <w:p w14:paraId="6CE1F5C2" w14:textId="77777777" w:rsidR="004E540F" w:rsidRDefault="004E540F">
      <w:pPr>
        <w:pStyle w:val="NormalWeb"/>
      </w:pPr>
      <w:r>
        <w:t xml:space="preserve">Association rule mining identifies relationships between products that customers frequently buy together. For a fashion retailer, this is valuable for creating outfit bundles, improving product recommendations, and designing store layouts. For example, Next may find strong associations between “women’s jeans” and “white trainers,” supporting cross-selling strategies both online and in-store. Algorithms such as </w:t>
      </w:r>
      <w:proofErr w:type="spellStart"/>
      <w:r>
        <w:t>Apriori</w:t>
      </w:r>
      <w:proofErr w:type="spellEnd"/>
      <w:r>
        <w:t xml:space="preserve"> and FP-Growth, available in tools like </w:t>
      </w:r>
      <w:proofErr w:type="spellStart"/>
      <w:r>
        <w:t>RapidMiner</w:t>
      </w:r>
      <w:proofErr w:type="spellEnd"/>
      <w:r>
        <w:t>, Weka, and Python, facilitate this analysis.</w:t>
      </w:r>
    </w:p>
    <w:p w14:paraId="339DF303" w14:textId="77777777" w:rsidR="004E540F" w:rsidRDefault="004E540F">
      <w:pPr>
        <w:pStyle w:val="Heading3"/>
        <w:rPr>
          <w:rFonts w:eastAsia="Times New Roman"/>
        </w:rPr>
      </w:pPr>
      <w:r>
        <w:rPr>
          <w:rStyle w:val="Strong"/>
          <w:rFonts w:eastAsia="Times New Roman"/>
          <w:b w:val="0"/>
          <w:bCs w:val="0"/>
        </w:rPr>
        <w:t>Justification for Next</w:t>
      </w:r>
    </w:p>
    <w:p w14:paraId="4D808458" w14:textId="77777777" w:rsidR="004E540F" w:rsidRDefault="004E540F">
      <w:pPr>
        <w:pStyle w:val="NormalWeb"/>
      </w:pPr>
      <w:r>
        <w:t xml:space="preserve">Both techniques align closely with </w:t>
      </w:r>
      <w:proofErr w:type="spellStart"/>
      <w:r>
        <w:t>Next’s</w:t>
      </w:r>
      <w:proofErr w:type="spellEnd"/>
      <w:r>
        <w:t xml:space="preserve"> business objectives of enhancing customer experience, improving conversion rates, and optimising product recommendations. Clustering supports targeted marketing, while association rules improve merchandising and online recommendation engines. These techniques complement the company’s existing BI capabilities and can be integrated with DW data to support advanced analytics initiatives.</w:t>
      </w:r>
    </w:p>
    <w:p w14:paraId="085B5F7D" w14:textId="49A8A9A4" w:rsidR="004E540F" w:rsidRDefault="004E540F" w:rsidP="000026B1">
      <w:pPr>
        <w:rPr>
          <w:rFonts w:eastAsia="Times New Roman"/>
        </w:rPr>
      </w:pPr>
    </w:p>
    <w:p w14:paraId="346AE513" w14:textId="77777777" w:rsidR="004E540F" w:rsidRDefault="004E540F">
      <w:pPr>
        <w:pStyle w:val="NormalWeb"/>
      </w:pPr>
      <w:r>
        <w:t>Predictive analytics involves forecasting future patterns using historical data. For Next plc, predictive analytics is essential for demand forecasting, pricing strategies, inventory optimisation, and predicting customer churn.</w:t>
      </w:r>
    </w:p>
    <w:p w14:paraId="03E2D941" w14:textId="77777777" w:rsidR="004E540F" w:rsidRDefault="004E540F">
      <w:pPr>
        <w:pStyle w:val="NormalWeb"/>
      </w:pPr>
      <w:r>
        <w:t>Several tools can support predictive analysis:</w:t>
      </w:r>
    </w:p>
    <w:p w14:paraId="30B553CD" w14:textId="77777777" w:rsidR="004E540F" w:rsidRDefault="004E540F">
      <w:pPr>
        <w:pStyle w:val="Heading3"/>
        <w:rPr>
          <w:rFonts w:eastAsia="Times New Roman"/>
        </w:rPr>
      </w:pPr>
      <w:r>
        <w:rPr>
          <w:rStyle w:val="Strong"/>
          <w:rFonts w:eastAsia="Times New Roman"/>
          <w:b w:val="0"/>
          <w:bCs w:val="0"/>
        </w:rPr>
        <w:t>Power BI</w:t>
      </w:r>
    </w:p>
    <w:p w14:paraId="375CBA5D" w14:textId="77777777" w:rsidR="004E540F" w:rsidRDefault="004E540F">
      <w:pPr>
        <w:pStyle w:val="NormalWeb"/>
      </w:pPr>
      <w:r>
        <w:t xml:space="preserve">Power BI provides built-in forecasting features, strong integration with SQL databases, and excellent dashboard capabilities. It is ideal for managers needing visual, self-service insights and integrates well with </w:t>
      </w:r>
      <w:proofErr w:type="spellStart"/>
      <w:r>
        <w:t>Next’s</w:t>
      </w:r>
      <w:proofErr w:type="spellEnd"/>
      <w:r>
        <w:t xml:space="preserve"> existing retail systems.</w:t>
      </w:r>
    </w:p>
    <w:p w14:paraId="7B6641EC" w14:textId="77777777" w:rsidR="004E540F" w:rsidRDefault="004E540F">
      <w:pPr>
        <w:pStyle w:val="Heading3"/>
        <w:rPr>
          <w:rFonts w:eastAsia="Times New Roman"/>
        </w:rPr>
      </w:pPr>
      <w:r>
        <w:rPr>
          <w:rStyle w:val="Strong"/>
          <w:rFonts w:eastAsia="Times New Roman"/>
          <w:b w:val="0"/>
          <w:bCs w:val="0"/>
        </w:rPr>
        <w:lastRenderedPageBreak/>
        <w:t>SPSS</w:t>
      </w:r>
    </w:p>
    <w:p w14:paraId="1CFBE728" w14:textId="77777777" w:rsidR="004E540F" w:rsidRDefault="004E540F">
      <w:pPr>
        <w:pStyle w:val="NormalWeb"/>
      </w:pPr>
      <w:r>
        <w:t>SPSS is suited for advanced statistical modelling, including regression, time-series analysis, and customer behaviour prediction. Its ease of use makes it valuable for analysts without strong programming skills.</w:t>
      </w:r>
    </w:p>
    <w:p w14:paraId="06DFBD15" w14:textId="77777777" w:rsidR="004E540F" w:rsidRDefault="004E540F">
      <w:pPr>
        <w:pStyle w:val="Heading3"/>
        <w:rPr>
          <w:rFonts w:eastAsia="Times New Roman"/>
        </w:rPr>
      </w:pPr>
      <w:proofErr w:type="spellStart"/>
      <w:r>
        <w:rPr>
          <w:rStyle w:val="Strong"/>
          <w:rFonts w:eastAsia="Times New Roman"/>
          <w:b w:val="0"/>
          <w:bCs w:val="0"/>
        </w:rPr>
        <w:t>RapidMiner</w:t>
      </w:r>
      <w:proofErr w:type="spellEnd"/>
    </w:p>
    <w:p w14:paraId="5065700C" w14:textId="77777777" w:rsidR="004E540F" w:rsidRDefault="004E540F">
      <w:pPr>
        <w:pStyle w:val="NormalWeb"/>
      </w:pPr>
      <w:proofErr w:type="spellStart"/>
      <w:r>
        <w:t>RapidMiner</w:t>
      </w:r>
      <w:proofErr w:type="spellEnd"/>
      <w:r>
        <w:t xml:space="preserve"> offers advanced machine learning workflows with automated modelling, making it useful for </w:t>
      </w:r>
      <w:proofErr w:type="spellStart"/>
      <w:r>
        <w:t>Next’s</w:t>
      </w:r>
      <w:proofErr w:type="spellEnd"/>
      <w:r>
        <w:t xml:space="preserve"> data science team to build and compare predictive models easily.</w:t>
      </w:r>
    </w:p>
    <w:p w14:paraId="5E8856A5" w14:textId="77777777" w:rsidR="004E540F" w:rsidRDefault="004E540F">
      <w:pPr>
        <w:pStyle w:val="Heading3"/>
        <w:rPr>
          <w:rFonts w:eastAsia="Times New Roman"/>
        </w:rPr>
      </w:pPr>
      <w:r>
        <w:rPr>
          <w:rStyle w:val="Strong"/>
          <w:rFonts w:eastAsia="Times New Roman"/>
          <w:b w:val="0"/>
          <w:bCs w:val="0"/>
        </w:rPr>
        <w:t>Comparison</w:t>
      </w:r>
    </w:p>
    <w:p w14:paraId="2F70F36D" w14:textId="77777777" w:rsidR="004E540F" w:rsidRDefault="004E540F" w:rsidP="004E540F">
      <w:pPr>
        <w:numPr>
          <w:ilvl w:val="0"/>
          <w:numId w:val="2"/>
        </w:numPr>
        <w:spacing w:before="100" w:beforeAutospacing="1" w:after="100" w:afterAutospacing="1" w:line="240" w:lineRule="auto"/>
        <w:rPr>
          <w:rFonts w:eastAsia="Times New Roman"/>
        </w:rPr>
      </w:pPr>
      <w:r>
        <w:rPr>
          <w:rStyle w:val="Strong"/>
          <w:rFonts w:eastAsia="Times New Roman"/>
        </w:rPr>
        <w:t>Power BI</w:t>
      </w:r>
      <w:r>
        <w:rPr>
          <w:rFonts w:eastAsia="Times New Roman"/>
        </w:rPr>
        <w:t xml:space="preserve"> is strongest for reporting and visual forecasting.</w:t>
      </w:r>
    </w:p>
    <w:p w14:paraId="1B375D43" w14:textId="77777777" w:rsidR="004E540F" w:rsidRDefault="004E540F" w:rsidP="004E540F">
      <w:pPr>
        <w:numPr>
          <w:ilvl w:val="0"/>
          <w:numId w:val="2"/>
        </w:numPr>
        <w:spacing w:before="100" w:beforeAutospacing="1" w:after="100" w:afterAutospacing="1" w:line="240" w:lineRule="auto"/>
        <w:rPr>
          <w:rFonts w:eastAsia="Times New Roman"/>
        </w:rPr>
      </w:pPr>
      <w:r>
        <w:rPr>
          <w:rStyle w:val="Strong"/>
          <w:rFonts w:eastAsia="Times New Roman"/>
        </w:rPr>
        <w:t>SPSS</w:t>
      </w:r>
      <w:r>
        <w:rPr>
          <w:rFonts w:eastAsia="Times New Roman"/>
        </w:rPr>
        <w:t xml:space="preserve"> is best for statistical depth and formal modelling.</w:t>
      </w:r>
    </w:p>
    <w:p w14:paraId="3601A3D0" w14:textId="77777777" w:rsidR="004E540F" w:rsidRDefault="004E540F" w:rsidP="004E540F">
      <w:pPr>
        <w:numPr>
          <w:ilvl w:val="0"/>
          <w:numId w:val="2"/>
        </w:numPr>
        <w:spacing w:before="100" w:beforeAutospacing="1" w:after="100" w:afterAutospacing="1" w:line="240" w:lineRule="auto"/>
        <w:rPr>
          <w:rFonts w:eastAsia="Times New Roman"/>
        </w:rPr>
      </w:pPr>
      <w:proofErr w:type="spellStart"/>
      <w:r>
        <w:rPr>
          <w:rStyle w:val="Strong"/>
          <w:rFonts w:eastAsia="Times New Roman"/>
        </w:rPr>
        <w:t>RapidMiner</w:t>
      </w:r>
      <w:proofErr w:type="spellEnd"/>
      <w:r>
        <w:rPr>
          <w:rFonts w:eastAsia="Times New Roman"/>
        </w:rPr>
        <w:t xml:space="preserve"> provides flexibility and advanced machine learning capabilities.</w:t>
      </w:r>
    </w:p>
    <w:p w14:paraId="7C286426" w14:textId="6AAE929E" w:rsidR="004E540F" w:rsidRPr="000026B1" w:rsidRDefault="004E540F" w:rsidP="000026B1">
      <w:pPr>
        <w:pStyle w:val="NormalWeb"/>
      </w:pPr>
      <w:r>
        <w:t xml:space="preserve">Given </w:t>
      </w:r>
      <w:proofErr w:type="spellStart"/>
      <w:r>
        <w:t>Next’s</w:t>
      </w:r>
      <w:proofErr w:type="spellEnd"/>
      <w:r>
        <w:t xml:space="preserve"> large-scale retail operations, a hybrid approach is recommended: Power BI for business users, </w:t>
      </w:r>
      <w:proofErr w:type="spellStart"/>
      <w:r>
        <w:t>RapidMiner</w:t>
      </w:r>
      <w:proofErr w:type="spellEnd"/>
      <w:r>
        <w:t xml:space="preserve"> for data scientists, and SPSS for statistical insights.</w:t>
      </w:r>
    </w:p>
    <w:p w14:paraId="34970A21" w14:textId="77777777" w:rsidR="004E540F" w:rsidRDefault="004E540F">
      <w:pPr>
        <w:pStyle w:val="NormalWeb"/>
      </w:pPr>
      <w:r>
        <w:t>Ethical and security considerations are critical for Next plc, particularly given GDPR obligations. Retailers collect sensitive customer data including purchase history, addresses, and behavioural data.</w:t>
      </w:r>
    </w:p>
    <w:p w14:paraId="216C654A" w14:textId="77777777" w:rsidR="004E540F" w:rsidRDefault="004E540F">
      <w:pPr>
        <w:pStyle w:val="Heading3"/>
        <w:rPr>
          <w:rFonts w:eastAsia="Times New Roman"/>
        </w:rPr>
      </w:pPr>
      <w:r>
        <w:rPr>
          <w:rStyle w:val="Strong"/>
          <w:rFonts w:eastAsia="Times New Roman"/>
          <w:b w:val="0"/>
          <w:bCs w:val="0"/>
        </w:rPr>
        <w:t>GDPR and Legal Compliance</w:t>
      </w:r>
    </w:p>
    <w:p w14:paraId="56767E6E" w14:textId="77777777" w:rsidR="004E540F" w:rsidRDefault="004E540F">
      <w:pPr>
        <w:pStyle w:val="NormalWeb"/>
      </w:pPr>
      <w:r>
        <w:t>Next must ensure data collection is lawful, transparent, and limited to necessary purposes. Customers must be informed about data usage, and consent should be explicit for personalised marketing.</w:t>
      </w:r>
    </w:p>
    <w:p w14:paraId="1ADD24CB" w14:textId="77777777" w:rsidR="004E540F" w:rsidRDefault="004E540F">
      <w:pPr>
        <w:pStyle w:val="Heading3"/>
        <w:rPr>
          <w:rFonts w:eastAsia="Times New Roman"/>
        </w:rPr>
      </w:pPr>
      <w:r>
        <w:rPr>
          <w:rStyle w:val="Strong"/>
          <w:rFonts w:eastAsia="Times New Roman"/>
          <w:b w:val="0"/>
          <w:bCs w:val="0"/>
        </w:rPr>
        <w:t>Data Ownership and Transparency</w:t>
      </w:r>
    </w:p>
    <w:p w14:paraId="30D949A0" w14:textId="77777777" w:rsidR="004E540F" w:rsidRDefault="004E540F">
      <w:pPr>
        <w:pStyle w:val="NormalWeb"/>
      </w:pPr>
      <w:r>
        <w:t>Clear policies are required regarding who owns customer data and how long it is retained. Transparency builds trust and reduces reputational risk.</w:t>
      </w:r>
    </w:p>
    <w:p w14:paraId="1AEA5CB7" w14:textId="77777777" w:rsidR="004E540F" w:rsidRDefault="004E540F">
      <w:pPr>
        <w:pStyle w:val="Heading3"/>
        <w:rPr>
          <w:rFonts w:eastAsia="Times New Roman"/>
        </w:rPr>
      </w:pPr>
      <w:r>
        <w:rPr>
          <w:rStyle w:val="Strong"/>
          <w:rFonts w:eastAsia="Times New Roman"/>
          <w:b w:val="0"/>
          <w:bCs w:val="0"/>
        </w:rPr>
        <w:t>Security Safeguards</w:t>
      </w:r>
    </w:p>
    <w:p w14:paraId="2BF386F0" w14:textId="77777777" w:rsidR="004E540F" w:rsidRDefault="004E540F">
      <w:pPr>
        <w:pStyle w:val="NormalWeb"/>
      </w:pPr>
      <w:r>
        <w:t>To mitigate cybersecurity threats, Next should implement:</w:t>
      </w:r>
    </w:p>
    <w:p w14:paraId="388C7057" w14:textId="77777777" w:rsidR="004E540F" w:rsidRDefault="004E540F" w:rsidP="004E540F">
      <w:pPr>
        <w:numPr>
          <w:ilvl w:val="0"/>
          <w:numId w:val="3"/>
        </w:numPr>
        <w:spacing w:before="100" w:beforeAutospacing="1" w:after="100" w:afterAutospacing="1" w:line="240" w:lineRule="auto"/>
        <w:rPr>
          <w:rFonts w:eastAsia="Times New Roman"/>
        </w:rPr>
      </w:pPr>
      <w:r>
        <w:rPr>
          <w:rFonts w:eastAsia="Times New Roman"/>
        </w:rPr>
        <w:t>Encryption of customer data</w:t>
      </w:r>
    </w:p>
    <w:p w14:paraId="7EBE9A8F" w14:textId="77777777" w:rsidR="004E540F" w:rsidRDefault="004E540F" w:rsidP="004E540F">
      <w:pPr>
        <w:numPr>
          <w:ilvl w:val="0"/>
          <w:numId w:val="3"/>
        </w:numPr>
        <w:spacing w:before="100" w:beforeAutospacing="1" w:after="100" w:afterAutospacing="1" w:line="240" w:lineRule="auto"/>
        <w:rPr>
          <w:rFonts w:eastAsia="Times New Roman"/>
        </w:rPr>
      </w:pPr>
      <w:r>
        <w:rPr>
          <w:rFonts w:eastAsia="Times New Roman"/>
        </w:rPr>
        <w:t>Multi-factor authentication</w:t>
      </w:r>
    </w:p>
    <w:p w14:paraId="713C61CC" w14:textId="77777777" w:rsidR="004E540F" w:rsidRDefault="004E540F" w:rsidP="004E540F">
      <w:pPr>
        <w:numPr>
          <w:ilvl w:val="0"/>
          <w:numId w:val="3"/>
        </w:numPr>
        <w:spacing w:before="100" w:beforeAutospacing="1" w:after="100" w:afterAutospacing="1" w:line="240" w:lineRule="auto"/>
        <w:rPr>
          <w:rFonts w:eastAsia="Times New Roman"/>
        </w:rPr>
      </w:pPr>
      <w:r>
        <w:rPr>
          <w:rFonts w:eastAsia="Times New Roman"/>
        </w:rPr>
        <w:t>Role-based access controls</w:t>
      </w:r>
    </w:p>
    <w:p w14:paraId="3480C712" w14:textId="77777777" w:rsidR="004E540F" w:rsidRDefault="004E540F" w:rsidP="004E540F">
      <w:pPr>
        <w:numPr>
          <w:ilvl w:val="0"/>
          <w:numId w:val="3"/>
        </w:numPr>
        <w:spacing w:before="100" w:beforeAutospacing="1" w:after="100" w:afterAutospacing="1" w:line="240" w:lineRule="auto"/>
        <w:rPr>
          <w:rFonts w:eastAsia="Times New Roman"/>
        </w:rPr>
      </w:pPr>
      <w:r>
        <w:rPr>
          <w:rFonts w:eastAsia="Times New Roman"/>
        </w:rPr>
        <w:t>Regular penetration testing</w:t>
      </w:r>
    </w:p>
    <w:p w14:paraId="4B61D009" w14:textId="77777777" w:rsidR="004E540F" w:rsidRDefault="004E540F" w:rsidP="004E540F">
      <w:pPr>
        <w:numPr>
          <w:ilvl w:val="0"/>
          <w:numId w:val="3"/>
        </w:numPr>
        <w:spacing w:before="100" w:beforeAutospacing="1" w:after="100" w:afterAutospacing="1" w:line="240" w:lineRule="auto"/>
        <w:rPr>
          <w:rFonts w:eastAsia="Times New Roman"/>
        </w:rPr>
      </w:pPr>
      <w:r>
        <w:rPr>
          <w:rFonts w:eastAsia="Times New Roman"/>
        </w:rPr>
        <w:t>Monitoring of insider threats</w:t>
      </w:r>
    </w:p>
    <w:p w14:paraId="0276C297" w14:textId="77777777" w:rsidR="004E540F" w:rsidRDefault="004E540F">
      <w:pPr>
        <w:pStyle w:val="Heading3"/>
        <w:rPr>
          <w:rFonts w:eastAsia="Times New Roman"/>
        </w:rPr>
      </w:pPr>
      <w:r>
        <w:rPr>
          <w:rStyle w:val="Strong"/>
          <w:rFonts w:eastAsia="Times New Roman"/>
          <w:b w:val="0"/>
          <w:bCs w:val="0"/>
        </w:rPr>
        <w:lastRenderedPageBreak/>
        <w:t>Internal vs External Threats</w:t>
      </w:r>
    </w:p>
    <w:p w14:paraId="2113BBC0" w14:textId="77777777" w:rsidR="004E540F" w:rsidRDefault="004E540F">
      <w:pPr>
        <w:pStyle w:val="NormalWeb"/>
      </w:pPr>
      <w:r>
        <w:t>Internal misuse—such as unauthorised access—must be prevented through employee training and audit logs. External threats, including phishing and ransomware, require robust security controls and incident response planning.</w:t>
      </w:r>
    </w:p>
    <w:p w14:paraId="0D1684A1" w14:textId="77777777" w:rsidR="004E540F" w:rsidRDefault="004E540F">
      <w:pPr>
        <w:pStyle w:val="NormalWeb"/>
      </w:pPr>
      <w:r>
        <w:t xml:space="preserve">Effective governance ensures that BI and analytics support </w:t>
      </w:r>
      <w:proofErr w:type="spellStart"/>
      <w:r>
        <w:t>Next’s</w:t>
      </w:r>
      <w:proofErr w:type="spellEnd"/>
      <w:r>
        <w:t xml:space="preserve"> goals without compromising ethical standards.</w:t>
      </w:r>
    </w:p>
    <w:p w14:paraId="52567145" w14:textId="487CE450" w:rsidR="004E540F" w:rsidRDefault="004E540F" w:rsidP="00300B3C">
      <w:pPr>
        <w:rPr>
          <w:rFonts w:eastAsia="Times New Roman"/>
        </w:rPr>
      </w:pPr>
    </w:p>
    <w:p w14:paraId="59444E04" w14:textId="77777777" w:rsidR="004E540F" w:rsidRDefault="004E540F">
      <w:pPr>
        <w:pStyle w:val="NormalWeb"/>
      </w:pPr>
      <w:r>
        <w:t>Dashboards support real-time monitoring, trend analysis, and data-driven decision-making. For Next plc, Power BI and Tableau are both suitable tools.</w:t>
      </w:r>
    </w:p>
    <w:p w14:paraId="2C71C326" w14:textId="77777777" w:rsidR="004E540F" w:rsidRDefault="004E540F">
      <w:pPr>
        <w:pStyle w:val="Heading3"/>
        <w:rPr>
          <w:rFonts w:eastAsia="Times New Roman"/>
        </w:rPr>
      </w:pPr>
      <w:r>
        <w:rPr>
          <w:rStyle w:val="Strong"/>
          <w:rFonts w:eastAsia="Times New Roman"/>
          <w:b w:val="0"/>
          <w:bCs w:val="0"/>
        </w:rPr>
        <w:t>Power BI</w:t>
      </w:r>
    </w:p>
    <w:p w14:paraId="23585E86" w14:textId="77777777" w:rsidR="004E540F" w:rsidRDefault="004E540F">
      <w:pPr>
        <w:pStyle w:val="NormalWeb"/>
      </w:pPr>
      <w:r>
        <w:t xml:space="preserve">Power BI integrates smoothly with SQL Server, Azure, and Excel, making it ideal for </w:t>
      </w:r>
      <w:proofErr w:type="spellStart"/>
      <w:r>
        <w:t>Next’s</w:t>
      </w:r>
      <w:proofErr w:type="spellEnd"/>
      <w:r>
        <w:t xml:space="preserve"> retail environment. Real-time dashboards can track website traffic, sales performance, and inventory levels.</w:t>
      </w:r>
    </w:p>
    <w:p w14:paraId="102F0CBB" w14:textId="77777777" w:rsidR="004E540F" w:rsidRDefault="004E540F">
      <w:pPr>
        <w:pStyle w:val="Heading3"/>
        <w:rPr>
          <w:rFonts w:eastAsia="Times New Roman"/>
        </w:rPr>
      </w:pPr>
      <w:r>
        <w:rPr>
          <w:rStyle w:val="Strong"/>
          <w:rFonts w:eastAsia="Times New Roman"/>
          <w:b w:val="0"/>
          <w:bCs w:val="0"/>
        </w:rPr>
        <w:t>Tableau</w:t>
      </w:r>
    </w:p>
    <w:p w14:paraId="7808116F" w14:textId="77777777" w:rsidR="004E540F" w:rsidRDefault="004E540F">
      <w:pPr>
        <w:pStyle w:val="NormalWeb"/>
      </w:pPr>
      <w:r>
        <w:t>Tableau offers superior visualisation capabilities, beneficial for senior management presentations and deep-dive analytics.</w:t>
      </w:r>
    </w:p>
    <w:p w14:paraId="6891D5AB" w14:textId="77777777" w:rsidR="004E540F" w:rsidRDefault="004E540F">
      <w:pPr>
        <w:pStyle w:val="Heading3"/>
        <w:rPr>
          <w:rFonts w:eastAsia="Times New Roman"/>
        </w:rPr>
      </w:pPr>
      <w:r>
        <w:rPr>
          <w:rStyle w:val="Strong"/>
          <w:rFonts w:eastAsia="Times New Roman"/>
          <w:b w:val="0"/>
          <w:bCs w:val="0"/>
        </w:rPr>
        <w:t>Recommended KPIs for Next</w:t>
      </w:r>
    </w:p>
    <w:p w14:paraId="3DBEF52F" w14:textId="77777777" w:rsidR="004E540F" w:rsidRDefault="004E540F" w:rsidP="004E540F">
      <w:pPr>
        <w:numPr>
          <w:ilvl w:val="0"/>
          <w:numId w:val="4"/>
        </w:numPr>
        <w:spacing w:before="100" w:beforeAutospacing="1" w:after="100" w:afterAutospacing="1" w:line="240" w:lineRule="auto"/>
        <w:rPr>
          <w:rFonts w:eastAsia="Times New Roman"/>
        </w:rPr>
      </w:pPr>
      <w:r>
        <w:rPr>
          <w:rFonts w:eastAsia="Times New Roman"/>
        </w:rPr>
        <w:t>Daily sales by category and channel</w:t>
      </w:r>
    </w:p>
    <w:p w14:paraId="61D0F3C6" w14:textId="77777777" w:rsidR="004E540F" w:rsidRDefault="004E540F" w:rsidP="004E540F">
      <w:pPr>
        <w:numPr>
          <w:ilvl w:val="0"/>
          <w:numId w:val="4"/>
        </w:numPr>
        <w:spacing w:before="100" w:beforeAutospacing="1" w:after="100" w:afterAutospacing="1" w:line="240" w:lineRule="auto"/>
        <w:rPr>
          <w:rFonts w:eastAsia="Times New Roman"/>
        </w:rPr>
      </w:pPr>
      <w:r>
        <w:rPr>
          <w:rFonts w:eastAsia="Times New Roman"/>
        </w:rPr>
        <w:t>Website conversion rate</w:t>
      </w:r>
    </w:p>
    <w:p w14:paraId="2824DBC2" w14:textId="77777777" w:rsidR="004E540F" w:rsidRDefault="004E540F" w:rsidP="004E540F">
      <w:pPr>
        <w:numPr>
          <w:ilvl w:val="0"/>
          <w:numId w:val="4"/>
        </w:numPr>
        <w:spacing w:before="100" w:beforeAutospacing="1" w:after="100" w:afterAutospacing="1" w:line="240" w:lineRule="auto"/>
        <w:rPr>
          <w:rFonts w:eastAsia="Times New Roman"/>
        </w:rPr>
      </w:pPr>
      <w:r>
        <w:rPr>
          <w:rFonts w:eastAsia="Times New Roman"/>
        </w:rPr>
        <w:t>Stock turnover ratio</w:t>
      </w:r>
    </w:p>
    <w:p w14:paraId="290F5960" w14:textId="77777777" w:rsidR="004E540F" w:rsidRDefault="004E540F" w:rsidP="004E540F">
      <w:pPr>
        <w:numPr>
          <w:ilvl w:val="0"/>
          <w:numId w:val="4"/>
        </w:numPr>
        <w:spacing w:before="100" w:beforeAutospacing="1" w:after="100" w:afterAutospacing="1" w:line="240" w:lineRule="auto"/>
        <w:rPr>
          <w:rFonts w:eastAsia="Times New Roman"/>
        </w:rPr>
      </w:pPr>
      <w:r>
        <w:rPr>
          <w:rFonts w:eastAsia="Times New Roman"/>
        </w:rPr>
        <w:t>Delivery performance and lead times</w:t>
      </w:r>
    </w:p>
    <w:p w14:paraId="4CE47EAF" w14:textId="77777777" w:rsidR="004E540F" w:rsidRDefault="004E540F" w:rsidP="004E540F">
      <w:pPr>
        <w:numPr>
          <w:ilvl w:val="0"/>
          <w:numId w:val="4"/>
        </w:numPr>
        <w:spacing w:before="100" w:beforeAutospacing="1" w:after="100" w:afterAutospacing="1" w:line="240" w:lineRule="auto"/>
        <w:rPr>
          <w:rFonts w:eastAsia="Times New Roman"/>
        </w:rPr>
      </w:pPr>
      <w:r>
        <w:rPr>
          <w:rFonts w:eastAsia="Times New Roman"/>
        </w:rPr>
        <w:t>Customer returns rate</w:t>
      </w:r>
    </w:p>
    <w:p w14:paraId="74DCCC00" w14:textId="77777777" w:rsidR="004E540F" w:rsidRDefault="004E540F" w:rsidP="004E540F">
      <w:pPr>
        <w:numPr>
          <w:ilvl w:val="0"/>
          <w:numId w:val="4"/>
        </w:numPr>
        <w:spacing w:before="100" w:beforeAutospacing="1" w:after="100" w:afterAutospacing="1" w:line="240" w:lineRule="auto"/>
        <w:rPr>
          <w:rFonts w:eastAsia="Times New Roman"/>
        </w:rPr>
      </w:pPr>
      <w:r>
        <w:rPr>
          <w:rFonts w:eastAsia="Times New Roman"/>
        </w:rPr>
        <w:t>Customer satisfaction metrics</w:t>
      </w:r>
    </w:p>
    <w:p w14:paraId="558B0054" w14:textId="77777777" w:rsidR="004E540F" w:rsidRDefault="004E540F">
      <w:pPr>
        <w:pStyle w:val="NormalWeb"/>
      </w:pPr>
      <w:r>
        <w:t>These dashboards enable Next to react quickly to demand changes, identify underperforming products, and monitor operational performance across stores and online platforms.</w:t>
      </w:r>
    </w:p>
    <w:p w14:paraId="045D1640" w14:textId="67784253" w:rsidR="004E540F" w:rsidRDefault="004E540F" w:rsidP="00300B3C">
      <w:pPr>
        <w:rPr>
          <w:rFonts w:eastAsia="Times New Roman"/>
        </w:rPr>
      </w:pPr>
    </w:p>
    <w:p w14:paraId="022B4715" w14:textId="77777777" w:rsidR="004E540F" w:rsidRDefault="004E540F">
      <w:pPr>
        <w:pStyle w:val="NormalWeb"/>
      </w:pPr>
      <w:r>
        <w:t>This report has demonstrated how BI, Data Warehousing, and Data Mining can significantly enhance decision-making at Next plc. By adopting a robust DW architecture, Next can consolidate multi-channel retail data, improve reporting accuracy, and support strategic planning. Data mining techniques such as clustering and association rule mining provide opportunities for personalised marketing and improved customer insight. Predictive analytics tools enable accurate forecasting and operational efficiency. Ethical and data security considerations ensure compliance and protect customer trust. Finally, dashboards provide real-time visibility of key retail metrics.</w:t>
      </w:r>
    </w:p>
    <w:p w14:paraId="51529C16" w14:textId="77777777" w:rsidR="004E540F" w:rsidRDefault="004E540F">
      <w:pPr>
        <w:pStyle w:val="NormalWeb"/>
      </w:pPr>
      <w:r>
        <w:lastRenderedPageBreak/>
        <w:t>Overall, BI technologies offer Next a powerful means of improving competitiveness, optimising resources, and delivering enhanced customer experiences, making BI a strategic asset for the organisation’s continued growth.</w:t>
      </w:r>
    </w:p>
    <w:p w14:paraId="693ADF52" w14:textId="0B955C59" w:rsidR="004E540F" w:rsidRDefault="004E540F">
      <w:pPr>
        <w:rPr>
          <w:rFonts w:eastAsia="Times New Roman"/>
        </w:rPr>
      </w:pPr>
    </w:p>
    <w:p w14:paraId="129629C7" w14:textId="4640F165" w:rsidR="004E540F" w:rsidRDefault="004E540F">
      <w:pPr>
        <w:pStyle w:val="Heading1"/>
        <w:rPr>
          <w:rFonts w:eastAsia="Times New Roman"/>
        </w:rPr>
      </w:pPr>
      <w:r>
        <w:rPr>
          <w:rStyle w:val="Strong"/>
          <w:rFonts w:eastAsia="Times New Roman"/>
          <w:b w:val="0"/>
          <w:bCs w:val="0"/>
        </w:rPr>
        <w:t>Reference List</w:t>
      </w:r>
    </w:p>
    <w:p w14:paraId="25CD7ABB" w14:textId="77777777" w:rsidR="004E540F" w:rsidRDefault="004E540F">
      <w:pPr>
        <w:pStyle w:val="NormalWeb"/>
      </w:pPr>
      <w:r>
        <w:t xml:space="preserve">Davenport, T. and Bean, R. (2018) </w:t>
      </w:r>
      <w:r>
        <w:rPr>
          <w:rStyle w:val="Emphasis"/>
        </w:rPr>
        <w:t>Big companies are embracing analytics, but most still don’t have a data-driven culture</w:t>
      </w:r>
      <w:r>
        <w:t>. Harvard Business Review.</w:t>
      </w:r>
    </w:p>
    <w:p w14:paraId="56EA1DB1" w14:textId="77777777" w:rsidR="004E540F" w:rsidRDefault="004E540F">
      <w:pPr>
        <w:pStyle w:val="NormalWeb"/>
      </w:pPr>
      <w:r>
        <w:t xml:space="preserve">Han, J., Pei, J. and </w:t>
      </w:r>
      <w:proofErr w:type="spellStart"/>
      <w:r>
        <w:t>Kamber</w:t>
      </w:r>
      <w:proofErr w:type="spellEnd"/>
      <w:r>
        <w:t xml:space="preserve">, M. (2012) </w:t>
      </w:r>
      <w:r>
        <w:rPr>
          <w:rStyle w:val="Emphasis"/>
        </w:rPr>
        <w:t>Data Mining: Concepts and Techniques</w:t>
      </w:r>
      <w:r>
        <w:t>. 3rd ed. Elsevier.</w:t>
      </w:r>
    </w:p>
    <w:p w14:paraId="6E81ED42" w14:textId="77777777" w:rsidR="004E540F" w:rsidRDefault="004E540F">
      <w:pPr>
        <w:pStyle w:val="NormalWeb"/>
      </w:pPr>
      <w:r>
        <w:t xml:space="preserve">Kimball, R. and Ross, M. (2013) </w:t>
      </w:r>
      <w:r>
        <w:rPr>
          <w:rStyle w:val="Emphasis"/>
        </w:rPr>
        <w:t>The Data Warehouse Toolkit</w:t>
      </w:r>
      <w:r>
        <w:t>. 3rd ed. John Wiley &amp; Sons.</w:t>
      </w:r>
    </w:p>
    <w:p w14:paraId="0977F4A4" w14:textId="77777777" w:rsidR="004E540F" w:rsidRDefault="004E540F">
      <w:pPr>
        <w:pStyle w:val="NormalWeb"/>
      </w:pPr>
      <w:r>
        <w:t xml:space="preserve">Turban, E., </w:t>
      </w:r>
      <w:proofErr w:type="spellStart"/>
      <w:r>
        <w:t>Sharda</w:t>
      </w:r>
      <w:proofErr w:type="spellEnd"/>
      <w:r>
        <w:t xml:space="preserve">, R., </w:t>
      </w:r>
      <w:proofErr w:type="spellStart"/>
      <w:r>
        <w:t>Delen</w:t>
      </w:r>
      <w:proofErr w:type="spellEnd"/>
      <w:r>
        <w:t xml:space="preserve">, D. and King, D. (2018) </w:t>
      </w:r>
      <w:r>
        <w:rPr>
          <w:rStyle w:val="Emphasis"/>
        </w:rPr>
        <w:t>Business Intelligence: A Managerial Approach</w:t>
      </w:r>
      <w:r>
        <w:t>. Pearson.</w:t>
      </w:r>
    </w:p>
    <w:p w14:paraId="0AEF0454" w14:textId="3A6FD1C7" w:rsidR="004E540F" w:rsidRPr="00300B3C" w:rsidRDefault="004E540F" w:rsidP="00300B3C">
      <w:pPr>
        <w:rPr>
          <w:rFonts w:eastAsia="Times New Roman"/>
        </w:rPr>
      </w:pPr>
    </w:p>
    <w:p w14:paraId="0E85D047" w14:textId="77777777" w:rsidR="004E540F" w:rsidRDefault="004E540F"/>
    <w:sectPr w:rsidR="004E54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B3F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7514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172A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4674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7847189">
    <w:abstractNumId w:val="2"/>
  </w:num>
  <w:num w:numId="2" w16cid:durableId="397634982">
    <w:abstractNumId w:val="1"/>
  </w:num>
  <w:num w:numId="3" w16cid:durableId="844243977">
    <w:abstractNumId w:val="3"/>
  </w:num>
  <w:num w:numId="4" w16cid:durableId="71198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40F"/>
    <w:rsid w:val="000026B1"/>
    <w:rsid w:val="00052950"/>
    <w:rsid w:val="00184303"/>
    <w:rsid w:val="001D43A2"/>
    <w:rsid w:val="002A4A12"/>
    <w:rsid w:val="00300B3C"/>
    <w:rsid w:val="004D591E"/>
    <w:rsid w:val="004E540F"/>
    <w:rsid w:val="00542D88"/>
    <w:rsid w:val="00863E66"/>
    <w:rsid w:val="00974048"/>
    <w:rsid w:val="00A41C5B"/>
    <w:rsid w:val="00D902E9"/>
    <w:rsid w:val="00EA6D80"/>
    <w:rsid w:val="00F00267"/>
    <w:rsid w:val="00F46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A3C6B"/>
  <w15:chartTrackingRefBased/>
  <w15:docId w15:val="{23AAB73D-37D3-4D4C-A6A2-E1B0572A2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4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54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54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4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4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4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4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4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4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4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54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4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4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4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4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4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4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40F"/>
    <w:rPr>
      <w:rFonts w:eastAsiaTheme="majorEastAsia" w:cstheme="majorBidi"/>
      <w:color w:val="272727" w:themeColor="text1" w:themeTint="D8"/>
    </w:rPr>
  </w:style>
  <w:style w:type="paragraph" w:styleId="Title">
    <w:name w:val="Title"/>
    <w:basedOn w:val="Normal"/>
    <w:next w:val="Normal"/>
    <w:link w:val="TitleChar"/>
    <w:uiPriority w:val="10"/>
    <w:qFormat/>
    <w:rsid w:val="004E54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4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4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4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40F"/>
    <w:pPr>
      <w:spacing w:before="160"/>
      <w:jc w:val="center"/>
    </w:pPr>
    <w:rPr>
      <w:i/>
      <w:iCs/>
      <w:color w:val="404040" w:themeColor="text1" w:themeTint="BF"/>
    </w:rPr>
  </w:style>
  <w:style w:type="character" w:customStyle="1" w:styleId="QuoteChar">
    <w:name w:val="Quote Char"/>
    <w:basedOn w:val="DefaultParagraphFont"/>
    <w:link w:val="Quote"/>
    <w:uiPriority w:val="29"/>
    <w:rsid w:val="004E540F"/>
    <w:rPr>
      <w:i/>
      <w:iCs/>
      <w:color w:val="404040" w:themeColor="text1" w:themeTint="BF"/>
    </w:rPr>
  </w:style>
  <w:style w:type="paragraph" w:styleId="ListParagraph">
    <w:name w:val="List Paragraph"/>
    <w:basedOn w:val="Normal"/>
    <w:uiPriority w:val="34"/>
    <w:qFormat/>
    <w:rsid w:val="004E540F"/>
    <w:pPr>
      <w:ind w:left="720"/>
      <w:contextualSpacing/>
    </w:pPr>
  </w:style>
  <w:style w:type="character" w:styleId="IntenseEmphasis">
    <w:name w:val="Intense Emphasis"/>
    <w:basedOn w:val="DefaultParagraphFont"/>
    <w:uiPriority w:val="21"/>
    <w:qFormat/>
    <w:rsid w:val="004E540F"/>
    <w:rPr>
      <w:i/>
      <w:iCs/>
      <w:color w:val="0F4761" w:themeColor="accent1" w:themeShade="BF"/>
    </w:rPr>
  </w:style>
  <w:style w:type="paragraph" w:styleId="IntenseQuote">
    <w:name w:val="Intense Quote"/>
    <w:basedOn w:val="Normal"/>
    <w:next w:val="Normal"/>
    <w:link w:val="IntenseQuoteChar"/>
    <w:uiPriority w:val="30"/>
    <w:qFormat/>
    <w:rsid w:val="004E54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40F"/>
    <w:rPr>
      <w:i/>
      <w:iCs/>
      <w:color w:val="0F4761" w:themeColor="accent1" w:themeShade="BF"/>
    </w:rPr>
  </w:style>
  <w:style w:type="character" w:styleId="IntenseReference">
    <w:name w:val="Intense Reference"/>
    <w:basedOn w:val="DefaultParagraphFont"/>
    <w:uiPriority w:val="32"/>
    <w:qFormat/>
    <w:rsid w:val="004E540F"/>
    <w:rPr>
      <w:b/>
      <w:bCs/>
      <w:smallCaps/>
      <w:color w:val="0F4761" w:themeColor="accent1" w:themeShade="BF"/>
      <w:spacing w:val="5"/>
    </w:rPr>
  </w:style>
  <w:style w:type="paragraph" w:styleId="NormalWeb">
    <w:name w:val="Normal (Web)"/>
    <w:basedOn w:val="Normal"/>
    <w:uiPriority w:val="99"/>
    <w:unhideWhenUsed/>
    <w:rsid w:val="004E540F"/>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4E540F"/>
    <w:rPr>
      <w:b/>
      <w:bCs/>
    </w:rPr>
  </w:style>
  <w:style w:type="character" w:styleId="Emphasis">
    <w:name w:val="Emphasis"/>
    <w:basedOn w:val="DefaultParagraphFont"/>
    <w:uiPriority w:val="20"/>
    <w:qFormat/>
    <w:rsid w:val="004E540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1958</Words>
  <Characters>11163</Characters>
  <Application>Microsoft Office Word</Application>
  <DocSecurity>0</DocSecurity>
  <Lines>93</Lines>
  <Paragraphs>26</Paragraphs>
  <ScaleCrop>false</ScaleCrop>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Dicusar</dc:creator>
  <cp:keywords/>
  <dc:description/>
  <cp:lastModifiedBy>Eduard Dicusar</cp:lastModifiedBy>
  <cp:revision>2</cp:revision>
  <dcterms:created xsi:type="dcterms:W3CDTF">2025-12-06T19:27:00Z</dcterms:created>
  <dcterms:modified xsi:type="dcterms:W3CDTF">2025-12-06T19:27:00Z</dcterms:modified>
</cp:coreProperties>
</file>