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25998B" w14:textId="77777777" w:rsidR="00067A07" w:rsidRDefault="00067A07" w:rsidP="00394BCF">
      <w:pPr>
        <w:spacing w:after="0" w:line="360" w:lineRule="auto"/>
        <w:jc w:val="center"/>
        <w:rPr>
          <w:rFonts w:ascii="Times New Roman" w:eastAsia="Times New Roman" w:hAnsi="Times New Roman" w:cs="Times New Roman"/>
          <w:b/>
          <w:bCs/>
          <w:sz w:val="28"/>
          <w:szCs w:val="28"/>
        </w:rPr>
      </w:pPr>
    </w:p>
    <w:p w14:paraId="4F8035C6" w14:textId="77777777" w:rsidR="00067A07" w:rsidRDefault="00067A07" w:rsidP="00394BCF">
      <w:pPr>
        <w:spacing w:after="0" w:line="360" w:lineRule="auto"/>
        <w:jc w:val="center"/>
        <w:rPr>
          <w:rFonts w:ascii="Times New Roman" w:eastAsia="Times New Roman" w:hAnsi="Times New Roman" w:cs="Times New Roman"/>
          <w:b/>
          <w:bCs/>
          <w:sz w:val="28"/>
          <w:szCs w:val="28"/>
        </w:rPr>
      </w:pPr>
    </w:p>
    <w:p w14:paraId="049BC353" w14:textId="77777777" w:rsidR="00067A07" w:rsidRDefault="00067A07" w:rsidP="00394BCF">
      <w:pPr>
        <w:spacing w:after="0" w:line="360" w:lineRule="auto"/>
        <w:jc w:val="center"/>
        <w:rPr>
          <w:rFonts w:ascii="Times New Roman" w:eastAsia="Times New Roman" w:hAnsi="Times New Roman" w:cs="Times New Roman"/>
          <w:b/>
          <w:bCs/>
          <w:sz w:val="28"/>
          <w:szCs w:val="28"/>
        </w:rPr>
      </w:pPr>
    </w:p>
    <w:p w14:paraId="3900EE95" w14:textId="1D83A42E" w:rsidR="00394BCF" w:rsidRDefault="00067A07" w:rsidP="00394BCF">
      <w:pPr>
        <w:spacing w:after="0" w:line="360" w:lineRule="auto"/>
        <w:jc w:val="center"/>
        <w:rPr>
          <w:rFonts w:ascii="Times New Roman" w:eastAsia="Times New Roman" w:hAnsi="Times New Roman" w:cs="Times New Roman"/>
          <w:b/>
          <w:bCs/>
          <w:sz w:val="28"/>
          <w:szCs w:val="28"/>
        </w:rPr>
      </w:pPr>
      <w:r w:rsidRPr="00067A07">
        <w:rPr>
          <w:rFonts w:ascii="Times New Roman" w:eastAsia="Times New Roman" w:hAnsi="Times New Roman" w:cs="Times New Roman"/>
          <w:b/>
          <w:bCs/>
          <w:noProof/>
          <w:sz w:val="28"/>
          <w:szCs w:val="28"/>
          <w:lang w:val="en-IN"/>
        </w:rPr>
        <w:drawing>
          <wp:inline distT="0" distB="0" distL="0" distR="0" wp14:anchorId="5E3E42D0" wp14:editId="2230B743">
            <wp:extent cx="2898058" cy="102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08690" cy="1032474"/>
                    </a:xfrm>
                    <a:prstGeom prst="rect">
                      <a:avLst/>
                    </a:prstGeom>
                  </pic:spPr>
                </pic:pic>
              </a:graphicData>
            </a:graphic>
          </wp:inline>
        </w:drawing>
      </w:r>
    </w:p>
    <w:p w14:paraId="51E0E12A" w14:textId="6A784EF7" w:rsidR="00067A07" w:rsidRPr="00067A07" w:rsidRDefault="00067A07" w:rsidP="00067A07">
      <w:pPr>
        <w:spacing w:after="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name:</w:t>
      </w:r>
      <w:r w:rsidR="00A64641">
        <w:rPr>
          <w:rFonts w:ascii="Times New Roman" w:eastAsia="Times New Roman" w:hAnsi="Times New Roman" w:cs="Times New Roman"/>
          <w:b/>
          <w:bCs/>
          <w:sz w:val="28"/>
          <w:szCs w:val="28"/>
        </w:rPr>
        <w:t xml:space="preserve"> Arkeshbhai Rajubhai Pansuriya</w:t>
      </w:r>
    </w:p>
    <w:p w14:paraId="7217E5CB" w14:textId="11EDA5B1" w:rsidR="00067A07" w:rsidRDefault="00067A07" w:rsidP="00067A07">
      <w:pPr>
        <w:spacing w:after="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ID number:</w:t>
      </w:r>
      <w:r w:rsidR="00A64641">
        <w:rPr>
          <w:rFonts w:ascii="Times New Roman" w:eastAsia="Times New Roman" w:hAnsi="Times New Roman" w:cs="Times New Roman"/>
          <w:b/>
          <w:bCs/>
          <w:sz w:val="28"/>
          <w:szCs w:val="28"/>
        </w:rPr>
        <w:t xml:space="preserve"> 2529488</w:t>
      </w:r>
    </w:p>
    <w:p w14:paraId="0B601554" w14:textId="77777777" w:rsidR="00067A07" w:rsidRPr="00067A07" w:rsidRDefault="00067A07" w:rsidP="00067A07">
      <w:pPr>
        <w:spacing w:after="0" w:line="360" w:lineRule="auto"/>
        <w:jc w:val="center"/>
        <w:rPr>
          <w:rFonts w:ascii="Times New Roman" w:eastAsia="Times New Roman" w:hAnsi="Times New Roman" w:cs="Times New Roman"/>
          <w:b/>
          <w:bCs/>
          <w:sz w:val="28"/>
          <w:szCs w:val="28"/>
        </w:rPr>
      </w:pPr>
    </w:p>
    <w:p w14:paraId="19D77FE1" w14:textId="77777777" w:rsidR="00067A07" w:rsidRPr="00067A07" w:rsidRDefault="00067A07" w:rsidP="00067A07">
      <w:pPr>
        <w:spacing w:after="0" w:line="360" w:lineRule="auto"/>
        <w:jc w:val="center"/>
        <w:rPr>
          <w:rFonts w:ascii="Times New Roman" w:eastAsia="Times New Roman" w:hAnsi="Times New Roman" w:cs="Times New Roman"/>
          <w:b/>
          <w:bCs/>
          <w:sz w:val="28"/>
          <w:szCs w:val="28"/>
        </w:rPr>
      </w:pPr>
      <w:r w:rsidRPr="00067A07">
        <w:rPr>
          <w:rFonts w:ascii="Times New Roman" w:eastAsia="Times New Roman" w:hAnsi="Times New Roman" w:cs="Times New Roman"/>
          <w:b/>
          <w:bCs/>
          <w:sz w:val="28"/>
          <w:szCs w:val="28"/>
        </w:rPr>
        <w:t>Programme: Master of Business Administration</w:t>
      </w:r>
    </w:p>
    <w:p w14:paraId="05B8534B" w14:textId="77777777" w:rsidR="00067A07" w:rsidRDefault="00067A07" w:rsidP="00067A07">
      <w:pPr>
        <w:spacing w:after="0" w:line="360" w:lineRule="auto"/>
        <w:jc w:val="center"/>
        <w:rPr>
          <w:rFonts w:ascii="Times New Roman" w:eastAsia="Times New Roman" w:hAnsi="Times New Roman" w:cs="Times New Roman"/>
          <w:b/>
          <w:bCs/>
          <w:sz w:val="28"/>
          <w:szCs w:val="28"/>
        </w:rPr>
      </w:pPr>
    </w:p>
    <w:p w14:paraId="7B519A33" w14:textId="77777777" w:rsidR="00067A07" w:rsidRPr="00067A07" w:rsidRDefault="00067A07" w:rsidP="00067A07">
      <w:pPr>
        <w:spacing w:after="0" w:line="360" w:lineRule="auto"/>
        <w:jc w:val="center"/>
        <w:rPr>
          <w:rFonts w:ascii="Times New Roman" w:eastAsia="Times New Roman" w:hAnsi="Times New Roman" w:cs="Times New Roman"/>
          <w:b/>
          <w:bCs/>
          <w:sz w:val="28"/>
          <w:szCs w:val="28"/>
        </w:rPr>
      </w:pPr>
      <w:r w:rsidRPr="00067A07">
        <w:rPr>
          <w:rFonts w:ascii="Times New Roman" w:eastAsia="Times New Roman" w:hAnsi="Times New Roman" w:cs="Times New Roman"/>
          <w:b/>
          <w:bCs/>
          <w:sz w:val="28"/>
          <w:szCs w:val="28"/>
        </w:rPr>
        <w:t>Module: International Marketing: Principles and Practices</w:t>
      </w:r>
    </w:p>
    <w:p w14:paraId="72501812" w14:textId="77777777" w:rsidR="00067A07" w:rsidRDefault="00067A07" w:rsidP="00067A07">
      <w:pPr>
        <w:spacing w:after="0" w:line="360" w:lineRule="auto"/>
        <w:jc w:val="center"/>
        <w:rPr>
          <w:rFonts w:ascii="Times New Roman" w:eastAsia="Times New Roman" w:hAnsi="Times New Roman" w:cs="Times New Roman"/>
          <w:b/>
          <w:bCs/>
          <w:sz w:val="28"/>
          <w:szCs w:val="28"/>
        </w:rPr>
      </w:pPr>
    </w:p>
    <w:p w14:paraId="23ED6BB7" w14:textId="135DA71D" w:rsidR="00067A07" w:rsidRPr="00067A07" w:rsidRDefault="00067A07" w:rsidP="00067A07">
      <w:pPr>
        <w:spacing w:after="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Module code: LCMB7026</w:t>
      </w:r>
    </w:p>
    <w:p w14:paraId="31645CFD" w14:textId="77777777" w:rsidR="00067A07" w:rsidRDefault="00067A07" w:rsidP="00067A07">
      <w:pPr>
        <w:spacing w:after="0" w:line="360" w:lineRule="auto"/>
        <w:jc w:val="center"/>
        <w:rPr>
          <w:rFonts w:ascii="Times New Roman" w:eastAsia="Times New Roman" w:hAnsi="Times New Roman" w:cs="Times New Roman"/>
          <w:b/>
          <w:bCs/>
          <w:sz w:val="28"/>
          <w:szCs w:val="28"/>
        </w:rPr>
      </w:pPr>
    </w:p>
    <w:p w14:paraId="4FF9524F" w14:textId="69D12026" w:rsidR="00067A07" w:rsidRPr="00067A07" w:rsidRDefault="00067A07" w:rsidP="00067A07">
      <w:pPr>
        <w:spacing w:after="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Lecturer: Tushara Balendran (London), Dian Mayasari (Birmingham)</w:t>
      </w:r>
    </w:p>
    <w:p w14:paraId="3BABE815" w14:textId="0D1F360E" w:rsidR="00067A07" w:rsidRPr="00067A07" w:rsidRDefault="00067A07" w:rsidP="00067A07">
      <w:pPr>
        <w:spacing w:after="0" w:line="360" w:lineRule="auto"/>
        <w:jc w:val="center"/>
        <w:rPr>
          <w:rFonts w:ascii="Times New Roman" w:eastAsia="Times New Roman" w:hAnsi="Times New Roman" w:cs="Times New Roman"/>
          <w:b/>
          <w:bCs/>
          <w:sz w:val="28"/>
          <w:szCs w:val="28"/>
        </w:rPr>
      </w:pPr>
      <w:r w:rsidRPr="00067A07">
        <w:rPr>
          <w:rFonts w:ascii="Times New Roman" w:eastAsia="Times New Roman" w:hAnsi="Times New Roman" w:cs="Times New Roman"/>
          <w:b/>
          <w:bCs/>
          <w:sz w:val="28"/>
          <w:szCs w:val="28"/>
        </w:rPr>
        <w:t>Internal Ve</w:t>
      </w:r>
      <w:r>
        <w:rPr>
          <w:rFonts w:ascii="Times New Roman" w:eastAsia="Times New Roman" w:hAnsi="Times New Roman" w:cs="Times New Roman"/>
          <w:b/>
          <w:bCs/>
          <w:sz w:val="28"/>
          <w:szCs w:val="28"/>
        </w:rPr>
        <w:t>rifier: Vasilios Tavlaridis, Hoang Nguyen</w:t>
      </w:r>
    </w:p>
    <w:p w14:paraId="15748022" w14:textId="77777777" w:rsidR="00067A07" w:rsidRDefault="00067A07" w:rsidP="00067A07">
      <w:pPr>
        <w:spacing w:after="0" w:line="360" w:lineRule="auto"/>
        <w:jc w:val="center"/>
        <w:rPr>
          <w:rFonts w:ascii="Times New Roman" w:eastAsia="Times New Roman" w:hAnsi="Times New Roman" w:cs="Times New Roman"/>
          <w:b/>
          <w:bCs/>
          <w:sz w:val="28"/>
          <w:szCs w:val="28"/>
        </w:rPr>
      </w:pPr>
    </w:p>
    <w:p w14:paraId="57C81713" w14:textId="77777777" w:rsidR="00067A07" w:rsidRPr="00067A07" w:rsidRDefault="00067A07" w:rsidP="00067A07">
      <w:pPr>
        <w:spacing w:after="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Assessment component 1: </w:t>
      </w:r>
      <w:r w:rsidRPr="00067A07">
        <w:rPr>
          <w:rFonts w:ascii="Times New Roman" w:eastAsia="Times New Roman" w:hAnsi="Times New Roman" w:cs="Times New Roman"/>
          <w:b/>
          <w:bCs/>
          <w:sz w:val="28"/>
          <w:szCs w:val="28"/>
        </w:rPr>
        <w:t>Individual report</w:t>
      </w:r>
    </w:p>
    <w:p w14:paraId="322A2259" w14:textId="77777777" w:rsidR="00067A07" w:rsidRDefault="00067A07" w:rsidP="00067A07">
      <w:pPr>
        <w:spacing w:after="0" w:line="360" w:lineRule="auto"/>
        <w:jc w:val="center"/>
        <w:rPr>
          <w:rFonts w:ascii="Times New Roman" w:eastAsia="Times New Roman" w:hAnsi="Times New Roman" w:cs="Times New Roman"/>
          <w:b/>
          <w:bCs/>
          <w:sz w:val="28"/>
          <w:szCs w:val="28"/>
        </w:rPr>
      </w:pPr>
    </w:p>
    <w:p w14:paraId="05CEA9F1" w14:textId="77777777" w:rsidR="00067A07" w:rsidRPr="00067A07" w:rsidRDefault="00067A07" w:rsidP="00067A07">
      <w:pPr>
        <w:spacing w:after="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Assignment </w:t>
      </w:r>
      <w:r w:rsidRPr="00067A07">
        <w:rPr>
          <w:rFonts w:ascii="Times New Roman" w:eastAsia="Times New Roman" w:hAnsi="Times New Roman" w:cs="Times New Roman"/>
          <w:b/>
          <w:bCs/>
          <w:sz w:val="28"/>
          <w:szCs w:val="28"/>
        </w:rPr>
        <w:t>Title:</w:t>
      </w:r>
      <w:r>
        <w:rPr>
          <w:rFonts w:ascii="Times New Roman" w:eastAsia="Times New Roman" w:hAnsi="Times New Roman" w:cs="Times New Roman"/>
          <w:b/>
          <w:bCs/>
          <w:sz w:val="28"/>
          <w:szCs w:val="28"/>
        </w:rPr>
        <w:t xml:space="preserve"> </w:t>
      </w:r>
      <w:r w:rsidRPr="00067A07">
        <w:rPr>
          <w:rFonts w:ascii="Times New Roman" w:eastAsia="Times New Roman" w:hAnsi="Times New Roman" w:cs="Times New Roman"/>
          <w:b/>
          <w:bCs/>
          <w:sz w:val="28"/>
          <w:szCs w:val="28"/>
        </w:rPr>
        <w:t>International Marketing: Principles and Practices</w:t>
      </w:r>
    </w:p>
    <w:p w14:paraId="296336CA" w14:textId="645A2B89" w:rsidR="00067A07" w:rsidRPr="00067A07" w:rsidRDefault="00067A07" w:rsidP="00067A07">
      <w:pPr>
        <w:spacing w:after="0" w:line="360" w:lineRule="auto"/>
        <w:jc w:val="center"/>
        <w:rPr>
          <w:rFonts w:ascii="Times New Roman" w:eastAsia="Times New Roman" w:hAnsi="Times New Roman" w:cs="Times New Roman"/>
          <w:b/>
          <w:bCs/>
          <w:sz w:val="28"/>
          <w:szCs w:val="28"/>
        </w:rPr>
      </w:pPr>
      <w:r w:rsidRPr="00067A07">
        <w:rPr>
          <w:rFonts w:ascii="Times New Roman" w:eastAsia="Times New Roman" w:hAnsi="Times New Roman" w:cs="Times New Roman"/>
          <w:b/>
          <w:bCs/>
          <w:sz w:val="28"/>
          <w:szCs w:val="28"/>
        </w:rPr>
        <w:t>Toyota</w:t>
      </w:r>
    </w:p>
    <w:p w14:paraId="5E39A3E5" w14:textId="77777777" w:rsidR="00067A07" w:rsidRPr="00067A07" w:rsidRDefault="00067A07" w:rsidP="00067A07">
      <w:pPr>
        <w:spacing w:after="0" w:line="360" w:lineRule="auto"/>
        <w:rPr>
          <w:rFonts w:ascii="Times New Roman" w:eastAsia="Times New Roman" w:hAnsi="Times New Roman" w:cs="Times New Roman"/>
          <w:b/>
          <w:bCs/>
          <w:sz w:val="28"/>
          <w:szCs w:val="28"/>
        </w:rPr>
      </w:pPr>
    </w:p>
    <w:p w14:paraId="105B912E" w14:textId="77777777" w:rsidR="00067A07" w:rsidRPr="00067A07" w:rsidRDefault="00067A07" w:rsidP="00067A07">
      <w:pPr>
        <w:spacing w:after="0" w:line="360" w:lineRule="auto"/>
        <w:rPr>
          <w:rFonts w:ascii="Times New Roman" w:eastAsia="Times New Roman" w:hAnsi="Times New Roman" w:cs="Times New Roman"/>
          <w:b/>
          <w:bCs/>
          <w:sz w:val="28"/>
          <w:szCs w:val="28"/>
        </w:rPr>
      </w:pPr>
    </w:p>
    <w:p w14:paraId="6AA39D1A" w14:textId="4C132B42" w:rsidR="008C199D" w:rsidRPr="00394BCF" w:rsidRDefault="00DB6CD2" w:rsidP="00067A07">
      <w:pPr>
        <w:spacing w:after="0" w:line="360" w:lineRule="auto"/>
        <w:rPr>
          <w:rFonts w:ascii="Times New Roman" w:eastAsia="Times New Roman" w:hAnsi="Times New Roman" w:cs="Times New Roman"/>
          <w:sz w:val="24"/>
          <w:szCs w:val="24"/>
        </w:rPr>
      </w:pPr>
      <w:r w:rsidRPr="00394BCF">
        <w:rPr>
          <w:rFonts w:ascii="Times New Roman" w:hAnsi="Times New Roman" w:cs="Times New Roman"/>
          <w:sz w:val="24"/>
          <w:szCs w:val="24"/>
        </w:rPr>
        <w:br w:type="page"/>
      </w:r>
    </w:p>
    <w:p w14:paraId="21CEDA45"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lastRenderedPageBreak/>
        <w:t>Table of Contents</w:t>
      </w:r>
    </w:p>
    <w:sdt>
      <w:sdtPr>
        <w:rPr>
          <w:rFonts w:ascii="Times New Roman" w:hAnsi="Times New Roman" w:cs="Times New Roman"/>
          <w:sz w:val="24"/>
          <w:szCs w:val="24"/>
        </w:rPr>
        <w:id w:val="-1310914029"/>
        <w:docPartObj>
          <w:docPartGallery w:val="Table of Contents"/>
          <w:docPartUnique/>
        </w:docPartObj>
      </w:sdtPr>
      <w:sdtEndPr/>
      <w:sdtContent>
        <w:p w14:paraId="17984B28" w14:textId="77777777" w:rsidR="008C199D" w:rsidRPr="00394BCF" w:rsidRDefault="00DB6CD2"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r w:rsidRPr="00394BCF">
            <w:rPr>
              <w:rFonts w:ascii="Times New Roman" w:hAnsi="Times New Roman" w:cs="Times New Roman"/>
              <w:sz w:val="24"/>
              <w:szCs w:val="24"/>
            </w:rPr>
            <w:fldChar w:fldCharType="begin"/>
          </w:r>
          <w:r w:rsidRPr="00394BCF">
            <w:rPr>
              <w:rFonts w:ascii="Times New Roman" w:hAnsi="Times New Roman" w:cs="Times New Roman"/>
              <w:sz w:val="24"/>
              <w:szCs w:val="24"/>
            </w:rPr>
            <w:instrText xml:space="preserve"> TOC \h \u \z \t "Heading 1,1,Heading 2,2,Heading 3,3,Heading 4,4,Heading 5,5,Heading 6,6,"</w:instrText>
          </w:r>
          <w:r w:rsidRPr="00394BCF">
            <w:rPr>
              <w:rFonts w:ascii="Times New Roman" w:hAnsi="Times New Roman" w:cs="Times New Roman"/>
              <w:sz w:val="24"/>
              <w:szCs w:val="24"/>
            </w:rPr>
            <w:fldChar w:fldCharType="separate"/>
          </w:r>
          <w:hyperlink w:anchor="_heading=h.71jjgeaq0znr">
            <w:r w:rsidRPr="00394BCF">
              <w:rPr>
                <w:rFonts w:ascii="Times New Roman" w:eastAsia="Times New Roman" w:hAnsi="Times New Roman" w:cs="Times New Roman"/>
                <w:b/>
                <w:bCs/>
                <w:color w:val="000000"/>
                <w:sz w:val="24"/>
                <w:szCs w:val="24"/>
              </w:rPr>
              <w:t>1.0 Introduction</w:t>
            </w:r>
            <w:r w:rsidRPr="00394BCF">
              <w:rPr>
                <w:rFonts w:ascii="Times New Roman" w:eastAsia="Times New Roman" w:hAnsi="Times New Roman" w:cs="Times New Roman"/>
                <w:b/>
                <w:bCs/>
                <w:color w:val="000000"/>
                <w:sz w:val="24"/>
                <w:szCs w:val="24"/>
              </w:rPr>
              <w:tab/>
              <w:t>3</w:t>
            </w:r>
          </w:hyperlink>
        </w:p>
        <w:p w14:paraId="4887F8F3"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8psgg01a61pi">
            <w:r w:rsidR="00DB6CD2" w:rsidRPr="00394BCF">
              <w:rPr>
                <w:rFonts w:ascii="Times New Roman" w:eastAsia="Times New Roman" w:hAnsi="Times New Roman" w:cs="Times New Roman"/>
                <w:b/>
                <w:bCs/>
                <w:color w:val="000000"/>
                <w:sz w:val="24"/>
                <w:szCs w:val="24"/>
              </w:rPr>
              <w:t>Section 1</w:t>
            </w:r>
            <w:r w:rsidR="00DB6CD2" w:rsidRPr="00394BCF">
              <w:rPr>
                <w:rFonts w:ascii="Times New Roman" w:eastAsia="Times New Roman" w:hAnsi="Times New Roman" w:cs="Times New Roman"/>
                <w:b/>
                <w:bCs/>
                <w:color w:val="000000"/>
                <w:sz w:val="24"/>
                <w:szCs w:val="24"/>
              </w:rPr>
              <w:tab/>
              <w:t>3</w:t>
            </w:r>
          </w:hyperlink>
        </w:p>
        <w:p w14:paraId="23665DB1"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2jpkgsw6cbo1">
            <w:r w:rsidR="00DB6CD2" w:rsidRPr="00394BCF">
              <w:rPr>
                <w:rFonts w:ascii="Times New Roman" w:eastAsia="Times New Roman" w:hAnsi="Times New Roman" w:cs="Times New Roman"/>
                <w:b/>
                <w:bCs/>
                <w:color w:val="000000"/>
                <w:sz w:val="24"/>
                <w:szCs w:val="24"/>
              </w:rPr>
              <w:t>2.0 Comparative Analysis of Toyota's Market in Japan and India</w:t>
            </w:r>
            <w:r w:rsidR="00DB6CD2" w:rsidRPr="00394BCF">
              <w:rPr>
                <w:rFonts w:ascii="Times New Roman" w:eastAsia="Times New Roman" w:hAnsi="Times New Roman" w:cs="Times New Roman"/>
                <w:b/>
                <w:bCs/>
                <w:color w:val="000000"/>
                <w:sz w:val="24"/>
                <w:szCs w:val="24"/>
              </w:rPr>
              <w:tab/>
              <w:t>3</w:t>
            </w:r>
          </w:hyperlink>
        </w:p>
        <w:p w14:paraId="292519DB"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gmdadu5dsmhf">
            <w:r w:rsidR="00DB6CD2" w:rsidRPr="00394BCF">
              <w:rPr>
                <w:rFonts w:ascii="Times New Roman" w:eastAsia="Times New Roman" w:hAnsi="Times New Roman" w:cs="Times New Roman"/>
                <w:color w:val="000000"/>
                <w:sz w:val="24"/>
                <w:szCs w:val="24"/>
              </w:rPr>
              <w:t>2.1 PESTEL Analysis</w:t>
            </w:r>
            <w:r w:rsidR="00DB6CD2" w:rsidRPr="00394BCF">
              <w:rPr>
                <w:rFonts w:ascii="Times New Roman" w:eastAsia="Times New Roman" w:hAnsi="Times New Roman" w:cs="Times New Roman"/>
                <w:color w:val="000000"/>
                <w:sz w:val="24"/>
                <w:szCs w:val="24"/>
              </w:rPr>
              <w:tab/>
              <w:t>3</w:t>
            </w:r>
          </w:hyperlink>
        </w:p>
        <w:p w14:paraId="0F5DB623"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a48r5p7nt4dm">
            <w:r w:rsidR="00DB6CD2" w:rsidRPr="00394BCF">
              <w:rPr>
                <w:rFonts w:ascii="Times New Roman" w:eastAsia="Times New Roman" w:hAnsi="Times New Roman" w:cs="Times New Roman"/>
                <w:color w:val="000000"/>
                <w:sz w:val="24"/>
                <w:szCs w:val="24"/>
              </w:rPr>
              <w:t>2.2 Hofstede Cultural Comparison</w:t>
            </w:r>
            <w:r w:rsidR="00DB6CD2" w:rsidRPr="00394BCF">
              <w:rPr>
                <w:rFonts w:ascii="Times New Roman" w:eastAsia="Times New Roman" w:hAnsi="Times New Roman" w:cs="Times New Roman"/>
                <w:color w:val="000000"/>
                <w:sz w:val="24"/>
                <w:szCs w:val="24"/>
              </w:rPr>
              <w:tab/>
              <w:t>7</w:t>
            </w:r>
          </w:hyperlink>
        </w:p>
        <w:p w14:paraId="19210C72"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3zgmvrdvkpfg">
            <w:r w:rsidR="00DB6CD2" w:rsidRPr="00394BCF">
              <w:rPr>
                <w:rFonts w:ascii="Times New Roman" w:eastAsia="Times New Roman" w:hAnsi="Times New Roman" w:cs="Times New Roman"/>
                <w:b/>
                <w:bCs/>
                <w:color w:val="000000"/>
                <w:sz w:val="24"/>
                <w:szCs w:val="24"/>
              </w:rPr>
              <w:t>3.0 Comparative Analysis of STP and International Marketing Mix (7Ps)</w:t>
            </w:r>
            <w:r w:rsidR="00DB6CD2" w:rsidRPr="00394BCF">
              <w:rPr>
                <w:rFonts w:ascii="Times New Roman" w:eastAsia="Times New Roman" w:hAnsi="Times New Roman" w:cs="Times New Roman"/>
                <w:b/>
                <w:bCs/>
                <w:color w:val="000000"/>
                <w:sz w:val="24"/>
                <w:szCs w:val="24"/>
              </w:rPr>
              <w:tab/>
              <w:t>9</w:t>
            </w:r>
          </w:hyperlink>
        </w:p>
        <w:p w14:paraId="23E73FF1"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2peoxxj9so9h">
            <w:r w:rsidR="00DB6CD2" w:rsidRPr="00394BCF">
              <w:rPr>
                <w:rFonts w:ascii="Times New Roman" w:eastAsia="Times New Roman" w:hAnsi="Times New Roman" w:cs="Times New Roman"/>
                <w:color w:val="000000"/>
                <w:sz w:val="24"/>
                <w:szCs w:val="24"/>
              </w:rPr>
              <w:t>3.1 Segmentation Strategy</w:t>
            </w:r>
            <w:r w:rsidR="00DB6CD2" w:rsidRPr="00394BCF">
              <w:rPr>
                <w:rFonts w:ascii="Times New Roman" w:eastAsia="Times New Roman" w:hAnsi="Times New Roman" w:cs="Times New Roman"/>
                <w:color w:val="000000"/>
                <w:sz w:val="24"/>
                <w:szCs w:val="24"/>
              </w:rPr>
              <w:tab/>
              <w:t>9</w:t>
            </w:r>
          </w:hyperlink>
        </w:p>
        <w:p w14:paraId="798CC1CF"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f01wuynzg61n">
            <w:r w:rsidR="00DB6CD2" w:rsidRPr="00394BCF">
              <w:rPr>
                <w:rFonts w:ascii="Times New Roman" w:eastAsia="Times New Roman" w:hAnsi="Times New Roman" w:cs="Times New Roman"/>
                <w:color w:val="000000"/>
                <w:sz w:val="24"/>
                <w:szCs w:val="24"/>
              </w:rPr>
              <w:t>3.2 Targeting Strategy</w:t>
            </w:r>
            <w:r w:rsidR="00DB6CD2" w:rsidRPr="00394BCF">
              <w:rPr>
                <w:rFonts w:ascii="Times New Roman" w:eastAsia="Times New Roman" w:hAnsi="Times New Roman" w:cs="Times New Roman"/>
                <w:color w:val="000000"/>
                <w:sz w:val="24"/>
                <w:szCs w:val="24"/>
              </w:rPr>
              <w:tab/>
              <w:t>9</w:t>
            </w:r>
          </w:hyperlink>
        </w:p>
        <w:p w14:paraId="27F42A6C"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n4k1odi9egm0">
            <w:r w:rsidR="00DB6CD2" w:rsidRPr="00394BCF">
              <w:rPr>
                <w:rFonts w:ascii="Times New Roman" w:eastAsia="Times New Roman" w:hAnsi="Times New Roman" w:cs="Times New Roman"/>
                <w:color w:val="000000"/>
                <w:sz w:val="24"/>
                <w:szCs w:val="24"/>
              </w:rPr>
              <w:t>3.3 Positioning Strategy</w:t>
            </w:r>
            <w:r w:rsidR="00DB6CD2" w:rsidRPr="00394BCF">
              <w:rPr>
                <w:rFonts w:ascii="Times New Roman" w:eastAsia="Times New Roman" w:hAnsi="Times New Roman" w:cs="Times New Roman"/>
                <w:color w:val="000000"/>
                <w:sz w:val="24"/>
                <w:szCs w:val="24"/>
              </w:rPr>
              <w:tab/>
              <w:t>10</w:t>
            </w:r>
          </w:hyperlink>
        </w:p>
        <w:p w14:paraId="5D0C2D66"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l6xvfqriunm9">
            <w:r w:rsidR="00DB6CD2" w:rsidRPr="00394BCF">
              <w:rPr>
                <w:rFonts w:ascii="Times New Roman" w:eastAsia="Times New Roman" w:hAnsi="Times New Roman" w:cs="Times New Roman"/>
                <w:b/>
                <w:bCs/>
                <w:color w:val="000000"/>
                <w:sz w:val="24"/>
                <w:szCs w:val="24"/>
              </w:rPr>
              <w:t>4.0 Comparative Analysis of the International Marketing Mix (7Ps)</w:t>
            </w:r>
            <w:r w:rsidR="00DB6CD2" w:rsidRPr="00394BCF">
              <w:rPr>
                <w:rFonts w:ascii="Times New Roman" w:eastAsia="Times New Roman" w:hAnsi="Times New Roman" w:cs="Times New Roman"/>
                <w:b/>
                <w:bCs/>
                <w:color w:val="000000"/>
                <w:sz w:val="24"/>
                <w:szCs w:val="24"/>
              </w:rPr>
              <w:tab/>
              <w:t>11</w:t>
            </w:r>
          </w:hyperlink>
        </w:p>
        <w:p w14:paraId="37369CCA"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yzrq3ox9004f">
            <w:r w:rsidR="00DB6CD2" w:rsidRPr="00394BCF">
              <w:rPr>
                <w:rFonts w:ascii="Times New Roman" w:eastAsia="Times New Roman" w:hAnsi="Times New Roman" w:cs="Times New Roman"/>
                <w:color w:val="000000"/>
                <w:sz w:val="24"/>
                <w:szCs w:val="24"/>
              </w:rPr>
              <w:t>4.1 Product Strategy</w:t>
            </w:r>
            <w:r w:rsidR="00DB6CD2" w:rsidRPr="00394BCF">
              <w:rPr>
                <w:rFonts w:ascii="Times New Roman" w:eastAsia="Times New Roman" w:hAnsi="Times New Roman" w:cs="Times New Roman"/>
                <w:color w:val="000000"/>
                <w:sz w:val="24"/>
                <w:szCs w:val="24"/>
              </w:rPr>
              <w:tab/>
              <w:t>11</w:t>
            </w:r>
          </w:hyperlink>
        </w:p>
        <w:p w14:paraId="4529B917"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ou9pxti80biw">
            <w:r w:rsidR="00DB6CD2" w:rsidRPr="00394BCF">
              <w:rPr>
                <w:rFonts w:ascii="Times New Roman" w:eastAsia="Times New Roman" w:hAnsi="Times New Roman" w:cs="Times New Roman"/>
                <w:color w:val="000000"/>
                <w:sz w:val="24"/>
                <w:szCs w:val="24"/>
              </w:rPr>
              <w:t>4.2 Price Strategy</w:t>
            </w:r>
            <w:r w:rsidR="00DB6CD2" w:rsidRPr="00394BCF">
              <w:rPr>
                <w:rFonts w:ascii="Times New Roman" w:eastAsia="Times New Roman" w:hAnsi="Times New Roman" w:cs="Times New Roman"/>
                <w:color w:val="000000"/>
                <w:sz w:val="24"/>
                <w:szCs w:val="24"/>
              </w:rPr>
              <w:tab/>
              <w:t>12</w:t>
            </w:r>
          </w:hyperlink>
        </w:p>
        <w:p w14:paraId="6CAE7AAC"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h0c7acg7b61a">
            <w:r w:rsidR="00DB6CD2" w:rsidRPr="00394BCF">
              <w:rPr>
                <w:rFonts w:ascii="Times New Roman" w:eastAsia="Times New Roman" w:hAnsi="Times New Roman" w:cs="Times New Roman"/>
                <w:color w:val="000000"/>
                <w:sz w:val="24"/>
                <w:szCs w:val="24"/>
              </w:rPr>
              <w:t>4.3 Place Strategy</w:t>
            </w:r>
            <w:r w:rsidR="00DB6CD2" w:rsidRPr="00394BCF">
              <w:rPr>
                <w:rFonts w:ascii="Times New Roman" w:eastAsia="Times New Roman" w:hAnsi="Times New Roman" w:cs="Times New Roman"/>
                <w:color w:val="000000"/>
                <w:sz w:val="24"/>
                <w:szCs w:val="24"/>
              </w:rPr>
              <w:tab/>
              <w:t>13</w:t>
            </w:r>
          </w:hyperlink>
        </w:p>
        <w:p w14:paraId="7CA51815"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7132otqyvm9j">
            <w:r w:rsidR="00DB6CD2" w:rsidRPr="00394BCF">
              <w:rPr>
                <w:rFonts w:ascii="Times New Roman" w:eastAsia="Times New Roman" w:hAnsi="Times New Roman" w:cs="Times New Roman"/>
                <w:color w:val="000000"/>
                <w:sz w:val="24"/>
                <w:szCs w:val="24"/>
              </w:rPr>
              <w:t>4.4 Promotion Strategy</w:t>
            </w:r>
            <w:r w:rsidR="00DB6CD2" w:rsidRPr="00394BCF">
              <w:rPr>
                <w:rFonts w:ascii="Times New Roman" w:eastAsia="Times New Roman" w:hAnsi="Times New Roman" w:cs="Times New Roman"/>
                <w:color w:val="000000"/>
                <w:sz w:val="24"/>
                <w:szCs w:val="24"/>
              </w:rPr>
              <w:tab/>
              <w:t>13</w:t>
            </w:r>
          </w:hyperlink>
        </w:p>
        <w:p w14:paraId="6499EAB8"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f6kn83e2h0pt">
            <w:r w:rsidR="00DB6CD2" w:rsidRPr="00394BCF">
              <w:rPr>
                <w:rFonts w:ascii="Times New Roman" w:eastAsia="Times New Roman" w:hAnsi="Times New Roman" w:cs="Times New Roman"/>
                <w:color w:val="000000"/>
                <w:sz w:val="24"/>
                <w:szCs w:val="24"/>
              </w:rPr>
              <w:t>4.5 People Strategy</w:t>
            </w:r>
            <w:r w:rsidR="00DB6CD2" w:rsidRPr="00394BCF">
              <w:rPr>
                <w:rFonts w:ascii="Times New Roman" w:eastAsia="Times New Roman" w:hAnsi="Times New Roman" w:cs="Times New Roman"/>
                <w:color w:val="000000"/>
                <w:sz w:val="24"/>
                <w:szCs w:val="24"/>
              </w:rPr>
              <w:tab/>
              <w:t>15</w:t>
            </w:r>
          </w:hyperlink>
        </w:p>
        <w:p w14:paraId="7FCE6FE1"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9y8a7uow5cm9">
            <w:r w:rsidR="00DB6CD2" w:rsidRPr="00394BCF">
              <w:rPr>
                <w:rFonts w:ascii="Times New Roman" w:eastAsia="Times New Roman" w:hAnsi="Times New Roman" w:cs="Times New Roman"/>
                <w:color w:val="000000"/>
                <w:sz w:val="24"/>
                <w:szCs w:val="24"/>
              </w:rPr>
              <w:t>4.6 Process Strategy</w:t>
            </w:r>
            <w:r w:rsidR="00DB6CD2" w:rsidRPr="00394BCF">
              <w:rPr>
                <w:rFonts w:ascii="Times New Roman" w:eastAsia="Times New Roman" w:hAnsi="Times New Roman" w:cs="Times New Roman"/>
                <w:color w:val="000000"/>
                <w:sz w:val="24"/>
                <w:szCs w:val="24"/>
              </w:rPr>
              <w:tab/>
              <w:t>15</w:t>
            </w:r>
          </w:hyperlink>
        </w:p>
        <w:p w14:paraId="2DA6FF2E"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1whx3qkkt3go">
            <w:r w:rsidR="00DB6CD2" w:rsidRPr="00394BCF">
              <w:rPr>
                <w:rFonts w:ascii="Times New Roman" w:eastAsia="Times New Roman" w:hAnsi="Times New Roman" w:cs="Times New Roman"/>
                <w:color w:val="000000"/>
                <w:sz w:val="24"/>
                <w:szCs w:val="24"/>
              </w:rPr>
              <w:t>4.7 Physical Evidence Strategy</w:t>
            </w:r>
            <w:r w:rsidR="00DB6CD2" w:rsidRPr="00394BCF">
              <w:rPr>
                <w:rFonts w:ascii="Times New Roman" w:eastAsia="Times New Roman" w:hAnsi="Times New Roman" w:cs="Times New Roman"/>
                <w:color w:val="000000"/>
                <w:sz w:val="24"/>
                <w:szCs w:val="24"/>
              </w:rPr>
              <w:tab/>
              <w:t>16</w:t>
            </w:r>
          </w:hyperlink>
        </w:p>
        <w:p w14:paraId="7A9845AC"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a0ybfor5228">
            <w:r w:rsidR="00DB6CD2" w:rsidRPr="00394BCF">
              <w:rPr>
                <w:rFonts w:ascii="Times New Roman" w:eastAsia="Times New Roman" w:hAnsi="Times New Roman" w:cs="Times New Roman"/>
                <w:b/>
                <w:bCs/>
                <w:color w:val="000000"/>
                <w:sz w:val="24"/>
                <w:szCs w:val="24"/>
              </w:rPr>
              <w:t>5.0 Analysis of Toyota’s Market Entry Strategy in India</w:t>
            </w:r>
            <w:r w:rsidR="00DB6CD2" w:rsidRPr="00394BCF">
              <w:rPr>
                <w:rFonts w:ascii="Times New Roman" w:eastAsia="Times New Roman" w:hAnsi="Times New Roman" w:cs="Times New Roman"/>
                <w:b/>
                <w:bCs/>
                <w:color w:val="000000"/>
                <w:sz w:val="24"/>
                <w:szCs w:val="24"/>
              </w:rPr>
              <w:tab/>
              <w:t>17</w:t>
            </w:r>
          </w:hyperlink>
        </w:p>
        <w:p w14:paraId="3EB5E001"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4353jza5wkpc">
            <w:r w:rsidR="00DB6CD2" w:rsidRPr="00394BCF">
              <w:rPr>
                <w:rFonts w:ascii="Times New Roman" w:eastAsia="Times New Roman" w:hAnsi="Times New Roman" w:cs="Times New Roman"/>
                <w:b/>
                <w:bCs/>
                <w:color w:val="000000"/>
                <w:sz w:val="24"/>
                <w:szCs w:val="24"/>
              </w:rPr>
              <w:t>6.0 Ethical Issues Related to Toyota’s Marketing Mix in India</w:t>
            </w:r>
            <w:r w:rsidR="00DB6CD2" w:rsidRPr="00394BCF">
              <w:rPr>
                <w:rFonts w:ascii="Times New Roman" w:eastAsia="Times New Roman" w:hAnsi="Times New Roman" w:cs="Times New Roman"/>
                <w:b/>
                <w:bCs/>
                <w:color w:val="000000"/>
                <w:sz w:val="24"/>
                <w:szCs w:val="24"/>
              </w:rPr>
              <w:tab/>
              <w:t>17</w:t>
            </w:r>
          </w:hyperlink>
        </w:p>
        <w:p w14:paraId="625F5E67"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3dvchpadbj0f">
            <w:r w:rsidR="00DB6CD2" w:rsidRPr="00394BCF">
              <w:rPr>
                <w:rFonts w:ascii="Times New Roman" w:eastAsia="Times New Roman" w:hAnsi="Times New Roman" w:cs="Times New Roman"/>
                <w:b/>
                <w:bCs/>
                <w:color w:val="000000"/>
                <w:sz w:val="24"/>
                <w:szCs w:val="24"/>
              </w:rPr>
              <w:t>7.0 Recommendations for Toyota’s Future International Marketing Strategies</w:t>
            </w:r>
            <w:r w:rsidR="00DB6CD2" w:rsidRPr="00394BCF">
              <w:rPr>
                <w:rFonts w:ascii="Times New Roman" w:eastAsia="Times New Roman" w:hAnsi="Times New Roman" w:cs="Times New Roman"/>
                <w:b/>
                <w:bCs/>
                <w:color w:val="000000"/>
                <w:sz w:val="24"/>
                <w:szCs w:val="24"/>
              </w:rPr>
              <w:tab/>
              <w:t>18</w:t>
            </w:r>
          </w:hyperlink>
        </w:p>
        <w:p w14:paraId="7FB57FAA"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ba5b1mxjo6w5">
            <w:r w:rsidR="00DB6CD2" w:rsidRPr="00394BCF">
              <w:rPr>
                <w:rFonts w:ascii="Times New Roman" w:eastAsia="Times New Roman" w:hAnsi="Times New Roman" w:cs="Times New Roman"/>
                <w:b/>
                <w:bCs/>
                <w:color w:val="000000"/>
                <w:sz w:val="24"/>
                <w:szCs w:val="24"/>
              </w:rPr>
              <w:t>Section 2</w:t>
            </w:r>
            <w:r w:rsidR="00DB6CD2" w:rsidRPr="00394BCF">
              <w:rPr>
                <w:rFonts w:ascii="Times New Roman" w:eastAsia="Times New Roman" w:hAnsi="Times New Roman" w:cs="Times New Roman"/>
                <w:b/>
                <w:bCs/>
                <w:color w:val="000000"/>
                <w:sz w:val="24"/>
                <w:szCs w:val="24"/>
              </w:rPr>
              <w:tab/>
              <w:t>19</w:t>
            </w:r>
          </w:hyperlink>
        </w:p>
        <w:p w14:paraId="70EF8C53"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petz6qvkhdzp">
            <w:r w:rsidR="00DB6CD2" w:rsidRPr="00394BCF">
              <w:rPr>
                <w:rFonts w:ascii="Times New Roman" w:eastAsia="Times New Roman" w:hAnsi="Times New Roman" w:cs="Times New Roman"/>
                <w:color w:val="000000"/>
                <w:sz w:val="24"/>
                <w:szCs w:val="24"/>
              </w:rPr>
              <w:t>Introduction</w:t>
            </w:r>
            <w:r w:rsidR="00DB6CD2" w:rsidRPr="00394BCF">
              <w:rPr>
                <w:rFonts w:ascii="Times New Roman" w:eastAsia="Times New Roman" w:hAnsi="Times New Roman" w:cs="Times New Roman"/>
                <w:color w:val="000000"/>
                <w:sz w:val="24"/>
                <w:szCs w:val="24"/>
              </w:rPr>
              <w:tab/>
              <w:t>19</w:t>
            </w:r>
          </w:hyperlink>
        </w:p>
        <w:p w14:paraId="30E737D3"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g59ce1xrra8">
            <w:r w:rsidR="00DB6CD2" w:rsidRPr="00394BCF">
              <w:rPr>
                <w:rFonts w:ascii="Times New Roman" w:eastAsia="Times New Roman" w:hAnsi="Times New Roman" w:cs="Times New Roman"/>
                <w:color w:val="000000"/>
                <w:sz w:val="24"/>
                <w:szCs w:val="24"/>
              </w:rPr>
              <w:t>Description</w:t>
            </w:r>
            <w:r w:rsidR="00DB6CD2" w:rsidRPr="00394BCF">
              <w:rPr>
                <w:rFonts w:ascii="Times New Roman" w:eastAsia="Times New Roman" w:hAnsi="Times New Roman" w:cs="Times New Roman"/>
                <w:color w:val="000000"/>
                <w:sz w:val="24"/>
                <w:szCs w:val="24"/>
              </w:rPr>
              <w:tab/>
              <w:t>19</w:t>
            </w:r>
          </w:hyperlink>
        </w:p>
        <w:p w14:paraId="3155743E"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q1m6acw6h379">
            <w:r w:rsidR="00DB6CD2" w:rsidRPr="00394BCF">
              <w:rPr>
                <w:rFonts w:ascii="Times New Roman" w:eastAsia="Times New Roman" w:hAnsi="Times New Roman" w:cs="Times New Roman"/>
                <w:color w:val="000000"/>
                <w:sz w:val="24"/>
                <w:szCs w:val="24"/>
              </w:rPr>
              <w:t>Feelings</w:t>
            </w:r>
            <w:r w:rsidR="00DB6CD2" w:rsidRPr="00394BCF">
              <w:rPr>
                <w:rFonts w:ascii="Times New Roman" w:eastAsia="Times New Roman" w:hAnsi="Times New Roman" w:cs="Times New Roman"/>
                <w:color w:val="000000"/>
                <w:sz w:val="24"/>
                <w:szCs w:val="24"/>
              </w:rPr>
              <w:tab/>
              <w:t>19</w:t>
            </w:r>
          </w:hyperlink>
        </w:p>
        <w:p w14:paraId="36593927"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h0s9ixpu51iu">
            <w:r w:rsidR="00DB6CD2" w:rsidRPr="00394BCF">
              <w:rPr>
                <w:rFonts w:ascii="Times New Roman" w:eastAsia="Times New Roman" w:hAnsi="Times New Roman" w:cs="Times New Roman"/>
                <w:color w:val="000000"/>
                <w:sz w:val="24"/>
                <w:szCs w:val="24"/>
              </w:rPr>
              <w:t>Evaluation</w:t>
            </w:r>
            <w:r w:rsidR="00DB6CD2" w:rsidRPr="00394BCF">
              <w:rPr>
                <w:rFonts w:ascii="Times New Roman" w:eastAsia="Times New Roman" w:hAnsi="Times New Roman" w:cs="Times New Roman"/>
                <w:color w:val="000000"/>
                <w:sz w:val="24"/>
                <w:szCs w:val="24"/>
              </w:rPr>
              <w:tab/>
              <w:t>19</w:t>
            </w:r>
          </w:hyperlink>
        </w:p>
        <w:p w14:paraId="17F263B7"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vvvvxsh6sj5r">
            <w:r w:rsidR="00DB6CD2" w:rsidRPr="00394BCF">
              <w:rPr>
                <w:rFonts w:ascii="Times New Roman" w:eastAsia="Times New Roman" w:hAnsi="Times New Roman" w:cs="Times New Roman"/>
                <w:color w:val="000000"/>
                <w:sz w:val="24"/>
                <w:szCs w:val="24"/>
              </w:rPr>
              <w:t>Analysis</w:t>
            </w:r>
            <w:r w:rsidR="00DB6CD2" w:rsidRPr="00394BCF">
              <w:rPr>
                <w:rFonts w:ascii="Times New Roman" w:eastAsia="Times New Roman" w:hAnsi="Times New Roman" w:cs="Times New Roman"/>
                <w:color w:val="000000"/>
                <w:sz w:val="24"/>
                <w:szCs w:val="24"/>
              </w:rPr>
              <w:tab/>
              <w:t>20</w:t>
            </w:r>
          </w:hyperlink>
        </w:p>
        <w:p w14:paraId="48E80F17"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xm56y9wip34k">
            <w:r w:rsidR="00DB6CD2" w:rsidRPr="00394BCF">
              <w:rPr>
                <w:rFonts w:ascii="Times New Roman" w:eastAsia="Times New Roman" w:hAnsi="Times New Roman" w:cs="Times New Roman"/>
                <w:color w:val="000000"/>
                <w:sz w:val="24"/>
                <w:szCs w:val="24"/>
              </w:rPr>
              <w:t>Conclusion</w:t>
            </w:r>
            <w:r w:rsidR="00DB6CD2" w:rsidRPr="00394BCF">
              <w:rPr>
                <w:rFonts w:ascii="Times New Roman" w:eastAsia="Times New Roman" w:hAnsi="Times New Roman" w:cs="Times New Roman"/>
                <w:color w:val="000000"/>
                <w:sz w:val="24"/>
                <w:szCs w:val="24"/>
              </w:rPr>
              <w:tab/>
              <w:t>20</w:t>
            </w:r>
          </w:hyperlink>
        </w:p>
        <w:p w14:paraId="0997B442" w14:textId="77777777" w:rsidR="008C199D" w:rsidRPr="00394BCF" w:rsidRDefault="00B234C8" w:rsidP="00394BCF">
          <w:pPr>
            <w:widowControl w:val="0"/>
            <w:tabs>
              <w:tab w:val="right" w:pos="12000"/>
            </w:tabs>
            <w:spacing w:before="60" w:after="0" w:line="360" w:lineRule="auto"/>
            <w:ind w:left="360"/>
            <w:rPr>
              <w:rFonts w:ascii="Times New Roman" w:eastAsia="Times New Roman" w:hAnsi="Times New Roman" w:cs="Times New Roman"/>
              <w:color w:val="000000"/>
              <w:sz w:val="24"/>
              <w:szCs w:val="24"/>
            </w:rPr>
          </w:pPr>
          <w:hyperlink w:anchor="_heading=h.739b8wdghy7l">
            <w:r w:rsidR="00DB6CD2" w:rsidRPr="00394BCF">
              <w:rPr>
                <w:rFonts w:ascii="Times New Roman" w:eastAsia="Times New Roman" w:hAnsi="Times New Roman" w:cs="Times New Roman"/>
                <w:color w:val="000000"/>
                <w:sz w:val="24"/>
                <w:szCs w:val="24"/>
              </w:rPr>
              <w:t>Action Plan</w:t>
            </w:r>
            <w:r w:rsidR="00DB6CD2" w:rsidRPr="00394BCF">
              <w:rPr>
                <w:rFonts w:ascii="Times New Roman" w:eastAsia="Times New Roman" w:hAnsi="Times New Roman" w:cs="Times New Roman"/>
                <w:color w:val="000000"/>
                <w:sz w:val="24"/>
                <w:szCs w:val="24"/>
              </w:rPr>
              <w:tab/>
              <w:t>20</w:t>
            </w:r>
          </w:hyperlink>
        </w:p>
        <w:p w14:paraId="1BEB05B8"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42f0tm8l24v7">
            <w:r w:rsidR="00DB6CD2" w:rsidRPr="00394BCF">
              <w:rPr>
                <w:rFonts w:ascii="Times New Roman" w:eastAsia="Times New Roman" w:hAnsi="Times New Roman" w:cs="Times New Roman"/>
                <w:b/>
                <w:bCs/>
                <w:color w:val="000000"/>
                <w:sz w:val="24"/>
                <w:szCs w:val="24"/>
              </w:rPr>
              <w:t>8.0 Conclusion</w:t>
            </w:r>
            <w:r w:rsidR="00DB6CD2" w:rsidRPr="00394BCF">
              <w:rPr>
                <w:rFonts w:ascii="Times New Roman" w:eastAsia="Times New Roman" w:hAnsi="Times New Roman" w:cs="Times New Roman"/>
                <w:b/>
                <w:bCs/>
                <w:color w:val="000000"/>
                <w:sz w:val="24"/>
                <w:szCs w:val="24"/>
              </w:rPr>
              <w:tab/>
              <w:t>21</w:t>
            </w:r>
          </w:hyperlink>
        </w:p>
        <w:p w14:paraId="22473119" w14:textId="77777777" w:rsidR="008C199D" w:rsidRPr="00394BCF" w:rsidRDefault="00B234C8" w:rsidP="00394BCF">
          <w:pPr>
            <w:widowControl w:val="0"/>
            <w:tabs>
              <w:tab w:val="right" w:pos="12000"/>
            </w:tabs>
            <w:spacing w:before="60" w:after="0" w:line="360" w:lineRule="auto"/>
            <w:rPr>
              <w:rFonts w:ascii="Times New Roman" w:eastAsia="Times New Roman" w:hAnsi="Times New Roman" w:cs="Times New Roman"/>
              <w:b/>
              <w:bCs/>
              <w:color w:val="000000"/>
              <w:sz w:val="24"/>
              <w:szCs w:val="24"/>
            </w:rPr>
          </w:pPr>
          <w:hyperlink w:anchor="_heading=h.93xdk1gp78mp">
            <w:r w:rsidR="00DB6CD2" w:rsidRPr="00394BCF">
              <w:rPr>
                <w:rFonts w:ascii="Times New Roman" w:eastAsia="Times New Roman" w:hAnsi="Times New Roman" w:cs="Times New Roman"/>
                <w:b/>
                <w:bCs/>
                <w:color w:val="000000"/>
                <w:sz w:val="24"/>
                <w:szCs w:val="24"/>
              </w:rPr>
              <w:t>References</w:t>
            </w:r>
            <w:r w:rsidR="00DB6CD2" w:rsidRPr="00394BCF">
              <w:rPr>
                <w:rFonts w:ascii="Times New Roman" w:eastAsia="Times New Roman" w:hAnsi="Times New Roman" w:cs="Times New Roman"/>
                <w:b/>
                <w:bCs/>
                <w:color w:val="000000"/>
                <w:sz w:val="24"/>
                <w:szCs w:val="24"/>
              </w:rPr>
              <w:tab/>
              <w:t>22</w:t>
            </w:r>
          </w:hyperlink>
          <w:r w:rsidR="00DB6CD2" w:rsidRPr="00394BCF">
            <w:rPr>
              <w:rFonts w:ascii="Times New Roman" w:hAnsi="Times New Roman" w:cs="Times New Roman"/>
              <w:sz w:val="24"/>
              <w:szCs w:val="24"/>
            </w:rPr>
            <w:fldChar w:fldCharType="end"/>
          </w:r>
        </w:p>
      </w:sdtContent>
    </w:sdt>
    <w:p w14:paraId="203349FA"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hAnsi="Times New Roman" w:cs="Times New Roman"/>
          <w:sz w:val="24"/>
          <w:szCs w:val="24"/>
        </w:rPr>
        <w:br w:type="page"/>
      </w:r>
    </w:p>
    <w:p w14:paraId="6AA9B0A4" w14:textId="77777777" w:rsidR="008C199D" w:rsidRPr="00394BCF" w:rsidRDefault="00DB6CD2" w:rsidP="00394BCF">
      <w:pPr>
        <w:pStyle w:val="Heading1"/>
        <w:keepNext w:val="0"/>
        <w:keepLines w:val="0"/>
      </w:pPr>
      <w:bookmarkStart w:id="0" w:name="_heading=h.71jjgeaq0znr" w:colFirst="0" w:colLast="0"/>
      <w:bookmarkEnd w:id="0"/>
      <w:r w:rsidRPr="00394BCF">
        <w:lastRenderedPageBreak/>
        <w:t xml:space="preserve">1.0 Introduction  </w:t>
      </w:r>
    </w:p>
    <w:p w14:paraId="0AEA85F5"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This analysis examines Toyota’s international marketing strategies in Japan and India by examining environmental, cultural, strategic, ethical, and operational factors. It also reflects on the research and analytical process followed during the preparation of the comparative study and highlights key findings.</w:t>
      </w:r>
    </w:p>
    <w:p w14:paraId="6221BD93" w14:textId="77777777" w:rsidR="008C199D" w:rsidRPr="00394BCF" w:rsidRDefault="00DB6CD2" w:rsidP="00394BCF">
      <w:pPr>
        <w:pStyle w:val="Heading1"/>
      </w:pPr>
      <w:bookmarkStart w:id="1" w:name="_heading=h.8psgg01a61pi" w:colFirst="0" w:colLast="0"/>
      <w:bookmarkEnd w:id="1"/>
      <w:r w:rsidRPr="00394BCF">
        <w:t>Section 1</w:t>
      </w:r>
    </w:p>
    <w:p w14:paraId="4372ABBC" w14:textId="77777777" w:rsidR="008C199D" w:rsidRPr="00394BCF" w:rsidRDefault="00DB6CD2" w:rsidP="00394BCF">
      <w:pPr>
        <w:pStyle w:val="Heading1"/>
      </w:pPr>
      <w:bookmarkStart w:id="2" w:name="_heading=h.2jpkgsw6cbo1" w:colFirst="0" w:colLast="0"/>
      <w:bookmarkEnd w:id="2"/>
      <w:r w:rsidRPr="00394BCF">
        <w:t>2.0 Comparative Analysis of Toyota's Market in Japan and India</w:t>
      </w:r>
    </w:p>
    <w:p w14:paraId="21332464" w14:textId="77777777" w:rsidR="008C199D" w:rsidRPr="00394BCF" w:rsidRDefault="00DB6CD2" w:rsidP="00394BCF">
      <w:pPr>
        <w:pStyle w:val="Heading2"/>
        <w:keepNext w:val="0"/>
        <w:keepLines w:val="0"/>
      </w:pPr>
      <w:bookmarkStart w:id="3" w:name="_heading=h.gmdadu5dsmhf" w:colFirst="0" w:colLast="0"/>
      <w:bookmarkEnd w:id="3"/>
      <w:r w:rsidRPr="00394BCF">
        <w:t>2.1 PESTEL Analysis</w:t>
      </w:r>
    </w:p>
    <w:p w14:paraId="4207C2AE"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 xml:space="preserve"> Political Factors</w:t>
      </w:r>
    </w:p>
    <w:p w14:paraId="3EC46973"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The political environment is very stable in Japan to facilitate long-term investment in industries. Japan scored 71 out of 100 in the 2024 Corruption Perceptions Index, indicating a highly transparent public sector (Transparency International, 2024). This shows the presence of good institutional governance as well as predictable policymaking. The stability allows Toyota to invest in high-technology, including hydrogen fuel-cell cars and autonomous mobility.</w:t>
      </w:r>
    </w:p>
    <w:p w14:paraId="100E2B42"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58AE1CE8" wp14:editId="2A97CAF2">
            <wp:extent cx="5357813" cy="2091505"/>
            <wp:effectExtent l="25400" t="25400" r="25400" b="254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t="10980" b="7434"/>
                    <a:stretch>
                      <a:fillRect/>
                    </a:stretch>
                  </pic:blipFill>
                  <pic:spPr>
                    <a:xfrm>
                      <a:off x="0" y="0"/>
                      <a:ext cx="5357813" cy="2091505"/>
                    </a:xfrm>
                    <a:prstGeom prst="rect">
                      <a:avLst/>
                    </a:prstGeom>
                    <a:ln w="25400">
                      <a:solidFill>
                        <a:srgbClr val="000000"/>
                      </a:solidFill>
                      <a:prstDash val="solid"/>
                    </a:ln>
                  </pic:spPr>
                </pic:pic>
              </a:graphicData>
            </a:graphic>
          </wp:inline>
        </w:drawing>
      </w:r>
    </w:p>
    <w:p w14:paraId="0A9E4B96"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1: India FDI inflow</w:t>
      </w:r>
    </w:p>
    <w:p w14:paraId="75C66D57"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(IBEF, 2026) </w:t>
      </w:r>
    </w:p>
    <w:p w14:paraId="585D971E"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India has a favourable political environment but has more variability in policies depending on the state</w:t>
      </w:r>
      <w:r w:rsidRPr="007B3462">
        <w:rPr>
          <w:rFonts w:ascii="Times New Roman" w:eastAsia="Times New Roman" w:hAnsi="Times New Roman" w:cs="Times New Roman"/>
          <w:color w:val="000000" w:themeColor="text1"/>
          <w:sz w:val="24"/>
          <w:szCs w:val="24"/>
        </w:rPr>
        <w:t xml:space="preserve">. EV Policy in India offers incentives of up to ₹20,000 per kWh for battery manufacturing (Government of India, 2022). </w:t>
      </w:r>
      <w:r w:rsidRPr="00394BCF">
        <w:rPr>
          <w:rFonts w:ascii="Times New Roman" w:eastAsia="Times New Roman" w:hAnsi="Times New Roman" w:cs="Times New Roman"/>
          <w:sz w:val="24"/>
          <w:szCs w:val="24"/>
        </w:rPr>
        <w:t>Indian government also actively encourages the production of automobiles, like the Make in India initiative (PIB, 2025b</w:t>
      </w:r>
      <w:r w:rsidRPr="007B3462">
        <w:rPr>
          <w:rFonts w:ascii="Times New Roman" w:eastAsia="Times New Roman" w:hAnsi="Times New Roman" w:cs="Times New Roman"/>
          <w:color w:val="000000" w:themeColor="text1"/>
          <w:sz w:val="24"/>
          <w:szCs w:val="24"/>
        </w:rPr>
        <w:t>)</w:t>
      </w:r>
      <w:r w:rsidRPr="00394BCF">
        <w:rPr>
          <w:rFonts w:ascii="Times New Roman" w:eastAsia="Times New Roman" w:hAnsi="Times New Roman" w:cs="Times New Roman"/>
          <w:color w:val="FF0000"/>
          <w:sz w:val="24"/>
          <w:szCs w:val="24"/>
        </w:rPr>
        <w:t>. As presented in Figure 1</w:t>
      </w:r>
      <w:r w:rsidRPr="00236398">
        <w:rPr>
          <w:rFonts w:ascii="Times New Roman" w:eastAsia="Times New Roman" w:hAnsi="Times New Roman" w:cs="Times New Roman"/>
          <w:color w:val="000000" w:themeColor="text1"/>
          <w:sz w:val="24"/>
          <w:szCs w:val="24"/>
        </w:rPr>
        <w:t xml:space="preserve">, India </w:t>
      </w:r>
      <w:r w:rsidRPr="00394BCF">
        <w:rPr>
          <w:rFonts w:ascii="Times New Roman" w:eastAsia="Times New Roman" w:hAnsi="Times New Roman" w:cs="Times New Roman"/>
          <w:sz w:val="24"/>
          <w:szCs w:val="24"/>
        </w:rPr>
        <w:t xml:space="preserve">received an inflow of about $94.52 billion in foreign direct investment (IBEF, 2026). </w:t>
      </w:r>
      <w:r w:rsidRPr="00CA2AFF">
        <w:rPr>
          <w:rFonts w:ascii="Times New Roman" w:eastAsia="Times New Roman" w:hAnsi="Times New Roman" w:cs="Times New Roman"/>
          <w:color w:val="000000" w:themeColor="text1"/>
          <w:sz w:val="24"/>
          <w:szCs w:val="24"/>
        </w:rPr>
        <w:t>This helps Toyota by reflecting support for growth in manufacturing</w:t>
      </w:r>
      <w:r w:rsidRPr="00394BCF">
        <w:rPr>
          <w:rFonts w:ascii="Times New Roman" w:eastAsia="Times New Roman" w:hAnsi="Times New Roman" w:cs="Times New Roman"/>
          <w:sz w:val="24"/>
          <w:szCs w:val="24"/>
        </w:rPr>
        <w:t>. Here, Toyota focuses on local manufacturing and alliances to avail of policy incentives in coping with regulatory complexity.</w:t>
      </w:r>
    </w:p>
    <w:p w14:paraId="197B4520"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lastRenderedPageBreak/>
        <w:t>Economic Factors</w:t>
      </w:r>
    </w:p>
    <w:p w14:paraId="29178D55"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Japan is a high-income economy in maturity whose economy is characterised by low economic growth and high purchasing power. As denoted in Figure 2, GDP growth is 2.8% high and the level of vehicle demand has not significantly decreased because of the ageing population (Yamazaki and Sugiyama, 2025). Toyota thus focuses on high-value innovation, hybrid and high-end cars.</w:t>
      </w:r>
    </w:p>
    <w:p w14:paraId="0795ABE8"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1C517783" wp14:editId="7C62AF02">
            <wp:extent cx="4143375" cy="2543175"/>
            <wp:effectExtent l="25400" t="25400" r="25400" b="254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143375" cy="2543175"/>
                    </a:xfrm>
                    <a:prstGeom prst="rect">
                      <a:avLst/>
                    </a:prstGeom>
                    <a:ln w="25400">
                      <a:solidFill>
                        <a:srgbClr val="000000"/>
                      </a:solidFill>
                      <a:prstDash val="solid"/>
                    </a:ln>
                  </pic:spPr>
                </pic:pic>
              </a:graphicData>
            </a:graphic>
          </wp:inline>
        </w:drawing>
      </w:r>
    </w:p>
    <w:p w14:paraId="13F09556"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2: Japan GDP</w:t>
      </w:r>
    </w:p>
    <w:p w14:paraId="0F9DC49C"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(Yamazaki and Sugiyama, 2025) </w:t>
      </w:r>
    </w:p>
    <w:p w14:paraId="328C4946"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On the other hand, India is the fastest-growing automobile market in the world. The economy is projected to grow</w:t>
      </w:r>
      <w:r w:rsidRPr="00394BCF">
        <w:rPr>
          <w:rFonts w:ascii="Times New Roman" w:eastAsia="Times New Roman" w:hAnsi="Times New Roman" w:cs="Times New Roman"/>
          <w:color w:val="FF0000"/>
          <w:sz w:val="24"/>
          <w:szCs w:val="24"/>
        </w:rPr>
        <w:t xml:space="preserve"> at 6.5% by FY27,</w:t>
      </w:r>
      <w:r w:rsidRPr="00394BCF">
        <w:rPr>
          <w:rFonts w:ascii="Times New Roman" w:eastAsia="Times New Roman" w:hAnsi="Times New Roman" w:cs="Times New Roman"/>
          <w:color w:val="434343"/>
          <w:sz w:val="24"/>
          <w:szCs w:val="24"/>
        </w:rPr>
        <w:t xml:space="preserve"> </w:t>
      </w:r>
      <w:r w:rsidRPr="00394BCF">
        <w:rPr>
          <w:rFonts w:ascii="Times New Roman" w:eastAsia="Times New Roman" w:hAnsi="Times New Roman" w:cs="Times New Roman"/>
          <w:sz w:val="24"/>
          <w:szCs w:val="24"/>
        </w:rPr>
        <w:t>giving rise to disposable incomes and the growth of demand (Economic Times, 2026). Toyota thus emphasises affordable sport utility vehicles (SUVs), multi-purpose vehicles (MPVs) and hybrid vehicles which offer value considerations as it tries to meet the rising consumer aspirations.</w:t>
      </w:r>
    </w:p>
    <w:p w14:paraId="4AE3C989"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Social Factors</w:t>
      </w:r>
    </w:p>
    <w:p w14:paraId="1FB77512"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An ageing population and decreasing birth rates are typical of Japanese society. The aged population that was 65 years and above in Japan is </w:t>
      </w:r>
      <w:r w:rsidRPr="00394BCF">
        <w:rPr>
          <w:rFonts w:ascii="Times New Roman" w:eastAsia="Times New Roman" w:hAnsi="Times New Roman" w:cs="Times New Roman"/>
          <w:color w:val="FF0000"/>
          <w:sz w:val="24"/>
          <w:szCs w:val="24"/>
        </w:rPr>
        <w:t xml:space="preserve">29.3% as of 2024 </w:t>
      </w:r>
      <w:r w:rsidRPr="00394BCF">
        <w:rPr>
          <w:rFonts w:ascii="Times New Roman" w:eastAsia="Times New Roman" w:hAnsi="Times New Roman" w:cs="Times New Roman"/>
          <w:sz w:val="24"/>
          <w:szCs w:val="24"/>
        </w:rPr>
        <w:t>(Tochibayashi, 2025). Thus bringing pressure on manufacturers to produce cars that are reliable, safe, and technologically oriented. In response, Toyota emphasises safety innovations, driver-assistance technologies and mobility solutions for the elderly (Alam, 2025).</w:t>
      </w:r>
    </w:p>
    <w:p w14:paraId="5C130762"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In</w:t>
      </w:r>
      <w:r w:rsidRPr="004C1871">
        <w:rPr>
          <w:rFonts w:ascii="Times New Roman" w:eastAsia="Times New Roman" w:hAnsi="Times New Roman" w:cs="Times New Roman"/>
          <w:color w:val="000000" w:themeColor="text1"/>
          <w:sz w:val="24"/>
          <w:szCs w:val="24"/>
        </w:rPr>
        <w:t xml:space="preserve">dia, on the other hand, has </w:t>
      </w:r>
      <w:r w:rsidRPr="00394BCF">
        <w:rPr>
          <w:rFonts w:ascii="Times New Roman" w:eastAsia="Times New Roman" w:hAnsi="Times New Roman" w:cs="Times New Roman"/>
          <w:sz w:val="24"/>
          <w:szCs w:val="24"/>
        </w:rPr>
        <w:t xml:space="preserve">a different demographic profile. About 68.8% of the Indian population constitutes the working class, hence generating significant long-term demand for personal transport (CPPR, 2026). Consumers who are younger have been shifting more to the </w:t>
      </w:r>
      <w:r w:rsidRPr="00394BCF">
        <w:rPr>
          <w:rFonts w:ascii="Times New Roman" w:eastAsia="Times New Roman" w:hAnsi="Times New Roman" w:cs="Times New Roman"/>
          <w:sz w:val="24"/>
          <w:szCs w:val="24"/>
        </w:rPr>
        <w:lastRenderedPageBreak/>
        <w:t>stylish SUV with digital connectivity and advanced technologies. As a result, Toyota aligns its product line to families and aspirational cars.</w:t>
      </w:r>
    </w:p>
    <w:p w14:paraId="610F1E41"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Technological Factors</w:t>
      </w:r>
    </w:p>
    <w:p w14:paraId="1C0893C9"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Japan is one of the most innovative economies in the world. The country spent an estimated 3.2% of its GDP on research and development, which aids in sustaining technological progress, </w:t>
      </w:r>
      <w:r w:rsidRPr="00394BCF">
        <w:rPr>
          <w:rFonts w:ascii="Times New Roman" w:eastAsia="Times New Roman" w:hAnsi="Times New Roman" w:cs="Times New Roman"/>
          <w:color w:val="FF0000"/>
          <w:sz w:val="24"/>
          <w:szCs w:val="24"/>
        </w:rPr>
        <w:t xml:space="preserve">as denoted in Figure 3 </w:t>
      </w:r>
      <w:r w:rsidRPr="00394BCF">
        <w:rPr>
          <w:rFonts w:ascii="Times New Roman" w:eastAsia="Times New Roman" w:hAnsi="Times New Roman" w:cs="Times New Roman"/>
          <w:sz w:val="24"/>
          <w:szCs w:val="24"/>
        </w:rPr>
        <w:t>(WIPO, 2025). A part of the advantages that Toyota has in this ecosystem of innovation is its investment in next-generation mobility.</w:t>
      </w:r>
    </w:p>
    <w:p w14:paraId="101A3647"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70E0D86F" wp14:editId="7CDC0C23">
            <wp:extent cx="4976813" cy="2025447"/>
            <wp:effectExtent l="25400" t="25400" r="25400" b="254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4976813" cy="2025447"/>
                    </a:xfrm>
                    <a:prstGeom prst="rect">
                      <a:avLst/>
                    </a:prstGeom>
                    <a:ln w="25400">
                      <a:solidFill>
                        <a:srgbClr val="000000"/>
                      </a:solidFill>
                      <a:prstDash val="solid"/>
                    </a:ln>
                  </pic:spPr>
                </pic:pic>
              </a:graphicData>
            </a:graphic>
          </wp:inline>
        </w:drawing>
      </w:r>
    </w:p>
    <w:p w14:paraId="58A0F45E"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3: Japan's investment in R&amp;D</w:t>
      </w:r>
    </w:p>
    <w:p w14:paraId="31CBAB4B"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(WIPO, 2025) </w:t>
      </w:r>
    </w:p>
    <w:p w14:paraId="6D771A5C"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Digital transformation and modernisation of manufacturing have resulted in a quick growth in the technological potential of India. Almost 970 million users of the internet, which is helpful in connected vehicles, online marketing, and interaction with customers (PIB, 2025a). Toyota is also moving towards the extensive adoption of smartphone connectivity in the Indian market.</w:t>
      </w:r>
    </w:p>
    <w:p w14:paraId="0D3B2B85"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Environmental Factors</w:t>
      </w:r>
    </w:p>
    <w:p w14:paraId="3201369A"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Japan has put in place strict environmental policies which are meant to make it carbon neutral by 2030 (The Government of Japan, 2024). The capacity of renewable energy is motivating manufacturers to step up in establishing low-emission vehicles. Toyota hence keeps developing technologies of hybrid, battery electric and hydrogen vehicles.</w:t>
      </w:r>
    </w:p>
    <w:p w14:paraId="73988F01"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lastRenderedPageBreak/>
        <w:drawing>
          <wp:inline distT="114300" distB="114300" distL="114300" distR="114300" wp14:anchorId="20CA979F" wp14:editId="172780D0">
            <wp:extent cx="4676775" cy="2571750"/>
            <wp:effectExtent l="25400" t="25400" r="25400" b="25400"/>
            <wp:docPr id="1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t="6566" b="9623"/>
                    <a:stretch>
                      <a:fillRect/>
                    </a:stretch>
                  </pic:blipFill>
                  <pic:spPr>
                    <a:xfrm>
                      <a:off x="0" y="0"/>
                      <a:ext cx="4676775" cy="2571750"/>
                    </a:xfrm>
                    <a:prstGeom prst="rect">
                      <a:avLst/>
                    </a:prstGeom>
                    <a:ln w="25400">
                      <a:solidFill>
                        <a:srgbClr val="000000"/>
                      </a:solidFill>
                      <a:prstDash val="solid"/>
                    </a:ln>
                  </pic:spPr>
                </pic:pic>
              </a:graphicData>
            </a:graphic>
          </wp:inline>
        </w:drawing>
      </w:r>
    </w:p>
    <w:p w14:paraId="3EB30A21"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4: India’s renewables in total generation</w:t>
      </w:r>
    </w:p>
    <w:p w14:paraId="75987C10"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Source: (PIB, 2026)</w:t>
      </w:r>
    </w:p>
    <w:p w14:paraId="75DC571D" w14:textId="2E28A1E1"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India is also grappling with extreme environmental issues of air pollution in cities. Renewable energy accounted for approximately 29.2% of total electricity generation </w:t>
      </w:r>
      <w:r w:rsidR="00AA5302">
        <w:rPr>
          <w:rFonts w:ascii="Times New Roman" w:eastAsia="Times New Roman" w:hAnsi="Times New Roman" w:cs="Times New Roman"/>
          <w:color w:val="FF0000"/>
          <w:sz w:val="24"/>
          <w:szCs w:val="24"/>
        </w:rPr>
        <w:t>as denoted in Figure 4</w:t>
      </w:r>
      <w:r w:rsidRPr="00394BCF">
        <w:rPr>
          <w:rFonts w:ascii="Times New Roman" w:eastAsia="Times New Roman" w:hAnsi="Times New Roman" w:cs="Times New Roman"/>
          <w:sz w:val="24"/>
          <w:szCs w:val="24"/>
        </w:rPr>
        <w:t xml:space="preserve">  (PIB, 2026). Government subsidies towards electric mobility encourage Toyota to invest more in hybrid technologies in anticipation of future electric mobility.</w:t>
      </w:r>
    </w:p>
    <w:p w14:paraId="2106E38E"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Legal Factors</w:t>
      </w:r>
    </w:p>
    <w:p w14:paraId="20548758"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Japan has exceptionally well-established legal regimes on product safety, intellectual property and consumer protection.  It ranked 18th globally in the International Property Rights Index, which has good legal protection of technological innovation and patents (WIPO, 2024). This type of protection helps Toyota fund massive research and development.</w:t>
      </w:r>
    </w:p>
    <w:p w14:paraId="65D8FCC1"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India has gone a long way in reforming its regulations to enhance the efficiency of business. The adoption of Bharat NCAP in 2024 has brought in a higher standard of vehicle safety assessment (Williams, 2026). Thus motivating manufacturers to adopt better crash protection and safety technologies. Toyota thus ensures compliance by keeping products compliant and enhancing consumer confidence.</w:t>
      </w:r>
    </w:p>
    <w:p w14:paraId="50656462" w14:textId="77777777" w:rsidR="008C199D" w:rsidRPr="00394BCF" w:rsidRDefault="00DB6CD2" w:rsidP="00394BCF">
      <w:pPr>
        <w:spacing w:after="0" w:line="360" w:lineRule="auto"/>
        <w:jc w:val="both"/>
        <w:rPr>
          <w:rFonts w:ascii="Times New Roman" w:eastAsia="Times New Roman" w:hAnsi="Times New Roman" w:cs="Times New Roman"/>
          <w:b/>
          <w:bCs/>
          <w:sz w:val="24"/>
          <w:szCs w:val="24"/>
        </w:rPr>
      </w:pPr>
      <w:r w:rsidRPr="00394BCF">
        <w:rPr>
          <w:rFonts w:ascii="Times New Roman" w:eastAsia="Times New Roman" w:hAnsi="Times New Roman" w:cs="Times New Roman"/>
          <w:sz w:val="24"/>
          <w:szCs w:val="24"/>
        </w:rPr>
        <w:t>S</w:t>
      </w:r>
      <w:r w:rsidRPr="00394BCF">
        <w:rPr>
          <w:rFonts w:ascii="Times New Roman" w:eastAsia="Times New Roman" w:hAnsi="Times New Roman" w:cs="Times New Roman"/>
          <w:b/>
          <w:bCs/>
          <w:sz w:val="24"/>
          <w:szCs w:val="24"/>
        </w:rPr>
        <w:t>ummary of the PESTLE analysis and implications for Toyota</w:t>
      </w:r>
    </w:p>
    <w:p w14:paraId="5CC8EF7F" w14:textId="77777777" w:rsidR="008C199D" w:rsidRPr="00394BCF" w:rsidRDefault="00DB6CD2" w:rsidP="00394BCF">
      <w:pPr>
        <w:spacing w:after="0" w:line="360" w:lineRule="auto"/>
        <w:jc w:val="both"/>
        <w:rPr>
          <w:rFonts w:ascii="Times New Roman" w:eastAsia="Times New Roman" w:hAnsi="Times New Roman" w:cs="Times New Roman"/>
          <w:color w:val="FF0000"/>
          <w:sz w:val="24"/>
          <w:szCs w:val="24"/>
        </w:rPr>
      </w:pPr>
      <w:r w:rsidRPr="00394BCF">
        <w:rPr>
          <w:rFonts w:ascii="Times New Roman" w:eastAsia="Times New Roman" w:hAnsi="Times New Roman" w:cs="Times New Roman"/>
          <w:color w:val="FF0000"/>
          <w:sz w:val="24"/>
          <w:szCs w:val="24"/>
        </w:rPr>
        <w:t>Japan offers Toyota favourable political stability, strong legal protection, advanced technology, and environmentally supportive policies, supporting innovation-led growth. However, an ageing population and slow economic growth limit market expansion. India provides strong economic growth, favourable manufacturing policies, and a young consumer base, but regulatory complexity, infrastructure challenges, and environmental pressures require localisation, affordable products, and adaptive marketing strategies.</w:t>
      </w:r>
    </w:p>
    <w:p w14:paraId="2398CA8F" w14:textId="77777777" w:rsidR="008C199D" w:rsidRPr="00394BCF" w:rsidRDefault="00DB6CD2" w:rsidP="00394BCF">
      <w:pPr>
        <w:pStyle w:val="Heading2"/>
        <w:keepNext w:val="0"/>
        <w:keepLines w:val="0"/>
      </w:pPr>
      <w:bookmarkStart w:id="4" w:name="_heading=h.a48r5p7nt4dm" w:colFirst="0" w:colLast="0"/>
      <w:bookmarkEnd w:id="4"/>
      <w:r w:rsidRPr="00394BCF">
        <w:lastRenderedPageBreak/>
        <w:t>2.2 Hofstede Cultural Comparison</w:t>
      </w:r>
    </w:p>
    <w:p w14:paraId="379F873F"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61855B11" wp14:editId="54037B28">
            <wp:extent cx="4995863" cy="2755193"/>
            <wp:effectExtent l="25400" t="25400" r="25400" b="2540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4995863" cy="2755193"/>
                    </a:xfrm>
                    <a:prstGeom prst="rect">
                      <a:avLst/>
                    </a:prstGeom>
                    <a:ln w="25400">
                      <a:solidFill>
                        <a:srgbClr val="000000"/>
                      </a:solidFill>
                      <a:prstDash val="solid"/>
                    </a:ln>
                  </pic:spPr>
                </pic:pic>
              </a:graphicData>
            </a:graphic>
          </wp:inline>
        </w:drawing>
      </w:r>
    </w:p>
    <w:p w14:paraId="7E1457AC"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5: Hofstede Cultural Comparison</w:t>
      </w:r>
    </w:p>
    <w:p w14:paraId="6D744EE1"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(The Culture Factor Group, 2026) </w:t>
      </w:r>
    </w:p>
    <w:p w14:paraId="2202EF13"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Power Distance</w:t>
      </w:r>
    </w:p>
    <w:p w14:paraId="659A5D94"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The Power Distance scores of Japan and India are 54 and 77, respectively (The Culture Factor Group, 2026). Structured teamwork and group decision-making are usually promoted by Japanese organisations, although hierarchy is respected. On the other hand, Indian organisations are more tolerant of power and centralised leadership (Anna, 2025). This means that Toyota is relatively participative in its management of operations in Japan but uses more pronounced hierarchical structures in India.</w:t>
      </w:r>
    </w:p>
    <w:p w14:paraId="6E04E103"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Individualism</w:t>
      </w:r>
    </w:p>
    <w:p w14:paraId="4C391FA8"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Japan has a score of 62 on Individualism as compared to India with 24 (The Culture Factor Group, 2026). The Japanese are more personal and show more individual buying patterns and purchases, which has made Toyota focus on the quality of the products, technological innovation and personal mobility advantages. A greater importance on the connections with family members and collective decisions made by them is more dominant among Indian consumers.</w:t>
      </w:r>
    </w:p>
    <w:p w14:paraId="46805BB4"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Masculinity</w:t>
      </w:r>
    </w:p>
    <w:p w14:paraId="454AE2E7"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Japan has a remarkably high Masculinity index compared to India. Japanese people cherish success, technology and high-quality product operation. Toyota thus concentrates on engineering accuracy, dependability and creativity (Belrzaeg, 2025). The Indian consumer also values success but has a sense of balance between career and family values, and this motivates Toyota to promote comfort, practicality and social status.</w:t>
      </w:r>
    </w:p>
    <w:p w14:paraId="64EFA1F1"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lastRenderedPageBreak/>
        <w:t>Uncertainty Avoidance</w:t>
      </w:r>
    </w:p>
    <w:p w14:paraId="58247536"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Japan has a high score of 92, indicating a high preference for predictability, planning and risk avoidance, as compared to India, which has a relatively low score of 40 (The Culture Factor Group, 2026). As a result, the Japanese are very critical of the safety, reliability, and the long-term cost of ownership of vehicles before they make a purchase. Indian consumers tend to be more flexible to uncertainty, and competitive pricing, financing options, and dealership accessibility are considered the key factors in Indiana when customers make decisions on purchases.</w:t>
      </w:r>
    </w:p>
    <w:p w14:paraId="09B19095"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 xml:space="preserve">Long-Term Orientation  </w:t>
      </w:r>
    </w:p>
    <w:p w14:paraId="7C04502F"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Japan's score in Long-Term Orientation is 100, and India has a score of 51 (The Culture Factor Group, 2026). Japanese customers are highly oriented to future advantages, staying sustainable and constantly improving technologies, which justifies Toyota's long-term investments in hydrogen and hybrid technologies. Indian consumers weigh quality in the long term and affordability in the short term; as a result, Toyota must integrate long-term durability engineering and a low-pricing strategy that meets current financial needs with relative future ownership needs.</w:t>
      </w:r>
    </w:p>
    <w:p w14:paraId="4C8513C9" w14:textId="77777777" w:rsidR="008C199D" w:rsidRPr="00394BCF" w:rsidRDefault="00DB6CD2" w:rsidP="00394BCF">
      <w:pPr>
        <w:spacing w:after="0" w:line="360" w:lineRule="auto"/>
        <w:jc w:val="both"/>
        <w:rPr>
          <w:rFonts w:ascii="Times New Roman" w:eastAsia="Times New Roman" w:hAnsi="Times New Roman" w:cs="Times New Roman"/>
          <w:b/>
          <w:bCs/>
          <w:i/>
          <w:iCs/>
          <w:sz w:val="24"/>
          <w:szCs w:val="24"/>
        </w:rPr>
      </w:pPr>
      <w:r w:rsidRPr="00394BCF">
        <w:rPr>
          <w:rFonts w:ascii="Times New Roman" w:eastAsia="Times New Roman" w:hAnsi="Times New Roman" w:cs="Times New Roman"/>
          <w:b/>
          <w:bCs/>
          <w:i/>
          <w:iCs/>
          <w:sz w:val="24"/>
          <w:szCs w:val="24"/>
        </w:rPr>
        <w:t>Indulgence</w:t>
      </w:r>
    </w:p>
    <w:p w14:paraId="2854D179"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Indulgence score is recorded to be 42 in Japan and 26 in India, and hence both markets have relatively limited consumer cultures. But Indian consumers are more economical when it comes to big purchases, and Toyota has to focus on affordability, resale fees of reselling and consumption. Japanese consumers are much more concerned with the quality of the product, including reliability, great quality engineering and durability of ownership, which further supports the positioning of Toyota as a premium quality product on the domestic market. </w:t>
      </w:r>
    </w:p>
    <w:p w14:paraId="58F4E56C" w14:textId="77777777" w:rsidR="008C199D" w:rsidRPr="00394BCF" w:rsidRDefault="00DB6CD2" w:rsidP="00394BCF">
      <w:pPr>
        <w:spacing w:after="0" w:line="360" w:lineRule="auto"/>
        <w:jc w:val="both"/>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The summary of the Hofstede Cultural Comparison and implications of Toyota</w:t>
      </w:r>
    </w:p>
    <w:p w14:paraId="4612519A"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color w:val="FF0000"/>
          <w:sz w:val="24"/>
          <w:szCs w:val="24"/>
        </w:rPr>
        <w:t>Japan’s culture favours individual quality, long-term orientation, and risk avoidance, supporting Toyota’s emphasis on advanced technology, reliability, and sustainability. India’s collectivist, hierarchical, and price-conscious culture requires Toyota to focus on family-oriented vehicles, affordability, financing accessibility, durability, and aspirational yet practical marketing strategies.</w:t>
      </w:r>
      <w:r w:rsidRPr="00394BCF">
        <w:rPr>
          <w:rFonts w:ascii="Times New Roman" w:hAnsi="Times New Roman" w:cs="Times New Roman"/>
          <w:sz w:val="24"/>
          <w:szCs w:val="24"/>
        </w:rPr>
        <w:br w:type="page"/>
      </w:r>
    </w:p>
    <w:p w14:paraId="47D153F7" w14:textId="77777777" w:rsidR="008C199D" w:rsidRPr="00394BCF" w:rsidRDefault="00DB6CD2" w:rsidP="00394BCF">
      <w:pPr>
        <w:pStyle w:val="Heading1"/>
        <w:keepNext w:val="0"/>
        <w:keepLines w:val="0"/>
      </w:pPr>
      <w:bookmarkStart w:id="5" w:name="_heading=h.3zgmvrdvkpfg" w:colFirst="0" w:colLast="0"/>
      <w:bookmarkEnd w:id="5"/>
      <w:r w:rsidRPr="00394BCF">
        <w:lastRenderedPageBreak/>
        <w:t>3.0 Comparative Analysis of STP and International Marketing Mix (7Ps)</w:t>
      </w:r>
    </w:p>
    <w:p w14:paraId="448F0E76" w14:textId="77777777" w:rsidR="008C199D" w:rsidRPr="00394BCF" w:rsidRDefault="00DB6CD2" w:rsidP="00394BCF">
      <w:pPr>
        <w:pStyle w:val="Heading2"/>
        <w:keepNext w:val="0"/>
        <w:keepLines w:val="0"/>
      </w:pPr>
      <w:bookmarkStart w:id="6" w:name="_heading=h.2peoxxj9so9h" w:colFirst="0" w:colLast="0"/>
      <w:bookmarkEnd w:id="6"/>
      <w:r w:rsidRPr="00394BCF">
        <w:t>3.1 Segmentation Strategy</w:t>
      </w:r>
    </w:p>
    <w:p w14:paraId="3F2A95A4"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In Japan, Toyota divides the consumers based on lifestyle, age, urban density, environmental awareness, and preference towards technology. Significant groups are urban commuters who need cars and compact hybrids, middle-income families who would like to have utility multi-purpose vehicles, and consumers who demand high-quality Lexus models. In Japan, environmental segmentation is especially important. Mainly, it has a CAGR of 27.20% for new passenger cars which are sold as hybrid vehicles, as denoted in Figure 6 (IMARC, 2024). The first qualities preferred by Japanese buyers are fuel efficiency, reliability, safety and advanced driver-assistance systems. </w:t>
      </w:r>
    </w:p>
    <w:p w14:paraId="5FBB8713"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2498A186" wp14:editId="0E794C0D">
            <wp:extent cx="4986338" cy="1979626"/>
            <wp:effectExtent l="25400" t="25400" r="25400" b="2540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t="24667" b="4839"/>
                    <a:stretch>
                      <a:fillRect/>
                    </a:stretch>
                  </pic:blipFill>
                  <pic:spPr>
                    <a:xfrm>
                      <a:off x="0" y="0"/>
                      <a:ext cx="4986338" cy="1979626"/>
                    </a:xfrm>
                    <a:prstGeom prst="rect">
                      <a:avLst/>
                    </a:prstGeom>
                    <a:ln w="25400">
                      <a:solidFill>
                        <a:srgbClr val="000000"/>
                      </a:solidFill>
                      <a:prstDash val="solid"/>
                    </a:ln>
                  </pic:spPr>
                </pic:pic>
              </a:graphicData>
            </a:graphic>
          </wp:inline>
        </w:drawing>
      </w:r>
    </w:p>
    <w:p w14:paraId="3839BD38"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6: Japan Hybrid Vehicles</w:t>
      </w:r>
    </w:p>
    <w:p w14:paraId="1A1CD49A"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(IMARC, 2024) </w:t>
      </w:r>
    </w:p>
    <w:p w14:paraId="5F14E7D1"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Toyota employs a wider socio-economic segmentation in India (Vengatesan</w:t>
      </w:r>
      <w:r w:rsidRPr="00394BCF">
        <w:rPr>
          <w:rFonts w:ascii="Times New Roman" w:eastAsia="Times New Roman" w:hAnsi="Times New Roman" w:cs="Times New Roman"/>
          <w:i/>
          <w:iCs/>
          <w:sz w:val="24"/>
          <w:szCs w:val="24"/>
        </w:rPr>
        <w:t xml:space="preserve"> et al., </w:t>
      </w:r>
      <w:r w:rsidRPr="00394BCF">
        <w:rPr>
          <w:rFonts w:ascii="Times New Roman" w:eastAsia="Times New Roman" w:hAnsi="Times New Roman" w:cs="Times New Roman"/>
          <w:sz w:val="24"/>
          <w:szCs w:val="24"/>
        </w:rPr>
        <w:t xml:space="preserve">2024). The company classifies the market as potential middle-income households, rural and semi-urban utility customers, and affluent market customers who want a high-end sport utility vehicle. The passenger vehicles industry of India had a total sale of over 4.3 million units in 2025, and utility vehicles had over 65% of the total sales (IBEF, 2025). The income gap is a lot broader compared with Japan, which presupposes that Toyota needs to introduce vehicles between the Rumion and Urban Cruiser and the Fortuner and Camry Hybrid. </w:t>
      </w:r>
    </w:p>
    <w:p w14:paraId="400E2EE4" w14:textId="77777777" w:rsidR="008C199D" w:rsidRPr="00394BCF" w:rsidRDefault="00DB6CD2" w:rsidP="00394BCF">
      <w:pPr>
        <w:pStyle w:val="Heading2"/>
        <w:keepNext w:val="0"/>
        <w:keepLines w:val="0"/>
      </w:pPr>
      <w:bookmarkStart w:id="7" w:name="_heading=h.f01wuynzg61n" w:colFirst="0" w:colLast="0"/>
      <w:bookmarkEnd w:id="7"/>
      <w:r w:rsidRPr="00394BCF">
        <w:t>3.2 Targeting Strategy</w:t>
      </w:r>
    </w:p>
    <w:p w14:paraId="7B29C53B"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Toyota's targeting in Japan is focused on positioning leadership among environmentally conscious and loyal repeat customers (Takeuchi, 2023). The firm engages in extensive marketing of hybrid technology in its various price points with the understanding that they have low operating expenses and emissions. In 2025, rather than the 15 to 65 age range, about 29.4% </w:t>
      </w:r>
      <w:r w:rsidRPr="00394BCF">
        <w:rPr>
          <w:rFonts w:ascii="Times New Roman" w:eastAsia="Times New Roman" w:hAnsi="Times New Roman" w:cs="Times New Roman"/>
          <w:sz w:val="24"/>
          <w:szCs w:val="24"/>
        </w:rPr>
        <w:lastRenderedPageBreak/>
        <w:t xml:space="preserve">of the Japanese population will be at age 65 years and above (Mainichi, 2025). This will greatly alter the domestic targeting priorities of Toyota. </w:t>
      </w:r>
    </w:p>
    <w:p w14:paraId="0C805190"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5E67554E" wp14:editId="3D406F39">
            <wp:extent cx="3046575" cy="2412887"/>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3046575" cy="2412887"/>
                    </a:xfrm>
                    <a:prstGeom prst="rect">
                      <a:avLst/>
                    </a:prstGeom>
                    <a:ln w="25400">
                      <a:solidFill>
                        <a:srgbClr val="000000"/>
                      </a:solidFill>
                      <a:prstDash val="solid"/>
                    </a:ln>
                  </pic:spPr>
                </pic:pic>
              </a:graphicData>
            </a:graphic>
          </wp:inline>
        </w:drawing>
      </w:r>
    </w:p>
    <w:p w14:paraId="31C5AECC"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7: Toyota India sales growth</w:t>
      </w:r>
    </w:p>
    <w:p w14:paraId="07CF8568"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(Economic Times, 2026) </w:t>
      </w:r>
    </w:p>
    <w:p w14:paraId="3F3D8A39"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In India, Toyota uses a selective targeting policy, taking into account not competing in each volume market. It deals with lucrative segments like multi-purpose automobiles, premium sport utility cars and utility vehicles serving in a fleet. It was estimated that Toyota Kirloskar Motor sold approximately 3.67 lakh vehicles in India in 2026, as denoted in Figure 7 (Economic Times, 2026). This is one of the best annual sales achieved by the company in India. Alliances with Suzuki enable Toyota to access low-end customers without necessarily investing the entire amount in creating low-cost schemes on its own. </w:t>
      </w:r>
    </w:p>
    <w:p w14:paraId="36EC8353" w14:textId="77777777" w:rsidR="008C199D" w:rsidRPr="00394BCF" w:rsidRDefault="00DB6CD2" w:rsidP="00394BCF">
      <w:pPr>
        <w:pStyle w:val="Heading2"/>
        <w:keepNext w:val="0"/>
        <w:keepLines w:val="0"/>
      </w:pPr>
      <w:bookmarkStart w:id="8" w:name="_heading=h.n4k1odi9egm0" w:colFirst="0" w:colLast="0"/>
      <w:bookmarkEnd w:id="8"/>
      <w:r w:rsidRPr="00394BCF">
        <w:t>3.3 Positioning Strategy</w:t>
      </w:r>
    </w:p>
    <w:p w14:paraId="2A76E018"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in Japan, has branded itself as a highly reliable, environmentally friendly and technologically advanced national mobility brand (Takeuchi, 2023). The Prius, Aqua and Crown are augmentations to the Toyota image of the pioneer of hybrid innovation and quality engineering. In Japan, Toyota has 21,020.7 billion yen in sales and a high market share in passenger vehicles, as denoted in Figure 8 (Market.us, 2026). This exhibits how well the company has positioned itself domestically. The brand communication focuses less on affordability but on levels of trust, safety, sustainability, and long-term value of ownership. </w:t>
      </w:r>
    </w:p>
    <w:p w14:paraId="2D7FC380"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lastRenderedPageBreak/>
        <w:drawing>
          <wp:inline distT="114300" distB="114300" distL="114300" distR="114300" wp14:anchorId="6BF7A809" wp14:editId="16F6424E">
            <wp:extent cx="4743450" cy="2428875"/>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l="15282" t="11504" r="1993" b="13274"/>
                    <a:stretch>
                      <a:fillRect/>
                    </a:stretch>
                  </pic:blipFill>
                  <pic:spPr>
                    <a:xfrm>
                      <a:off x="0" y="0"/>
                      <a:ext cx="4743450" cy="2428875"/>
                    </a:xfrm>
                    <a:prstGeom prst="rect">
                      <a:avLst/>
                    </a:prstGeom>
                    <a:ln w="25400">
                      <a:solidFill>
                        <a:srgbClr val="000000"/>
                      </a:solidFill>
                      <a:prstDash val="solid"/>
                    </a:ln>
                  </pic:spPr>
                </pic:pic>
              </a:graphicData>
            </a:graphic>
          </wp:inline>
        </w:drawing>
      </w:r>
    </w:p>
    <w:p w14:paraId="197BC39E"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8: Toyota highest growth</w:t>
      </w:r>
    </w:p>
    <w:p w14:paraId="3C0C4E21"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Source: (Market.us, 2026)</w:t>
      </w:r>
    </w:p>
    <w:p w14:paraId="3F1E17A3"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In India, Toyota is positioning itself based on resale value, durability, reliability and high ownership experience. Products like the Innova HyCross and the Fortuner have gained an immensely good reputation for longevity and low maintenance (Ackodrive, 2024). Fortuner has always been one of the highest-selling premium sport utility vehicles in India, with a total of over 300,000 vehicles being sold annually (Toyota, 2025a). Toyota is reputable as pricier and more reliable than numerous mass-market rivals, but lacks market share in low-end hatchbacks. </w:t>
      </w:r>
    </w:p>
    <w:p w14:paraId="007DA548" w14:textId="77777777" w:rsidR="008C199D" w:rsidRPr="00394BCF" w:rsidRDefault="00DB6CD2" w:rsidP="00394BCF">
      <w:pPr>
        <w:pStyle w:val="Heading1"/>
        <w:keepNext w:val="0"/>
        <w:keepLines w:val="0"/>
      </w:pPr>
      <w:bookmarkStart w:id="9" w:name="_heading=h.l6xvfqriunm9" w:colFirst="0" w:colLast="0"/>
      <w:bookmarkEnd w:id="9"/>
      <w:r w:rsidRPr="00394BCF">
        <w:t>4.0 Comparative Analysis of the International Marketing Mix (7Ps)</w:t>
      </w:r>
    </w:p>
    <w:p w14:paraId="6F3A5F32" w14:textId="77777777" w:rsidR="008C199D" w:rsidRPr="00394BCF" w:rsidRDefault="00DB6CD2" w:rsidP="00394BCF">
      <w:pPr>
        <w:pStyle w:val="Heading2"/>
        <w:keepNext w:val="0"/>
        <w:keepLines w:val="0"/>
      </w:pPr>
      <w:bookmarkStart w:id="10" w:name="_heading=h.yzrq3ox9004f" w:colFirst="0" w:colLast="0"/>
      <w:bookmarkEnd w:id="10"/>
      <w:r w:rsidRPr="00394BCF">
        <w:t>4.1 Product Strategy</w:t>
      </w:r>
    </w:p>
    <w:p w14:paraId="2D62E92B"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Product strategy of Toyota in Japan and in India is different as the consumer demands and infrastructure varies in terms of infrastructure. The portfolio consists of kei cars, compact hybrids and hydrogen fuel-cell vehicles, advanced sedan models, and luxury Lexus vehicles in Japan. In Japan, Toyota presents over 34.5% market share of hybrid passenger vehicles, which is a sign of the highly diversified product range as shown in Figure 9 (Morishita</w:t>
      </w:r>
      <w:r w:rsidRPr="00394BCF">
        <w:rPr>
          <w:rFonts w:ascii="Times New Roman" w:eastAsia="Times New Roman" w:hAnsi="Times New Roman" w:cs="Times New Roman"/>
          <w:i/>
          <w:iCs/>
          <w:sz w:val="24"/>
          <w:szCs w:val="24"/>
        </w:rPr>
        <w:t xml:space="preserve"> et al.,</w:t>
      </w:r>
      <w:r w:rsidRPr="00394BCF">
        <w:rPr>
          <w:rFonts w:ascii="Times New Roman" w:eastAsia="Times New Roman" w:hAnsi="Times New Roman" w:cs="Times New Roman"/>
          <w:sz w:val="24"/>
          <w:szCs w:val="24"/>
        </w:rPr>
        <w:t xml:space="preserve"> 2025). Innovation should be continuous since customers in Japan demand high-frequency technological advancements and high-quality standards.</w:t>
      </w:r>
    </w:p>
    <w:p w14:paraId="4697DA22"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lastRenderedPageBreak/>
        <w:drawing>
          <wp:inline distT="114300" distB="114300" distL="114300" distR="114300" wp14:anchorId="005A6682" wp14:editId="271B373C">
            <wp:extent cx="2908825" cy="2843213"/>
            <wp:effectExtent l="25400" t="25400" r="25400" b="2540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2908825" cy="2843213"/>
                    </a:xfrm>
                    <a:prstGeom prst="rect">
                      <a:avLst/>
                    </a:prstGeom>
                    <a:ln w="25400">
                      <a:solidFill>
                        <a:srgbClr val="000000"/>
                      </a:solidFill>
                      <a:prstDash val="solid"/>
                    </a:ln>
                  </pic:spPr>
                </pic:pic>
              </a:graphicData>
            </a:graphic>
          </wp:inline>
        </w:drawing>
      </w:r>
    </w:p>
    <w:p w14:paraId="4A981714"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9: Toyota market share Japan</w:t>
      </w:r>
    </w:p>
    <w:p w14:paraId="47BA341B"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(Morishita </w:t>
      </w:r>
      <w:r w:rsidRPr="00394BCF">
        <w:rPr>
          <w:rFonts w:ascii="Times New Roman" w:eastAsia="Times New Roman" w:hAnsi="Times New Roman" w:cs="Times New Roman"/>
          <w:i/>
          <w:iCs/>
          <w:sz w:val="24"/>
          <w:szCs w:val="24"/>
        </w:rPr>
        <w:t xml:space="preserve">et al., </w:t>
      </w:r>
      <w:r w:rsidRPr="00394BCF">
        <w:rPr>
          <w:rFonts w:ascii="Times New Roman" w:eastAsia="Times New Roman" w:hAnsi="Times New Roman" w:cs="Times New Roman"/>
          <w:sz w:val="24"/>
          <w:szCs w:val="24"/>
        </w:rPr>
        <w:t xml:space="preserve">2025) </w:t>
      </w:r>
    </w:p>
    <w:p w14:paraId="4D6DC17B"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In India, Toyota focuses on vehicles which can undertake various road conditions, high usage, and long ownership periods (Mittal and Shah, 2024). The Innova, Hilux, Fortuner and Urban Cruiser Hyryder are made or modified to be durable, spacious, fuel-efficient, and easily maintained. Localisation of products is crucial in cost reduction and enhances political suitability to the Indian driving test (Hyun, 2025). Levels of local sourcing of various Toyota models within India assist the company in controlling costs.</w:t>
      </w:r>
    </w:p>
    <w:p w14:paraId="06A46514" w14:textId="77777777" w:rsidR="008C199D" w:rsidRPr="00394BCF" w:rsidRDefault="00DB6CD2" w:rsidP="00394BCF">
      <w:pPr>
        <w:pStyle w:val="Heading2"/>
        <w:keepNext w:val="0"/>
        <w:keepLines w:val="0"/>
      </w:pPr>
      <w:bookmarkStart w:id="11" w:name="_heading=h.ou9pxti80biw" w:colFirst="0" w:colLast="0"/>
      <w:bookmarkEnd w:id="11"/>
      <w:r w:rsidRPr="00394BCF">
        <w:t>4.2 Price Strategy</w:t>
      </w:r>
    </w:p>
    <w:p w14:paraId="6BC65820"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Japan’s relatively high purchasing power allows Toyota to use value-based pricing. Hybrid technology, safety systems, and high-end features have better justifications for higher prices, and consumers are more ready to pay more money for quality and innovative features. The mean price of a new passenger car in Japan was about 2.39 million yen (Nikkei Asia, 2026). Hence, the availability of financing options can be related to affordability, whereas price competition is not as high as in several emerging markets. </w:t>
      </w:r>
    </w:p>
    <w:p w14:paraId="332FB5BE"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lastRenderedPageBreak/>
        <w:drawing>
          <wp:inline distT="114300" distB="114300" distL="114300" distR="114300" wp14:anchorId="5A22C081" wp14:editId="023FF693">
            <wp:extent cx="4624388" cy="1928108"/>
            <wp:effectExtent l="25400" t="25400" r="25400" b="2540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4624388" cy="1928108"/>
                    </a:xfrm>
                    <a:prstGeom prst="rect">
                      <a:avLst/>
                    </a:prstGeom>
                    <a:ln w="25400">
                      <a:solidFill>
                        <a:srgbClr val="000000"/>
                      </a:solidFill>
                      <a:prstDash val="solid"/>
                    </a:ln>
                  </pic:spPr>
                </pic:pic>
              </a:graphicData>
            </a:graphic>
          </wp:inline>
        </w:drawing>
      </w:r>
    </w:p>
    <w:p w14:paraId="485C0613"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10: India per capita income</w:t>
      </w:r>
    </w:p>
    <w:p w14:paraId="0D61EEC2"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(CEIC, 2025) </w:t>
      </w:r>
    </w:p>
    <w:p w14:paraId="01113284"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India needs a far more careful pricing approach since people are very price-sensitive and do compare cars closely among brands (Tavor </w:t>
      </w:r>
      <w:r w:rsidRPr="00394BCF">
        <w:rPr>
          <w:rFonts w:ascii="Times New Roman" w:eastAsia="Times New Roman" w:hAnsi="Times New Roman" w:cs="Times New Roman"/>
          <w:i/>
          <w:iCs/>
          <w:sz w:val="24"/>
          <w:szCs w:val="24"/>
        </w:rPr>
        <w:t xml:space="preserve">et al., </w:t>
      </w:r>
      <w:r w:rsidRPr="00394BCF">
        <w:rPr>
          <w:rFonts w:ascii="Times New Roman" w:eastAsia="Times New Roman" w:hAnsi="Times New Roman" w:cs="Times New Roman"/>
          <w:sz w:val="24"/>
          <w:szCs w:val="24"/>
        </w:rPr>
        <w:t xml:space="preserve">2023). It had a per capita income of about $2,777.570 in 2025; affordability is a key factor to consider, as shown in Figure 10 (CEIC, 202). Toyota adopts competitive pricing in the models co-developed through collaboration. The company strikes a balance between low costs and high profits by providing various variations and financing packages. </w:t>
      </w:r>
    </w:p>
    <w:p w14:paraId="0BCBA19C" w14:textId="77777777" w:rsidR="008C199D" w:rsidRPr="00394BCF" w:rsidRDefault="00DB6CD2" w:rsidP="00394BCF">
      <w:pPr>
        <w:pStyle w:val="Heading2"/>
        <w:keepNext w:val="0"/>
        <w:keepLines w:val="0"/>
      </w:pPr>
      <w:bookmarkStart w:id="12" w:name="_heading=h.h0c7acg7b61a" w:colFirst="0" w:colLast="0"/>
      <w:bookmarkEnd w:id="12"/>
      <w:r w:rsidRPr="00394BCF">
        <w:t>4.3 Place Strategy</w:t>
      </w:r>
    </w:p>
    <w:p w14:paraId="1E03A53B"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Japanese distribution network of Toyota is vast, digital and accompanied by an effective logistics network (Hyun, 2025). The dealerships also offer sales, financing, servicing, insurance and related mobility services, targeting an advanced customer relationship management system. With over 308 Toyota dealers in Japan, the company guarantees enormous penetration and availability of after-sales support (Toyota Club, 2025). Electronic consultations and online reservation systems are growing in importance. </w:t>
      </w:r>
    </w:p>
    <w:p w14:paraId="0CE69952"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In India, the place strategy of Toyota will focus on the expansion to tier-two and tier-three cities and reinforce service infrastructure in semi-urban cities. Dealerships also tend to be full-fledged mobility centres which provide maintenance, spares, finance services and used-car services. Toyota has more than 600 sales and service touchpoints in India (Economic Times, 2023). Thus, indicating its orientation towards geographic development beyond the large metropolitan markets.  </w:t>
      </w:r>
    </w:p>
    <w:p w14:paraId="0594A88F" w14:textId="77777777" w:rsidR="008C199D" w:rsidRPr="00394BCF" w:rsidRDefault="00DB6CD2" w:rsidP="00394BCF">
      <w:pPr>
        <w:pStyle w:val="Heading2"/>
        <w:keepNext w:val="0"/>
        <w:keepLines w:val="0"/>
      </w:pPr>
      <w:bookmarkStart w:id="13" w:name="_heading=h.7132otqyvm9j" w:colFirst="0" w:colLast="0"/>
      <w:bookmarkEnd w:id="13"/>
      <w:r w:rsidRPr="00394BCF">
        <w:t>4.4 Promotion Strategy</w:t>
      </w:r>
    </w:p>
    <w:p w14:paraId="331335E7"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Japanese promotional strategies centre on technology, environmental friendliness, safety and corporate credibility. Hybrid efficiency, a reduction of carbon emissions, autonomous driving assistance, and giving back to society are commonly mentioned in advertisements. Toyota incurred costs of about ¥2390 billion in the areas of research and development, which </w:t>
      </w:r>
      <w:r w:rsidRPr="00394BCF">
        <w:rPr>
          <w:rFonts w:ascii="Times New Roman" w:eastAsia="Times New Roman" w:hAnsi="Times New Roman" w:cs="Times New Roman"/>
          <w:sz w:val="24"/>
          <w:szCs w:val="24"/>
        </w:rPr>
        <w:lastRenderedPageBreak/>
        <w:t xml:space="preserve">strengthened technology-based brand communication in Japan, as shown in Figure 11 (TOYOTA MOTOR CORPORATION, 2026). Innovation is exhibited using digital media, television and experiential events as opposed to aggressive discounting. </w:t>
      </w:r>
    </w:p>
    <w:p w14:paraId="0307A6BE"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6AE3137B" wp14:editId="246F4ABA">
            <wp:extent cx="1916116" cy="2656433"/>
            <wp:effectExtent l="25400" t="25400" r="25400" b="254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1916116" cy="2656433"/>
                    </a:xfrm>
                    <a:prstGeom prst="rect">
                      <a:avLst/>
                    </a:prstGeom>
                    <a:ln w="25400">
                      <a:solidFill>
                        <a:srgbClr val="000000"/>
                      </a:solidFill>
                      <a:prstDash val="solid"/>
                    </a:ln>
                  </pic:spPr>
                </pic:pic>
              </a:graphicData>
            </a:graphic>
          </wp:inline>
        </w:drawing>
      </w:r>
      <w:r w:rsidRPr="00394BCF">
        <w:rPr>
          <w:rFonts w:ascii="Times New Roman" w:hAnsi="Times New Roman" w:cs="Times New Roman"/>
          <w:sz w:val="24"/>
          <w:szCs w:val="24"/>
        </w:rPr>
        <w:br w:type="page"/>
      </w:r>
    </w:p>
    <w:p w14:paraId="57946B40"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bookmarkStart w:id="14" w:name="_GoBack"/>
      <w:bookmarkEnd w:id="14"/>
      <w:r w:rsidRPr="00394BCF">
        <w:rPr>
          <w:rFonts w:ascii="Times New Roman" w:eastAsia="Times New Roman" w:hAnsi="Times New Roman" w:cs="Times New Roman"/>
          <w:b/>
          <w:bCs/>
          <w:sz w:val="24"/>
          <w:szCs w:val="24"/>
        </w:rPr>
        <w:lastRenderedPageBreak/>
        <w:t>Figure 11: Toyota R&amp;D costs</w:t>
      </w:r>
    </w:p>
    <w:p w14:paraId="73E35C7D"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Source: (TOYOTA MOTOR CORPORATION, 2026)</w:t>
      </w:r>
    </w:p>
    <w:p w14:paraId="74602596"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Indian promotional practices are more emotional and inspirational (Limna</w:t>
      </w:r>
      <w:r w:rsidRPr="00394BCF">
        <w:rPr>
          <w:rFonts w:ascii="Times New Roman" w:eastAsia="Times New Roman" w:hAnsi="Times New Roman" w:cs="Times New Roman"/>
          <w:i/>
          <w:iCs/>
          <w:sz w:val="24"/>
          <w:szCs w:val="24"/>
        </w:rPr>
        <w:t xml:space="preserve"> et al.,</w:t>
      </w:r>
      <w:r w:rsidRPr="00394BCF">
        <w:rPr>
          <w:rFonts w:ascii="Times New Roman" w:eastAsia="Times New Roman" w:hAnsi="Times New Roman" w:cs="Times New Roman"/>
          <w:sz w:val="24"/>
          <w:szCs w:val="24"/>
        </w:rPr>
        <w:t xml:space="preserve"> 2026). The Innova campaigns are focused on family comfort, togetherness and status and Fortuner ads on power, adventure and achievement. To reach a wide range of cultural audiences, Toyota also uses regional-language advertising, festival campaigns, social media ambassadors, and dealership events. </w:t>
      </w:r>
    </w:p>
    <w:p w14:paraId="278EE733" w14:textId="77777777" w:rsidR="008C199D" w:rsidRPr="00394BCF" w:rsidRDefault="00DB6CD2" w:rsidP="00394BCF">
      <w:pPr>
        <w:pStyle w:val="Heading2"/>
        <w:keepNext w:val="0"/>
        <w:keepLines w:val="0"/>
      </w:pPr>
      <w:bookmarkStart w:id="15" w:name="_heading=h.f6kn83e2h0pt" w:colFirst="0" w:colLast="0"/>
      <w:bookmarkEnd w:id="15"/>
      <w:r w:rsidRPr="00394BCF">
        <w:t>4.5 People Strategy</w:t>
      </w:r>
    </w:p>
    <w:p w14:paraId="3048652C"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Employees of Toyota in Japan are educated based on omotenashi, the Japanese philosophy of considerate hospitality (The Economic Times, 2026). The sales personnel will be required to have in-depth product knowledge, individualised consultation and careful after-sales follow-ups. Central performance indicators are long-term relationships with customers and consistency of services. Leading Japanese dealerships score 78 and above in customer satisfaction, indicating very high customer service expectations (Pieszko, 2021).</w:t>
      </w:r>
    </w:p>
    <w:p w14:paraId="645E1410" w14:textId="77777777" w:rsidR="008C199D" w:rsidRPr="00394BCF" w:rsidRDefault="00DB6CD2" w:rsidP="00394BCF">
      <w:pPr>
        <w:spacing w:after="0" w:line="360" w:lineRule="auto"/>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5C92817C" wp14:editId="7B7E498F">
            <wp:extent cx="5731200" cy="1079500"/>
            <wp:effectExtent l="25400" t="25400" r="25400" b="2540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731200" cy="1079500"/>
                    </a:xfrm>
                    <a:prstGeom prst="rect">
                      <a:avLst/>
                    </a:prstGeom>
                    <a:ln w="25400">
                      <a:solidFill>
                        <a:srgbClr val="000000"/>
                      </a:solidFill>
                      <a:prstDash val="solid"/>
                    </a:ln>
                  </pic:spPr>
                </pic:pic>
              </a:graphicData>
            </a:graphic>
          </wp:inline>
        </w:drawing>
      </w:r>
    </w:p>
    <w:p w14:paraId="083483CE"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12: Toyota India TKM overview</w:t>
      </w:r>
    </w:p>
    <w:p w14:paraId="61B12F14"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Source: (Toyota India, 2026) </w:t>
      </w:r>
    </w:p>
    <w:p w14:paraId="656809C6"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people strategy in India is relationship building, responsiveness and building of trust. First-time buyers usually spend a lot of time with sales consultants elaborating on ways of financing, maintenance, warranty benefits and resale values. The company trained over 6,662 service personnel in India, as shown in Figure 12 (Toyota India, 2026). Toyota also invests in technical training of service personnel in order to achieve reliability in the network even though the network is dispersed geographically. </w:t>
      </w:r>
    </w:p>
    <w:p w14:paraId="634BE644" w14:textId="77777777" w:rsidR="008C199D" w:rsidRPr="00394BCF" w:rsidRDefault="00DB6CD2" w:rsidP="00394BCF">
      <w:pPr>
        <w:pStyle w:val="Heading2"/>
        <w:keepNext w:val="0"/>
        <w:keepLines w:val="0"/>
      </w:pPr>
      <w:bookmarkStart w:id="16" w:name="_heading=h.9y8a7uow5cm9" w:colFirst="0" w:colLast="0"/>
      <w:bookmarkEnd w:id="16"/>
      <w:r w:rsidRPr="00394BCF">
        <w:t>4.6 Process Strategy</w:t>
      </w:r>
    </w:p>
    <w:p w14:paraId="71CDA9C6"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Japanese customers demand very efficient and open buying and maintenance procedures (Yue, 2022). Toyota thus applies superior booking mechanisms, e-paperwork, anticipatory maintenance notifications as well as expedient service turnaround systems. The principles of lean operations based on the Toyota Production System help increase the efficiency of the customer journey, as shown in Figure 13 (Toyota, 2025b). For standard maintenance, average </w:t>
      </w:r>
      <w:r w:rsidRPr="00394BCF">
        <w:rPr>
          <w:rFonts w:ascii="Times New Roman" w:eastAsia="Times New Roman" w:hAnsi="Times New Roman" w:cs="Times New Roman"/>
          <w:sz w:val="24"/>
          <w:szCs w:val="24"/>
        </w:rPr>
        <w:lastRenderedPageBreak/>
        <w:t>vehicle servicing turnaround time at Japanese large Toyota dealerships shows the effectiveness of standardised processes.</w:t>
      </w:r>
    </w:p>
    <w:p w14:paraId="79F7006B"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noProof/>
          <w:sz w:val="24"/>
          <w:szCs w:val="24"/>
          <w:lang w:val="en-IN"/>
        </w:rPr>
        <w:drawing>
          <wp:inline distT="114300" distB="114300" distL="114300" distR="114300" wp14:anchorId="36D8F926" wp14:editId="3CDAE692">
            <wp:extent cx="3939713" cy="3330848"/>
            <wp:effectExtent l="25400" t="25400" r="25400" b="2540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3939713" cy="3330848"/>
                    </a:xfrm>
                    <a:prstGeom prst="rect">
                      <a:avLst/>
                    </a:prstGeom>
                    <a:ln w="25400">
                      <a:solidFill>
                        <a:srgbClr val="000000"/>
                      </a:solidFill>
                      <a:prstDash val="solid"/>
                    </a:ln>
                  </pic:spPr>
                </pic:pic>
              </a:graphicData>
            </a:graphic>
          </wp:inline>
        </w:drawing>
      </w:r>
    </w:p>
    <w:p w14:paraId="13D813DE" w14:textId="77777777" w:rsidR="008C199D" w:rsidRPr="00394BCF" w:rsidRDefault="00DB6CD2" w:rsidP="00394BCF">
      <w:pPr>
        <w:spacing w:after="0" w:line="360" w:lineRule="auto"/>
        <w:jc w:val="center"/>
        <w:rPr>
          <w:rFonts w:ascii="Times New Roman" w:eastAsia="Times New Roman" w:hAnsi="Times New Roman" w:cs="Times New Roman"/>
          <w:b/>
          <w:bCs/>
          <w:sz w:val="24"/>
          <w:szCs w:val="24"/>
        </w:rPr>
      </w:pPr>
      <w:r w:rsidRPr="00394BCF">
        <w:rPr>
          <w:rFonts w:ascii="Times New Roman" w:eastAsia="Times New Roman" w:hAnsi="Times New Roman" w:cs="Times New Roman"/>
          <w:b/>
          <w:bCs/>
          <w:sz w:val="24"/>
          <w:szCs w:val="24"/>
        </w:rPr>
        <w:t>Figure 13: Toyota Production System</w:t>
      </w:r>
    </w:p>
    <w:p w14:paraId="637EDD06" w14:textId="77777777" w:rsidR="008C199D" w:rsidRPr="00394BCF" w:rsidRDefault="00DB6CD2" w:rsidP="00394BCF">
      <w:pPr>
        <w:spacing w:after="0" w:line="360" w:lineRule="auto"/>
        <w:jc w:val="center"/>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Source: (Toyota, 2025b)</w:t>
      </w:r>
    </w:p>
    <w:p w14:paraId="14F223EC"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India adapts the processes to diverse digital literacy levels, complexities of financing, and administrative local needs (Choudhary and Patidar, 2025). Toyota will use a mix of online reservation systems and a high level of human touch throughout the process when purchasing, registering, financing, and insuring. The service processes are concerned with the provision of spare parts and also openness in terms of the cost of maintenance. </w:t>
      </w:r>
    </w:p>
    <w:p w14:paraId="2858C810" w14:textId="77777777" w:rsidR="008C199D" w:rsidRPr="00394BCF" w:rsidRDefault="00DB6CD2" w:rsidP="00394BCF">
      <w:pPr>
        <w:pStyle w:val="Heading2"/>
        <w:keepNext w:val="0"/>
        <w:keepLines w:val="0"/>
      </w:pPr>
      <w:bookmarkStart w:id="17" w:name="_heading=h.1whx3qkkt3go" w:colFirst="0" w:colLast="0"/>
      <w:bookmarkEnd w:id="17"/>
      <w:r w:rsidRPr="00394BCF">
        <w:t>4.7 Physical Evidence Strategy</w:t>
      </w:r>
    </w:p>
    <w:p w14:paraId="70FFD18C"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In Japan, physical evidence is meant to convey technological advances, cleanliness, accuracy, and ecological friendliness. The minimalist design of showrooms, digital interaction exhibits, demonstrations of hybrid technologies, and cosy client lounges all help to support the image of high-quality cars produced by Toyota. Unity is closely supervised among outlets. Toyota remodelled Japanese retail locations in its mobility-centric dealership modernisation initiative (Toyota EU, 2025). Hence, enhancing consistency in brand and customer experience.</w:t>
      </w:r>
    </w:p>
    <w:p w14:paraId="2116C97E"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Physical evidence in India should have premium value as well as practicality in operations. The sport utility vehicles and multi-purpose vehicles feature prominently in the showrooms, offering accommodating waiting areas that emphasise durability. Customers can easily see service workshops as a way of instilling transparency and trust (Gowda </w:t>
      </w:r>
      <w:r w:rsidRPr="00394BCF">
        <w:rPr>
          <w:rFonts w:ascii="Times New Roman" w:eastAsia="Times New Roman" w:hAnsi="Times New Roman" w:cs="Times New Roman"/>
          <w:i/>
          <w:iCs/>
          <w:sz w:val="24"/>
          <w:szCs w:val="24"/>
        </w:rPr>
        <w:t>et al.,</w:t>
      </w:r>
      <w:r w:rsidRPr="00394BCF">
        <w:rPr>
          <w:rFonts w:ascii="Times New Roman" w:eastAsia="Times New Roman" w:hAnsi="Times New Roman" w:cs="Times New Roman"/>
          <w:sz w:val="24"/>
          <w:szCs w:val="24"/>
        </w:rPr>
        <w:t xml:space="preserve"> 2025).  </w:t>
      </w:r>
    </w:p>
    <w:p w14:paraId="023CB454" w14:textId="77777777" w:rsidR="008C199D" w:rsidRPr="00394BCF" w:rsidRDefault="00DB6CD2" w:rsidP="00394BCF">
      <w:pPr>
        <w:pStyle w:val="Heading1"/>
        <w:keepNext w:val="0"/>
        <w:keepLines w:val="0"/>
      </w:pPr>
      <w:bookmarkStart w:id="18" w:name="_heading=h.a0ybfor5228" w:colFirst="0" w:colLast="0"/>
      <w:bookmarkEnd w:id="18"/>
      <w:r w:rsidRPr="00394BCF">
        <w:lastRenderedPageBreak/>
        <w:t>5.0 Analysis of Toyota’s Market Entry Strategy in India</w:t>
      </w:r>
    </w:p>
    <w:p w14:paraId="6DDEADEA"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Toyota first ventured into the Indian market in 1997 by forming a joint venture with the Kirloskar Group, in which Toyota Kirloskar Motor was established (Banerjee, 2023). This plan merged Toyota's expertise in technology and production of automobiles in Japan and expertise in local regulations, suppliers, distribution channels, and business in India. The opening of the Bidadi production facility in Karnataka saw Toyota establish a solid production platform and indicated a long-term commitment to the Indian market (Hindustan Times, 2023).</w:t>
      </w:r>
    </w:p>
    <w:p w14:paraId="12C2DB14"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The joint venture was a good decision at first as the automotive sector in India was fully controlled, and there was a strong demand to localise the business (Mahesh</w:t>
      </w:r>
      <w:r w:rsidRPr="00394BCF">
        <w:rPr>
          <w:rFonts w:ascii="Times New Roman" w:eastAsia="Times New Roman" w:hAnsi="Times New Roman" w:cs="Times New Roman"/>
          <w:i/>
          <w:iCs/>
          <w:sz w:val="24"/>
          <w:szCs w:val="24"/>
        </w:rPr>
        <w:t xml:space="preserve"> et al., </w:t>
      </w:r>
      <w:r w:rsidRPr="00394BCF">
        <w:rPr>
          <w:rFonts w:ascii="Times New Roman" w:eastAsia="Times New Roman" w:hAnsi="Times New Roman" w:cs="Times New Roman"/>
          <w:sz w:val="24"/>
          <w:szCs w:val="24"/>
        </w:rPr>
        <w:t>2026). The tariffs on imports were high, the supply networks were not yet well established, and international producers had doubts about how the business would continue to operate. The joint venture with a well-known Indian industrial player minimised such risks and provided Toyota with increased credibility.</w:t>
      </w:r>
    </w:p>
    <w:p w14:paraId="585B5C6A"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As time progressed, Toyota changed to a more narrow importing strategy to broad-based production locally and development of suppliers. The company enhanced the extent of localisation, increased its production capacity, and developed a domestic network of vendors, which facilitated both Indian sales and export business. Its subsequent partnership with Suzuki helped it further enhance its competitiveness in low-value segments by sharing vehicle platforms and technology (TOYOTA MOTOR CORPORATION, 2022).</w:t>
      </w:r>
    </w:p>
    <w:p w14:paraId="43F539A8"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Overall, the market entry of Toyota can be evaluated as rather successful. Though the company has never gained the market share lead of Maruti Suzuki or Hyundai, it has earned itself a profitable and respectable market in India. Other models like the Innova have created great brand loyalty and have gained immense influence in the multi-purpose segment, providing premium value to the customer.</w:t>
      </w:r>
    </w:p>
    <w:p w14:paraId="31B1B221" w14:textId="77777777" w:rsidR="008C199D" w:rsidRPr="00394BCF" w:rsidRDefault="00DB6CD2" w:rsidP="00394BCF">
      <w:pPr>
        <w:pStyle w:val="Heading1"/>
        <w:keepNext w:val="0"/>
        <w:keepLines w:val="0"/>
      </w:pPr>
      <w:bookmarkStart w:id="19" w:name="_heading=h.4353jza5wkpc" w:colFirst="0" w:colLast="0"/>
      <w:bookmarkEnd w:id="19"/>
      <w:r w:rsidRPr="00394BCF">
        <w:t>6.0 Ethical Issues Related to Toyota’s Marketing Mix in India</w:t>
      </w:r>
    </w:p>
    <w:p w14:paraId="090B7C80"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A critical ethical concern in the Indian marketing mix of Toyota is the sustainability of the environment. Despite striving to present itself globally as a hybrid and low-emission technology powerhouse, most of the success in India has been generated through big sport utility vehicles like the Fortuner. This has long been powered by more polluting diesel engines (Nursyahirah </w:t>
      </w:r>
      <w:r w:rsidRPr="00394BCF">
        <w:rPr>
          <w:rFonts w:ascii="Times New Roman" w:eastAsia="Times New Roman" w:hAnsi="Times New Roman" w:cs="Times New Roman"/>
          <w:i/>
          <w:iCs/>
          <w:sz w:val="24"/>
          <w:szCs w:val="24"/>
        </w:rPr>
        <w:t>et al.,</w:t>
      </w:r>
      <w:r w:rsidRPr="00394BCF">
        <w:rPr>
          <w:rFonts w:ascii="Times New Roman" w:eastAsia="Times New Roman" w:hAnsi="Times New Roman" w:cs="Times New Roman"/>
          <w:sz w:val="24"/>
          <w:szCs w:val="24"/>
        </w:rPr>
        <w:t xml:space="preserve"> 2024). This brings about a potential discrepancy between the global sustainability message of Toyota and the product focus in the Indian market where the lowering of transport-related emissions is becoming significant.</w:t>
      </w:r>
    </w:p>
    <w:p w14:paraId="18B3EC2E"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second ethical issue is affordability and aspirational adverts. Cars like the Innova HyCross or Fortuner are out of the purchasing price range of most Indian buyers. However, through </w:t>
      </w:r>
      <w:r w:rsidRPr="00394BCF">
        <w:rPr>
          <w:rFonts w:ascii="Times New Roman" w:eastAsia="Times New Roman" w:hAnsi="Times New Roman" w:cs="Times New Roman"/>
          <w:sz w:val="24"/>
          <w:szCs w:val="24"/>
        </w:rPr>
        <w:lastRenderedPageBreak/>
        <w:t>advertising campaigns, there is a perception of social status, success, and social standing linked to their ownership (Philippe</w:t>
      </w:r>
      <w:r w:rsidRPr="00394BCF">
        <w:rPr>
          <w:rFonts w:ascii="Times New Roman" w:eastAsia="Times New Roman" w:hAnsi="Times New Roman" w:cs="Times New Roman"/>
          <w:i/>
          <w:iCs/>
          <w:sz w:val="24"/>
          <w:szCs w:val="24"/>
        </w:rPr>
        <w:t xml:space="preserve"> et al., </w:t>
      </w:r>
      <w:r w:rsidRPr="00394BCF">
        <w:rPr>
          <w:rFonts w:ascii="Times New Roman" w:eastAsia="Times New Roman" w:hAnsi="Times New Roman" w:cs="Times New Roman"/>
          <w:sz w:val="24"/>
          <w:szCs w:val="24"/>
        </w:rPr>
        <w:t>2022). Although this kind of positioning is typical in the automobile sector, it can lead to the temptation of persuading some middle-income families to take financially straining decisions to buy vehicles in the form of long-term financing.</w:t>
      </w:r>
    </w:p>
    <w:p w14:paraId="49786499"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Nonetheless, Toyota has enjoyed an excellent ethical image in India. The firm has a great reputation regarding the reliability of its products, the transparency in its servicing of products, and customer loyalty. To enhance the existence of ethical consistency, Toyota must increase the number of affordable hybrid cars and low-emitting cars to ensure that sustainable mobility is able to be attained by more consumers in India. </w:t>
      </w:r>
    </w:p>
    <w:p w14:paraId="2AB80ACA" w14:textId="77777777" w:rsidR="008C199D" w:rsidRPr="00394BCF" w:rsidRDefault="00DB6CD2" w:rsidP="00394BCF">
      <w:pPr>
        <w:pStyle w:val="Heading1"/>
        <w:keepNext w:val="0"/>
        <w:keepLines w:val="0"/>
      </w:pPr>
      <w:bookmarkStart w:id="20" w:name="_heading=h.3dvchpadbj0f" w:colFirst="0" w:colLast="0"/>
      <w:bookmarkEnd w:id="20"/>
      <w:r w:rsidRPr="00394BCF">
        <w:t>7.0 Recommendations for Toyota’s Future International Marketing Strategies</w:t>
      </w:r>
    </w:p>
    <w:p w14:paraId="7182AC9D"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Toyota needs to use a differentiated international marketing approach that is evidence of the difference between the conditions of Japan and India. In Japan, the company needs to enhance its status of state-of-the-art mobility by investing in next-generation hybrid vehicles, software-define car, autonomous driving systems, and hydrogen-based transportation solutions. The initiatives will help Toyota be competitive in the long run and in line with Japan's national carbon-neutrality target of Japan by 2050 (Dzienis and McCaleb, 2024).</w:t>
      </w:r>
    </w:p>
    <w:p w14:paraId="3D24FCF2"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should consider increasing affordable and sustainable mobility in India. Increased localisation of manufacturing and sourcing can be used to lower costs of production and enhance price competitiveness (Shahadat </w:t>
      </w:r>
      <w:r w:rsidRPr="00394BCF">
        <w:rPr>
          <w:rFonts w:ascii="Times New Roman" w:eastAsia="Times New Roman" w:hAnsi="Times New Roman" w:cs="Times New Roman"/>
          <w:i/>
          <w:iCs/>
          <w:sz w:val="24"/>
          <w:szCs w:val="24"/>
        </w:rPr>
        <w:t>et al.,</w:t>
      </w:r>
      <w:r w:rsidRPr="00394BCF">
        <w:rPr>
          <w:rFonts w:ascii="Times New Roman" w:eastAsia="Times New Roman" w:hAnsi="Times New Roman" w:cs="Times New Roman"/>
          <w:sz w:val="24"/>
          <w:szCs w:val="24"/>
        </w:rPr>
        <w:t xml:space="preserve"> 2023). The company must also diversify in its offering of hybrid sport utility vehicles and multi-purpose vehicles, which are tailored to Indian road conditions and consumer requirements. By playing on its collaboration with Suzuki, Toyota would be able to tap first-time consumers without compromising its image of reliability, longevity, and ease of maintenance.</w:t>
      </w:r>
    </w:p>
    <w:p w14:paraId="4F0897C5"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In both markets, digital transformation should be enhanced (Hyun, 2025). Japan needs high-level connected-car services, predictive maintenance systems, and personalised customer experiences. Mobile-first sales platforms, sales channels in regional languages, inclusion of remote service support and provision of ownership-cost information can help enhance accessibility in India.</w:t>
      </w:r>
    </w:p>
    <w:p w14:paraId="17B341D3"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Lastly, Toyota must make sure that it can back its sustainability messages with really available low-emission goods. The provision of affordable hybrid alternatives, relocating to local sourcing of batteries, promotion of recycling programmes, and reporting to the customer on the positive environmental impact will raise ethical credibility, customer confidence, and long-term international brand effectiveness. </w:t>
      </w:r>
    </w:p>
    <w:p w14:paraId="52F10CA6" w14:textId="77777777" w:rsidR="008C199D" w:rsidRPr="00394BCF" w:rsidRDefault="00DB6CD2" w:rsidP="00394BCF">
      <w:pPr>
        <w:pStyle w:val="Heading1"/>
        <w:keepNext w:val="0"/>
        <w:keepLines w:val="0"/>
      </w:pPr>
      <w:bookmarkStart w:id="21" w:name="_heading=h.ba5b1mxjo6w5" w:colFirst="0" w:colLast="0"/>
      <w:bookmarkEnd w:id="21"/>
      <w:r w:rsidRPr="00394BCF">
        <w:t>Section 2</w:t>
      </w:r>
    </w:p>
    <w:p w14:paraId="047F23B6" w14:textId="77777777" w:rsidR="008C199D" w:rsidRPr="00394BCF" w:rsidRDefault="00DB6CD2" w:rsidP="00394BCF">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22" w:name="_heading=h.petz6qvkhdzp" w:colFirst="0" w:colLast="0"/>
      <w:bookmarkEnd w:id="22"/>
      <w:r w:rsidRPr="00394BCF">
        <w:rPr>
          <w:rFonts w:ascii="Times New Roman" w:eastAsia="Times New Roman" w:hAnsi="Times New Roman" w:cs="Times New Roman"/>
          <w:b/>
          <w:bCs/>
          <w:color w:val="000000"/>
          <w:sz w:val="24"/>
          <w:szCs w:val="24"/>
        </w:rPr>
        <w:lastRenderedPageBreak/>
        <w:t>Introduction</w:t>
      </w:r>
    </w:p>
    <w:p w14:paraId="1C89A3B5"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This reflective account evaluates the process I followed while researching, analysing, and preparing the comparative study of Toyota’s market in Japan and India. The Reflective Cycle by Gibbs offers a reflective model comprising description, feelings, evaluation, analysis, conclusion and action plan (Praveena</w:t>
      </w:r>
      <w:r w:rsidRPr="00394BCF">
        <w:rPr>
          <w:rFonts w:ascii="Times New Roman" w:eastAsia="Times New Roman" w:hAnsi="Times New Roman" w:cs="Times New Roman"/>
          <w:i/>
          <w:iCs/>
          <w:sz w:val="24"/>
          <w:szCs w:val="24"/>
        </w:rPr>
        <w:t xml:space="preserve"> et al., </w:t>
      </w:r>
      <w:r w:rsidRPr="00394BCF">
        <w:rPr>
          <w:rFonts w:ascii="Times New Roman" w:eastAsia="Times New Roman" w:hAnsi="Times New Roman" w:cs="Times New Roman"/>
          <w:sz w:val="24"/>
          <w:szCs w:val="24"/>
        </w:rPr>
        <w:t xml:space="preserve">2025). Using this model helped me to evaluate the academic result and the efficacy of my research strategies, thought process, organisation, and time management during the process of assessment preparation. </w:t>
      </w:r>
    </w:p>
    <w:p w14:paraId="675A1F22" w14:textId="77777777" w:rsidR="008C199D" w:rsidRPr="00394BCF" w:rsidRDefault="00DB6CD2" w:rsidP="00394BCF">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23" w:name="_heading=h.g59ce1xrra8" w:colFirst="0" w:colLast="0"/>
      <w:bookmarkEnd w:id="23"/>
      <w:r w:rsidRPr="00394BCF">
        <w:rPr>
          <w:rFonts w:ascii="Times New Roman" w:eastAsia="Times New Roman" w:hAnsi="Times New Roman" w:cs="Times New Roman"/>
          <w:b/>
          <w:bCs/>
          <w:color w:val="000000"/>
          <w:sz w:val="24"/>
          <w:szCs w:val="24"/>
        </w:rPr>
        <w:t>Description</w:t>
      </w:r>
    </w:p>
    <w:p w14:paraId="07694707"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The evaluation has been conducted by comparing the international marketing activities conducted by Toyota in Japan and India against the PEST, Hofstede, STP, the 7Ps, market entry, ethical considerations and recommendations. I broke down the task into parts, collected recent statistical information in academic and industry reports, and systematised the data. This helped conducted the analysis of how the strategies of Toyota were influenced by economic, cultural, technological, environmental and legal factors in both markets.</w:t>
      </w:r>
    </w:p>
    <w:p w14:paraId="6CD68BB1" w14:textId="77777777" w:rsidR="008C199D" w:rsidRPr="00394BCF" w:rsidRDefault="00DB6CD2" w:rsidP="00394BCF">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24" w:name="_heading=h.q1m6acw6h379" w:colFirst="0" w:colLast="0"/>
      <w:bookmarkEnd w:id="24"/>
      <w:r w:rsidRPr="00394BCF">
        <w:rPr>
          <w:rFonts w:ascii="Times New Roman" w:eastAsia="Times New Roman" w:hAnsi="Times New Roman" w:cs="Times New Roman"/>
          <w:b/>
          <w:bCs/>
          <w:color w:val="000000"/>
          <w:sz w:val="24"/>
          <w:szCs w:val="24"/>
        </w:rPr>
        <w:t>Feelings</w:t>
      </w:r>
    </w:p>
    <w:p w14:paraId="7DB9EF52"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 was quite certain that early in the task, I would be familiar with fundamental concepts of marketing and, in particular, STP and marketing mix, but I was doubtful of being able to apply multiple business frameworks in a single analysis across the borders. It was difficult to compare two countries which had really different economic and cultural situations in the first place. I also had concerns regarding the need to be accurate academically coupled with the need to include adequate statistical support. The further the research went, the more at ease I felt in the interpretation of data and finding correlations between the external environmental issues and strategic choices of Toyota. The progress of each part boosted my confidence and dissolved the fear of dealing with a large volume of data from different sources. </w:t>
      </w:r>
    </w:p>
    <w:p w14:paraId="611F1DE4" w14:textId="77777777" w:rsidR="008C199D" w:rsidRPr="00394BCF" w:rsidRDefault="00DB6CD2" w:rsidP="00394BCF">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25" w:name="_heading=h.h0s9ixpu51iu" w:colFirst="0" w:colLast="0"/>
      <w:bookmarkEnd w:id="25"/>
      <w:r w:rsidRPr="00394BCF">
        <w:rPr>
          <w:rFonts w:ascii="Times New Roman" w:eastAsia="Times New Roman" w:hAnsi="Times New Roman" w:cs="Times New Roman"/>
          <w:b/>
          <w:bCs/>
          <w:color w:val="000000"/>
          <w:sz w:val="24"/>
          <w:szCs w:val="24"/>
        </w:rPr>
        <w:t>Evaluation</w:t>
      </w:r>
    </w:p>
    <w:p w14:paraId="01CA8C79"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Several aspects of the process were successful. Having an outline to follow before I began writing allowed me to have logical flow and prevented any unwarranted repetition. The PESTLE model was especially useful in determining the external impact (Eierle </w:t>
      </w:r>
      <w:r w:rsidRPr="00394BCF">
        <w:rPr>
          <w:rFonts w:ascii="Times New Roman" w:eastAsia="Times New Roman" w:hAnsi="Times New Roman" w:cs="Times New Roman"/>
          <w:i/>
          <w:iCs/>
          <w:sz w:val="24"/>
          <w:szCs w:val="24"/>
        </w:rPr>
        <w:t xml:space="preserve">et al., </w:t>
      </w:r>
      <w:r w:rsidRPr="00394BCF">
        <w:rPr>
          <w:rFonts w:ascii="Times New Roman" w:eastAsia="Times New Roman" w:hAnsi="Times New Roman" w:cs="Times New Roman"/>
          <w:sz w:val="24"/>
          <w:szCs w:val="24"/>
        </w:rPr>
        <w:t xml:space="preserve">2021). Mainly of political stability, economic growth, social demographics, technological competence, environmental control, and legal regulations on Toyota in Japan and India, as they had varying effects. The Hofstede model was also insightful in respect to the influence of cultural values on consumer behaviour, management practices and marketing communication. However, there were difficulties. It took a long time to find similar and more recent statistics on both countries, as the various sources reported using different periods and approaches. </w:t>
      </w:r>
      <w:r w:rsidRPr="00394BCF">
        <w:rPr>
          <w:rFonts w:ascii="Times New Roman" w:eastAsia="Times New Roman" w:hAnsi="Times New Roman" w:cs="Times New Roman"/>
          <w:sz w:val="24"/>
          <w:szCs w:val="24"/>
        </w:rPr>
        <w:lastRenderedPageBreak/>
        <w:t xml:space="preserve">Another thing I also learned is that giving descriptive information and a critical analysis was a lot harder in the drafting stage in comparison with expectations. </w:t>
      </w:r>
    </w:p>
    <w:p w14:paraId="527BACDD" w14:textId="77777777" w:rsidR="008C199D" w:rsidRPr="00394BCF" w:rsidRDefault="00DB6CD2" w:rsidP="00394BCF">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26" w:name="_heading=h.vvvvxsh6sj5r" w:colFirst="0" w:colLast="0"/>
      <w:bookmarkEnd w:id="26"/>
      <w:r w:rsidRPr="00394BCF">
        <w:rPr>
          <w:rFonts w:ascii="Times New Roman" w:eastAsia="Times New Roman" w:hAnsi="Times New Roman" w:cs="Times New Roman"/>
          <w:b/>
          <w:bCs/>
          <w:color w:val="000000"/>
          <w:sz w:val="24"/>
          <w:szCs w:val="24"/>
        </w:rPr>
        <w:t>Analysis</w:t>
      </w:r>
    </w:p>
    <w:p w14:paraId="6DA368E3"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Considering the process, I can understand that the analysis quality was greatly conditional on the credibility and topicality of the chosen sources. The greater sources of evidence were government reports and established international organisations, especially regarding economic, demographic, environmental and regulatory information compared to general business websites. For instance, uncertainty avoidance, long-term orientation, as well as a high level of technological infrastructure contribute to the fact that Toyota insists on hybrid technology in Japan. This is not only due to the environmental policy, but also due to other factors. In the same way, the collectivist cultural values, increased middle-class aspirations, infrastructure conditions and price sensitivity are interacting to ensure that Toyota responded to the Indian market by offering durable, family-focused cars. This knowledge made me stop merely describing the frameworks to outlining their strategic implications in the international activities of Toyota.</w:t>
      </w:r>
    </w:p>
    <w:p w14:paraId="30FBABB3" w14:textId="77777777" w:rsidR="008C199D" w:rsidRPr="00394BCF" w:rsidRDefault="00DB6CD2" w:rsidP="00394BCF">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27" w:name="_heading=h.xm56y9wip34k" w:colFirst="0" w:colLast="0"/>
      <w:bookmarkEnd w:id="27"/>
      <w:r w:rsidRPr="00394BCF">
        <w:rPr>
          <w:rFonts w:ascii="Times New Roman" w:eastAsia="Times New Roman" w:hAnsi="Times New Roman" w:cs="Times New Roman"/>
          <w:b/>
          <w:bCs/>
          <w:color w:val="000000"/>
          <w:sz w:val="24"/>
          <w:szCs w:val="24"/>
        </w:rPr>
        <w:t>Conclusion</w:t>
      </w:r>
    </w:p>
    <w:p w14:paraId="41F6C6C5"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This evaluation helped me to improve my knowledge of international marketing and comparative business research. I was taught the necessity of solid planning, credible sources, quantitative evidence, and revision. The use of PESTLE and Hofstede, STP, and the 7Ps enhanced my analytical, research, and critical thinking ability in future academic projects.</w:t>
      </w:r>
    </w:p>
    <w:p w14:paraId="33345E1E" w14:textId="77777777" w:rsidR="008C199D" w:rsidRPr="00394BCF" w:rsidRDefault="00DB6CD2" w:rsidP="00394BCF">
      <w:pPr>
        <w:pStyle w:val="Heading3"/>
        <w:keepNext w:val="0"/>
        <w:keepLines w:val="0"/>
        <w:spacing w:before="0" w:after="0" w:line="360" w:lineRule="auto"/>
        <w:jc w:val="both"/>
        <w:rPr>
          <w:rFonts w:ascii="Times New Roman" w:eastAsia="Times New Roman" w:hAnsi="Times New Roman" w:cs="Times New Roman"/>
          <w:b/>
          <w:bCs/>
          <w:color w:val="000000"/>
          <w:sz w:val="24"/>
          <w:szCs w:val="24"/>
        </w:rPr>
      </w:pPr>
      <w:bookmarkStart w:id="28" w:name="_heading=h.739b8wdghy7l" w:colFirst="0" w:colLast="0"/>
      <w:bookmarkEnd w:id="28"/>
      <w:r w:rsidRPr="00394BCF">
        <w:rPr>
          <w:rFonts w:ascii="Times New Roman" w:eastAsia="Times New Roman" w:hAnsi="Times New Roman" w:cs="Times New Roman"/>
          <w:b/>
          <w:bCs/>
          <w:color w:val="000000"/>
          <w:sz w:val="24"/>
          <w:szCs w:val="24"/>
        </w:rPr>
        <w:t>Action Plan</w:t>
      </w:r>
    </w:p>
    <w:p w14:paraId="7B0B639C"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To enhance my research procedure in future tasks, I am going to draft out a detailed process outline with particular source collection, reading, writing and refining milestones. I will make better use of reference management software, which would help me to better organise citations and minimise the probability of inconsistencies. I will also be able to further enhance my ability to interpret statistical information and extract information that is composed of various academic and industry sources. Also, I will spend more time critically reviewing to ensure that I am able to reinforce analytical discussion as opposed to mostly being descriptively oriented. The Reflective Cycle created by Gibbs has assisted in acknowledging the strengths and the weaknesses of my method and has offered a significant blueprint of how to advance the quality and efficiency of my future academic research and international marketing analysis in general.</w:t>
      </w:r>
    </w:p>
    <w:p w14:paraId="7EF95925" w14:textId="77777777" w:rsidR="008C199D" w:rsidRPr="00394BCF" w:rsidRDefault="00DB6CD2" w:rsidP="00394BCF">
      <w:pPr>
        <w:pStyle w:val="Heading1"/>
        <w:keepNext w:val="0"/>
        <w:keepLines w:val="0"/>
      </w:pPr>
      <w:bookmarkStart w:id="29" w:name="_heading=h.42f0tm8l24v7" w:colFirst="0" w:colLast="0"/>
      <w:bookmarkEnd w:id="29"/>
      <w:r w:rsidRPr="00394BCF">
        <w:t>8.0 Conclusion</w:t>
      </w:r>
    </w:p>
    <w:p w14:paraId="3EDDDBD9" w14:textId="77777777" w:rsidR="008C199D" w:rsidRPr="00394BCF" w:rsidRDefault="00DB6CD2"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assessment demonstrates how economic, cultural, technological, and ethical differences shape Toyota’s marketing strategies in Japan and India. It also highlights the importance of </w:t>
      </w:r>
      <w:r w:rsidRPr="00394BCF">
        <w:rPr>
          <w:rFonts w:ascii="Times New Roman" w:eastAsia="Times New Roman" w:hAnsi="Times New Roman" w:cs="Times New Roman"/>
          <w:sz w:val="24"/>
          <w:szCs w:val="24"/>
        </w:rPr>
        <w:lastRenderedPageBreak/>
        <w:t>structured research, critical analysis, and reflective learning in developing effective international marketing knowledge and future academic and professional capabilities.</w:t>
      </w:r>
    </w:p>
    <w:p w14:paraId="6047F3F7" w14:textId="77777777" w:rsidR="008C199D" w:rsidRPr="00394BCF" w:rsidRDefault="008C199D" w:rsidP="00394BCF">
      <w:pPr>
        <w:spacing w:after="0" w:line="360" w:lineRule="auto"/>
        <w:jc w:val="both"/>
        <w:rPr>
          <w:rFonts w:ascii="Times New Roman" w:eastAsia="Times New Roman" w:hAnsi="Times New Roman" w:cs="Times New Roman"/>
          <w:sz w:val="24"/>
          <w:szCs w:val="24"/>
        </w:rPr>
      </w:pPr>
    </w:p>
    <w:p w14:paraId="4367264B" w14:textId="77777777" w:rsidR="008C199D" w:rsidRPr="00394BCF" w:rsidRDefault="00DB6CD2" w:rsidP="00394BCF">
      <w:pPr>
        <w:spacing w:after="0" w:line="360" w:lineRule="auto"/>
        <w:rPr>
          <w:rFonts w:ascii="Times New Roman" w:eastAsia="Times New Roman" w:hAnsi="Times New Roman" w:cs="Times New Roman"/>
          <w:sz w:val="24"/>
          <w:szCs w:val="24"/>
        </w:rPr>
      </w:pPr>
      <w:r w:rsidRPr="00394BCF">
        <w:rPr>
          <w:rFonts w:ascii="Times New Roman" w:hAnsi="Times New Roman" w:cs="Times New Roman"/>
          <w:sz w:val="24"/>
          <w:szCs w:val="24"/>
        </w:rPr>
        <w:br w:type="page"/>
      </w:r>
    </w:p>
    <w:p w14:paraId="6734E3BC" w14:textId="77777777" w:rsidR="008C199D" w:rsidRPr="00394BCF" w:rsidRDefault="00DB6CD2" w:rsidP="00394BCF">
      <w:pPr>
        <w:pStyle w:val="Heading1"/>
      </w:pPr>
      <w:bookmarkStart w:id="30" w:name="_heading=h.93xdk1gp78mp" w:colFirst="0" w:colLast="0"/>
      <w:bookmarkEnd w:id="30"/>
      <w:r w:rsidRPr="00394BCF">
        <w:lastRenderedPageBreak/>
        <w:t>References</w:t>
      </w:r>
    </w:p>
    <w:p w14:paraId="49F4E068" w14:textId="6535738C" w:rsidR="00394BCF" w:rsidRPr="00394BCF" w:rsidRDefault="00394BCF" w:rsidP="00394BCF">
      <w:pPr>
        <w:spacing w:after="0" w:line="360" w:lineRule="auto"/>
        <w:jc w:val="both"/>
        <w:rPr>
          <w:rFonts w:ascii="Times New Roman" w:eastAsia="Times New Roman" w:hAnsi="Times New Roman" w:cs="Times New Roman"/>
          <w:sz w:val="24"/>
          <w:szCs w:val="24"/>
        </w:rPr>
      </w:pPr>
      <w:bookmarkStart w:id="31" w:name="_heading=h.dl7l4nusxxf1" w:colFirst="0" w:colLast="0"/>
      <w:bookmarkEnd w:id="31"/>
      <w:r w:rsidRPr="00394BCF">
        <w:rPr>
          <w:rFonts w:ascii="Times New Roman" w:eastAsia="Times New Roman" w:hAnsi="Times New Roman" w:cs="Times New Roman"/>
          <w:sz w:val="24"/>
          <w:szCs w:val="24"/>
        </w:rPr>
        <w:t xml:space="preserve">Ackodrive (2024). </w:t>
      </w:r>
      <w:r w:rsidRPr="00394BCF">
        <w:rPr>
          <w:rFonts w:ascii="Times New Roman" w:eastAsia="Times New Roman" w:hAnsi="Times New Roman" w:cs="Times New Roman"/>
          <w:i/>
          <w:iCs/>
          <w:sz w:val="24"/>
          <w:szCs w:val="24"/>
        </w:rPr>
        <w:t>Top 5 Toyota Innova Hycross Alternatives for a smooth ride</w:t>
      </w:r>
      <w:r w:rsidRPr="00394BCF">
        <w:rPr>
          <w:rFonts w:ascii="Times New Roman" w:eastAsia="Times New Roman" w:hAnsi="Times New Roman" w:cs="Times New Roman"/>
          <w:sz w:val="24"/>
          <w:szCs w:val="24"/>
        </w:rPr>
        <w:t xml:space="preserve">. [online]  Available at: </w:t>
      </w:r>
      <w:hyperlink r:id="rId21">
        <w:r w:rsidRPr="00394BCF">
          <w:rPr>
            <w:rFonts w:ascii="Times New Roman" w:eastAsia="Times New Roman" w:hAnsi="Times New Roman" w:cs="Times New Roman"/>
            <w:color w:val="1155CC"/>
            <w:sz w:val="24"/>
            <w:szCs w:val="24"/>
            <w:u w:val="single"/>
          </w:rPr>
          <w:t>https://ackodrive.com/car-guide/toyota-innova-hycross-alternatives/</w:t>
        </w:r>
      </w:hyperlink>
      <w:r w:rsidRPr="00394BCF">
        <w:rPr>
          <w:rFonts w:ascii="Times New Roman" w:eastAsia="Times New Roman" w:hAnsi="Times New Roman" w:cs="Times New Roman"/>
          <w:sz w:val="24"/>
          <w:szCs w:val="24"/>
        </w:rPr>
        <w:t xml:space="preserve">  [Accessed 8 August 2026].</w:t>
      </w:r>
    </w:p>
    <w:p w14:paraId="5251CDAC"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Alam, C.M. (2025). Toyota’s autonomous driving technology: Comprehensive overview of Future opportunities and challenges. </w:t>
      </w:r>
      <w:sdt>
        <w:sdtPr>
          <w:rPr>
            <w:rFonts w:ascii="Times New Roman" w:hAnsi="Times New Roman" w:cs="Times New Roman"/>
            <w:sz w:val="24"/>
            <w:szCs w:val="24"/>
          </w:rPr>
          <w:tag w:val="goog_rdk_0"/>
          <w:id w:val="1854912150"/>
        </w:sdtPr>
        <w:sdtEndPr/>
        <w:sdtContent>
          <w:r w:rsidRPr="00394BCF">
            <w:rPr>
              <w:rFonts w:ascii="Times New Roman" w:eastAsia="Gungsuh" w:hAnsi="Times New Roman" w:cs="Times New Roman"/>
              <w:i/>
              <w:iCs/>
              <w:sz w:val="24"/>
              <w:szCs w:val="24"/>
            </w:rPr>
            <w:t>北九州市立大</w:t>
          </w:r>
          <w:r w:rsidRPr="00394BCF">
            <w:rPr>
              <w:rFonts w:ascii="MS Mincho" w:eastAsia="MS Mincho" w:hAnsi="MS Mincho" w:cs="MS Mincho" w:hint="eastAsia"/>
              <w:i/>
              <w:iCs/>
              <w:sz w:val="24"/>
              <w:szCs w:val="24"/>
            </w:rPr>
            <w:t>学</w:t>
          </w:r>
          <w:r w:rsidRPr="00394BCF">
            <w:rPr>
              <w:rFonts w:ascii="Gungsuh" w:eastAsia="Gungsuh" w:hAnsi="Gungsuh" w:cs="Gungsuh" w:hint="eastAsia"/>
              <w:i/>
              <w:iCs/>
              <w:sz w:val="24"/>
              <w:szCs w:val="24"/>
            </w:rPr>
            <w:t>法政論集</w:t>
          </w:r>
        </w:sdtContent>
      </w:sdt>
      <w:sdt>
        <w:sdtPr>
          <w:rPr>
            <w:rFonts w:ascii="Times New Roman" w:hAnsi="Times New Roman" w:cs="Times New Roman"/>
            <w:sz w:val="24"/>
            <w:szCs w:val="24"/>
          </w:rPr>
          <w:tag w:val="goog_rdk_1"/>
          <w:id w:val="-154927678"/>
        </w:sdtPr>
        <w:sdtEndPr/>
        <w:sdtContent>
          <w:r w:rsidRPr="00394BCF">
            <w:rPr>
              <w:rFonts w:ascii="Times New Roman" w:eastAsia="Gungsuh" w:hAnsi="Times New Roman" w:cs="Times New Roman"/>
              <w:sz w:val="24"/>
              <w:szCs w:val="24"/>
            </w:rPr>
            <w:t>, [online] 52(3</w:t>
          </w:r>
          <w:r w:rsidRPr="00394BCF">
            <w:rPr>
              <w:rFonts w:ascii="MS Mincho" w:eastAsia="MS Mincho" w:hAnsi="MS Mincho" w:cs="MS Mincho" w:hint="eastAsia"/>
              <w:sz w:val="24"/>
              <w:szCs w:val="24"/>
            </w:rPr>
            <w:t>・</w:t>
          </w:r>
          <w:r w:rsidRPr="00394BCF">
            <w:rPr>
              <w:rFonts w:ascii="Times New Roman" w:eastAsia="Gungsuh" w:hAnsi="Times New Roman" w:cs="Times New Roman"/>
              <w:sz w:val="24"/>
              <w:szCs w:val="24"/>
            </w:rPr>
            <w:t>4</w:t>
          </w:r>
          <w:r w:rsidRPr="00394BCF">
            <w:rPr>
              <w:rFonts w:ascii="Times New Roman" w:eastAsia="Gungsuh" w:hAnsi="Times New Roman" w:cs="Times New Roman"/>
              <w:sz w:val="24"/>
              <w:szCs w:val="24"/>
            </w:rPr>
            <w:t>合</w:t>
          </w:r>
          <w:r w:rsidRPr="00394BCF">
            <w:rPr>
              <w:rFonts w:ascii="MS Mincho" w:eastAsia="MS Mincho" w:hAnsi="MS Mincho" w:cs="MS Mincho" w:hint="eastAsia"/>
              <w:sz w:val="24"/>
              <w:szCs w:val="24"/>
            </w:rPr>
            <w:t>併号</w:t>
          </w:r>
          <w:r w:rsidRPr="00394BCF">
            <w:rPr>
              <w:rFonts w:ascii="Times New Roman" w:eastAsia="Gungsuh" w:hAnsi="Times New Roman" w:cs="Times New Roman"/>
              <w:sz w:val="24"/>
              <w:szCs w:val="24"/>
            </w:rPr>
            <w:t xml:space="preserve">), pp.49–79. Available at: </w:t>
          </w:r>
        </w:sdtContent>
      </w:sdt>
      <w:hyperlink r:id="rId22">
        <w:r w:rsidRPr="00394BCF">
          <w:rPr>
            <w:rFonts w:ascii="Times New Roman" w:eastAsia="Times New Roman" w:hAnsi="Times New Roman" w:cs="Times New Roman"/>
            <w:color w:val="1155CC"/>
            <w:sz w:val="24"/>
            <w:szCs w:val="24"/>
            <w:u w:val="single"/>
          </w:rPr>
          <w:t>https://kitakyu.repo.nii.ac.jp/records/2000326</w:t>
        </w:r>
      </w:hyperlink>
      <w:r w:rsidRPr="00394BCF">
        <w:rPr>
          <w:rFonts w:ascii="Times New Roman" w:eastAsia="Times New Roman" w:hAnsi="Times New Roman" w:cs="Times New Roman"/>
          <w:sz w:val="24"/>
          <w:szCs w:val="24"/>
        </w:rPr>
        <w:t xml:space="preserve"> </w:t>
      </w:r>
    </w:p>
    <w:p w14:paraId="274C1BCC"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Anna, A. de S.S. (2025). Leadership styles across cultures: A comparative study of Western and asian contexts through Hofstede and Deleuzian lenses. </w:t>
      </w:r>
      <w:r w:rsidRPr="00394BCF">
        <w:rPr>
          <w:rFonts w:ascii="Times New Roman" w:eastAsia="Times New Roman" w:hAnsi="Times New Roman" w:cs="Times New Roman"/>
          <w:i/>
          <w:iCs/>
          <w:sz w:val="24"/>
          <w:szCs w:val="24"/>
        </w:rPr>
        <w:t>Millennial Asia</w:t>
      </w:r>
      <w:r w:rsidRPr="00394BCF">
        <w:rPr>
          <w:rFonts w:ascii="Times New Roman" w:eastAsia="Times New Roman" w:hAnsi="Times New Roman" w:cs="Times New Roman"/>
          <w:sz w:val="24"/>
          <w:szCs w:val="24"/>
        </w:rPr>
        <w:t>, 3(2). doi:</w:t>
      </w:r>
      <w:hyperlink r:id="rId23">
        <w:r w:rsidRPr="00394BCF">
          <w:rPr>
            <w:rFonts w:ascii="Times New Roman" w:eastAsia="Times New Roman" w:hAnsi="Times New Roman" w:cs="Times New Roman"/>
            <w:color w:val="1155CC"/>
            <w:sz w:val="24"/>
            <w:szCs w:val="24"/>
            <w:u w:val="single"/>
          </w:rPr>
          <w:t>https://www.researchgate.net/profile/Anderson-Santanna-2/publication/382206570_Leadership_Styles_Across_Cultures_A_Comparative_Study_of_Western_and_Asian_Contexts_Through_Hofested_and_Deleuzian_Lenses/links/66916685c1cf0d77ffd27f10/Leadership-Styles-Across-Cultures-A-Comparative-Study-of-Western-and-Asian-Contexts-Through-Hofested-and-Deleuzian-Lenses.pdf</w:t>
        </w:r>
      </w:hyperlink>
      <w:r w:rsidRPr="00394BCF">
        <w:rPr>
          <w:rFonts w:ascii="Times New Roman" w:eastAsia="Times New Roman" w:hAnsi="Times New Roman" w:cs="Times New Roman"/>
          <w:sz w:val="24"/>
          <w:szCs w:val="24"/>
        </w:rPr>
        <w:t xml:space="preserve">. </w:t>
      </w:r>
    </w:p>
    <w:p w14:paraId="2DD3328F"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Banerjee, A. (2023). </w:t>
      </w:r>
      <w:r w:rsidRPr="00394BCF">
        <w:rPr>
          <w:rFonts w:ascii="Times New Roman" w:eastAsia="Times New Roman" w:hAnsi="Times New Roman" w:cs="Times New Roman"/>
          <w:i/>
          <w:iCs/>
          <w:sz w:val="24"/>
          <w:szCs w:val="24"/>
        </w:rPr>
        <w:t>Toyota turns 86 years old today: Japanese automaker that gave us the Land Cruiser, Innova and Fortuner</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The Times of India</w:t>
      </w:r>
      <w:r w:rsidRPr="00394BCF">
        <w:rPr>
          <w:rFonts w:ascii="Times New Roman" w:eastAsia="Times New Roman" w:hAnsi="Times New Roman" w:cs="Times New Roman"/>
          <w:sz w:val="24"/>
          <w:szCs w:val="24"/>
        </w:rPr>
        <w:t xml:space="preserve">. Times Of India. Available at: </w:t>
      </w:r>
      <w:hyperlink r:id="rId24">
        <w:r w:rsidRPr="00394BCF">
          <w:rPr>
            <w:rFonts w:ascii="Times New Roman" w:eastAsia="Times New Roman" w:hAnsi="Times New Roman" w:cs="Times New Roman"/>
            <w:color w:val="1155CC"/>
            <w:sz w:val="24"/>
            <w:szCs w:val="24"/>
            <w:u w:val="single"/>
          </w:rPr>
          <w:t>https://timesofindia.indiatimes.com/auto/news/toyota-turns-86-years-old-today-japanese-automaker-that-gave-us-the-land-cruiser-innova-and-fortuner/articleshow/103138906.cms</w:t>
        </w:r>
      </w:hyperlink>
      <w:r w:rsidRPr="00394BCF">
        <w:rPr>
          <w:rFonts w:ascii="Times New Roman" w:eastAsia="Times New Roman" w:hAnsi="Times New Roman" w:cs="Times New Roman"/>
          <w:sz w:val="24"/>
          <w:szCs w:val="24"/>
        </w:rPr>
        <w:t xml:space="preserve">   [Accessed 9 August 2026].</w:t>
      </w:r>
    </w:p>
    <w:p w14:paraId="1A475C70"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Belrzaeg, M. (2025). The evolution of total quality management: From manufacturing to knowledge-based industries. </w:t>
      </w:r>
      <w:r w:rsidRPr="00394BCF">
        <w:rPr>
          <w:rFonts w:ascii="Times New Roman" w:eastAsia="Times New Roman" w:hAnsi="Times New Roman" w:cs="Times New Roman"/>
          <w:i/>
          <w:iCs/>
          <w:sz w:val="24"/>
          <w:szCs w:val="24"/>
        </w:rPr>
        <w:t>Eurasian Journal of Humanities and Education Research (EJHER)</w:t>
      </w:r>
      <w:r w:rsidRPr="00394BCF">
        <w:rPr>
          <w:rFonts w:ascii="Times New Roman" w:eastAsia="Times New Roman" w:hAnsi="Times New Roman" w:cs="Times New Roman"/>
          <w:sz w:val="24"/>
          <w:szCs w:val="24"/>
        </w:rPr>
        <w:t xml:space="preserve">, [online] 1(1), pp.32–49. Available at: </w:t>
      </w:r>
      <w:hyperlink r:id="rId25">
        <w:r w:rsidRPr="00394BCF">
          <w:rPr>
            <w:rFonts w:ascii="Times New Roman" w:eastAsia="Times New Roman" w:hAnsi="Times New Roman" w:cs="Times New Roman"/>
            <w:color w:val="1155CC"/>
            <w:sz w:val="24"/>
            <w:szCs w:val="24"/>
            <w:u w:val="single"/>
          </w:rPr>
          <w:t>https://eurasian-journals.com/index.php/ejher/article/view/5</w:t>
        </w:r>
      </w:hyperlink>
      <w:r w:rsidRPr="00394BCF">
        <w:rPr>
          <w:rFonts w:ascii="Times New Roman" w:eastAsia="Times New Roman" w:hAnsi="Times New Roman" w:cs="Times New Roman"/>
          <w:sz w:val="24"/>
          <w:szCs w:val="24"/>
        </w:rPr>
        <w:t xml:space="preserve">  [Accessed 20 July 2026].</w:t>
      </w:r>
    </w:p>
    <w:p w14:paraId="3EB1E8EA"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CEIC (2025). </w:t>
      </w:r>
      <w:r w:rsidRPr="00394BCF">
        <w:rPr>
          <w:rFonts w:ascii="Times New Roman" w:eastAsia="Times New Roman" w:hAnsi="Times New Roman" w:cs="Times New Roman"/>
          <w:i/>
          <w:iCs/>
          <w:sz w:val="24"/>
          <w:szCs w:val="24"/>
        </w:rPr>
        <w:t>India GDP per Capita</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Ceicdata.com</w:t>
      </w:r>
      <w:r w:rsidRPr="00394BCF">
        <w:rPr>
          <w:rFonts w:ascii="Times New Roman" w:eastAsia="Times New Roman" w:hAnsi="Times New Roman" w:cs="Times New Roman"/>
          <w:sz w:val="24"/>
          <w:szCs w:val="24"/>
        </w:rPr>
        <w:t xml:space="preserve">. CEICdata.com. Available at: </w:t>
      </w:r>
      <w:hyperlink r:id="rId26">
        <w:r w:rsidRPr="00394BCF">
          <w:rPr>
            <w:rFonts w:ascii="Times New Roman" w:eastAsia="Times New Roman" w:hAnsi="Times New Roman" w:cs="Times New Roman"/>
            <w:color w:val="1155CC"/>
            <w:sz w:val="24"/>
            <w:szCs w:val="24"/>
            <w:u w:val="single"/>
          </w:rPr>
          <w:t>https://www.ceicdata.com/en/indicator/india/gdp-per-capita</w:t>
        </w:r>
      </w:hyperlink>
      <w:r w:rsidRPr="00394BCF">
        <w:rPr>
          <w:rFonts w:ascii="Times New Roman" w:eastAsia="Times New Roman" w:hAnsi="Times New Roman" w:cs="Times New Roman"/>
          <w:sz w:val="24"/>
          <w:szCs w:val="24"/>
        </w:rPr>
        <w:t xml:space="preserve">  [Accessed 8 August 2026].</w:t>
      </w:r>
    </w:p>
    <w:p w14:paraId="4A4123A3"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Choudhary, A. and Patidar, R. (2025). India’s digital governance: Decoding policies &amp; their real- world effects. </w:t>
      </w:r>
      <w:r w:rsidRPr="00394BCF">
        <w:rPr>
          <w:rFonts w:ascii="Times New Roman" w:eastAsia="Times New Roman" w:hAnsi="Times New Roman" w:cs="Times New Roman"/>
          <w:i/>
          <w:iCs/>
          <w:sz w:val="24"/>
          <w:szCs w:val="24"/>
        </w:rPr>
        <w:t>WRP. Sci. J</w:t>
      </w:r>
      <w:r w:rsidRPr="00394BCF">
        <w:rPr>
          <w:rFonts w:ascii="Times New Roman" w:eastAsia="Times New Roman" w:hAnsi="Times New Roman" w:cs="Times New Roman"/>
          <w:sz w:val="24"/>
          <w:szCs w:val="24"/>
        </w:rPr>
        <w:t>, 8(1), pp.97–108. doi:</w:t>
      </w:r>
      <w:hyperlink r:id="rId27">
        <w:r w:rsidRPr="00394BCF">
          <w:rPr>
            <w:rFonts w:ascii="Times New Roman" w:eastAsia="Times New Roman" w:hAnsi="Times New Roman" w:cs="Times New Roman"/>
            <w:color w:val="1155CC"/>
            <w:sz w:val="24"/>
            <w:szCs w:val="24"/>
            <w:u w:val="single"/>
          </w:rPr>
          <w:t>https://www.naturalspublishing.com/files/published/12818nl1ov3j1m.pdf</w:t>
        </w:r>
      </w:hyperlink>
      <w:r w:rsidRPr="00394BCF">
        <w:rPr>
          <w:rFonts w:ascii="Times New Roman" w:eastAsia="Times New Roman" w:hAnsi="Times New Roman" w:cs="Times New Roman"/>
          <w:sz w:val="24"/>
          <w:szCs w:val="24"/>
        </w:rPr>
        <w:t xml:space="preserve">. </w:t>
      </w:r>
    </w:p>
    <w:p w14:paraId="4000FAC2"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CPPR (2026). </w:t>
      </w:r>
      <w:r w:rsidRPr="00394BCF">
        <w:rPr>
          <w:rFonts w:ascii="Times New Roman" w:eastAsia="Times New Roman" w:hAnsi="Times New Roman" w:cs="Times New Roman"/>
          <w:i/>
          <w:iCs/>
          <w:sz w:val="24"/>
          <w:szCs w:val="24"/>
        </w:rPr>
        <w:t>Why is shared mobility still treated as an exception in India?</w:t>
      </w:r>
      <w:r w:rsidRPr="00394BCF">
        <w:rPr>
          <w:rFonts w:ascii="Times New Roman" w:eastAsia="Times New Roman" w:hAnsi="Times New Roman" w:cs="Times New Roman"/>
          <w:sz w:val="24"/>
          <w:szCs w:val="24"/>
        </w:rPr>
        <w:t xml:space="preserve"> [online] Centre for Public Policy Research (CPPR). Available at: </w:t>
      </w:r>
      <w:hyperlink r:id="rId28">
        <w:r w:rsidRPr="00394BCF">
          <w:rPr>
            <w:rFonts w:ascii="Times New Roman" w:eastAsia="Times New Roman" w:hAnsi="Times New Roman" w:cs="Times New Roman"/>
            <w:color w:val="1155CC"/>
            <w:sz w:val="24"/>
            <w:szCs w:val="24"/>
            <w:u w:val="single"/>
          </w:rPr>
          <w:t>https://www.cppr.in/archives/shared-mobility-treated-as-an-exception-in-india</w:t>
        </w:r>
      </w:hyperlink>
      <w:r w:rsidRPr="00394BCF">
        <w:rPr>
          <w:rFonts w:ascii="Times New Roman" w:eastAsia="Times New Roman" w:hAnsi="Times New Roman" w:cs="Times New Roman"/>
          <w:sz w:val="24"/>
          <w:szCs w:val="24"/>
        </w:rPr>
        <w:t xml:space="preserve">  [Accessed 20 July 2026].</w:t>
      </w:r>
    </w:p>
    <w:p w14:paraId="00A0B674"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lastRenderedPageBreak/>
        <w:t xml:space="preserve">Dzienis, A.M. and McCaleb, A. (2024). Digital and Green Transitions and Automotive Industry Reconfiguration: Evidence From Japan and China. </w:t>
      </w:r>
      <w:r w:rsidRPr="00394BCF">
        <w:rPr>
          <w:rFonts w:ascii="Times New Roman" w:eastAsia="Times New Roman" w:hAnsi="Times New Roman" w:cs="Times New Roman"/>
          <w:i/>
          <w:iCs/>
          <w:sz w:val="24"/>
          <w:szCs w:val="24"/>
        </w:rPr>
        <w:t>Journal of Contemporary Asia</w:t>
      </w:r>
      <w:r w:rsidRPr="00394BCF">
        <w:rPr>
          <w:rFonts w:ascii="Times New Roman" w:eastAsia="Times New Roman" w:hAnsi="Times New Roman" w:cs="Times New Roman"/>
          <w:sz w:val="24"/>
          <w:szCs w:val="24"/>
        </w:rPr>
        <w:t>, 1(2), pp.1–27. doi:</w:t>
      </w:r>
      <w:hyperlink r:id="rId29">
        <w:r w:rsidRPr="00394BCF">
          <w:rPr>
            <w:rFonts w:ascii="Times New Roman" w:eastAsia="Times New Roman" w:hAnsi="Times New Roman" w:cs="Times New Roman"/>
            <w:color w:val="1155CC"/>
            <w:sz w:val="24"/>
            <w:szCs w:val="24"/>
            <w:u w:val="single"/>
          </w:rPr>
          <w:t>https://www.tandfonline.com/doi/pdf/10.1080/00472336.2024.2384704</w:t>
        </w:r>
      </w:hyperlink>
      <w:r w:rsidRPr="00394BCF">
        <w:rPr>
          <w:rFonts w:ascii="Times New Roman" w:eastAsia="Times New Roman" w:hAnsi="Times New Roman" w:cs="Times New Roman"/>
          <w:sz w:val="24"/>
          <w:szCs w:val="24"/>
        </w:rPr>
        <w:t xml:space="preserve">. </w:t>
      </w:r>
    </w:p>
    <w:p w14:paraId="308428AE"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Economic Times (2023). </w:t>
      </w:r>
      <w:r w:rsidRPr="00394BCF">
        <w:rPr>
          <w:rFonts w:ascii="Times New Roman" w:eastAsia="Times New Roman" w:hAnsi="Times New Roman" w:cs="Times New Roman"/>
          <w:i/>
          <w:iCs/>
          <w:sz w:val="24"/>
          <w:szCs w:val="24"/>
        </w:rPr>
        <w:t>Toyota Kirloskar Motor opens new dealership in Tezpur, Assam</w:t>
      </w:r>
      <w:r w:rsidRPr="00394BCF">
        <w:rPr>
          <w:rFonts w:ascii="Times New Roman" w:eastAsia="Times New Roman" w:hAnsi="Times New Roman" w:cs="Times New Roman"/>
          <w:sz w:val="24"/>
          <w:szCs w:val="24"/>
        </w:rPr>
        <w:t xml:space="preserve">. [online] ETAuto.com. Available at: </w:t>
      </w:r>
      <w:hyperlink r:id="rId30">
        <w:r w:rsidRPr="00394BCF">
          <w:rPr>
            <w:rFonts w:ascii="Times New Roman" w:eastAsia="Times New Roman" w:hAnsi="Times New Roman" w:cs="Times New Roman"/>
            <w:color w:val="1155CC"/>
            <w:sz w:val="24"/>
            <w:szCs w:val="24"/>
            <w:u w:val="single"/>
          </w:rPr>
          <w:t>https://auto.economictimes.indiatimes.com/news/passenger-vehicle/toyota-kirloskar-motor-opens-new-dealership-in-tezpur-assam/103750275</w:t>
        </w:r>
      </w:hyperlink>
      <w:r w:rsidRPr="00394BCF">
        <w:rPr>
          <w:rFonts w:ascii="Times New Roman" w:eastAsia="Times New Roman" w:hAnsi="Times New Roman" w:cs="Times New Roman"/>
          <w:sz w:val="24"/>
          <w:szCs w:val="24"/>
        </w:rPr>
        <w:t xml:space="preserve">  [Accessed 9 August 2026].</w:t>
      </w:r>
    </w:p>
    <w:p w14:paraId="591958F4"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Economic Times (2026). </w:t>
      </w:r>
      <w:r w:rsidRPr="00394BCF">
        <w:rPr>
          <w:rFonts w:ascii="Times New Roman" w:eastAsia="Times New Roman" w:hAnsi="Times New Roman" w:cs="Times New Roman"/>
          <w:i/>
          <w:iCs/>
          <w:sz w:val="24"/>
          <w:szCs w:val="24"/>
        </w:rPr>
        <w:t>Deloitte projects 6.5-6.8% GDP expansion in FY27, growth to strengthen in second half</w:t>
      </w:r>
      <w:r w:rsidRPr="00394BCF">
        <w:rPr>
          <w:rFonts w:ascii="Times New Roman" w:eastAsia="Times New Roman" w:hAnsi="Times New Roman" w:cs="Times New Roman"/>
          <w:sz w:val="24"/>
          <w:szCs w:val="24"/>
        </w:rPr>
        <w:t xml:space="preserve">. [online] The Economic Times. Available at: </w:t>
      </w:r>
      <w:hyperlink r:id="rId31">
        <w:r w:rsidRPr="00394BCF">
          <w:rPr>
            <w:rFonts w:ascii="Times New Roman" w:eastAsia="Times New Roman" w:hAnsi="Times New Roman" w:cs="Times New Roman"/>
            <w:color w:val="1155CC"/>
            <w:sz w:val="24"/>
            <w:szCs w:val="24"/>
            <w:u w:val="single"/>
          </w:rPr>
          <w:t>https://m.economictimes.com/news/economy/indicators/deloitte-projects-6-5-6-8-gdp-expansion-in-fy27-growth-to-strengthen-in-second-half/articleshow/132491362.cms</w:t>
        </w:r>
      </w:hyperlink>
      <w:r w:rsidRPr="00394BCF">
        <w:rPr>
          <w:rFonts w:ascii="Times New Roman" w:eastAsia="Times New Roman" w:hAnsi="Times New Roman" w:cs="Times New Roman"/>
          <w:sz w:val="24"/>
          <w:szCs w:val="24"/>
        </w:rPr>
        <w:t xml:space="preserve">  [Accessed 20 July 2026].</w:t>
      </w:r>
    </w:p>
    <w:p w14:paraId="3C766165"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Economic Times (2026). </w:t>
      </w:r>
      <w:r w:rsidRPr="00394BCF">
        <w:rPr>
          <w:rFonts w:ascii="Times New Roman" w:eastAsia="Times New Roman" w:hAnsi="Times New Roman" w:cs="Times New Roman"/>
          <w:i/>
          <w:iCs/>
          <w:sz w:val="24"/>
          <w:szCs w:val="24"/>
        </w:rPr>
        <w:t>Toyota Kirloskar domestic sales rise 19% to 3.67 lakh units in FY26</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ETAuto.com</w:t>
      </w:r>
      <w:r w:rsidRPr="00394BCF">
        <w:rPr>
          <w:rFonts w:ascii="Times New Roman" w:eastAsia="Times New Roman" w:hAnsi="Times New Roman" w:cs="Times New Roman"/>
          <w:sz w:val="24"/>
          <w:szCs w:val="24"/>
        </w:rPr>
        <w:t xml:space="preserve">. ETAuto. Available at: </w:t>
      </w:r>
      <w:hyperlink r:id="rId32">
        <w:r w:rsidRPr="00394BCF">
          <w:rPr>
            <w:rFonts w:ascii="Times New Roman" w:eastAsia="Times New Roman" w:hAnsi="Times New Roman" w:cs="Times New Roman"/>
            <w:color w:val="1155CC"/>
            <w:sz w:val="24"/>
            <w:szCs w:val="24"/>
            <w:u w:val="single"/>
          </w:rPr>
          <w:t>https://auto.economictimes.indiatimes.com/news/passenger-vehicle/toyota-kirloskar-domestic-sales-rise-19-to-3-67-lakh-units-in-fy26/129951500</w:t>
        </w:r>
      </w:hyperlink>
      <w:r w:rsidRPr="00394BCF">
        <w:rPr>
          <w:rFonts w:ascii="Times New Roman" w:eastAsia="Times New Roman" w:hAnsi="Times New Roman" w:cs="Times New Roman"/>
          <w:sz w:val="24"/>
          <w:szCs w:val="24"/>
        </w:rPr>
        <w:t xml:space="preserve">  [Accessed 8 August 2026].</w:t>
      </w:r>
    </w:p>
    <w:p w14:paraId="24832C45"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Eierle, B., Hartlieb, S., Hay, D.C., Niemi, L. and Ojala, H. (2021). External factors and the pricing of audit services: A systematic review of the archival literature using a PESTLE analysis. </w:t>
      </w:r>
      <w:r w:rsidRPr="00394BCF">
        <w:rPr>
          <w:rFonts w:ascii="Times New Roman" w:eastAsia="Times New Roman" w:hAnsi="Times New Roman" w:cs="Times New Roman"/>
          <w:i/>
          <w:iCs/>
          <w:sz w:val="24"/>
          <w:szCs w:val="24"/>
        </w:rPr>
        <w:t>AUDITING: a Journal of Practice &amp; Theory</w:t>
      </w:r>
      <w:r w:rsidRPr="00394BCF">
        <w:rPr>
          <w:rFonts w:ascii="Times New Roman" w:eastAsia="Times New Roman" w:hAnsi="Times New Roman" w:cs="Times New Roman"/>
          <w:sz w:val="24"/>
          <w:szCs w:val="24"/>
        </w:rPr>
        <w:t>, 41(3), pp.95–119. doi:</w:t>
      </w:r>
      <w:hyperlink r:id="rId33">
        <w:r w:rsidRPr="00394BCF">
          <w:rPr>
            <w:rFonts w:ascii="Times New Roman" w:eastAsia="Times New Roman" w:hAnsi="Times New Roman" w:cs="Times New Roman"/>
            <w:color w:val="1155CC"/>
            <w:sz w:val="24"/>
            <w:szCs w:val="24"/>
            <w:u w:val="single"/>
          </w:rPr>
          <w:t>https://publications.aaahq.org/ajpt/article-abstract/41/3/95/234</w:t>
        </w:r>
      </w:hyperlink>
      <w:r w:rsidRPr="00394BCF">
        <w:rPr>
          <w:rFonts w:ascii="Times New Roman" w:eastAsia="Times New Roman" w:hAnsi="Times New Roman" w:cs="Times New Roman"/>
          <w:sz w:val="24"/>
          <w:szCs w:val="24"/>
        </w:rPr>
        <w:t xml:space="preserve">. </w:t>
      </w:r>
    </w:p>
    <w:p w14:paraId="57461EF8"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Government of India (2022). </w:t>
      </w:r>
      <w:r w:rsidRPr="00394BCF">
        <w:rPr>
          <w:rFonts w:ascii="Times New Roman" w:eastAsia="Times New Roman" w:hAnsi="Times New Roman" w:cs="Times New Roman"/>
          <w:i/>
          <w:iCs/>
          <w:sz w:val="24"/>
          <w:szCs w:val="24"/>
        </w:rPr>
        <w:t>National level policy</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e-amrit.niti.gov.in</w:t>
      </w:r>
      <w:r w:rsidRPr="00394BCF">
        <w:rPr>
          <w:rFonts w:ascii="Times New Roman" w:eastAsia="Times New Roman" w:hAnsi="Times New Roman" w:cs="Times New Roman"/>
          <w:sz w:val="24"/>
          <w:szCs w:val="24"/>
        </w:rPr>
        <w:t xml:space="preserve">. Available at: </w:t>
      </w:r>
      <w:hyperlink r:id="rId34">
        <w:r w:rsidRPr="00394BCF">
          <w:rPr>
            <w:rFonts w:ascii="Times New Roman" w:eastAsia="Times New Roman" w:hAnsi="Times New Roman" w:cs="Times New Roman"/>
            <w:color w:val="1155CC"/>
            <w:sz w:val="24"/>
            <w:szCs w:val="24"/>
            <w:u w:val="single"/>
          </w:rPr>
          <w:t>https://e-amrit.niti.gov.in/national-level-policy</w:t>
        </w:r>
      </w:hyperlink>
      <w:r w:rsidRPr="00394BCF">
        <w:rPr>
          <w:rFonts w:ascii="Times New Roman" w:eastAsia="Times New Roman" w:hAnsi="Times New Roman" w:cs="Times New Roman"/>
          <w:sz w:val="24"/>
          <w:szCs w:val="24"/>
        </w:rPr>
        <w:t xml:space="preserve">  [Accessed 8 August 2026].</w:t>
      </w:r>
    </w:p>
    <w:p w14:paraId="381EEA02"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Gowda, N.N.S., Williams, V., Nayaka, M. and Thoti, K.K. (2025). </w:t>
      </w:r>
      <w:r w:rsidRPr="00394BCF">
        <w:rPr>
          <w:rFonts w:ascii="Times New Roman" w:eastAsia="Times New Roman" w:hAnsi="Times New Roman" w:cs="Times New Roman"/>
          <w:i/>
          <w:iCs/>
          <w:sz w:val="24"/>
          <w:szCs w:val="24"/>
        </w:rPr>
        <w:t>A study on innovative strategies towards post-sales services with reference to Palace Toyota (Mandya)</w:t>
      </w:r>
      <w:r w:rsidRPr="00394BCF">
        <w:rPr>
          <w:rFonts w:ascii="Times New Roman" w:eastAsia="Times New Roman" w:hAnsi="Times New Roman" w:cs="Times New Roman"/>
          <w:sz w:val="24"/>
          <w:szCs w:val="24"/>
        </w:rPr>
        <w:t xml:space="preserve">. [online] Available at: </w:t>
      </w:r>
      <w:hyperlink r:id="rId35">
        <w:r w:rsidRPr="00394BCF">
          <w:rPr>
            <w:rFonts w:ascii="Times New Roman" w:eastAsia="Times New Roman" w:hAnsi="Times New Roman" w:cs="Times New Roman"/>
            <w:color w:val="1155CC"/>
            <w:sz w:val="24"/>
            <w:szCs w:val="24"/>
            <w:u w:val="single"/>
          </w:rPr>
          <w:t>https://www.researchgate.net/publication/395949754_A_study_on_innovative_strategies_towards_post_sales_services_with_reference_to_palace_Toyota_mandya</w:t>
        </w:r>
      </w:hyperlink>
      <w:r w:rsidRPr="00394BCF">
        <w:rPr>
          <w:rFonts w:ascii="Times New Roman" w:eastAsia="Times New Roman" w:hAnsi="Times New Roman" w:cs="Times New Roman"/>
          <w:sz w:val="24"/>
          <w:szCs w:val="24"/>
        </w:rPr>
        <w:t xml:space="preserve">. </w:t>
      </w:r>
    </w:p>
    <w:p w14:paraId="1504275F"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Hindustan Times (2023). </w:t>
      </w:r>
      <w:r w:rsidRPr="00394BCF">
        <w:rPr>
          <w:rFonts w:ascii="Times New Roman" w:eastAsia="Times New Roman" w:hAnsi="Times New Roman" w:cs="Times New Roman"/>
          <w:i/>
          <w:iCs/>
          <w:sz w:val="24"/>
          <w:szCs w:val="24"/>
        </w:rPr>
        <w:t>Toyota to open third plant in Karnataka, aims to produce 1 lakh units annually</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Hindustan Times</w:t>
      </w:r>
      <w:r w:rsidRPr="00394BCF">
        <w:rPr>
          <w:rFonts w:ascii="Times New Roman" w:eastAsia="Times New Roman" w:hAnsi="Times New Roman" w:cs="Times New Roman"/>
          <w:sz w:val="24"/>
          <w:szCs w:val="24"/>
        </w:rPr>
        <w:t xml:space="preserve">. Hindustan Times. Available at: </w:t>
      </w:r>
      <w:hyperlink r:id="rId36">
        <w:r w:rsidRPr="00394BCF">
          <w:rPr>
            <w:rFonts w:ascii="Times New Roman" w:eastAsia="Times New Roman" w:hAnsi="Times New Roman" w:cs="Times New Roman"/>
            <w:color w:val="1155CC"/>
            <w:sz w:val="24"/>
            <w:szCs w:val="24"/>
            <w:u w:val="single"/>
          </w:rPr>
          <w:t>https://www.hindustantimes.com/car-bike/toyota-to-open-third-plant-in-karnataka-aims-to-produce-1-lakh-units-annually-101700644306435.html</w:t>
        </w:r>
      </w:hyperlink>
      <w:r w:rsidRPr="00394BCF">
        <w:rPr>
          <w:rFonts w:ascii="Times New Roman" w:eastAsia="Times New Roman" w:hAnsi="Times New Roman" w:cs="Times New Roman"/>
          <w:sz w:val="24"/>
          <w:szCs w:val="24"/>
        </w:rPr>
        <w:t xml:space="preserve">  [Accessed 9 August 2026].</w:t>
      </w:r>
    </w:p>
    <w:p w14:paraId="5B67166A"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Hyun, J.H. (2025). The role of transnational strategies in advancing quality management: A case study of Toyota Motor Corporation. </w:t>
      </w:r>
      <w:r w:rsidRPr="00394BCF">
        <w:rPr>
          <w:rFonts w:ascii="Times New Roman" w:eastAsia="Times New Roman" w:hAnsi="Times New Roman" w:cs="Times New Roman"/>
          <w:i/>
          <w:iCs/>
          <w:sz w:val="24"/>
          <w:szCs w:val="24"/>
        </w:rPr>
        <w:t>Journal of Korean Society for Quality Management</w:t>
      </w:r>
      <w:r w:rsidRPr="00394BCF">
        <w:rPr>
          <w:rFonts w:ascii="Times New Roman" w:eastAsia="Times New Roman" w:hAnsi="Times New Roman" w:cs="Times New Roman"/>
          <w:sz w:val="24"/>
          <w:szCs w:val="24"/>
        </w:rPr>
        <w:t>, [online] 53(1), pp.93–108. doi:</w:t>
      </w:r>
      <w:hyperlink r:id="rId37">
        <w:r w:rsidRPr="00394BCF">
          <w:rPr>
            <w:rFonts w:ascii="Times New Roman" w:eastAsia="Times New Roman" w:hAnsi="Times New Roman" w:cs="Times New Roman"/>
            <w:color w:val="1155CC"/>
            <w:sz w:val="24"/>
            <w:szCs w:val="24"/>
            <w:u w:val="single"/>
          </w:rPr>
          <w:t>https://www.jksqm.org/upload/pdf/jksqm-53-1-93.pdf</w:t>
        </w:r>
      </w:hyperlink>
      <w:r w:rsidRPr="00394BCF">
        <w:rPr>
          <w:rFonts w:ascii="Times New Roman" w:eastAsia="Times New Roman" w:hAnsi="Times New Roman" w:cs="Times New Roman"/>
          <w:sz w:val="24"/>
          <w:szCs w:val="24"/>
        </w:rPr>
        <w:t xml:space="preserve">. </w:t>
      </w:r>
    </w:p>
    <w:p w14:paraId="1CD3D579"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lastRenderedPageBreak/>
        <w:t xml:space="preserve">IBEF (2025). </w:t>
      </w:r>
      <w:r w:rsidRPr="00394BCF">
        <w:rPr>
          <w:rFonts w:ascii="Times New Roman" w:eastAsia="Times New Roman" w:hAnsi="Times New Roman" w:cs="Times New Roman"/>
          <w:i/>
          <w:iCs/>
          <w:sz w:val="24"/>
          <w:szCs w:val="24"/>
        </w:rPr>
        <w:t>India’s passenger vehicle sales hit record high at 43 lakh units in FY25, utility vehicles driver of growth: Society of Indian Automobile Manufacturers (SIAM)</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India Brand Equity Foundation</w:t>
      </w:r>
      <w:r w:rsidRPr="00394BCF">
        <w:rPr>
          <w:rFonts w:ascii="Times New Roman" w:eastAsia="Times New Roman" w:hAnsi="Times New Roman" w:cs="Times New Roman"/>
          <w:sz w:val="24"/>
          <w:szCs w:val="24"/>
        </w:rPr>
        <w:t xml:space="preserve">. IBEF. Available at: </w:t>
      </w:r>
      <w:hyperlink r:id="rId38">
        <w:r w:rsidRPr="00394BCF">
          <w:rPr>
            <w:rFonts w:ascii="Times New Roman" w:eastAsia="Times New Roman" w:hAnsi="Times New Roman" w:cs="Times New Roman"/>
            <w:color w:val="1155CC"/>
            <w:sz w:val="24"/>
            <w:szCs w:val="24"/>
            <w:u w:val="single"/>
          </w:rPr>
          <w:t>https://www.ibef.org/news/india-s-passenger-vehicle-sales-hit-record-high-at-43-lakh-units-in-fy25-utility-vehicles-driver-of-growth-society-of-indian-automobile-manufacturers-siam</w:t>
        </w:r>
      </w:hyperlink>
      <w:r w:rsidRPr="00394BCF">
        <w:rPr>
          <w:rFonts w:ascii="Times New Roman" w:eastAsia="Times New Roman" w:hAnsi="Times New Roman" w:cs="Times New Roman"/>
          <w:sz w:val="24"/>
          <w:szCs w:val="24"/>
        </w:rPr>
        <w:t xml:space="preserve">  [Accessed 8 August 2026].</w:t>
      </w:r>
    </w:p>
    <w:p w14:paraId="05B14B31"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IBEF (2026). </w:t>
      </w:r>
      <w:r w:rsidRPr="00394BCF">
        <w:rPr>
          <w:rFonts w:ascii="Times New Roman" w:eastAsia="Times New Roman" w:hAnsi="Times New Roman" w:cs="Times New Roman"/>
          <w:i/>
          <w:iCs/>
          <w:sz w:val="24"/>
          <w:szCs w:val="24"/>
        </w:rPr>
        <w:t>FDI in India: Foreign direct investment opportunities, policy | IBEF</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www.ibef.org</w:t>
      </w:r>
      <w:r w:rsidRPr="00394BCF">
        <w:rPr>
          <w:rFonts w:ascii="Times New Roman" w:eastAsia="Times New Roman" w:hAnsi="Times New Roman" w:cs="Times New Roman"/>
          <w:sz w:val="24"/>
          <w:szCs w:val="24"/>
        </w:rPr>
        <w:t xml:space="preserve">. Available at: </w:t>
      </w:r>
      <w:hyperlink r:id="rId39">
        <w:r w:rsidRPr="00394BCF">
          <w:rPr>
            <w:rFonts w:ascii="Times New Roman" w:eastAsia="Times New Roman" w:hAnsi="Times New Roman" w:cs="Times New Roman"/>
            <w:color w:val="1155CC"/>
            <w:sz w:val="24"/>
            <w:szCs w:val="24"/>
            <w:u w:val="single"/>
          </w:rPr>
          <w:t>https://www.ibef.org/economy/foreign-direct-investment</w:t>
        </w:r>
      </w:hyperlink>
      <w:r w:rsidRPr="00394BCF">
        <w:rPr>
          <w:rFonts w:ascii="Times New Roman" w:eastAsia="Times New Roman" w:hAnsi="Times New Roman" w:cs="Times New Roman"/>
          <w:sz w:val="24"/>
          <w:szCs w:val="24"/>
        </w:rPr>
        <w:t xml:space="preserve">  [Accessed 20 July 2026].</w:t>
      </w:r>
    </w:p>
    <w:p w14:paraId="7D9E4E2B"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IMARC (2024). </w:t>
      </w:r>
      <w:r w:rsidRPr="00394BCF">
        <w:rPr>
          <w:rFonts w:ascii="Times New Roman" w:eastAsia="Times New Roman" w:hAnsi="Times New Roman" w:cs="Times New Roman"/>
          <w:i/>
          <w:iCs/>
          <w:sz w:val="24"/>
          <w:szCs w:val="24"/>
        </w:rPr>
        <w:t>Japan hybrid vehicles industry: Key challenges &amp; opportunities</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Imarcgroup.com</w:t>
      </w:r>
      <w:r w:rsidRPr="00394BCF">
        <w:rPr>
          <w:rFonts w:ascii="Times New Roman" w:eastAsia="Times New Roman" w:hAnsi="Times New Roman" w:cs="Times New Roman"/>
          <w:sz w:val="24"/>
          <w:szCs w:val="24"/>
        </w:rPr>
        <w:t xml:space="preserve">. Available at: </w:t>
      </w:r>
      <w:hyperlink r:id="rId40">
        <w:r w:rsidRPr="00394BCF">
          <w:rPr>
            <w:rFonts w:ascii="Times New Roman" w:eastAsia="Times New Roman" w:hAnsi="Times New Roman" w:cs="Times New Roman"/>
            <w:color w:val="1155CC"/>
            <w:sz w:val="24"/>
            <w:szCs w:val="24"/>
            <w:u w:val="single"/>
          </w:rPr>
          <w:t>https://www.imarcgroup.com/insight/key-challenges-and-opportunities-japan-hybrid-vehicles-industry</w:t>
        </w:r>
      </w:hyperlink>
      <w:r w:rsidRPr="00394BCF">
        <w:rPr>
          <w:rFonts w:ascii="Times New Roman" w:eastAsia="Times New Roman" w:hAnsi="Times New Roman" w:cs="Times New Roman"/>
          <w:sz w:val="24"/>
          <w:szCs w:val="24"/>
        </w:rPr>
        <w:t xml:space="preserve">  [Accessed 9 August 2026].</w:t>
      </w:r>
    </w:p>
    <w:p w14:paraId="3D29D0BE"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Limna, P., Shaengchart, Y. and Suradinkura, S. (2026). Drama Marketing in Digital Commerce: How emotional storytelling shapes consumer perceptions. </w:t>
      </w:r>
      <w:r w:rsidRPr="00394BCF">
        <w:rPr>
          <w:rFonts w:ascii="Times New Roman" w:eastAsia="Times New Roman" w:hAnsi="Times New Roman" w:cs="Times New Roman"/>
          <w:i/>
          <w:iCs/>
          <w:sz w:val="24"/>
          <w:szCs w:val="24"/>
        </w:rPr>
        <w:t>Frontiers in Communication</w:t>
      </w:r>
      <w:r w:rsidRPr="00394BCF">
        <w:rPr>
          <w:rFonts w:ascii="Times New Roman" w:eastAsia="Times New Roman" w:hAnsi="Times New Roman" w:cs="Times New Roman"/>
          <w:sz w:val="24"/>
          <w:szCs w:val="24"/>
        </w:rPr>
        <w:t>, 11(1). doi:</w:t>
      </w:r>
      <w:hyperlink r:id="rId41">
        <w:r w:rsidRPr="00394BCF">
          <w:rPr>
            <w:rFonts w:ascii="Times New Roman" w:eastAsia="Times New Roman" w:hAnsi="Times New Roman" w:cs="Times New Roman"/>
            <w:color w:val="1155CC"/>
            <w:sz w:val="24"/>
            <w:szCs w:val="24"/>
            <w:u w:val="single"/>
          </w:rPr>
          <w:t>https://www.frontiersin.org/journals/communication/articles/10.3389/fcomm.2026.1808816/pdf</w:t>
        </w:r>
      </w:hyperlink>
      <w:r w:rsidRPr="00394BCF">
        <w:rPr>
          <w:rFonts w:ascii="Times New Roman" w:eastAsia="Times New Roman" w:hAnsi="Times New Roman" w:cs="Times New Roman"/>
          <w:sz w:val="24"/>
          <w:szCs w:val="24"/>
        </w:rPr>
        <w:t xml:space="preserve">. </w:t>
      </w:r>
    </w:p>
    <w:p w14:paraId="0839CC17"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Mahesh, K.M., P. S. Aithal, Lakshman K. and Dinesh N. (2026). Teaching case study of PLI Auto Scheme incentive to Ola Electric: For sustainable entrepreneurship. </w:t>
      </w:r>
      <w:r w:rsidRPr="00394BCF">
        <w:rPr>
          <w:rFonts w:ascii="Times New Roman" w:eastAsia="Times New Roman" w:hAnsi="Times New Roman" w:cs="Times New Roman"/>
          <w:i/>
          <w:iCs/>
          <w:sz w:val="24"/>
          <w:szCs w:val="24"/>
        </w:rPr>
        <w:t>Poornaprajna International Journal of Teaching &amp; Research Case Studies (PIJTRCS)</w:t>
      </w:r>
      <w:r w:rsidRPr="00394BCF">
        <w:rPr>
          <w:rFonts w:ascii="Times New Roman" w:eastAsia="Times New Roman" w:hAnsi="Times New Roman" w:cs="Times New Roman"/>
          <w:sz w:val="24"/>
          <w:szCs w:val="24"/>
        </w:rPr>
        <w:t>, [online] 2(1), p.1. doi:</w:t>
      </w:r>
      <w:hyperlink r:id="rId42">
        <w:r w:rsidRPr="00394BCF">
          <w:rPr>
            <w:rFonts w:ascii="Times New Roman" w:eastAsia="Times New Roman" w:hAnsi="Times New Roman" w:cs="Times New Roman"/>
            <w:color w:val="1155CC"/>
            <w:sz w:val="24"/>
            <w:szCs w:val="24"/>
            <w:u w:val="single"/>
          </w:rPr>
          <w:t>https://www.poornaprajnapublication.com/index.php/pijtrcs/article/download/222/210</w:t>
        </w:r>
      </w:hyperlink>
      <w:r w:rsidRPr="00394BCF">
        <w:rPr>
          <w:rFonts w:ascii="Times New Roman" w:eastAsia="Times New Roman" w:hAnsi="Times New Roman" w:cs="Times New Roman"/>
          <w:sz w:val="24"/>
          <w:szCs w:val="24"/>
        </w:rPr>
        <w:t xml:space="preserve">. </w:t>
      </w:r>
    </w:p>
    <w:p w14:paraId="2C573146"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Mainichi (2025). </w:t>
      </w:r>
      <w:r w:rsidRPr="00394BCF">
        <w:rPr>
          <w:rFonts w:ascii="Times New Roman" w:eastAsia="Times New Roman" w:hAnsi="Times New Roman" w:cs="Times New Roman"/>
          <w:i/>
          <w:iCs/>
          <w:sz w:val="24"/>
          <w:szCs w:val="24"/>
        </w:rPr>
        <w:t>2025 Rewind: Energetic “seniors” in Japan prove age is just a number - the Mainichi</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The Mainichi</w:t>
      </w:r>
      <w:r w:rsidRPr="00394BCF">
        <w:rPr>
          <w:rFonts w:ascii="Times New Roman" w:eastAsia="Times New Roman" w:hAnsi="Times New Roman" w:cs="Times New Roman"/>
          <w:sz w:val="24"/>
          <w:szCs w:val="24"/>
        </w:rPr>
        <w:t xml:space="preserve">. Available at: </w:t>
      </w:r>
      <w:hyperlink r:id="rId43">
        <w:r w:rsidRPr="00394BCF">
          <w:rPr>
            <w:rFonts w:ascii="Times New Roman" w:eastAsia="Times New Roman" w:hAnsi="Times New Roman" w:cs="Times New Roman"/>
            <w:color w:val="1155CC"/>
            <w:sz w:val="24"/>
            <w:szCs w:val="24"/>
            <w:u w:val="single"/>
          </w:rPr>
          <w:t>https://mainichi.jp/english/articles/20251203/p2a/00m/0na/012000c</w:t>
        </w:r>
      </w:hyperlink>
      <w:r w:rsidRPr="00394BCF">
        <w:rPr>
          <w:rFonts w:ascii="Times New Roman" w:eastAsia="Times New Roman" w:hAnsi="Times New Roman" w:cs="Times New Roman"/>
          <w:sz w:val="24"/>
          <w:szCs w:val="24"/>
        </w:rPr>
        <w:t xml:space="preserve">  [Accessed 9 August 2026].</w:t>
      </w:r>
    </w:p>
    <w:p w14:paraId="280A16A2"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Market.us (2026). </w:t>
      </w:r>
      <w:r w:rsidRPr="00394BCF">
        <w:rPr>
          <w:rFonts w:ascii="Times New Roman" w:eastAsia="Times New Roman" w:hAnsi="Times New Roman" w:cs="Times New Roman"/>
          <w:i/>
          <w:iCs/>
          <w:sz w:val="24"/>
          <w:szCs w:val="24"/>
        </w:rPr>
        <w:t>Toyota Motor Corporation statistics and facts</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Market.us</w:t>
      </w:r>
      <w:r w:rsidRPr="00394BCF">
        <w:rPr>
          <w:rFonts w:ascii="Times New Roman" w:eastAsia="Times New Roman" w:hAnsi="Times New Roman" w:cs="Times New Roman"/>
          <w:sz w:val="24"/>
          <w:szCs w:val="24"/>
        </w:rPr>
        <w:t xml:space="preserve">. Available at: </w:t>
      </w:r>
      <w:hyperlink r:id="rId44">
        <w:r w:rsidRPr="00394BCF">
          <w:rPr>
            <w:rFonts w:ascii="Times New Roman" w:eastAsia="Times New Roman" w:hAnsi="Times New Roman" w:cs="Times New Roman"/>
            <w:color w:val="1155CC"/>
            <w:sz w:val="24"/>
            <w:szCs w:val="24"/>
            <w:u w:val="single"/>
          </w:rPr>
          <w:t>https://market.us/statistics/automotive-companies/toyota-motor/</w:t>
        </w:r>
      </w:hyperlink>
      <w:r w:rsidRPr="00394BCF">
        <w:rPr>
          <w:rFonts w:ascii="Times New Roman" w:eastAsia="Times New Roman" w:hAnsi="Times New Roman" w:cs="Times New Roman"/>
          <w:sz w:val="24"/>
          <w:szCs w:val="24"/>
        </w:rPr>
        <w:t xml:space="preserve">  [Accessed 8 August 2026].</w:t>
      </w:r>
    </w:p>
    <w:p w14:paraId="26131447"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Mittal, V. and Shah, R. (2024). Energy Management Strategies for Hybrid Electric Vehicles: A technology roadmap. </w:t>
      </w:r>
      <w:r w:rsidRPr="00394BCF">
        <w:rPr>
          <w:rFonts w:ascii="Times New Roman" w:eastAsia="Times New Roman" w:hAnsi="Times New Roman" w:cs="Times New Roman"/>
          <w:i/>
          <w:iCs/>
          <w:sz w:val="24"/>
          <w:szCs w:val="24"/>
        </w:rPr>
        <w:t>World Electric Vehicle Journal</w:t>
      </w:r>
      <w:r w:rsidRPr="00394BCF">
        <w:rPr>
          <w:rFonts w:ascii="Times New Roman" w:eastAsia="Times New Roman" w:hAnsi="Times New Roman" w:cs="Times New Roman"/>
          <w:sz w:val="24"/>
          <w:szCs w:val="24"/>
        </w:rPr>
        <w:t>, 15(9), p.424. doi:</w:t>
      </w:r>
      <w:hyperlink r:id="rId45" w:anchor="page=227">
        <w:r w:rsidRPr="00394BCF">
          <w:rPr>
            <w:rFonts w:ascii="Times New Roman" w:eastAsia="Times New Roman" w:hAnsi="Times New Roman" w:cs="Times New Roman"/>
            <w:color w:val="1155CC"/>
            <w:sz w:val="24"/>
            <w:szCs w:val="24"/>
            <w:u w:val="single"/>
          </w:rPr>
          <w:t>https://www.researchgate.net/profile/Dhiresh-Kulshrestha/publication/403255189_Cases_on_the_Resurgence_of_Emerging_Businesses/links/69c93927b6bee42358211b9e/Cases-on-the-Resurgence-of-Emerging-Businesses.pdf#page=227</w:t>
        </w:r>
      </w:hyperlink>
      <w:r w:rsidRPr="00394BCF">
        <w:rPr>
          <w:rFonts w:ascii="Times New Roman" w:eastAsia="Times New Roman" w:hAnsi="Times New Roman" w:cs="Times New Roman"/>
          <w:sz w:val="24"/>
          <w:szCs w:val="24"/>
        </w:rPr>
        <w:t xml:space="preserve">. </w:t>
      </w:r>
    </w:p>
    <w:p w14:paraId="44FDAFF3"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lastRenderedPageBreak/>
        <w:t xml:space="preserve">Morishita, A., Yokoi, H., Tainaka, K.-I. and Nakagiri, N. (2025). </w:t>
      </w:r>
      <w:r w:rsidRPr="00394BCF">
        <w:rPr>
          <w:rFonts w:ascii="Times New Roman" w:eastAsia="Times New Roman" w:hAnsi="Times New Roman" w:cs="Times New Roman"/>
          <w:i/>
          <w:iCs/>
          <w:sz w:val="24"/>
          <w:szCs w:val="24"/>
        </w:rPr>
        <w:t xml:space="preserve">Agent-based modeling on economic dynamics—Why competing automakers coexist in Japan? </w:t>
      </w:r>
      <w:r w:rsidRPr="00394BCF">
        <w:rPr>
          <w:rFonts w:ascii="Times New Roman" w:eastAsia="Times New Roman" w:hAnsi="Times New Roman" w:cs="Times New Roman"/>
          <w:sz w:val="24"/>
          <w:szCs w:val="24"/>
        </w:rPr>
        <w:t xml:space="preserve">. [online] Available at: </w:t>
      </w:r>
      <w:hyperlink r:id="rId46">
        <w:r w:rsidRPr="00394BCF">
          <w:rPr>
            <w:rFonts w:ascii="Times New Roman" w:eastAsia="Times New Roman" w:hAnsi="Times New Roman" w:cs="Times New Roman"/>
            <w:color w:val="1155CC"/>
            <w:sz w:val="24"/>
            <w:szCs w:val="24"/>
            <w:u w:val="single"/>
          </w:rPr>
          <w:t>https://www.researchgate.net/publication/397417504_Agent-based_modeling_on_economic_dynamics-Why_competing_automakers_coexist_in_Japan</w:t>
        </w:r>
      </w:hyperlink>
      <w:r w:rsidRPr="00394BCF">
        <w:rPr>
          <w:rFonts w:ascii="Times New Roman" w:eastAsia="Times New Roman" w:hAnsi="Times New Roman" w:cs="Times New Roman"/>
          <w:sz w:val="24"/>
          <w:szCs w:val="24"/>
        </w:rPr>
        <w:t xml:space="preserve">. </w:t>
      </w:r>
    </w:p>
    <w:p w14:paraId="5353D40B"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Nikkei Asia (2026). </w:t>
      </w:r>
      <w:r w:rsidRPr="00394BCF">
        <w:rPr>
          <w:rFonts w:ascii="Times New Roman" w:eastAsia="Times New Roman" w:hAnsi="Times New Roman" w:cs="Times New Roman"/>
          <w:i/>
          <w:iCs/>
          <w:sz w:val="24"/>
          <w:szCs w:val="24"/>
        </w:rPr>
        <w:t>Japan car prices keep climbing, with Toyota Corolla uP 60% over 10 years</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Nikkei Asia</w:t>
      </w:r>
      <w:r w:rsidRPr="00394BCF">
        <w:rPr>
          <w:rFonts w:ascii="Times New Roman" w:eastAsia="Times New Roman" w:hAnsi="Times New Roman" w:cs="Times New Roman"/>
          <w:sz w:val="24"/>
          <w:szCs w:val="24"/>
        </w:rPr>
        <w:t xml:space="preserve">. Available at: </w:t>
      </w:r>
      <w:hyperlink r:id="rId47">
        <w:r w:rsidRPr="00394BCF">
          <w:rPr>
            <w:rFonts w:ascii="Times New Roman" w:eastAsia="Times New Roman" w:hAnsi="Times New Roman" w:cs="Times New Roman"/>
            <w:color w:val="1155CC"/>
            <w:sz w:val="24"/>
            <w:szCs w:val="24"/>
            <w:u w:val="single"/>
          </w:rPr>
          <w:t>https://asia.nikkei.com/business/automobiles/japan-car-prices-keep-climbing-with-toyota-corolla-up-60-over-10-years</w:t>
        </w:r>
      </w:hyperlink>
      <w:r w:rsidRPr="00394BCF">
        <w:rPr>
          <w:rFonts w:ascii="Times New Roman" w:eastAsia="Times New Roman" w:hAnsi="Times New Roman" w:cs="Times New Roman"/>
          <w:sz w:val="24"/>
          <w:szCs w:val="24"/>
        </w:rPr>
        <w:t xml:space="preserve">  [Accessed 8 August 2026].</w:t>
      </w:r>
    </w:p>
    <w:p w14:paraId="51FA90DF"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Nursyahirah, J., Lik, H. and Jalal, A. (2024). Evaluation of operability and exhaust emissions of common rail direct injection engine using biodiesel blends in moderate cold environment. </w:t>
      </w:r>
      <w:r w:rsidRPr="00394BCF">
        <w:rPr>
          <w:rFonts w:ascii="Times New Roman" w:eastAsia="Times New Roman" w:hAnsi="Times New Roman" w:cs="Times New Roman"/>
          <w:i/>
          <w:iCs/>
          <w:sz w:val="24"/>
          <w:szCs w:val="24"/>
        </w:rPr>
        <w:t>International Journal of Automotive and Mechanical Engineering</w:t>
      </w:r>
      <w:r w:rsidRPr="00394BCF">
        <w:rPr>
          <w:rFonts w:ascii="Times New Roman" w:eastAsia="Times New Roman" w:hAnsi="Times New Roman" w:cs="Times New Roman"/>
          <w:sz w:val="24"/>
          <w:szCs w:val="24"/>
        </w:rPr>
        <w:t>, 21(4), pp.11893–11908. doi:</w:t>
      </w:r>
      <w:hyperlink r:id="rId48">
        <w:r w:rsidRPr="00394BCF">
          <w:rPr>
            <w:rFonts w:ascii="Times New Roman" w:eastAsia="Times New Roman" w:hAnsi="Times New Roman" w:cs="Times New Roman"/>
            <w:color w:val="1155CC"/>
            <w:sz w:val="24"/>
            <w:szCs w:val="24"/>
            <w:u w:val="single"/>
          </w:rPr>
          <w:t>https://journal.ump.edu.my/ijame/article/download/9450/3454</w:t>
        </w:r>
      </w:hyperlink>
      <w:r w:rsidRPr="00394BCF">
        <w:rPr>
          <w:rFonts w:ascii="Times New Roman" w:eastAsia="Times New Roman" w:hAnsi="Times New Roman" w:cs="Times New Roman"/>
          <w:sz w:val="24"/>
          <w:szCs w:val="24"/>
        </w:rPr>
        <w:t xml:space="preserve">. </w:t>
      </w:r>
    </w:p>
    <w:p w14:paraId="1494A3EA"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Philippe, D., Debenedetti, A. and Chaney, D. (2022). How brands mobilize status, reputation, and legitimacy cues to signal their social standing: The case of luxury watchmaking. </w:t>
      </w:r>
      <w:r w:rsidRPr="00394BCF">
        <w:rPr>
          <w:rFonts w:ascii="Times New Roman" w:eastAsia="Times New Roman" w:hAnsi="Times New Roman" w:cs="Times New Roman"/>
          <w:i/>
          <w:iCs/>
          <w:sz w:val="24"/>
          <w:szCs w:val="24"/>
        </w:rPr>
        <w:t>Marketing Theory</w:t>
      </w:r>
      <w:r w:rsidRPr="00394BCF">
        <w:rPr>
          <w:rFonts w:ascii="Times New Roman" w:eastAsia="Times New Roman" w:hAnsi="Times New Roman" w:cs="Times New Roman"/>
          <w:sz w:val="24"/>
          <w:szCs w:val="24"/>
        </w:rPr>
        <w:t>, 22(3), p.147059312210893. doi:</w:t>
      </w:r>
      <w:hyperlink r:id="rId49">
        <w:r w:rsidRPr="00394BCF">
          <w:rPr>
            <w:rFonts w:ascii="Times New Roman" w:eastAsia="Times New Roman" w:hAnsi="Times New Roman" w:cs="Times New Roman"/>
            <w:color w:val="1155CC"/>
            <w:sz w:val="24"/>
            <w:szCs w:val="24"/>
            <w:u w:val="single"/>
          </w:rPr>
          <w:t>https://journals.sagepub.com/doi/pdf/10.1177/14705931221089327</w:t>
        </w:r>
      </w:hyperlink>
      <w:r w:rsidRPr="00394BCF">
        <w:rPr>
          <w:rFonts w:ascii="Times New Roman" w:eastAsia="Times New Roman" w:hAnsi="Times New Roman" w:cs="Times New Roman"/>
          <w:sz w:val="24"/>
          <w:szCs w:val="24"/>
        </w:rPr>
        <w:t xml:space="preserve">. </w:t>
      </w:r>
    </w:p>
    <w:p w14:paraId="256106E0"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PIB (2025a). </w:t>
      </w:r>
      <w:r w:rsidRPr="00394BCF">
        <w:rPr>
          <w:rFonts w:ascii="Times New Roman" w:eastAsia="Times New Roman" w:hAnsi="Times New Roman" w:cs="Times New Roman"/>
          <w:i/>
          <w:iCs/>
          <w:sz w:val="24"/>
          <w:szCs w:val="24"/>
        </w:rPr>
        <w:t>Curbing cyber frauds in Digital India</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Pib.gov.in</w:t>
      </w:r>
      <w:r w:rsidRPr="00394BCF">
        <w:rPr>
          <w:rFonts w:ascii="Times New Roman" w:eastAsia="Times New Roman" w:hAnsi="Times New Roman" w:cs="Times New Roman"/>
          <w:sz w:val="24"/>
          <w:szCs w:val="24"/>
        </w:rPr>
        <w:t xml:space="preserve">. Available at: </w:t>
      </w:r>
      <w:hyperlink r:id="rId50">
        <w:r w:rsidRPr="00394BCF">
          <w:rPr>
            <w:rFonts w:ascii="Times New Roman" w:eastAsia="Times New Roman" w:hAnsi="Times New Roman" w:cs="Times New Roman"/>
            <w:color w:val="1155CC"/>
            <w:sz w:val="24"/>
            <w:szCs w:val="24"/>
            <w:u w:val="single"/>
          </w:rPr>
          <w:t>https://www.pib.gov.in/PressReleasePage.aspx?PRID=2176146</w:t>
        </w:r>
      </w:hyperlink>
      <w:r w:rsidRPr="00394BCF">
        <w:rPr>
          <w:rFonts w:ascii="Times New Roman" w:eastAsia="Times New Roman" w:hAnsi="Times New Roman" w:cs="Times New Roman"/>
          <w:sz w:val="24"/>
          <w:szCs w:val="24"/>
        </w:rPr>
        <w:t xml:space="preserve">  [Accessed 20 July 2026a].</w:t>
      </w:r>
    </w:p>
    <w:p w14:paraId="16518210"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PIB (2025b). </w:t>
      </w:r>
      <w:r w:rsidRPr="00394BCF">
        <w:rPr>
          <w:rFonts w:ascii="Times New Roman" w:eastAsia="Times New Roman" w:hAnsi="Times New Roman" w:cs="Times New Roman"/>
          <w:i/>
          <w:iCs/>
          <w:sz w:val="24"/>
          <w:szCs w:val="24"/>
        </w:rPr>
        <w:t>PIB headquarters</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Pib.gov.in</w:t>
      </w:r>
      <w:r w:rsidRPr="00394BCF">
        <w:rPr>
          <w:rFonts w:ascii="Times New Roman" w:eastAsia="Times New Roman" w:hAnsi="Times New Roman" w:cs="Times New Roman"/>
          <w:sz w:val="24"/>
          <w:szCs w:val="24"/>
        </w:rPr>
        <w:t xml:space="preserve">. Available at: </w:t>
      </w:r>
      <w:hyperlink r:id="rId51">
        <w:r w:rsidRPr="00394BCF">
          <w:rPr>
            <w:rFonts w:ascii="Times New Roman" w:eastAsia="Times New Roman" w:hAnsi="Times New Roman" w:cs="Times New Roman"/>
            <w:color w:val="1155CC"/>
            <w:sz w:val="24"/>
            <w:szCs w:val="24"/>
            <w:u w:val="single"/>
          </w:rPr>
          <w:t>https://www.pib.gov.in/PressNoteDetails.aspx?NoteId=154025&amp;ModuleId=3</w:t>
        </w:r>
      </w:hyperlink>
      <w:r w:rsidRPr="00394BCF">
        <w:rPr>
          <w:rFonts w:ascii="Times New Roman" w:eastAsia="Times New Roman" w:hAnsi="Times New Roman" w:cs="Times New Roman"/>
          <w:sz w:val="24"/>
          <w:szCs w:val="24"/>
        </w:rPr>
        <w:t xml:space="preserve">  [Accessed 20 July 2026b].</w:t>
      </w:r>
    </w:p>
    <w:p w14:paraId="4FF76C9D"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PIB (2026). </w:t>
      </w:r>
      <w:r w:rsidRPr="00394BCF">
        <w:rPr>
          <w:rFonts w:ascii="Times New Roman" w:eastAsia="Times New Roman" w:hAnsi="Times New Roman" w:cs="Times New Roman"/>
          <w:i/>
          <w:iCs/>
          <w:sz w:val="24"/>
          <w:szCs w:val="24"/>
        </w:rPr>
        <w:t>India ranks third globally in Renewable energy installed capacity: Shri Pralhad Joshi</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Pib.gov.in</w:t>
      </w:r>
      <w:r w:rsidRPr="00394BCF">
        <w:rPr>
          <w:rFonts w:ascii="Times New Roman" w:eastAsia="Times New Roman" w:hAnsi="Times New Roman" w:cs="Times New Roman"/>
          <w:sz w:val="24"/>
          <w:szCs w:val="24"/>
        </w:rPr>
        <w:t xml:space="preserve">. Available at: </w:t>
      </w:r>
      <w:hyperlink r:id="rId52">
        <w:r w:rsidRPr="00394BCF">
          <w:rPr>
            <w:rFonts w:ascii="Times New Roman" w:eastAsia="Times New Roman" w:hAnsi="Times New Roman" w:cs="Times New Roman"/>
            <w:color w:val="1155CC"/>
            <w:sz w:val="24"/>
            <w:szCs w:val="24"/>
            <w:u w:val="single"/>
          </w:rPr>
          <w:t>https://www.pib.gov.in/PressReleasePage.aspx?PRID=2250039&amp;lang=1&amp;reg=3</w:t>
        </w:r>
      </w:hyperlink>
      <w:r w:rsidRPr="00394BCF">
        <w:rPr>
          <w:rFonts w:ascii="Times New Roman" w:eastAsia="Times New Roman" w:hAnsi="Times New Roman" w:cs="Times New Roman"/>
          <w:sz w:val="24"/>
          <w:szCs w:val="24"/>
        </w:rPr>
        <w:t xml:space="preserve">  [Accessed 20 July 2026].</w:t>
      </w:r>
    </w:p>
    <w:p w14:paraId="620EA3D7"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Pieszko, T. (2021). </w:t>
      </w:r>
      <w:r w:rsidRPr="00394BCF">
        <w:rPr>
          <w:rFonts w:ascii="Times New Roman" w:eastAsia="Times New Roman" w:hAnsi="Times New Roman" w:cs="Times New Roman"/>
          <w:i/>
          <w:iCs/>
          <w:sz w:val="24"/>
          <w:szCs w:val="24"/>
        </w:rPr>
        <w:t>How to improve your customer satisfaction automotive scores</w:t>
      </w:r>
      <w:r w:rsidRPr="00394BCF">
        <w:rPr>
          <w:rFonts w:ascii="Times New Roman" w:eastAsia="Times New Roman" w:hAnsi="Times New Roman" w:cs="Times New Roman"/>
          <w:sz w:val="24"/>
          <w:szCs w:val="24"/>
        </w:rPr>
        <w:t xml:space="preserve">. [online] Customer-alliance.com. Available at: </w:t>
      </w:r>
      <w:hyperlink r:id="rId53">
        <w:r w:rsidRPr="00394BCF">
          <w:rPr>
            <w:rFonts w:ascii="Times New Roman" w:eastAsia="Times New Roman" w:hAnsi="Times New Roman" w:cs="Times New Roman"/>
            <w:color w:val="1155CC"/>
            <w:sz w:val="24"/>
            <w:szCs w:val="24"/>
            <w:u w:val="single"/>
          </w:rPr>
          <w:t>https://www.customer-alliance.com/en/articles/customer-satisfaction-automotive</w:t>
        </w:r>
      </w:hyperlink>
      <w:r w:rsidRPr="00394BCF">
        <w:rPr>
          <w:rFonts w:ascii="Times New Roman" w:eastAsia="Times New Roman" w:hAnsi="Times New Roman" w:cs="Times New Roman"/>
          <w:sz w:val="24"/>
          <w:szCs w:val="24"/>
        </w:rPr>
        <w:t xml:space="preserve">  [Accessed 9 August  2026].</w:t>
      </w:r>
    </w:p>
    <w:p w14:paraId="66B06304"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Praveena, K.S., Patil, C.M. and Bhargavi K (2025). Using Gibb’s reflective model approach for enhancing project-based learning among students through reflective assessment. </w:t>
      </w:r>
      <w:r w:rsidRPr="00394BCF">
        <w:rPr>
          <w:rFonts w:ascii="Times New Roman" w:eastAsia="Times New Roman" w:hAnsi="Times New Roman" w:cs="Times New Roman"/>
          <w:i/>
          <w:iCs/>
          <w:sz w:val="24"/>
          <w:szCs w:val="24"/>
        </w:rPr>
        <w:t>Journal of Engineering Education Transformations</w:t>
      </w:r>
      <w:r w:rsidRPr="00394BCF">
        <w:rPr>
          <w:rFonts w:ascii="Times New Roman" w:eastAsia="Times New Roman" w:hAnsi="Times New Roman" w:cs="Times New Roman"/>
          <w:sz w:val="24"/>
          <w:szCs w:val="24"/>
        </w:rPr>
        <w:t>, 38(2), pp.148–155. doi:</w:t>
      </w:r>
      <w:hyperlink r:id="rId54">
        <w:r w:rsidRPr="00394BCF">
          <w:rPr>
            <w:rFonts w:ascii="Times New Roman" w:eastAsia="Times New Roman" w:hAnsi="Times New Roman" w:cs="Times New Roman"/>
            <w:color w:val="1155CC"/>
            <w:sz w:val="24"/>
            <w:szCs w:val="24"/>
            <w:u w:val="single"/>
          </w:rPr>
          <w:t>https://journaleet.in/index.php/jeet/article/view/2071</w:t>
        </w:r>
      </w:hyperlink>
      <w:r w:rsidRPr="00394BCF">
        <w:rPr>
          <w:rFonts w:ascii="Times New Roman" w:eastAsia="Times New Roman" w:hAnsi="Times New Roman" w:cs="Times New Roman"/>
          <w:sz w:val="24"/>
          <w:szCs w:val="24"/>
        </w:rPr>
        <w:t xml:space="preserve">. </w:t>
      </w:r>
    </w:p>
    <w:p w14:paraId="17D39095"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Shahadat, M.M.H., Chowdhury, A.H.M.Y., Nathan, R.J. and Fekete-Farkas, M. (2023). Digital Technologies for firms’ competitive advantage and improved supply chain performance. </w:t>
      </w:r>
      <w:r w:rsidRPr="00394BCF">
        <w:rPr>
          <w:rFonts w:ascii="Times New Roman" w:eastAsia="Times New Roman" w:hAnsi="Times New Roman" w:cs="Times New Roman"/>
          <w:i/>
          <w:iCs/>
          <w:sz w:val="24"/>
          <w:szCs w:val="24"/>
        </w:rPr>
        <w:lastRenderedPageBreak/>
        <w:t>Journal of Risk and Financial Management</w:t>
      </w:r>
      <w:r w:rsidRPr="00394BCF">
        <w:rPr>
          <w:rFonts w:ascii="Times New Roman" w:eastAsia="Times New Roman" w:hAnsi="Times New Roman" w:cs="Times New Roman"/>
          <w:sz w:val="24"/>
          <w:szCs w:val="24"/>
        </w:rPr>
        <w:t>, 16(2), p.94. doi:</w:t>
      </w:r>
      <w:hyperlink r:id="rId55">
        <w:r w:rsidRPr="00394BCF">
          <w:rPr>
            <w:rFonts w:ascii="Times New Roman" w:eastAsia="Times New Roman" w:hAnsi="Times New Roman" w:cs="Times New Roman"/>
            <w:color w:val="1155CC"/>
            <w:sz w:val="24"/>
            <w:szCs w:val="24"/>
            <w:u w:val="single"/>
          </w:rPr>
          <w:t>https://www.mdpi.com/1911-8074/16/2/94</w:t>
        </w:r>
      </w:hyperlink>
      <w:r w:rsidRPr="00394BCF">
        <w:rPr>
          <w:rFonts w:ascii="Times New Roman" w:eastAsia="Times New Roman" w:hAnsi="Times New Roman" w:cs="Times New Roman"/>
          <w:sz w:val="24"/>
          <w:szCs w:val="24"/>
        </w:rPr>
        <w:t xml:space="preserve">. </w:t>
      </w:r>
    </w:p>
    <w:p w14:paraId="2A5E6ED6"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Takeuchi, I. (2023). Navigating competition through alliances: An analysis of Toyota’s strategy in the Japanese auto industry. </w:t>
      </w:r>
      <w:r w:rsidRPr="00394BCF">
        <w:rPr>
          <w:rFonts w:ascii="Times New Roman" w:eastAsia="Times New Roman" w:hAnsi="Times New Roman" w:cs="Times New Roman"/>
          <w:i/>
          <w:iCs/>
          <w:sz w:val="24"/>
          <w:szCs w:val="24"/>
        </w:rPr>
        <w:t>Journal of strategic management</w:t>
      </w:r>
      <w:r w:rsidRPr="00394BCF">
        <w:rPr>
          <w:rFonts w:ascii="Times New Roman" w:eastAsia="Times New Roman" w:hAnsi="Times New Roman" w:cs="Times New Roman"/>
          <w:sz w:val="24"/>
          <w:szCs w:val="24"/>
        </w:rPr>
        <w:t>, 7(6), pp.1–12. doi:</w:t>
      </w:r>
      <w:hyperlink r:id="rId56">
        <w:r w:rsidRPr="00394BCF">
          <w:rPr>
            <w:rFonts w:ascii="Times New Roman" w:eastAsia="Times New Roman" w:hAnsi="Times New Roman" w:cs="Times New Roman"/>
            <w:color w:val="1155CC"/>
            <w:sz w:val="24"/>
            <w:szCs w:val="24"/>
            <w:u w:val="single"/>
          </w:rPr>
          <w:t>https://stratfordjournalpublishers.org/journals/index.php/journal-of-strategic-management/article/download/1733/2251</w:t>
        </w:r>
      </w:hyperlink>
      <w:r w:rsidRPr="00394BCF">
        <w:rPr>
          <w:rFonts w:ascii="Times New Roman" w:eastAsia="Times New Roman" w:hAnsi="Times New Roman" w:cs="Times New Roman"/>
          <w:sz w:val="24"/>
          <w:szCs w:val="24"/>
        </w:rPr>
        <w:t xml:space="preserve">. </w:t>
      </w:r>
    </w:p>
    <w:p w14:paraId="03CEBEE5"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Tavor, T., Gonen, L.D. and Spiegel, U. (2023). Customer segmentation as a revenue generator for profit purposes. </w:t>
      </w:r>
      <w:r w:rsidRPr="00394BCF">
        <w:rPr>
          <w:rFonts w:ascii="Times New Roman" w:eastAsia="Times New Roman" w:hAnsi="Times New Roman" w:cs="Times New Roman"/>
          <w:i/>
          <w:iCs/>
          <w:sz w:val="24"/>
          <w:szCs w:val="24"/>
        </w:rPr>
        <w:t>Mathematics</w:t>
      </w:r>
      <w:r w:rsidRPr="00394BCF">
        <w:rPr>
          <w:rFonts w:ascii="Times New Roman" w:eastAsia="Times New Roman" w:hAnsi="Times New Roman" w:cs="Times New Roman"/>
          <w:sz w:val="24"/>
          <w:szCs w:val="24"/>
        </w:rPr>
        <w:t>, 11(21). doi:</w:t>
      </w:r>
      <w:hyperlink r:id="rId57">
        <w:r w:rsidRPr="00394BCF">
          <w:rPr>
            <w:rFonts w:ascii="Times New Roman" w:eastAsia="Times New Roman" w:hAnsi="Times New Roman" w:cs="Times New Roman"/>
            <w:color w:val="1155CC"/>
            <w:sz w:val="24"/>
            <w:szCs w:val="24"/>
            <w:u w:val="single"/>
          </w:rPr>
          <w:t>https://www.mdpi.com/2227-7390/11/21/4425</w:t>
        </w:r>
      </w:hyperlink>
      <w:r w:rsidRPr="00394BCF">
        <w:rPr>
          <w:rFonts w:ascii="Times New Roman" w:eastAsia="Times New Roman" w:hAnsi="Times New Roman" w:cs="Times New Roman"/>
          <w:sz w:val="24"/>
          <w:szCs w:val="24"/>
        </w:rPr>
        <w:t xml:space="preserve">. </w:t>
      </w:r>
    </w:p>
    <w:p w14:paraId="2D7DFEAE"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Culture Factor Group (2026). </w:t>
      </w:r>
      <w:r w:rsidRPr="00394BCF">
        <w:rPr>
          <w:rFonts w:ascii="Times New Roman" w:eastAsia="Times New Roman" w:hAnsi="Times New Roman" w:cs="Times New Roman"/>
          <w:i/>
          <w:iCs/>
          <w:sz w:val="24"/>
          <w:szCs w:val="24"/>
        </w:rPr>
        <w:t>Country comparison tool</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Theculturefactor.com</w:t>
      </w:r>
      <w:r w:rsidRPr="00394BCF">
        <w:rPr>
          <w:rFonts w:ascii="Times New Roman" w:eastAsia="Times New Roman" w:hAnsi="Times New Roman" w:cs="Times New Roman"/>
          <w:sz w:val="24"/>
          <w:szCs w:val="24"/>
        </w:rPr>
        <w:t xml:space="preserve">. Available at: </w:t>
      </w:r>
      <w:hyperlink r:id="rId58">
        <w:r w:rsidRPr="00394BCF">
          <w:rPr>
            <w:rFonts w:ascii="Times New Roman" w:eastAsia="Times New Roman" w:hAnsi="Times New Roman" w:cs="Times New Roman"/>
            <w:color w:val="1155CC"/>
            <w:sz w:val="24"/>
            <w:szCs w:val="24"/>
            <w:u w:val="single"/>
          </w:rPr>
          <w:t>https://www.theculturefactor.com/country-comparison-tool?countries=india%2Cjapan</w:t>
        </w:r>
      </w:hyperlink>
      <w:r w:rsidRPr="00394BCF">
        <w:rPr>
          <w:rFonts w:ascii="Times New Roman" w:eastAsia="Times New Roman" w:hAnsi="Times New Roman" w:cs="Times New Roman"/>
          <w:sz w:val="24"/>
          <w:szCs w:val="24"/>
        </w:rPr>
        <w:t xml:space="preserve">  [Accessed 20 July 2026].</w:t>
      </w:r>
    </w:p>
    <w:p w14:paraId="55A0287C"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Economic Times (2026). </w:t>
      </w:r>
      <w:r w:rsidRPr="00394BCF">
        <w:rPr>
          <w:rFonts w:ascii="Times New Roman" w:eastAsia="Times New Roman" w:hAnsi="Times New Roman" w:cs="Times New Roman"/>
          <w:i/>
          <w:iCs/>
          <w:sz w:val="24"/>
          <w:szCs w:val="24"/>
        </w:rPr>
        <w:t>Japanese mindset: “Omotenashi” - the Japanese philosophy of hospitality that puts kindness before expectat</w:t>
      </w:r>
      <w:r w:rsidRPr="00394BCF">
        <w:rPr>
          <w:rFonts w:ascii="Times New Roman" w:eastAsia="Times New Roman" w:hAnsi="Times New Roman" w:cs="Times New Roman"/>
          <w:sz w:val="24"/>
          <w:szCs w:val="24"/>
        </w:rPr>
        <w:t xml:space="preserve">. [online] The Economic Times. Available at: </w:t>
      </w:r>
      <w:hyperlink r:id="rId59">
        <w:r w:rsidRPr="00394BCF">
          <w:rPr>
            <w:rFonts w:ascii="Times New Roman" w:eastAsia="Times New Roman" w:hAnsi="Times New Roman" w:cs="Times New Roman"/>
            <w:color w:val="1155CC"/>
            <w:sz w:val="24"/>
            <w:szCs w:val="24"/>
            <w:u w:val="single"/>
          </w:rPr>
          <w:t>https://m.economictimes.com/news/international/us/japanese-mindset-omotenashi-the-japanese-philosophy-of-hospitality-that-puts-kindness-before-expectations/articleshow/132540889.cms</w:t>
        </w:r>
      </w:hyperlink>
      <w:r w:rsidRPr="00394BCF">
        <w:rPr>
          <w:rFonts w:ascii="Times New Roman" w:eastAsia="Times New Roman" w:hAnsi="Times New Roman" w:cs="Times New Roman"/>
          <w:sz w:val="24"/>
          <w:szCs w:val="24"/>
        </w:rPr>
        <w:t xml:space="preserve">  [Accessed 8 August 2026].</w:t>
      </w:r>
    </w:p>
    <w:p w14:paraId="7C3DFDA0"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The Government of Japan (2024). </w:t>
      </w:r>
      <w:r w:rsidRPr="00394BCF">
        <w:rPr>
          <w:rFonts w:ascii="Times New Roman" w:eastAsia="Times New Roman" w:hAnsi="Times New Roman" w:cs="Times New Roman"/>
          <w:i/>
          <w:iCs/>
          <w:sz w:val="24"/>
          <w:szCs w:val="24"/>
        </w:rPr>
        <w:t>Together for action: Japan’s initiatives for achieving the common goal of Net zero by 2050</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The Government of Japan - JapanGov</w:t>
      </w:r>
      <w:r w:rsidRPr="00394BCF">
        <w:rPr>
          <w:rFonts w:ascii="Times New Roman" w:eastAsia="Times New Roman" w:hAnsi="Times New Roman" w:cs="Times New Roman"/>
          <w:sz w:val="24"/>
          <w:szCs w:val="24"/>
        </w:rPr>
        <w:t xml:space="preserve">. Available at: </w:t>
      </w:r>
      <w:hyperlink r:id="rId60">
        <w:r w:rsidRPr="00394BCF">
          <w:rPr>
            <w:rFonts w:ascii="Times New Roman" w:eastAsia="Times New Roman" w:hAnsi="Times New Roman" w:cs="Times New Roman"/>
            <w:color w:val="1155CC"/>
            <w:sz w:val="24"/>
            <w:szCs w:val="24"/>
            <w:u w:val="single"/>
          </w:rPr>
          <w:t>https://www.japan.go.jp/kizuna/2024/01/together_for_action_japan_initiatives.html</w:t>
        </w:r>
      </w:hyperlink>
      <w:r w:rsidRPr="00394BCF">
        <w:rPr>
          <w:rFonts w:ascii="Times New Roman" w:eastAsia="Times New Roman" w:hAnsi="Times New Roman" w:cs="Times New Roman"/>
          <w:sz w:val="24"/>
          <w:szCs w:val="24"/>
        </w:rPr>
        <w:t xml:space="preserve">  [Accessed 20 July 2026].</w:t>
      </w:r>
    </w:p>
    <w:p w14:paraId="7137E87F"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Tochibayashi, N. (2025). </w:t>
      </w:r>
      <w:r w:rsidRPr="00394BCF">
        <w:rPr>
          <w:rFonts w:ascii="Times New Roman" w:eastAsia="Times New Roman" w:hAnsi="Times New Roman" w:cs="Times New Roman"/>
          <w:i/>
          <w:iCs/>
          <w:sz w:val="24"/>
          <w:szCs w:val="24"/>
        </w:rPr>
        <w:t>How Japan’s longevity economy is creating new opportunities</w:t>
      </w:r>
      <w:r w:rsidRPr="00394BCF">
        <w:rPr>
          <w:rFonts w:ascii="Times New Roman" w:eastAsia="Times New Roman" w:hAnsi="Times New Roman" w:cs="Times New Roman"/>
          <w:sz w:val="24"/>
          <w:szCs w:val="24"/>
        </w:rPr>
        <w:t xml:space="preserve">. [online] World Economic Forum. Available at: </w:t>
      </w:r>
      <w:hyperlink r:id="rId61">
        <w:r w:rsidRPr="00394BCF">
          <w:rPr>
            <w:rFonts w:ascii="Times New Roman" w:eastAsia="Times New Roman" w:hAnsi="Times New Roman" w:cs="Times New Roman"/>
            <w:color w:val="1155CC"/>
            <w:sz w:val="24"/>
            <w:szCs w:val="24"/>
            <w:u w:val="single"/>
          </w:rPr>
          <w:t>https://www.weforum.org/stories/sustainable-development/japans-longevity-economy/</w:t>
        </w:r>
      </w:hyperlink>
      <w:r w:rsidRPr="00394BCF">
        <w:rPr>
          <w:rFonts w:ascii="Times New Roman" w:eastAsia="Times New Roman" w:hAnsi="Times New Roman" w:cs="Times New Roman"/>
          <w:sz w:val="24"/>
          <w:szCs w:val="24"/>
        </w:rPr>
        <w:t xml:space="preserve"> [Accessed 20 July 2026].</w:t>
      </w:r>
    </w:p>
    <w:p w14:paraId="08DF3645"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(2025a). </w:t>
      </w:r>
      <w:r w:rsidRPr="00394BCF">
        <w:rPr>
          <w:rFonts w:ascii="Times New Roman" w:eastAsia="Times New Roman" w:hAnsi="Times New Roman" w:cs="Times New Roman"/>
          <w:i/>
          <w:iCs/>
          <w:sz w:val="24"/>
          <w:szCs w:val="24"/>
        </w:rPr>
        <w:t>Toyota fortuner and legender achieve landmark milestone of 3-Lakh sales in India</w:t>
      </w:r>
      <w:r w:rsidRPr="00394BCF">
        <w:rPr>
          <w:rFonts w:ascii="Times New Roman" w:eastAsia="Times New Roman" w:hAnsi="Times New Roman" w:cs="Times New Roman"/>
          <w:sz w:val="24"/>
          <w:szCs w:val="24"/>
        </w:rPr>
        <w:t xml:space="preserve">. [online] Toyotabharat.com. Available at: </w:t>
      </w:r>
      <w:hyperlink r:id="rId62">
        <w:r w:rsidRPr="00394BCF">
          <w:rPr>
            <w:rFonts w:ascii="Times New Roman" w:eastAsia="Times New Roman" w:hAnsi="Times New Roman" w:cs="Times New Roman"/>
            <w:color w:val="1155CC"/>
            <w:sz w:val="24"/>
            <w:szCs w:val="24"/>
            <w:u w:val="single"/>
          </w:rPr>
          <w:t>https://www.toyotabharat.com/news/2025/toyota-fortuner-and-legender-achieve-landmark-milestone-of-3-lakh-sales-in-india.html</w:t>
        </w:r>
      </w:hyperlink>
      <w:r w:rsidRPr="00394BCF">
        <w:rPr>
          <w:rFonts w:ascii="Times New Roman" w:eastAsia="Times New Roman" w:hAnsi="Times New Roman" w:cs="Times New Roman"/>
          <w:sz w:val="24"/>
          <w:szCs w:val="24"/>
        </w:rPr>
        <w:t xml:space="preserve">  [Accessed 9 August  2026].</w:t>
      </w:r>
    </w:p>
    <w:p w14:paraId="7631985B"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(2025b). </w:t>
      </w:r>
      <w:r w:rsidRPr="00394BCF">
        <w:rPr>
          <w:rFonts w:ascii="Times New Roman" w:eastAsia="Times New Roman" w:hAnsi="Times New Roman" w:cs="Times New Roman"/>
          <w:i/>
          <w:iCs/>
          <w:sz w:val="24"/>
          <w:szCs w:val="24"/>
        </w:rPr>
        <w:t>Toyota production system</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Toyota Motor Corporation Official Global Website</w:t>
      </w:r>
      <w:r w:rsidRPr="00394BCF">
        <w:rPr>
          <w:rFonts w:ascii="Times New Roman" w:eastAsia="Times New Roman" w:hAnsi="Times New Roman" w:cs="Times New Roman"/>
          <w:sz w:val="24"/>
          <w:szCs w:val="24"/>
        </w:rPr>
        <w:t xml:space="preserve">. global.toyota. Available at: </w:t>
      </w:r>
      <w:hyperlink r:id="rId63">
        <w:r w:rsidRPr="00394BCF">
          <w:rPr>
            <w:rFonts w:ascii="Times New Roman" w:eastAsia="Times New Roman" w:hAnsi="Times New Roman" w:cs="Times New Roman"/>
            <w:color w:val="1155CC"/>
            <w:sz w:val="24"/>
            <w:szCs w:val="24"/>
            <w:u w:val="single"/>
          </w:rPr>
          <w:t>https://global.toyota/en/company/vision-and-philosophy/production-system/</w:t>
        </w:r>
      </w:hyperlink>
      <w:r w:rsidRPr="00394BCF">
        <w:rPr>
          <w:rFonts w:ascii="Times New Roman" w:eastAsia="Times New Roman" w:hAnsi="Times New Roman" w:cs="Times New Roman"/>
          <w:sz w:val="24"/>
          <w:szCs w:val="24"/>
        </w:rPr>
        <w:t xml:space="preserve">  [Accessed 8 August 2026].</w:t>
      </w:r>
    </w:p>
    <w:p w14:paraId="67AECA1A"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Club (2025). </w:t>
      </w:r>
      <w:r w:rsidRPr="00394BCF">
        <w:rPr>
          <w:rFonts w:ascii="Times New Roman" w:eastAsia="Times New Roman" w:hAnsi="Times New Roman" w:cs="Times New Roman"/>
          <w:i/>
          <w:iCs/>
          <w:sz w:val="24"/>
          <w:szCs w:val="24"/>
        </w:rPr>
        <w:t>Toyota plants (Japan)</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toyota-club.net</w:t>
      </w:r>
      <w:r w:rsidRPr="00394BCF">
        <w:rPr>
          <w:rFonts w:ascii="Times New Roman" w:eastAsia="Times New Roman" w:hAnsi="Times New Roman" w:cs="Times New Roman"/>
          <w:sz w:val="24"/>
          <w:szCs w:val="24"/>
        </w:rPr>
        <w:t xml:space="preserve">. Available at: </w:t>
      </w:r>
      <w:hyperlink r:id="rId64">
        <w:r w:rsidRPr="00394BCF">
          <w:rPr>
            <w:rFonts w:ascii="Times New Roman" w:eastAsia="Times New Roman" w:hAnsi="Times New Roman" w:cs="Times New Roman"/>
            <w:color w:val="1155CC"/>
            <w:sz w:val="24"/>
            <w:szCs w:val="24"/>
            <w:u w:val="single"/>
          </w:rPr>
          <w:t>https://toyota-club.net/files/2004/04-01-10_rem_japan-1.htm</w:t>
        </w:r>
      </w:hyperlink>
      <w:r w:rsidRPr="00394BCF">
        <w:rPr>
          <w:rFonts w:ascii="Times New Roman" w:eastAsia="Times New Roman" w:hAnsi="Times New Roman" w:cs="Times New Roman"/>
          <w:sz w:val="24"/>
          <w:szCs w:val="24"/>
        </w:rPr>
        <w:t xml:space="preserve">  [Accessed 9 August  2026].</w:t>
      </w:r>
    </w:p>
    <w:p w14:paraId="378C28C7"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EU (2025). </w:t>
      </w:r>
      <w:r w:rsidRPr="00394BCF">
        <w:rPr>
          <w:rFonts w:ascii="Times New Roman" w:eastAsia="Times New Roman" w:hAnsi="Times New Roman" w:cs="Times New Roman"/>
          <w:i/>
          <w:iCs/>
          <w:sz w:val="24"/>
          <w:szCs w:val="24"/>
        </w:rPr>
        <w:t>Toyota Group at the Japan mobility show 2025</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 xml:space="preserve">Toyota Group at the Japan Mobility Show 2025 </w:t>
      </w:r>
      <w:r w:rsidRPr="00394BCF">
        <w:rPr>
          <w:rFonts w:ascii="Times New Roman" w:eastAsia="Times New Roman" w:hAnsi="Times New Roman" w:cs="Times New Roman"/>
          <w:sz w:val="24"/>
          <w:szCs w:val="24"/>
        </w:rPr>
        <w:t xml:space="preserve">. Toyota Europe. Available at: </w:t>
      </w:r>
      <w:hyperlink r:id="rId65">
        <w:r w:rsidRPr="00394BCF">
          <w:rPr>
            <w:rFonts w:ascii="Times New Roman" w:eastAsia="Times New Roman" w:hAnsi="Times New Roman" w:cs="Times New Roman"/>
            <w:color w:val="1155CC"/>
            <w:sz w:val="24"/>
            <w:szCs w:val="24"/>
            <w:u w:val="single"/>
          </w:rPr>
          <w:t>https://newsroom.toyota.eu/toyota-group-at-the-japan-mobility-show-2025/</w:t>
        </w:r>
      </w:hyperlink>
      <w:r w:rsidRPr="00394BCF">
        <w:rPr>
          <w:rFonts w:ascii="Times New Roman" w:eastAsia="Times New Roman" w:hAnsi="Times New Roman" w:cs="Times New Roman"/>
          <w:sz w:val="24"/>
          <w:szCs w:val="24"/>
        </w:rPr>
        <w:t xml:space="preserve">  [Accessed 8 August  2026].</w:t>
      </w:r>
    </w:p>
    <w:p w14:paraId="17053243"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India (2026). </w:t>
      </w:r>
      <w:r w:rsidRPr="00394BCF">
        <w:rPr>
          <w:rFonts w:ascii="Times New Roman" w:eastAsia="Times New Roman" w:hAnsi="Times New Roman" w:cs="Times New Roman"/>
          <w:i/>
          <w:iCs/>
          <w:sz w:val="24"/>
          <w:szCs w:val="24"/>
        </w:rPr>
        <w:t>Toyota Kirloskar Motor Management and employees’ union sign wage settlement agreement</w:t>
      </w:r>
      <w:r w:rsidRPr="00394BCF">
        <w:rPr>
          <w:rFonts w:ascii="Times New Roman" w:eastAsia="Times New Roman" w:hAnsi="Times New Roman" w:cs="Times New Roman"/>
          <w:sz w:val="24"/>
          <w:szCs w:val="24"/>
        </w:rPr>
        <w:t xml:space="preserve">. [online] Toyotabharat.com. Available at: </w:t>
      </w:r>
      <w:hyperlink r:id="rId66">
        <w:r w:rsidRPr="00394BCF">
          <w:rPr>
            <w:rFonts w:ascii="Times New Roman" w:eastAsia="Times New Roman" w:hAnsi="Times New Roman" w:cs="Times New Roman"/>
            <w:color w:val="1155CC"/>
            <w:sz w:val="24"/>
            <w:szCs w:val="24"/>
            <w:u w:val="single"/>
          </w:rPr>
          <w:t>https://www.toyotabharat.com/news/2026/tkm-management-and-employees-union-sign-wage-settlement-agreement.html</w:t>
        </w:r>
      </w:hyperlink>
      <w:r w:rsidRPr="00394BCF">
        <w:rPr>
          <w:rFonts w:ascii="Times New Roman" w:eastAsia="Times New Roman" w:hAnsi="Times New Roman" w:cs="Times New Roman"/>
          <w:sz w:val="24"/>
          <w:szCs w:val="24"/>
        </w:rPr>
        <w:t xml:space="preserve">  [Accessed 9 August  2026].</w:t>
      </w:r>
    </w:p>
    <w:p w14:paraId="3D65F142"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MOTOR CORPORATION (2022). </w:t>
      </w:r>
      <w:r w:rsidRPr="00394BCF">
        <w:rPr>
          <w:rFonts w:ascii="Times New Roman" w:eastAsia="Times New Roman" w:hAnsi="Times New Roman" w:cs="Times New Roman"/>
          <w:i/>
          <w:iCs/>
          <w:sz w:val="24"/>
          <w:szCs w:val="24"/>
        </w:rPr>
        <w:t>Toyota and Suzuki to deepen collaboration in the fields of development and production in India | corporate | global newsroom</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Toyota Motor Corporation Official Global Website</w:t>
      </w:r>
      <w:r w:rsidRPr="00394BCF">
        <w:rPr>
          <w:rFonts w:ascii="Times New Roman" w:eastAsia="Times New Roman" w:hAnsi="Times New Roman" w:cs="Times New Roman"/>
          <w:sz w:val="24"/>
          <w:szCs w:val="24"/>
        </w:rPr>
        <w:t xml:space="preserve">. Available at: </w:t>
      </w:r>
      <w:hyperlink r:id="rId67">
        <w:r w:rsidRPr="00394BCF">
          <w:rPr>
            <w:rFonts w:ascii="Times New Roman" w:eastAsia="Times New Roman" w:hAnsi="Times New Roman" w:cs="Times New Roman"/>
            <w:color w:val="1155CC"/>
            <w:sz w:val="24"/>
            <w:szCs w:val="24"/>
            <w:u w:val="single"/>
          </w:rPr>
          <w:t>https://global.toyota/en/newsroom/corporate/37494346.html</w:t>
        </w:r>
      </w:hyperlink>
      <w:r w:rsidRPr="00394BCF">
        <w:rPr>
          <w:rFonts w:ascii="Times New Roman" w:eastAsia="Times New Roman" w:hAnsi="Times New Roman" w:cs="Times New Roman"/>
          <w:sz w:val="24"/>
          <w:szCs w:val="24"/>
        </w:rPr>
        <w:t xml:space="preserve">  [Accessed 7 August 2026].</w:t>
      </w:r>
    </w:p>
    <w:p w14:paraId="0AE53E4E"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TOYOTA MOTOR CORPORATION (2026). </w:t>
      </w:r>
      <w:r w:rsidRPr="00394BCF">
        <w:rPr>
          <w:rFonts w:ascii="Times New Roman" w:eastAsia="Times New Roman" w:hAnsi="Times New Roman" w:cs="Times New Roman"/>
          <w:i/>
          <w:iCs/>
          <w:sz w:val="24"/>
          <w:szCs w:val="24"/>
        </w:rPr>
        <w:t>Financial data | shareholders &amp; investors news | Toyota Motor Corporation official global website</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Toyota Motor Corporation Official Global Website</w:t>
      </w:r>
      <w:r w:rsidRPr="00394BCF">
        <w:rPr>
          <w:rFonts w:ascii="Times New Roman" w:eastAsia="Times New Roman" w:hAnsi="Times New Roman" w:cs="Times New Roman"/>
          <w:sz w:val="24"/>
          <w:szCs w:val="24"/>
        </w:rPr>
        <w:t xml:space="preserve">. Available at: </w:t>
      </w:r>
      <w:hyperlink r:id="rId68">
        <w:r w:rsidRPr="00394BCF">
          <w:rPr>
            <w:rFonts w:ascii="Times New Roman" w:eastAsia="Times New Roman" w:hAnsi="Times New Roman" w:cs="Times New Roman"/>
            <w:color w:val="1155CC"/>
            <w:sz w:val="24"/>
            <w:szCs w:val="24"/>
            <w:u w:val="single"/>
          </w:rPr>
          <w:t>https://global.toyota/en/ir/finance/</w:t>
        </w:r>
      </w:hyperlink>
      <w:r w:rsidRPr="00394BCF">
        <w:rPr>
          <w:rFonts w:ascii="Times New Roman" w:eastAsia="Times New Roman" w:hAnsi="Times New Roman" w:cs="Times New Roman"/>
          <w:sz w:val="24"/>
          <w:szCs w:val="24"/>
        </w:rPr>
        <w:t xml:space="preserve">  [Accessed 8 August 2026].</w:t>
      </w:r>
    </w:p>
    <w:p w14:paraId="1793FB33"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Transparency International (2024). </w:t>
      </w:r>
      <w:r w:rsidRPr="00394BCF">
        <w:rPr>
          <w:rFonts w:ascii="Times New Roman" w:eastAsia="Times New Roman" w:hAnsi="Times New Roman" w:cs="Times New Roman"/>
          <w:i/>
          <w:iCs/>
          <w:sz w:val="24"/>
          <w:szCs w:val="24"/>
        </w:rPr>
        <w:t>Japan</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Transparency.org</w:t>
      </w:r>
      <w:r w:rsidRPr="00394BCF">
        <w:rPr>
          <w:rFonts w:ascii="Times New Roman" w:eastAsia="Times New Roman" w:hAnsi="Times New Roman" w:cs="Times New Roman"/>
          <w:sz w:val="24"/>
          <w:szCs w:val="24"/>
        </w:rPr>
        <w:t xml:space="preserve">. Available at: </w:t>
      </w:r>
      <w:hyperlink r:id="rId69">
        <w:r w:rsidRPr="00394BCF">
          <w:rPr>
            <w:rFonts w:ascii="Times New Roman" w:eastAsia="Times New Roman" w:hAnsi="Times New Roman" w:cs="Times New Roman"/>
            <w:color w:val="1155CC"/>
            <w:sz w:val="24"/>
            <w:szCs w:val="24"/>
            <w:u w:val="single"/>
          </w:rPr>
          <w:t>https://www.transparency.org/en/countries/japan</w:t>
        </w:r>
      </w:hyperlink>
      <w:r w:rsidRPr="00394BCF">
        <w:rPr>
          <w:rFonts w:ascii="Times New Roman" w:eastAsia="Times New Roman" w:hAnsi="Times New Roman" w:cs="Times New Roman"/>
          <w:sz w:val="24"/>
          <w:szCs w:val="24"/>
        </w:rPr>
        <w:t xml:space="preserve">  [Accessed 20 July 2026].</w:t>
      </w:r>
    </w:p>
    <w:p w14:paraId="2318843C"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Vengatesan, S., Jayakumar, A. and Sadasivuni, K.K. (2024). FCEV vs. BEV — A short overview on identifying the key contributors to affordable &amp; clean energy (SDG-7). </w:t>
      </w:r>
      <w:r w:rsidRPr="00394BCF">
        <w:rPr>
          <w:rFonts w:ascii="Times New Roman" w:eastAsia="Times New Roman" w:hAnsi="Times New Roman" w:cs="Times New Roman"/>
          <w:i/>
          <w:iCs/>
          <w:sz w:val="24"/>
          <w:szCs w:val="24"/>
        </w:rPr>
        <w:t>Energy Strategy Reviews</w:t>
      </w:r>
      <w:r w:rsidRPr="00394BCF">
        <w:rPr>
          <w:rFonts w:ascii="Times New Roman" w:eastAsia="Times New Roman" w:hAnsi="Times New Roman" w:cs="Times New Roman"/>
          <w:sz w:val="24"/>
          <w:szCs w:val="24"/>
        </w:rPr>
        <w:t>, 53(2), p.101380. doi:</w:t>
      </w:r>
      <w:hyperlink r:id="rId70">
        <w:r w:rsidRPr="00394BCF">
          <w:rPr>
            <w:rFonts w:ascii="Times New Roman" w:eastAsia="Times New Roman" w:hAnsi="Times New Roman" w:cs="Times New Roman"/>
            <w:color w:val="1155CC"/>
            <w:sz w:val="24"/>
            <w:szCs w:val="24"/>
            <w:u w:val="single"/>
          </w:rPr>
          <w:t>https://www.sciencedirect.com/science/article/pii/S2211467X24000877</w:t>
        </w:r>
      </w:hyperlink>
      <w:r w:rsidRPr="00394BCF">
        <w:rPr>
          <w:rFonts w:ascii="Times New Roman" w:eastAsia="Times New Roman" w:hAnsi="Times New Roman" w:cs="Times New Roman"/>
          <w:sz w:val="24"/>
          <w:szCs w:val="24"/>
        </w:rPr>
        <w:t xml:space="preserve">. </w:t>
      </w:r>
    </w:p>
    <w:p w14:paraId="7E95A7D1"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Williams, M. (2026). </w:t>
      </w:r>
      <w:r w:rsidRPr="00394BCF">
        <w:rPr>
          <w:rFonts w:ascii="Times New Roman" w:eastAsia="Times New Roman" w:hAnsi="Times New Roman" w:cs="Times New Roman"/>
          <w:i/>
          <w:iCs/>
          <w:sz w:val="24"/>
          <w:szCs w:val="24"/>
        </w:rPr>
        <w:t>Bharat NCAP 2.0: What we know so far about India</w:t>
      </w:r>
      <w:r w:rsidRPr="00394BCF">
        <w:rPr>
          <w:rFonts w:ascii="Times New Roman" w:eastAsia="Times New Roman" w:hAnsi="Times New Roman" w:cs="Times New Roman"/>
          <w:sz w:val="24"/>
          <w:szCs w:val="24"/>
        </w:rPr>
        <w:t xml:space="preserve">. [online] AB Dynamics. Available at: </w:t>
      </w:r>
      <w:hyperlink r:id="rId71">
        <w:r w:rsidRPr="00394BCF">
          <w:rPr>
            <w:rFonts w:ascii="Times New Roman" w:eastAsia="Times New Roman" w:hAnsi="Times New Roman" w:cs="Times New Roman"/>
            <w:color w:val="1155CC"/>
            <w:sz w:val="24"/>
            <w:szCs w:val="24"/>
            <w:u w:val="single"/>
          </w:rPr>
          <w:t>https://www.abdynamics.com/bharat-ncap-2-0-what-we-know-so-far/</w:t>
        </w:r>
      </w:hyperlink>
      <w:r w:rsidRPr="00394BCF">
        <w:rPr>
          <w:rFonts w:ascii="Times New Roman" w:eastAsia="Times New Roman" w:hAnsi="Times New Roman" w:cs="Times New Roman"/>
          <w:sz w:val="24"/>
          <w:szCs w:val="24"/>
        </w:rPr>
        <w:t xml:space="preserve">  [Accessed 20 July 2026].</w:t>
      </w:r>
    </w:p>
    <w:p w14:paraId="4E53FBB4"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WIPO (2024). </w:t>
      </w:r>
      <w:r w:rsidRPr="00394BCF">
        <w:rPr>
          <w:rFonts w:ascii="Times New Roman" w:eastAsia="Times New Roman" w:hAnsi="Times New Roman" w:cs="Times New Roman"/>
          <w:i/>
          <w:iCs/>
          <w:sz w:val="24"/>
          <w:szCs w:val="24"/>
        </w:rPr>
        <w:t>Japan ranking in the Global Innovation Index 2024</w:t>
      </w:r>
      <w:r w:rsidRPr="00394BCF">
        <w:rPr>
          <w:rFonts w:ascii="Times New Roman" w:eastAsia="Times New Roman" w:hAnsi="Times New Roman" w:cs="Times New Roman"/>
          <w:sz w:val="24"/>
          <w:szCs w:val="24"/>
        </w:rPr>
        <w:t xml:space="preserve">. [online] Available at: </w:t>
      </w:r>
      <w:hyperlink r:id="rId72">
        <w:r w:rsidRPr="00394BCF">
          <w:rPr>
            <w:rFonts w:ascii="Times New Roman" w:eastAsia="Times New Roman" w:hAnsi="Times New Roman" w:cs="Times New Roman"/>
            <w:color w:val="1155CC"/>
            <w:sz w:val="24"/>
            <w:szCs w:val="24"/>
            <w:u w:val="single"/>
          </w:rPr>
          <w:t>https://www.wipo.int/edocs/gii-ranking/2024/jp.pdf</w:t>
        </w:r>
      </w:hyperlink>
      <w:r w:rsidRPr="00394BCF">
        <w:rPr>
          <w:rFonts w:ascii="Times New Roman" w:eastAsia="Times New Roman" w:hAnsi="Times New Roman" w:cs="Times New Roman"/>
          <w:sz w:val="24"/>
          <w:szCs w:val="24"/>
        </w:rPr>
        <w:t xml:space="preserve">. </w:t>
      </w:r>
    </w:p>
    <w:p w14:paraId="06EC0F1F"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Wipo (2025). </w:t>
      </w:r>
      <w:r w:rsidRPr="00394BCF">
        <w:rPr>
          <w:rFonts w:ascii="Times New Roman" w:eastAsia="Times New Roman" w:hAnsi="Times New Roman" w:cs="Times New Roman"/>
          <w:i/>
          <w:iCs/>
          <w:sz w:val="24"/>
          <w:szCs w:val="24"/>
        </w:rPr>
        <w:t>Global innovation index 2024 - global innovation tracker</w:t>
      </w:r>
      <w:r w:rsidRPr="00394BCF">
        <w:rPr>
          <w:rFonts w:ascii="Times New Roman" w:eastAsia="Times New Roman" w:hAnsi="Times New Roman" w:cs="Times New Roman"/>
          <w:sz w:val="24"/>
          <w:szCs w:val="24"/>
        </w:rPr>
        <w:t xml:space="preserve">. [online] </w:t>
      </w:r>
      <w:r w:rsidRPr="00394BCF">
        <w:rPr>
          <w:rFonts w:ascii="Times New Roman" w:eastAsia="Times New Roman" w:hAnsi="Times New Roman" w:cs="Times New Roman"/>
          <w:i/>
          <w:iCs/>
          <w:sz w:val="24"/>
          <w:szCs w:val="24"/>
        </w:rPr>
        <w:t>Global Innovation Index 2024</w:t>
      </w:r>
      <w:r w:rsidRPr="00394BCF">
        <w:rPr>
          <w:rFonts w:ascii="Times New Roman" w:eastAsia="Times New Roman" w:hAnsi="Times New Roman" w:cs="Times New Roman"/>
          <w:sz w:val="24"/>
          <w:szCs w:val="24"/>
        </w:rPr>
        <w:t xml:space="preserve">. Available at: </w:t>
      </w:r>
      <w:hyperlink r:id="rId73">
        <w:r w:rsidRPr="00394BCF">
          <w:rPr>
            <w:rFonts w:ascii="Times New Roman" w:eastAsia="Times New Roman" w:hAnsi="Times New Roman" w:cs="Times New Roman"/>
            <w:color w:val="1155CC"/>
            <w:sz w:val="24"/>
            <w:szCs w:val="24"/>
            <w:u w:val="single"/>
          </w:rPr>
          <w:t>https://www.wipo.int/web-publications/global-innovation-index-2024/en/global-innovation-tracker.html</w:t>
        </w:r>
      </w:hyperlink>
      <w:r w:rsidRPr="00394BCF">
        <w:rPr>
          <w:rFonts w:ascii="Times New Roman" w:eastAsia="Times New Roman" w:hAnsi="Times New Roman" w:cs="Times New Roman"/>
          <w:sz w:val="24"/>
          <w:szCs w:val="24"/>
        </w:rPr>
        <w:t xml:space="preserve">  [Accessed 20 July 2026].</w:t>
      </w:r>
    </w:p>
    <w:p w14:paraId="290CCCDD"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Yamazaki, M. and Sugiyama, S. (2025). Japan’s GDP beats forecasts as consumption, business spending perk up. </w:t>
      </w:r>
      <w:r w:rsidRPr="00394BCF">
        <w:rPr>
          <w:rFonts w:ascii="Times New Roman" w:eastAsia="Times New Roman" w:hAnsi="Times New Roman" w:cs="Times New Roman"/>
          <w:i/>
          <w:iCs/>
          <w:sz w:val="24"/>
          <w:szCs w:val="24"/>
        </w:rPr>
        <w:t>Reuters</w:t>
      </w:r>
      <w:r w:rsidRPr="00394BCF">
        <w:rPr>
          <w:rFonts w:ascii="Times New Roman" w:eastAsia="Times New Roman" w:hAnsi="Times New Roman" w:cs="Times New Roman"/>
          <w:sz w:val="24"/>
          <w:szCs w:val="24"/>
        </w:rPr>
        <w:t xml:space="preserve">. [online] 17 Feb. Available at: </w:t>
      </w:r>
      <w:hyperlink r:id="rId74">
        <w:r w:rsidRPr="00394BCF">
          <w:rPr>
            <w:rFonts w:ascii="Times New Roman" w:eastAsia="Times New Roman" w:hAnsi="Times New Roman" w:cs="Times New Roman"/>
            <w:color w:val="1155CC"/>
            <w:sz w:val="24"/>
            <w:szCs w:val="24"/>
            <w:u w:val="single"/>
          </w:rPr>
          <w:t>https://www.reuters.com/world/japan/japans-economy-grows-faster-than-expected-q4-strong-capex-2025-02-17/</w:t>
        </w:r>
      </w:hyperlink>
      <w:r w:rsidRPr="00394BCF">
        <w:rPr>
          <w:rFonts w:ascii="Times New Roman" w:eastAsia="Times New Roman" w:hAnsi="Times New Roman" w:cs="Times New Roman"/>
          <w:sz w:val="24"/>
          <w:szCs w:val="24"/>
        </w:rPr>
        <w:t xml:space="preserve">   [Accessed 20 July 2026].</w:t>
      </w:r>
    </w:p>
    <w:p w14:paraId="6B1C0164" w14:textId="77777777" w:rsidR="00394BCF" w:rsidRPr="00394BCF" w:rsidRDefault="00394BCF" w:rsidP="00394BCF">
      <w:pPr>
        <w:spacing w:after="0" w:line="360" w:lineRule="auto"/>
        <w:jc w:val="both"/>
        <w:rPr>
          <w:rFonts w:ascii="Times New Roman" w:eastAsia="Times New Roman" w:hAnsi="Times New Roman" w:cs="Times New Roman"/>
          <w:sz w:val="24"/>
          <w:szCs w:val="24"/>
        </w:rPr>
      </w:pPr>
      <w:r w:rsidRPr="00394BCF">
        <w:rPr>
          <w:rFonts w:ascii="Times New Roman" w:eastAsia="Times New Roman" w:hAnsi="Times New Roman" w:cs="Times New Roman"/>
          <w:sz w:val="24"/>
          <w:szCs w:val="24"/>
        </w:rPr>
        <w:t xml:space="preserve">Yue, O. (2022). Conceptual model for effects of the buyer supplier relationship, purchasing process, and measures of performance in supply chains. </w:t>
      </w:r>
      <w:r w:rsidRPr="00394BCF">
        <w:rPr>
          <w:rFonts w:ascii="Times New Roman" w:eastAsia="Times New Roman" w:hAnsi="Times New Roman" w:cs="Times New Roman"/>
          <w:i/>
          <w:iCs/>
          <w:sz w:val="24"/>
          <w:szCs w:val="24"/>
        </w:rPr>
        <w:t xml:space="preserve">Journal of Enterprise and Business </w:t>
      </w:r>
      <w:r w:rsidRPr="00394BCF">
        <w:rPr>
          <w:rFonts w:ascii="Times New Roman" w:eastAsia="Times New Roman" w:hAnsi="Times New Roman" w:cs="Times New Roman"/>
          <w:i/>
          <w:iCs/>
          <w:sz w:val="24"/>
          <w:szCs w:val="24"/>
        </w:rPr>
        <w:lastRenderedPageBreak/>
        <w:t>Intelligence</w:t>
      </w:r>
      <w:r w:rsidRPr="00394BCF">
        <w:rPr>
          <w:rFonts w:ascii="Times New Roman" w:eastAsia="Times New Roman" w:hAnsi="Times New Roman" w:cs="Times New Roman"/>
          <w:sz w:val="24"/>
          <w:szCs w:val="24"/>
        </w:rPr>
        <w:t>, 2(3), pp.142–152.  doi:</w:t>
      </w:r>
      <w:hyperlink r:id="rId75">
        <w:r w:rsidRPr="00394BCF">
          <w:rPr>
            <w:rFonts w:ascii="Times New Roman" w:eastAsia="Times New Roman" w:hAnsi="Times New Roman" w:cs="Times New Roman"/>
            <w:color w:val="1155CC"/>
            <w:sz w:val="24"/>
            <w:szCs w:val="24"/>
            <w:u w:val="single"/>
          </w:rPr>
          <w:t>https://pdfs.semanticscholar.org/e687/5fdbb61e5d4ae6dfe595bdb38293ce3f6956.pdf</w:t>
        </w:r>
      </w:hyperlink>
      <w:r w:rsidRPr="00394BCF">
        <w:rPr>
          <w:rFonts w:ascii="Times New Roman" w:eastAsia="Times New Roman" w:hAnsi="Times New Roman" w:cs="Times New Roman"/>
          <w:sz w:val="24"/>
          <w:szCs w:val="24"/>
        </w:rPr>
        <w:t xml:space="preserve">. </w:t>
      </w:r>
    </w:p>
    <w:p w14:paraId="22D4CC4B" w14:textId="77777777" w:rsidR="008C199D" w:rsidRPr="00394BCF" w:rsidRDefault="008C199D" w:rsidP="00394BCF">
      <w:pPr>
        <w:spacing w:after="0" w:line="360" w:lineRule="auto"/>
        <w:jc w:val="both"/>
        <w:rPr>
          <w:rFonts w:ascii="Times New Roman" w:eastAsia="Times New Roman" w:hAnsi="Times New Roman" w:cs="Times New Roman"/>
          <w:sz w:val="24"/>
          <w:szCs w:val="24"/>
        </w:rPr>
      </w:pPr>
    </w:p>
    <w:sectPr w:rsidR="008C199D" w:rsidRPr="00394BCF" w:rsidSect="00394BCF">
      <w:headerReference w:type="default" r:id="rId76"/>
      <w:footerReference w:type="default" r:id="rId7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ADEB49" w14:textId="77777777" w:rsidR="00B234C8" w:rsidRDefault="00B234C8">
      <w:pPr>
        <w:spacing w:after="0" w:line="240" w:lineRule="auto"/>
      </w:pPr>
      <w:r>
        <w:separator/>
      </w:r>
    </w:p>
  </w:endnote>
  <w:endnote w:type="continuationSeparator" w:id="0">
    <w:p w14:paraId="686DE1A5" w14:textId="77777777" w:rsidR="00B234C8" w:rsidRDefault="00B23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embedRegular r:id="rId1" w:fontKey="{1E1156BA-4811-4F06-9CDB-5617CDC32420}"/>
    <w:embedItalic r:id="rId2" w:fontKey="{74102FF5-9595-48A6-8005-60BB2D6AEA50}"/>
  </w:font>
  <w:font w:name="Times New Roman">
    <w:panose1 w:val="02020603050405020304"/>
    <w:charset w:val="00"/>
    <w:family w:val="roman"/>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Regular r:id="rId3" w:subsetted="1" w:fontKey="{A26252A5-4EB5-458D-BA03-6FB8C8FA75E5}"/>
    <w:embedItalic r:id="rId4" w:subsetted="1" w:fontKey="{F7F01444-CBEB-4D62-B636-F2D0C983781C}"/>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embedRegular r:id="rId5" w:fontKey="{99D2C34B-9D2B-4985-95D5-8EC99ACD702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E413ED" w14:textId="77777777" w:rsidR="008C199D" w:rsidRDefault="00DB6CD2">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37C17">
      <w:rPr>
        <w:noProof/>
        <w:color w:val="000000"/>
      </w:rPr>
      <w:t>1</w:t>
    </w:r>
    <w:r>
      <w:rPr>
        <w:color w:val="000000"/>
      </w:rPr>
      <w:fldChar w:fldCharType="end"/>
    </w:r>
  </w:p>
  <w:p w14:paraId="10DD689B" w14:textId="77777777" w:rsidR="008C199D" w:rsidRDefault="008C199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C8A5A8" w14:textId="77777777" w:rsidR="00B234C8" w:rsidRDefault="00B234C8">
      <w:pPr>
        <w:spacing w:after="0" w:line="240" w:lineRule="auto"/>
      </w:pPr>
      <w:r>
        <w:separator/>
      </w:r>
    </w:p>
  </w:footnote>
  <w:footnote w:type="continuationSeparator" w:id="0">
    <w:p w14:paraId="5FB6604A" w14:textId="77777777" w:rsidR="00B234C8" w:rsidRDefault="00B234C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8A7F94" w14:textId="77777777" w:rsidR="008C199D" w:rsidRDefault="008C199D">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199D"/>
    <w:rsid w:val="00067A07"/>
    <w:rsid w:val="00236398"/>
    <w:rsid w:val="00237C17"/>
    <w:rsid w:val="002F4F80"/>
    <w:rsid w:val="0034469C"/>
    <w:rsid w:val="00394BCF"/>
    <w:rsid w:val="003A6FDD"/>
    <w:rsid w:val="004C1871"/>
    <w:rsid w:val="006E30D4"/>
    <w:rsid w:val="007B3462"/>
    <w:rsid w:val="00810097"/>
    <w:rsid w:val="008C199D"/>
    <w:rsid w:val="009974AC"/>
    <w:rsid w:val="00A151B0"/>
    <w:rsid w:val="00A64641"/>
    <w:rsid w:val="00AA5302"/>
    <w:rsid w:val="00B234C8"/>
    <w:rsid w:val="00CA2AFF"/>
    <w:rsid w:val="00DB6C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C69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after="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after="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462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F25"/>
  </w:style>
  <w:style w:type="paragraph" w:styleId="Footer">
    <w:name w:val="footer"/>
    <w:basedOn w:val="Normal"/>
    <w:link w:val="FooterChar"/>
    <w:uiPriority w:val="99"/>
    <w:unhideWhenUsed/>
    <w:rsid w:val="00462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F25"/>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ceicdata.com/en/indicator/india/gdp-per-capita" TargetMode="External"/><Relationship Id="rId39" Type="http://schemas.openxmlformats.org/officeDocument/2006/relationships/hyperlink" Target="https://www.ibef.org/economy/foreign-direct-investment" TargetMode="External"/><Relationship Id="rId21" Type="http://schemas.openxmlformats.org/officeDocument/2006/relationships/hyperlink" Target="https://ackodrive.com/car-guide/toyota-innova-hycross-alternatives/" TargetMode="External"/><Relationship Id="rId34" Type="http://schemas.openxmlformats.org/officeDocument/2006/relationships/hyperlink" Target="https://e-amrit.niti.gov.in/national-level-policy" TargetMode="External"/><Relationship Id="rId42" Type="http://schemas.openxmlformats.org/officeDocument/2006/relationships/hyperlink" Target="https://www.poornaprajnapublication.com/index.php/pijtrcs/article/download/222/210" TargetMode="External"/><Relationship Id="rId47" Type="http://schemas.openxmlformats.org/officeDocument/2006/relationships/hyperlink" Target="https://asia.nikkei.com/business/automobiles/japan-car-prices-keep-climbing-with-toyota-corolla-up-60-over-10-years" TargetMode="External"/><Relationship Id="rId50" Type="http://schemas.openxmlformats.org/officeDocument/2006/relationships/hyperlink" Target="https://www.pib.gov.in/PressReleasePage.aspx?PRID=2176146" TargetMode="External"/><Relationship Id="rId55" Type="http://schemas.openxmlformats.org/officeDocument/2006/relationships/hyperlink" Target="https://www.mdpi.com/1911-8074/16/2/94" TargetMode="External"/><Relationship Id="rId63" Type="http://schemas.openxmlformats.org/officeDocument/2006/relationships/hyperlink" Target="https://global.toyota/en/company/vision-and-philosophy/production-system/" TargetMode="External"/><Relationship Id="rId68" Type="http://schemas.openxmlformats.org/officeDocument/2006/relationships/hyperlink" Target="https://global.toyota/en/ir/finance/" TargetMode="External"/><Relationship Id="rId76" Type="http://schemas.openxmlformats.org/officeDocument/2006/relationships/header" Target="header1.xml"/><Relationship Id="rId7" Type="http://schemas.openxmlformats.org/officeDocument/2006/relationships/image" Target="media/image1.png"/><Relationship Id="rId71" Type="http://schemas.openxmlformats.org/officeDocument/2006/relationships/hyperlink" Target="https://www.abdynamics.com/bharat-ncap-2-0-what-we-know-so-far/"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tandfonline.com/doi/pdf/10.1080/00472336.2024.2384704" TargetMode="External"/><Relationship Id="rId11" Type="http://schemas.openxmlformats.org/officeDocument/2006/relationships/image" Target="media/image5.png"/><Relationship Id="rId24" Type="http://schemas.openxmlformats.org/officeDocument/2006/relationships/hyperlink" Target="https://timesofindia.indiatimes.com/auto/news/toyota-turns-86-years-old-today-japanese-automaker-that-gave-us-the-land-cruiser-innova-and-fortuner/articleshow/103138906.cms" TargetMode="External"/><Relationship Id="rId32" Type="http://schemas.openxmlformats.org/officeDocument/2006/relationships/hyperlink" Target="https://auto.economictimes.indiatimes.com/news/passenger-vehicle/toyota-kirloskar-domestic-sales-rise-19-to-3-67-lakh-units-in-fy26/129951500" TargetMode="External"/><Relationship Id="rId37" Type="http://schemas.openxmlformats.org/officeDocument/2006/relationships/hyperlink" Target="https://www.jksqm.org/upload/pdf/jksqm-53-1-93.pdf" TargetMode="External"/><Relationship Id="rId40" Type="http://schemas.openxmlformats.org/officeDocument/2006/relationships/hyperlink" Target="https://www.imarcgroup.com/insight/key-challenges-and-opportunities-japan-hybrid-vehicles-industry" TargetMode="External"/><Relationship Id="rId45" Type="http://schemas.openxmlformats.org/officeDocument/2006/relationships/hyperlink" Target="https://www.researchgate.net/profile/Dhiresh-Kulshrestha/publication/403255189_Cases_on_the_Resurgence_of_Emerging_Businesses/links/69c93927b6bee42358211b9e/Cases-on-the-Resurgence-of-Emerging-Businesses.pdf" TargetMode="External"/><Relationship Id="rId53" Type="http://schemas.openxmlformats.org/officeDocument/2006/relationships/hyperlink" Target="https://www.customer-alliance.com/en/articles/customer-satisfaction-automotive" TargetMode="External"/><Relationship Id="rId58" Type="http://schemas.openxmlformats.org/officeDocument/2006/relationships/hyperlink" Target="https://www.theculturefactor.com/country-comparison-tool?countries=india%2Cjapan" TargetMode="External"/><Relationship Id="rId66" Type="http://schemas.openxmlformats.org/officeDocument/2006/relationships/hyperlink" Target="https://www.toyotabharat.com/news/2026/tkm-management-and-employees-union-sign-wage-settlement-agreement.html" TargetMode="External"/><Relationship Id="rId74" Type="http://schemas.openxmlformats.org/officeDocument/2006/relationships/hyperlink" Target="https://www.reuters.com/world/japan/japans-economy-grows-faster-than-expected-q4-strong-capex-2025-02-17/"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weforum.org/stories/sustainable-development/japans-longevity-economy/"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m.economictimes.com/news/economy/indicators/deloitte-projects-6-5-6-8-gdp-expansion-in-fy27-growth-to-strengthen-in-second-half/articleshow/132491362.cms" TargetMode="External"/><Relationship Id="rId44" Type="http://schemas.openxmlformats.org/officeDocument/2006/relationships/hyperlink" Target="https://market.us/statistics/automotive-companies/toyota-motor/" TargetMode="External"/><Relationship Id="rId52" Type="http://schemas.openxmlformats.org/officeDocument/2006/relationships/hyperlink" Target="https://www.pib.gov.in/PressReleasePage.aspx?PRID=2250039&amp;lang=1&amp;reg=3" TargetMode="External"/><Relationship Id="rId60" Type="http://schemas.openxmlformats.org/officeDocument/2006/relationships/hyperlink" Target="https://www.japan.go.jp/kizuna/2024/01/together_for_action_japan_initiatives.html" TargetMode="External"/><Relationship Id="rId65" Type="http://schemas.openxmlformats.org/officeDocument/2006/relationships/hyperlink" Target="https://newsroom.toyota.eu/toyota-group-at-the-japan-mobility-show-2025/" TargetMode="External"/><Relationship Id="rId73" Type="http://schemas.openxmlformats.org/officeDocument/2006/relationships/hyperlink" Target="https://www.wipo.int/web-publications/global-innovation-index-2024/en/global-innovation-tracker.html"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kitakyu.repo.nii.ac.jp/records/2000326" TargetMode="External"/><Relationship Id="rId27" Type="http://schemas.openxmlformats.org/officeDocument/2006/relationships/hyperlink" Target="https://www.naturalspublishing.com/files/published/12818nl1ov3j1m.pdf" TargetMode="External"/><Relationship Id="rId30" Type="http://schemas.openxmlformats.org/officeDocument/2006/relationships/hyperlink" Target="https://auto.economictimes.indiatimes.com/news/passenger-vehicle/toyota-kirloskar-motor-opens-new-dealership-in-tezpur-assam/103750275" TargetMode="External"/><Relationship Id="rId35" Type="http://schemas.openxmlformats.org/officeDocument/2006/relationships/hyperlink" Target="https://www.researchgate.net/publication/395949754_A_study_on_innovative_strategies_towards_post_sales_services_with_reference_to_palace_Toyota_mandya" TargetMode="External"/><Relationship Id="rId43" Type="http://schemas.openxmlformats.org/officeDocument/2006/relationships/hyperlink" Target="https://mainichi.jp/english/articles/20251203/p2a/00m/0na/012000c" TargetMode="External"/><Relationship Id="rId48" Type="http://schemas.openxmlformats.org/officeDocument/2006/relationships/hyperlink" Target="https://journal.ump.edu.my/ijame/article/download/9450/3454" TargetMode="External"/><Relationship Id="rId56" Type="http://schemas.openxmlformats.org/officeDocument/2006/relationships/hyperlink" Target="https://stratfordjournalpublishers.org/journals/index.php/journal-of-strategic-management/article/download/1733/2251" TargetMode="External"/><Relationship Id="rId64" Type="http://schemas.openxmlformats.org/officeDocument/2006/relationships/hyperlink" Target="https://toyota-club.net/files/2004/04-01-10_rem_japan-1.htm" TargetMode="External"/><Relationship Id="rId69" Type="http://schemas.openxmlformats.org/officeDocument/2006/relationships/hyperlink" Target="https://www.transparency.org/en/countries/japan" TargetMode="External"/><Relationship Id="rId77"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pib.gov.in/PressNoteDetails.aspx?NoteId=154025&amp;ModuleId=3" TargetMode="External"/><Relationship Id="rId72" Type="http://schemas.openxmlformats.org/officeDocument/2006/relationships/hyperlink" Target="https://www.wipo.int/edocs/gii-ranking/2024/jp.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eurasian-journals.com/index.php/ejher/article/view/5" TargetMode="External"/><Relationship Id="rId33" Type="http://schemas.openxmlformats.org/officeDocument/2006/relationships/hyperlink" Target="https://publications.aaahq.org/ajpt/article-abstract/41/3/95/234" TargetMode="External"/><Relationship Id="rId38" Type="http://schemas.openxmlformats.org/officeDocument/2006/relationships/hyperlink" Target="https://www.ibef.org/news/india-s-passenger-vehicle-sales-hit-record-high-at-43-lakh-units-in-fy25-utility-vehicles-driver-of-growth-society-of-indian-automobile-manufacturers-siam" TargetMode="External"/><Relationship Id="rId46" Type="http://schemas.openxmlformats.org/officeDocument/2006/relationships/hyperlink" Target="https://www.researchgate.net/publication/397417504_Agent-based_modeling_on_economic_dynamics-Why_competing_automakers_coexist_in_Japan" TargetMode="External"/><Relationship Id="rId59" Type="http://schemas.openxmlformats.org/officeDocument/2006/relationships/hyperlink" Target="https://m.economictimes.com/news/international/us/japanese-mindset-omotenashi-the-japanese-philosophy-of-hospitality-that-puts-kindness-before-expectations/articleshow/132540889.cms" TargetMode="External"/><Relationship Id="rId67" Type="http://schemas.openxmlformats.org/officeDocument/2006/relationships/hyperlink" Target="https://global.toyota/en/newsroom/corporate/37494346.html" TargetMode="External"/><Relationship Id="rId20" Type="http://schemas.openxmlformats.org/officeDocument/2006/relationships/image" Target="media/image14.png"/><Relationship Id="rId41" Type="http://schemas.openxmlformats.org/officeDocument/2006/relationships/hyperlink" Target="https://www.frontiersin.org/journals/communication/articles/10.3389/fcomm.2026.1808816/pdf" TargetMode="External"/><Relationship Id="rId54" Type="http://schemas.openxmlformats.org/officeDocument/2006/relationships/hyperlink" Target="https://journaleet.in/index.php/jeet/article/view/2071" TargetMode="External"/><Relationship Id="rId62" Type="http://schemas.openxmlformats.org/officeDocument/2006/relationships/hyperlink" Target="https://www.toyotabharat.com/news/2025/toyota-fortuner-and-legender-achieve-landmark-milestone-of-3-lakh-sales-in-india.html" TargetMode="External"/><Relationship Id="rId70" Type="http://schemas.openxmlformats.org/officeDocument/2006/relationships/hyperlink" Target="https://www.sciencedirect.com/science/article/pii/S2211467X24000877" TargetMode="External"/><Relationship Id="rId75" Type="http://schemas.openxmlformats.org/officeDocument/2006/relationships/hyperlink" Target="https://pdfs.semanticscholar.org/e687/5fdbb61e5d4ae6dfe595bdb38293ce3f6956.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researchgate.net/profile/Anderson-Santanna-2/publication/382206570_Leadership_Styles_Across_Cultures_A_Comparative_Study_of_Western_and_Asian_Contexts_Through_Hofested_and_Deleuzian_Lenses/links/66916685c1cf0d77ffd27f10/Leadership-Styles-Across-Cultures-A-Comparative-Study-of-Western-and-Asian-Contexts-Through-Hofested-and-Deleuzian-Lenses.pdf" TargetMode="External"/><Relationship Id="rId28" Type="http://schemas.openxmlformats.org/officeDocument/2006/relationships/hyperlink" Target="https://www.cppr.in/archives/shared-mobility-treated-as-an-exception-in-india" TargetMode="External"/><Relationship Id="rId36" Type="http://schemas.openxmlformats.org/officeDocument/2006/relationships/hyperlink" Target="https://www.hindustantimes.com/car-bike/toyota-to-open-third-plant-in-karnataka-aims-to-produce-1-lakh-units-annually-101700644306435.html" TargetMode="External"/><Relationship Id="rId49" Type="http://schemas.openxmlformats.org/officeDocument/2006/relationships/hyperlink" Target="https://journals.sagepub.com/doi/pdf/10.1177/14705931221089327" TargetMode="External"/><Relationship Id="rId57" Type="http://schemas.openxmlformats.org/officeDocument/2006/relationships/hyperlink" Target="https://www.mdpi.com/2227-7390/11/21/442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I3CTdigshue48Ed3jUyBes/E5Q==">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8464</Words>
  <Characters>48248</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2026-08-13T10:13:00Z</dcterms:created>
  <dcterms:modified xsi:type="dcterms:W3CDTF">2026-08-13T10:13:00Z</dcterms:modified>
</cp:coreProperties>
</file>