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C2CB5" w14:textId="30828025" w:rsidR="000A45A7" w:rsidRDefault="000A45A7" w:rsidP="00761673">
      <w:r>
        <w:t xml:space="preserve">Ethan </w:t>
      </w:r>
      <w:r w:rsidR="00905DDA">
        <w:t>D</w:t>
      </w:r>
      <w:r>
        <w:t xml:space="preserve">avies </w:t>
      </w:r>
    </w:p>
    <w:p w14:paraId="0CBF3C18" w14:textId="3C27EF81" w:rsidR="000A45A7" w:rsidRDefault="000A45A7" w:rsidP="00761673">
      <w:r>
        <w:t>2119924</w:t>
      </w:r>
    </w:p>
    <w:p w14:paraId="1152D180" w14:textId="4A741D7D" w:rsidR="00761673" w:rsidRPr="00761673" w:rsidRDefault="00761673" w:rsidP="00761673">
      <w:r w:rsidRPr="00761673">
        <w:t xml:space="preserve">Discuss the extent to which the doctrine of Parliamentary Sovereignty is a critical component within the United Kingdom’s constitution. </w:t>
      </w:r>
    </w:p>
    <w:p w14:paraId="432763E0" w14:textId="77777777" w:rsidR="00761673" w:rsidRDefault="00761673"/>
    <w:p w14:paraId="39F0892A" w14:textId="4970461E" w:rsidR="00761673" w:rsidRDefault="00761673" w:rsidP="00683C3D">
      <w:r>
        <w:t>This essay will discuss and analyse the arguments that support or disagree with the statement that Parliament is the supreme law-making body within the United Kingdom’s constitution.</w:t>
      </w:r>
    </w:p>
    <w:p w14:paraId="40F3273B" w14:textId="77777777" w:rsidR="00CE5C64" w:rsidRDefault="00CE5C64" w:rsidP="00683C3D"/>
    <w:p w14:paraId="43A09301" w14:textId="50D26811" w:rsidR="00FC18BD" w:rsidRPr="00FC18BD" w:rsidRDefault="00FC18BD" w:rsidP="00683C3D">
      <w:r>
        <w:t>Constitutions are legal documents which are created to be binding – they structure political and legal relationships. Constitutions</w:t>
      </w:r>
      <w:r w:rsidRPr="00070A7F">
        <w:t xml:space="preserve"> operate as a template, outlining the ways in which the government is to be run, defending the freedoms and liberties of individuals, and providing the framework for the drafting of legislation</w:t>
      </w:r>
      <w:r w:rsidR="00A13354">
        <w:t xml:space="preserve">. </w:t>
      </w:r>
      <w:r>
        <w:t xml:space="preserve">There are two types of constitutions, written and unwritten, also known as codified and uncodified. The constitution in the United Kingdom is unwritten, as set out by the </w:t>
      </w:r>
      <w:r w:rsidRPr="00475DCD">
        <w:rPr>
          <w:i/>
          <w:iCs/>
        </w:rPr>
        <w:t xml:space="preserve">Magna Carta 1215. </w:t>
      </w:r>
      <w:r>
        <w:t>As the UK has an unwritten constitution, the reliance on constitutional conventions is much more significant than any other constitutions. The UK’s system rests heavily on the prerogative powers of the crown as well as common law</w:t>
      </w:r>
      <w:r w:rsidR="00F92AB9">
        <w:t xml:space="preserve">, ‘our constitution, in short, is a judge-made constitution, and it bears on its face all the features, good and bad, of judge-made law,’ </w:t>
      </w:r>
      <w:sdt>
        <w:sdtPr>
          <w:id w:val="229590916"/>
          <w:citation/>
        </w:sdtPr>
        <w:sdtContent>
          <w:r w:rsidR="00F92AB9">
            <w:fldChar w:fldCharType="begin"/>
          </w:r>
          <w:r w:rsidR="00F92AB9">
            <w:instrText xml:space="preserve"> CITATION AVD852 \l 2057 </w:instrText>
          </w:r>
          <w:r w:rsidR="00F92AB9">
            <w:fldChar w:fldCharType="separate"/>
          </w:r>
          <w:r w:rsidR="00F92AB9">
            <w:rPr>
              <w:noProof/>
            </w:rPr>
            <w:t>(Dicey, Introduction to the Study of the Law of the Constitution, 1885)</w:t>
          </w:r>
          <w:r w:rsidR="00F92AB9">
            <w:fldChar w:fldCharType="end"/>
          </w:r>
        </w:sdtContent>
      </w:sdt>
      <w:r w:rsidR="00F92AB9">
        <w:t xml:space="preserve">. </w:t>
      </w:r>
    </w:p>
    <w:p w14:paraId="35502351" w14:textId="77777777" w:rsidR="00FC18BD" w:rsidRDefault="00FC18BD" w:rsidP="00FC18BD">
      <w:pPr>
        <w:pStyle w:val="ListParagraph"/>
      </w:pPr>
    </w:p>
    <w:p w14:paraId="7720A393" w14:textId="3C5DE738" w:rsidR="00FC18BD" w:rsidRPr="00C06A31" w:rsidRDefault="00FC18BD" w:rsidP="00683C3D">
      <w:r>
        <w:t xml:space="preserve">The constitution of the UK has persisted through common law, it is argued by </w:t>
      </w:r>
      <w:r>
        <w:rPr>
          <w:i/>
          <w:iCs/>
        </w:rPr>
        <w:t>Albert Venn Dicey</w:t>
      </w:r>
      <w:r>
        <w:t xml:space="preserve"> that this is as a result of an absence of revolution</w:t>
      </w:r>
      <w:r w:rsidR="00F92AB9">
        <w:t xml:space="preserve">, ‘with us the law of the constitution, the rules which in foreign countries naturally form part of a constitutional code, are not the source but the consequence of the rights of individuals, as defined and enforced by courts,’ </w:t>
      </w:r>
      <w:sdt>
        <w:sdtPr>
          <w:id w:val="-612830069"/>
          <w:citation/>
        </w:sdtPr>
        <w:sdtContent>
          <w:r w:rsidR="00F92AB9">
            <w:fldChar w:fldCharType="begin"/>
          </w:r>
          <w:r w:rsidR="00F92AB9">
            <w:instrText xml:space="preserve"> CITATION AVD85 \l 2057 </w:instrText>
          </w:r>
          <w:r w:rsidR="00F92AB9">
            <w:fldChar w:fldCharType="separate"/>
          </w:r>
          <w:r w:rsidR="00F92AB9">
            <w:rPr>
              <w:noProof/>
            </w:rPr>
            <w:t>(Dicey, 1885)</w:t>
          </w:r>
          <w:r w:rsidR="00F92AB9">
            <w:fldChar w:fldCharType="end"/>
          </w:r>
        </w:sdtContent>
      </w:sdt>
      <w:r w:rsidR="00F92AB9">
        <w:t>.</w:t>
      </w:r>
      <w:r>
        <w:t xml:space="preserve"> </w:t>
      </w:r>
      <w:r w:rsidR="00682BA0">
        <w:t>Typically,</w:t>
      </w:r>
      <w:r>
        <w:t xml:space="preserve"> after a war or revolution, many countries see a change in their government which can extend to a complete change in their constitution. An example of a significant complete change in constitution can be seen in the ratification</w:t>
      </w:r>
      <w:r w:rsidR="0066391D">
        <w:t xml:space="preserve"> of</w:t>
      </w:r>
      <w:r>
        <w:t xml:space="preserve"> the United State</w:t>
      </w:r>
      <w:r w:rsidR="0066391D">
        <w:t xml:space="preserve">s </w:t>
      </w:r>
      <w:r w:rsidR="00C06A31">
        <w:t>resulting from</w:t>
      </w:r>
      <w:r>
        <w:t xml:space="preserve"> the </w:t>
      </w:r>
      <w:r w:rsidRPr="00FC18BD">
        <w:rPr>
          <w:i/>
          <w:iCs/>
        </w:rPr>
        <w:t>War of Independence.</w:t>
      </w:r>
      <w:r w:rsidR="00C06A31">
        <w:rPr>
          <w:i/>
          <w:iCs/>
        </w:rPr>
        <w:t xml:space="preserve"> </w:t>
      </w:r>
      <w:r w:rsidR="00C06A31">
        <w:t xml:space="preserve">The </w:t>
      </w:r>
      <w:r w:rsidR="00682BA0">
        <w:t>UK,</w:t>
      </w:r>
      <w:r w:rsidR="00C06A31">
        <w:t xml:space="preserve"> however, has chosen to not follow decisions made in changing </w:t>
      </w:r>
      <w:proofErr w:type="gramStart"/>
      <w:r w:rsidR="00C06A31">
        <w:t>constitutions as a whole, and</w:t>
      </w:r>
      <w:proofErr w:type="gramEnd"/>
      <w:r w:rsidR="00C06A31">
        <w:t xml:space="preserve"> rather adopt</w:t>
      </w:r>
      <w:r w:rsidR="000278FC">
        <w:t>s</w:t>
      </w:r>
      <w:r w:rsidR="00C06A31">
        <w:t xml:space="preserve"> and modif</w:t>
      </w:r>
      <w:r w:rsidR="000278FC">
        <w:t>ies</w:t>
      </w:r>
      <w:r w:rsidR="00C06A31">
        <w:t xml:space="preserve"> their same constitution. This approach promotes the idea of continuity and allows the government to be flexible – they are not bound and are able to make changes when necessary. British legal reasoning is arguably different from others, whilst maintaining a ‘more self-contained and stable existence than any other nation in Europe</w:t>
      </w:r>
      <w:r w:rsidR="00F92AB9">
        <w:t xml:space="preserve">,’ </w:t>
      </w:r>
      <w:sdt>
        <w:sdtPr>
          <w:id w:val="-1932423725"/>
          <w:citation/>
        </w:sdtPr>
        <w:sdtContent>
          <w:r w:rsidR="00F92AB9">
            <w:fldChar w:fldCharType="begin"/>
          </w:r>
          <w:r w:rsidR="00F92AB9">
            <w:instrText xml:space="preserve"> CITATION Lor14 \l 2057 </w:instrText>
          </w:r>
          <w:r w:rsidR="00F92AB9">
            <w:fldChar w:fldCharType="separate"/>
          </w:r>
          <w:r w:rsidR="00F92AB9">
            <w:rPr>
              <w:noProof/>
            </w:rPr>
            <w:t>(Neuberger, 2014)</w:t>
          </w:r>
          <w:r w:rsidR="00F92AB9">
            <w:fldChar w:fldCharType="end"/>
          </w:r>
        </w:sdtContent>
      </w:sdt>
      <w:r w:rsidR="00F92AB9">
        <w:t xml:space="preserve">. </w:t>
      </w:r>
    </w:p>
    <w:p w14:paraId="5F18B2C7" w14:textId="77777777" w:rsidR="00FC18BD" w:rsidRDefault="00FC18BD" w:rsidP="00FC18BD">
      <w:pPr>
        <w:pStyle w:val="ListParagraph"/>
      </w:pPr>
    </w:p>
    <w:p w14:paraId="0627A45B" w14:textId="4A7852E0" w:rsidR="00C06A31" w:rsidRPr="00E3205C" w:rsidRDefault="00E3205C" w:rsidP="00683C3D">
      <w:r>
        <w:t xml:space="preserve">The idea of parliamentary sovereignty was introduced by the </w:t>
      </w:r>
      <w:r w:rsidRPr="00475DCD">
        <w:rPr>
          <w:i/>
          <w:iCs/>
        </w:rPr>
        <w:t xml:space="preserve">Bill of Rights </w:t>
      </w:r>
      <w:r w:rsidR="004C45E6" w:rsidRPr="00475DCD">
        <w:rPr>
          <w:i/>
          <w:iCs/>
        </w:rPr>
        <w:t xml:space="preserve">Act </w:t>
      </w:r>
      <w:r w:rsidRPr="00475DCD">
        <w:rPr>
          <w:i/>
          <w:iCs/>
        </w:rPr>
        <w:t>1688/1689.</w:t>
      </w:r>
      <w:r w:rsidRPr="00475DCD">
        <w:rPr>
          <w:i/>
          <w:iCs/>
        </w:rPr>
        <w:t xml:space="preserve"> </w:t>
      </w:r>
      <w:r>
        <w:t xml:space="preserve">Parliamentary sovereignty is the key idea that parliament is the ultimate source of authority, ‘laws enacted by the Crown in Parliament are the supreme form of law in our legal system, with which everyone, including the Government, must comply, </w:t>
      </w:r>
      <w:sdt>
        <w:sdtPr>
          <w:id w:val="1891532043"/>
          <w:citation/>
        </w:sdtPr>
        <w:sdtContent>
          <w:r>
            <w:fldChar w:fldCharType="begin"/>
          </w:r>
          <w:r>
            <w:instrText xml:space="preserve"> CITATION RMi19 \l 2057 </w:instrText>
          </w:r>
          <w:r>
            <w:fldChar w:fldCharType="separate"/>
          </w:r>
          <w:r>
            <w:rPr>
              <w:noProof/>
            </w:rPr>
            <w:t>(R(Miller) v The Prime Minister and Cherry v Advocate General for Scotland, 2019)</w:t>
          </w:r>
          <w:r>
            <w:fldChar w:fldCharType="end"/>
          </w:r>
        </w:sdtContent>
      </w:sdt>
      <w:r>
        <w:t xml:space="preserve">. The idea of parliamentary sovereignty was introduced by the </w:t>
      </w:r>
      <w:r w:rsidRPr="00475DCD">
        <w:rPr>
          <w:i/>
          <w:iCs/>
        </w:rPr>
        <w:t xml:space="preserve">Bill of Rights 1688/1689. </w:t>
      </w:r>
      <w:r>
        <w:t xml:space="preserve">It was further accepted that Parliament has ultimate and unlimited authority in the case </w:t>
      </w:r>
      <w:r w:rsidR="004C45E6">
        <w:t xml:space="preserve">of </w:t>
      </w:r>
      <w:sdt>
        <w:sdtPr>
          <w:id w:val="-885406768"/>
          <w:citation/>
        </w:sdtPr>
        <w:sdtContent>
          <w:r w:rsidR="004C45E6">
            <w:fldChar w:fldCharType="begin"/>
          </w:r>
          <w:r w:rsidR="004C45E6">
            <w:instrText xml:space="preserve"> CITATION RJa05 \l 2057 </w:instrText>
          </w:r>
          <w:r w:rsidR="004C45E6">
            <w:fldChar w:fldCharType="separate"/>
          </w:r>
          <w:r w:rsidR="004C45E6">
            <w:rPr>
              <w:noProof/>
            </w:rPr>
            <w:t>(R (Jackson) v Attorney General, 2005)</w:t>
          </w:r>
          <w:r w:rsidR="004C45E6">
            <w:fldChar w:fldCharType="end"/>
          </w:r>
        </w:sdtContent>
      </w:sdt>
      <w:r w:rsidR="004C45E6">
        <w:t xml:space="preserve">. The key principles of parliamentary sovereignty are that parliament can make or unmake any law, parliament cannot bind a future parliament and that no person or body can override or set aside an act of parliament. Although parliament is supreme, they are ‘subject to limited, self-imposed restraints,’ </w:t>
      </w:r>
      <w:sdt>
        <w:sdtPr>
          <w:id w:val="-1802294475"/>
          <w:citation/>
        </w:sdtPr>
        <w:sdtContent>
          <w:r w:rsidR="004C45E6">
            <w:fldChar w:fldCharType="begin"/>
          </w:r>
          <w:r w:rsidR="004C45E6">
            <w:instrText xml:space="preserve"> CITATION Bin11 \l 2057 </w:instrText>
          </w:r>
          <w:r w:rsidR="004C45E6">
            <w:fldChar w:fldCharType="separate"/>
          </w:r>
          <w:r w:rsidR="004C45E6">
            <w:rPr>
              <w:noProof/>
            </w:rPr>
            <w:t>(Bingham, 2011)</w:t>
          </w:r>
          <w:r w:rsidR="004C45E6">
            <w:fldChar w:fldCharType="end"/>
          </w:r>
        </w:sdtContent>
      </w:sdt>
      <w:r w:rsidR="004C45E6">
        <w:t xml:space="preserve">, in a way that means that </w:t>
      </w:r>
      <w:r w:rsidR="004C45E6">
        <w:lastRenderedPageBreak/>
        <w:t xml:space="preserve">the rule of law requires that judges must retain the power to insist that legislation of that extreme kind is not law which the courts will recognise </w:t>
      </w:r>
      <w:sdt>
        <w:sdtPr>
          <w:id w:val="197138969"/>
          <w:citation/>
        </w:sdtPr>
        <w:sdtContent>
          <w:r w:rsidR="004C45E6">
            <w:fldChar w:fldCharType="begin"/>
          </w:r>
          <w:r w:rsidR="004C45E6">
            <w:instrText xml:space="preserve"> CITATION AXA11 \l 2057 </w:instrText>
          </w:r>
          <w:r w:rsidR="004C45E6">
            <w:fldChar w:fldCharType="separate"/>
          </w:r>
          <w:r w:rsidR="004C45E6">
            <w:rPr>
              <w:noProof/>
            </w:rPr>
            <w:t>(AXA v Lord Advocate, 2011)</w:t>
          </w:r>
          <w:r w:rsidR="004C45E6">
            <w:fldChar w:fldCharType="end"/>
          </w:r>
        </w:sdtContent>
      </w:sdt>
      <w:r w:rsidR="004C45E6">
        <w:t>.</w:t>
      </w:r>
    </w:p>
    <w:p w14:paraId="01319414" w14:textId="77777777" w:rsidR="00E3205C" w:rsidRDefault="00E3205C" w:rsidP="00C06A31">
      <w:pPr>
        <w:pStyle w:val="ListParagraph"/>
      </w:pPr>
    </w:p>
    <w:p w14:paraId="6B1C71E7" w14:textId="1B9BEE3E" w:rsidR="00761673" w:rsidRPr="00CE5C64" w:rsidRDefault="00226420" w:rsidP="00683C3D">
      <w:r>
        <w:t xml:space="preserve">Parliament, although supreme, are however subject to political constraints.  The extent of the bills they </w:t>
      </w:r>
      <w:proofErr w:type="gramStart"/>
      <w:r>
        <w:t>are able to</w:t>
      </w:r>
      <w:proofErr w:type="gramEnd"/>
      <w:r>
        <w:t xml:space="preserve"> pass can be extreme, but not in all cases</w:t>
      </w:r>
      <w:r w:rsidR="00280FA0">
        <w:t>,</w:t>
      </w:r>
      <w:r>
        <w:t xml:space="preserve"> due to the political process of passing legislation. The case of R (Jackson) v Attorney General [2005] emphasises how Parliament are in fact restricted in the bills which they attempt to pass.</w:t>
      </w:r>
      <w:r w:rsidR="00CE5C64">
        <w:t xml:space="preserve"> Not only are Parliament limited in the laws that they pass, but many look to statutory interpretation when considering the full extent of Parliament’s supremacy. Statutory interpretation is the process where judges turn to if a law is ambiguous – that is if no previous precedent is relevant to the application of the case they are faced with. Statutory interpretation gives courts four different approaches to resolve an ambiguity, however, many argue that in effect this gives judges the power to become law makers. The case of </w:t>
      </w:r>
      <w:r w:rsidR="00CE5C64">
        <w:rPr>
          <w:i/>
          <w:iCs/>
        </w:rPr>
        <w:t xml:space="preserve">Whitley v </w:t>
      </w:r>
      <w:proofErr w:type="spellStart"/>
      <w:r w:rsidR="00CE5C64">
        <w:rPr>
          <w:i/>
          <w:iCs/>
        </w:rPr>
        <w:t>Chappel</w:t>
      </w:r>
      <w:proofErr w:type="spellEnd"/>
      <w:r w:rsidR="00CE5C64">
        <w:rPr>
          <w:i/>
          <w:iCs/>
        </w:rPr>
        <w:t xml:space="preserve"> </w:t>
      </w:r>
      <w:r w:rsidR="00CE5C64">
        <w:t xml:space="preserve">further demonstrates how the UK law gives judges the power to become law makers, </w:t>
      </w:r>
      <w:sdt>
        <w:sdtPr>
          <w:id w:val="391089124"/>
          <w:citation/>
        </w:sdtPr>
        <w:sdtContent>
          <w:r w:rsidR="00CE5C64">
            <w:fldChar w:fldCharType="begin"/>
          </w:r>
          <w:r w:rsidR="00CE5C64">
            <w:instrText xml:space="preserve"> CITATION Whi68 \l 2057 </w:instrText>
          </w:r>
          <w:r w:rsidR="00CE5C64">
            <w:fldChar w:fldCharType="separate"/>
          </w:r>
          <w:r w:rsidR="00CE5C64">
            <w:rPr>
              <w:noProof/>
            </w:rPr>
            <w:t>(Whitley v Chappel, 1868)</w:t>
          </w:r>
          <w:r w:rsidR="00CE5C64">
            <w:fldChar w:fldCharType="end"/>
          </w:r>
        </w:sdtContent>
      </w:sdt>
      <w:r w:rsidR="00CE5C64">
        <w:t>. This leads us to question, if Parliament are a supreme law-making body, why are judges faced with interpretating the laws due to ambiguities?</w:t>
      </w:r>
    </w:p>
    <w:p w14:paraId="310A16E1" w14:textId="77777777" w:rsidR="00761673" w:rsidRPr="00761673" w:rsidRDefault="00761673" w:rsidP="00761673">
      <w:pPr>
        <w:ind w:left="720"/>
      </w:pPr>
    </w:p>
    <w:p w14:paraId="73C1BF5F" w14:textId="70403D28" w:rsidR="00761673" w:rsidRDefault="00226420" w:rsidP="00683C3D">
      <w:r>
        <w:t xml:space="preserve">When a particular Parliament are creating legislation, they are unable to bind future Parliament by this due to each Parliament being unlimited – they </w:t>
      </w:r>
      <w:proofErr w:type="gramStart"/>
      <w:r>
        <w:t>are able to</w:t>
      </w:r>
      <w:proofErr w:type="gramEnd"/>
      <w:r>
        <w:t xml:space="preserve"> amend or remove any past legislation. There are two types of repeal by which Parliament </w:t>
      </w:r>
      <w:proofErr w:type="gramStart"/>
      <w:r>
        <w:t>are able to</w:t>
      </w:r>
      <w:proofErr w:type="gramEnd"/>
      <w:r>
        <w:t xml:space="preserve"> amend or ‘repeal’ an act previously made, express repeal and implied repeal. Express repeal is where an act of Parliament is either amended or repealed through a simple majority decision. An implied repeal is whereby the courts uphold parliamentary sovereignty by not binding current Parliament to previous acts. There are several cases which demonstrate implied repeal with one of which being </w:t>
      </w:r>
      <w:r w:rsidR="006464AD">
        <w:t xml:space="preserve">Vauxhall Estates Ltd v Liverpool Corporation, </w:t>
      </w:r>
      <w:sdt>
        <w:sdtPr>
          <w:id w:val="-339165274"/>
          <w:citation/>
        </w:sdtPr>
        <w:sdtContent>
          <w:r w:rsidR="006464AD">
            <w:fldChar w:fldCharType="begin"/>
          </w:r>
          <w:r w:rsidR="006464AD">
            <w:instrText xml:space="preserve"> CITATION Vau32 \l 2057 </w:instrText>
          </w:r>
          <w:r w:rsidR="006464AD">
            <w:fldChar w:fldCharType="separate"/>
          </w:r>
          <w:r w:rsidR="006464AD">
            <w:rPr>
              <w:noProof/>
            </w:rPr>
            <w:t>(Vauxhall Estates Ltd v Liverpool Corporation, 1932)</w:t>
          </w:r>
          <w:r w:rsidR="006464AD">
            <w:fldChar w:fldCharType="end"/>
          </w:r>
        </w:sdtContent>
      </w:sdt>
      <w:r w:rsidR="006464AD">
        <w:t xml:space="preserve">. However, the extent of implied repeal may be limited in some cases as shown in the case of Thoburn v Sunderland, </w:t>
      </w:r>
      <w:sdt>
        <w:sdtPr>
          <w:id w:val="-1980379876"/>
          <w:citation/>
        </w:sdtPr>
        <w:sdtContent>
          <w:r w:rsidR="006464AD">
            <w:fldChar w:fldCharType="begin"/>
          </w:r>
          <w:r w:rsidR="006464AD">
            <w:instrText xml:space="preserve"> CITATION Tho02 \l 2057 </w:instrText>
          </w:r>
          <w:r w:rsidR="006464AD">
            <w:fldChar w:fldCharType="separate"/>
          </w:r>
          <w:r w:rsidR="006464AD">
            <w:rPr>
              <w:noProof/>
            </w:rPr>
            <w:t>(Thoburn v Sunderland City Council, 2002)</w:t>
          </w:r>
          <w:r w:rsidR="006464AD">
            <w:fldChar w:fldCharType="end"/>
          </w:r>
        </w:sdtContent>
      </w:sdt>
      <w:r w:rsidR="006464AD">
        <w:t xml:space="preserve">. </w:t>
      </w:r>
      <w:r w:rsidR="002B3735">
        <w:t>Not being able</w:t>
      </w:r>
      <w:r w:rsidR="006464AD">
        <w:t xml:space="preserve"> to entrench legislation is one inability of Parliament, however, they are given the ability to set procedural obligations on future Parliament. Parliament </w:t>
      </w:r>
      <w:r w:rsidR="00682BA0">
        <w:t>is</w:t>
      </w:r>
      <w:r w:rsidR="006464AD">
        <w:t xml:space="preserve"> able to lay down conditions on how and what form legislation i</w:t>
      </w:r>
      <w:r w:rsidR="00B33153">
        <w:t>s</w:t>
      </w:r>
      <w:r w:rsidR="006464AD">
        <w:t xml:space="preserve"> </w:t>
      </w:r>
      <w:proofErr w:type="gramStart"/>
      <w:r w:rsidR="006464AD">
        <w:t>enacted, but</w:t>
      </w:r>
      <w:proofErr w:type="gramEnd"/>
      <w:r w:rsidR="006464AD">
        <w:t xml:space="preserve"> are unable to specify the content of legislation. This does not </w:t>
      </w:r>
      <w:r w:rsidR="00CE5C64">
        <w:t>affect</w:t>
      </w:r>
      <w:r w:rsidR="006464AD">
        <w:t xml:space="preserve"> the unlimited scope of legal </w:t>
      </w:r>
      <w:r w:rsidR="00682BA0">
        <w:t>sovereignty but</w:t>
      </w:r>
      <w:r w:rsidR="006464AD">
        <w:t xml:space="preserve"> limits the process of passing an act.</w:t>
      </w:r>
    </w:p>
    <w:p w14:paraId="43A06CC2" w14:textId="77777777" w:rsidR="00761673" w:rsidRPr="00761673" w:rsidRDefault="00761673" w:rsidP="00761673">
      <w:pPr>
        <w:ind w:left="720"/>
      </w:pPr>
    </w:p>
    <w:p w14:paraId="7FD33EC9" w14:textId="5B3D34E1" w:rsidR="00475DCD" w:rsidRDefault="00530E83" w:rsidP="00683C3D">
      <w:r>
        <w:t xml:space="preserve">There are several proposed reforms to create a single codified document, called the </w:t>
      </w:r>
      <w:r w:rsidRPr="00475DCD">
        <w:rPr>
          <w:i/>
          <w:iCs/>
        </w:rPr>
        <w:t>‘Bill of Rights.’</w:t>
      </w:r>
      <w:r w:rsidR="00BF60B3">
        <w:t xml:space="preserve"> The Bill of Rights would replace and nullify </w:t>
      </w:r>
      <w:r w:rsidR="00BF60B3" w:rsidRPr="00475DCD">
        <w:rPr>
          <w:i/>
          <w:iCs/>
        </w:rPr>
        <w:t xml:space="preserve">The Human Rights Act 1998 </w:t>
      </w:r>
      <w:r w:rsidR="00BF60B3" w:rsidRPr="00BF60B3">
        <w:t>and combine</w:t>
      </w:r>
      <w:r w:rsidR="00BF60B3">
        <w:t xml:space="preserve"> the rights within this act with the rights contained in the </w:t>
      </w:r>
      <w:r w:rsidR="00BF60B3" w:rsidRPr="00475DCD">
        <w:rPr>
          <w:i/>
          <w:iCs/>
        </w:rPr>
        <w:t>European Convention on Human Rights</w:t>
      </w:r>
      <w:r w:rsidR="00BF60B3">
        <w:t xml:space="preserve"> in a way which would make them domestically enforceable. The key movement that influenced these proposals was the British Exit, also known as ‘Brexit.’ </w:t>
      </w:r>
      <w:r w:rsidR="00475DCD">
        <w:t xml:space="preserve">Brexit exposed the flaws within the British current legal system and started a movement to </w:t>
      </w:r>
      <w:r w:rsidR="00CE5C64">
        <w:t>create</w:t>
      </w:r>
      <w:r w:rsidR="00475DCD">
        <w:t xml:space="preserve"> a codified constitution which government would be bound by. These issues led to the </w:t>
      </w:r>
      <w:r w:rsidR="00475DCD" w:rsidRPr="00475DCD">
        <w:rPr>
          <w:i/>
          <w:iCs/>
        </w:rPr>
        <w:t xml:space="preserve">Institute for Government </w:t>
      </w:r>
      <w:r w:rsidR="00475DCD" w:rsidRPr="00475DCD">
        <w:t>and</w:t>
      </w:r>
      <w:r w:rsidR="00475DCD" w:rsidRPr="00475DCD">
        <w:rPr>
          <w:i/>
          <w:iCs/>
        </w:rPr>
        <w:t xml:space="preserve"> the Bennett Institute for Public Policy at the University of Cambridge </w:t>
      </w:r>
      <w:r w:rsidR="00475DCD">
        <w:t>conducting a review of the UK’s constitution.</w:t>
      </w:r>
    </w:p>
    <w:p w14:paraId="7154EBF9" w14:textId="77777777" w:rsidR="00475DCD" w:rsidRDefault="00475DCD" w:rsidP="00683C3D"/>
    <w:p w14:paraId="694CB2BF" w14:textId="17F3AFEE" w:rsidR="00683C3D" w:rsidRDefault="00683C3D" w:rsidP="00683C3D">
      <w:r>
        <w:t xml:space="preserve">A Bill was suggested on several different grounds, one of which being the criticisms presented by </w:t>
      </w:r>
      <w:r w:rsidRPr="00683C3D">
        <w:rPr>
          <w:i/>
          <w:iCs/>
        </w:rPr>
        <w:t>Jeff King</w:t>
      </w:r>
      <w:r>
        <w:rPr>
          <w:i/>
          <w:iCs/>
        </w:rPr>
        <w:t xml:space="preserve">, </w:t>
      </w:r>
      <w:sdt>
        <w:sdtPr>
          <w:rPr>
            <w:i/>
            <w:iCs/>
          </w:rPr>
          <w:id w:val="137773012"/>
          <w:citation/>
        </w:sdtPr>
        <w:sdtContent>
          <w:r>
            <w:rPr>
              <w:i/>
              <w:iCs/>
            </w:rPr>
            <w:fldChar w:fldCharType="begin"/>
          </w:r>
          <w:r>
            <w:rPr>
              <w:i/>
              <w:iCs/>
            </w:rPr>
            <w:instrText xml:space="preserve"> CITATION Jef19 \l 2057 </w:instrText>
          </w:r>
          <w:r>
            <w:rPr>
              <w:i/>
              <w:iCs/>
            </w:rPr>
            <w:fldChar w:fldCharType="separate"/>
          </w:r>
          <w:r>
            <w:rPr>
              <w:noProof/>
            </w:rPr>
            <w:t>(King, 2019)</w:t>
          </w:r>
          <w:r>
            <w:rPr>
              <w:i/>
              <w:iCs/>
            </w:rPr>
            <w:fldChar w:fldCharType="end"/>
          </w:r>
        </w:sdtContent>
      </w:sdt>
      <w:r>
        <w:rPr>
          <w:i/>
          <w:iCs/>
        </w:rPr>
        <w:t xml:space="preserve">. </w:t>
      </w:r>
      <w:r>
        <w:t xml:space="preserve">King advocates for a once every generation constitution-writing process which he labels as a ‘democratic renewal.’ A constitution written every so often would allow it to be relevant and applicable to current day problems. It would also </w:t>
      </w:r>
      <w:r>
        <w:lastRenderedPageBreak/>
        <w:t xml:space="preserve">mean that the constitution would be more tailored in the approaches it influences courts to take based on more up to date cases. This argument is further reinforced by </w:t>
      </w:r>
      <w:r>
        <w:rPr>
          <w:i/>
          <w:iCs/>
        </w:rPr>
        <w:t xml:space="preserve">Miller v Secretary of State for Exiting the European Union, </w:t>
      </w:r>
      <w:r>
        <w:t xml:space="preserve">where they put forward a defence for codifying the constitution, </w:t>
      </w:r>
      <w:sdt>
        <w:sdtPr>
          <w:id w:val="-803548701"/>
          <w:citation/>
        </w:sdtPr>
        <w:sdtContent>
          <w:r>
            <w:fldChar w:fldCharType="begin"/>
          </w:r>
          <w:r>
            <w:instrText xml:space="preserve"> CITATION Mil17 \l 2057 </w:instrText>
          </w:r>
          <w:r>
            <w:fldChar w:fldCharType="separate"/>
          </w:r>
          <w:r>
            <w:rPr>
              <w:noProof/>
            </w:rPr>
            <w:t>(Miller v Secretary of State for Exiting the European Union, 2017)</w:t>
          </w:r>
          <w:r>
            <w:fldChar w:fldCharType="end"/>
          </w:r>
        </w:sdtContent>
      </w:sdt>
      <w:r>
        <w:t xml:space="preserve">. </w:t>
      </w:r>
    </w:p>
    <w:p w14:paraId="2227B602" w14:textId="77777777" w:rsidR="00682BA0" w:rsidRDefault="00682BA0" w:rsidP="00683C3D"/>
    <w:p w14:paraId="49FA7B52" w14:textId="6FA26E3A" w:rsidR="00682BA0" w:rsidRPr="00682BA0" w:rsidRDefault="00682BA0" w:rsidP="00683C3D">
      <w:r>
        <w:rPr>
          <w:i/>
          <w:iCs/>
        </w:rPr>
        <w:t>A New Magna Carta</w:t>
      </w:r>
      <w:r>
        <w:t xml:space="preserve"> further puts forward proposals for a reform creating a written constitution. Within the appendix there are several key points for the basis of the movement, one being that the ‘process of establishing a codified constitution would give the people a role for the first time in determining the central principles of the constitution of the UK on which they have never been fully consulted.’ Allowing society to contribute </w:t>
      </w:r>
      <w:r w:rsidR="00A37394">
        <w:t>to</w:t>
      </w:r>
      <w:r>
        <w:t xml:space="preserve"> creating a new constitution would make the system significantly more transparent. Currently, many feel as though the system is working against them, but this would create a positive movement in uniting the law with civilians – something our current system has never been able to fully achieve. </w:t>
      </w:r>
    </w:p>
    <w:p w14:paraId="54589E15" w14:textId="77777777" w:rsidR="00683C3D" w:rsidRDefault="00683C3D" w:rsidP="00683C3D"/>
    <w:p w14:paraId="75F8E745" w14:textId="414AC2C2" w:rsidR="00761673" w:rsidRDefault="00475DCD" w:rsidP="00CE5C64">
      <w:proofErr w:type="gramStart"/>
      <w:r>
        <w:t xml:space="preserve">It is clear that </w:t>
      </w:r>
      <w:r w:rsidRPr="00761673">
        <w:t>the</w:t>
      </w:r>
      <w:proofErr w:type="gramEnd"/>
      <w:r w:rsidRPr="00761673">
        <w:t xml:space="preserve"> doctrine of Parliamentary </w:t>
      </w:r>
      <w:r w:rsidR="00FE6885">
        <w:t>s</w:t>
      </w:r>
      <w:r w:rsidRPr="00761673">
        <w:t>overeignty is a critical component within the United Kingdom’s constitution</w:t>
      </w:r>
      <w:r>
        <w:t xml:space="preserve">, however, this has been challenged over the years. </w:t>
      </w:r>
      <w:r w:rsidR="00FE6885">
        <w:t xml:space="preserve">These challenges are </w:t>
      </w:r>
      <w:proofErr w:type="gramStart"/>
      <w:r w:rsidR="00FE6885">
        <w:t>on the basis of</w:t>
      </w:r>
      <w:proofErr w:type="gramEnd"/>
      <w:r w:rsidR="00FE6885">
        <w:t xml:space="preserve"> the questioning on whether Parliament is in fact supreme, and the altercations that this may have caused the UK. The current constitution rests on common law and has been built on over years – however, this may lead judges to be confused in what they </w:t>
      </w:r>
      <w:proofErr w:type="gramStart"/>
      <w:r w:rsidR="00FE6885">
        <w:t>actually need</w:t>
      </w:r>
      <w:proofErr w:type="gramEnd"/>
      <w:r w:rsidR="00FE6885">
        <w:t xml:space="preserve"> to turn to in cases of uncertainty. This essay firstly analysed the extent of Parliamentary sovereignty, to </w:t>
      </w:r>
      <w:proofErr w:type="spellStart"/>
      <w:r w:rsidR="00FE6885">
        <w:t>which</w:t>
      </w:r>
      <w:proofErr w:type="spellEnd"/>
      <w:r w:rsidR="00FE6885">
        <w:t xml:space="preserve"> we can conclude is limited. When concluding on the relevance Parliamentary sovereignty has to the UK’s constitution, we can see that Parliament does play a crucial role. However, this system is considerably outdated and perhaps the UK does need to follow </w:t>
      </w:r>
      <w:proofErr w:type="gramStart"/>
      <w:r w:rsidR="00FE6885">
        <w:t>the majority of</w:t>
      </w:r>
      <w:proofErr w:type="gramEnd"/>
      <w:r w:rsidR="00FE6885">
        <w:t xml:space="preserve"> countries and create a written constitution.</w:t>
      </w:r>
    </w:p>
    <w:p w14:paraId="65AC9E92" w14:textId="77777777" w:rsidR="00FE6885" w:rsidRDefault="00FE6885" w:rsidP="00CE5C64"/>
    <w:p w14:paraId="1829B9F8" w14:textId="77777777" w:rsidR="00FE6885" w:rsidRDefault="00FE6885" w:rsidP="00CE5C64"/>
    <w:p w14:paraId="31D80C07" w14:textId="77777777" w:rsidR="00FE6885" w:rsidRDefault="00FE6885" w:rsidP="00CE5C64"/>
    <w:p w14:paraId="178A129D" w14:textId="77777777" w:rsidR="00FE6885" w:rsidRDefault="00FE6885" w:rsidP="00CE5C64"/>
    <w:p w14:paraId="2F64151A" w14:textId="77777777" w:rsidR="00FE6885" w:rsidRDefault="00FE6885" w:rsidP="00CE5C64"/>
    <w:p w14:paraId="2DA2E477" w14:textId="77777777" w:rsidR="00FE6885" w:rsidRDefault="00FE6885" w:rsidP="00CE5C64"/>
    <w:p w14:paraId="33461F4B" w14:textId="77777777" w:rsidR="00FE6885" w:rsidRDefault="00FE6885" w:rsidP="00CE5C64"/>
    <w:p w14:paraId="2DEF7262" w14:textId="77777777" w:rsidR="00FE6885" w:rsidRDefault="00FE6885" w:rsidP="00CE5C64"/>
    <w:p w14:paraId="6C4699C5" w14:textId="77777777" w:rsidR="00FE6885" w:rsidRDefault="00FE6885" w:rsidP="00CE5C64"/>
    <w:p w14:paraId="10370657" w14:textId="77777777" w:rsidR="00FE6885" w:rsidRDefault="00FE6885" w:rsidP="00CE5C64"/>
    <w:p w14:paraId="1B050BB3" w14:textId="77777777" w:rsidR="00FE6885" w:rsidRDefault="00FE6885" w:rsidP="00CE5C64"/>
    <w:p w14:paraId="7C7CEBA2" w14:textId="77777777" w:rsidR="00FE6885" w:rsidRDefault="00FE6885" w:rsidP="00CE5C64"/>
    <w:p w14:paraId="4D5271D9" w14:textId="77777777" w:rsidR="00FE6885" w:rsidRDefault="00FE6885" w:rsidP="00CE5C64"/>
    <w:p w14:paraId="1ADCBEB7" w14:textId="77777777" w:rsidR="00FE6885" w:rsidRDefault="00FE6885" w:rsidP="00CE5C64"/>
    <w:p w14:paraId="42E9CC27" w14:textId="77777777" w:rsidR="00FE6885" w:rsidRDefault="00FE6885" w:rsidP="00CE5C64"/>
    <w:p w14:paraId="1173A8C3" w14:textId="77777777" w:rsidR="00FE6885" w:rsidRDefault="00FE6885" w:rsidP="00CE5C64"/>
    <w:p w14:paraId="230A03E4" w14:textId="77777777" w:rsidR="00FE6885" w:rsidRDefault="00FE6885" w:rsidP="00CE5C64"/>
    <w:p w14:paraId="1648AA70" w14:textId="77777777" w:rsidR="00FE6885" w:rsidRDefault="00FE6885" w:rsidP="00CE5C64"/>
    <w:sdt>
      <w:sdtPr>
        <w:id w:val="853067572"/>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050233E6" w14:textId="123514D0" w:rsidR="00FE6885" w:rsidRDefault="00FE6885">
          <w:pPr>
            <w:pStyle w:val="Heading1"/>
          </w:pPr>
          <w:r>
            <w:t>Bibliography</w:t>
          </w:r>
        </w:p>
        <w:sdt>
          <w:sdtPr>
            <w:id w:val="111145805"/>
            <w:bibliography/>
          </w:sdtPr>
          <w:sdtContent>
            <w:p w14:paraId="523C41E8" w14:textId="77777777" w:rsidR="00FE6885" w:rsidRDefault="00FE6885" w:rsidP="00FE6885">
              <w:pPr>
                <w:pStyle w:val="Bibliography"/>
                <w:ind w:left="720" w:hanging="720"/>
                <w:rPr>
                  <w:noProof/>
                  <w:kern w:val="0"/>
                  <w:lang w:val="en-US"/>
                  <w14:ligatures w14:val="none"/>
                </w:rPr>
              </w:pPr>
              <w:r>
                <w:fldChar w:fldCharType="begin"/>
              </w:r>
              <w:r>
                <w:instrText xml:space="preserve"> BIBLIOGRAPHY </w:instrText>
              </w:r>
              <w:r>
                <w:fldChar w:fldCharType="separate"/>
              </w:r>
              <w:r>
                <w:rPr>
                  <w:noProof/>
                  <w:lang w:val="en-US"/>
                </w:rPr>
                <w:t>AXA v Lord Advocate (Supreme Court October 12, 2011).</w:t>
              </w:r>
            </w:p>
            <w:p w14:paraId="6CB944EF" w14:textId="77777777" w:rsidR="00FE6885" w:rsidRDefault="00FE6885" w:rsidP="00FE6885">
              <w:pPr>
                <w:pStyle w:val="Bibliography"/>
                <w:ind w:left="720" w:hanging="720"/>
                <w:rPr>
                  <w:noProof/>
                  <w:lang w:val="en-US"/>
                </w:rPr>
              </w:pPr>
              <w:r>
                <w:rPr>
                  <w:noProof/>
                  <w:lang w:val="en-US"/>
                </w:rPr>
                <w:t xml:space="preserve">Bingham, L. (2011). </w:t>
              </w:r>
              <w:r>
                <w:rPr>
                  <w:i/>
                  <w:iCs/>
                  <w:noProof/>
                  <w:lang w:val="en-US"/>
                </w:rPr>
                <w:t>The Rule of Law.</w:t>
              </w:r>
              <w:r>
                <w:rPr>
                  <w:noProof/>
                  <w:lang w:val="en-US"/>
                </w:rPr>
                <w:t xml:space="preserve"> </w:t>
              </w:r>
            </w:p>
            <w:p w14:paraId="1A9674FF" w14:textId="77777777" w:rsidR="00FE6885" w:rsidRDefault="00FE6885" w:rsidP="00FE6885">
              <w:pPr>
                <w:pStyle w:val="Bibliography"/>
                <w:ind w:left="720" w:hanging="720"/>
                <w:rPr>
                  <w:noProof/>
                  <w:lang w:val="en-US"/>
                </w:rPr>
              </w:pPr>
              <w:r>
                <w:rPr>
                  <w:noProof/>
                  <w:lang w:val="en-US"/>
                </w:rPr>
                <w:t xml:space="preserve">Dicey, A. V. (1885). </w:t>
              </w:r>
              <w:r>
                <w:rPr>
                  <w:i/>
                  <w:iCs/>
                  <w:noProof/>
                  <w:lang w:val="en-US"/>
                </w:rPr>
                <w:t>Introduction to the Study of the Law od the Constitution.</w:t>
              </w:r>
              <w:r>
                <w:rPr>
                  <w:noProof/>
                  <w:lang w:val="en-US"/>
                </w:rPr>
                <w:t xml:space="preserve"> Macmillan.</w:t>
              </w:r>
            </w:p>
            <w:p w14:paraId="19130AF8" w14:textId="77777777" w:rsidR="00FE6885" w:rsidRDefault="00FE6885" w:rsidP="00FE6885">
              <w:pPr>
                <w:pStyle w:val="Bibliography"/>
                <w:ind w:left="720" w:hanging="720"/>
                <w:rPr>
                  <w:noProof/>
                  <w:lang w:val="en-US"/>
                </w:rPr>
              </w:pPr>
              <w:r>
                <w:rPr>
                  <w:noProof/>
                  <w:lang w:val="en-US"/>
                </w:rPr>
                <w:t xml:space="preserve">Dicey, A. V. (1885). </w:t>
              </w:r>
              <w:r>
                <w:rPr>
                  <w:i/>
                  <w:iCs/>
                  <w:noProof/>
                  <w:lang w:val="en-US"/>
                </w:rPr>
                <w:t>Introduction to the Study of the Law of the Constitution.</w:t>
              </w:r>
              <w:r>
                <w:rPr>
                  <w:noProof/>
                  <w:lang w:val="en-US"/>
                </w:rPr>
                <w:t xml:space="preserve"> Macmillan.</w:t>
              </w:r>
            </w:p>
            <w:p w14:paraId="0A9885A4" w14:textId="77777777" w:rsidR="00FE6885" w:rsidRDefault="00FE6885" w:rsidP="00FE6885">
              <w:pPr>
                <w:pStyle w:val="Bibliography"/>
                <w:ind w:left="720" w:hanging="720"/>
                <w:rPr>
                  <w:noProof/>
                  <w:lang w:val="en-US"/>
                </w:rPr>
              </w:pPr>
              <w:r>
                <w:rPr>
                  <w:noProof/>
                  <w:lang w:val="en-US"/>
                </w:rPr>
                <w:t xml:space="preserve">Dicey, A. V. (1885). </w:t>
              </w:r>
              <w:r>
                <w:rPr>
                  <w:i/>
                  <w:iCs/>
                  <w:noProof/>
                  <w:lang w:val="en-US"/>
                </w:rPr>
                <w:t>Introduction to the Study of the Law of the Constitution.</w:t>
              </w:r>
              <w:r>
                <w:rPr>
                  <w:noProof/>
                  <w:lang w:val="en-US"/>
                </w:rPr>
                <w:t xml:space="preserve"> Macmillan.</w:t>
              </w:r>
            </w:p>
            <w:p w14:paraId="184BAB3D" w14:textId="77777777" w:rsidR="00FE6885" w:rsidRDefault="00FE6885" w:rsidP="00FE6885">
              <w:pPr>
                <w:pStyle w:val="Bibliography"/>
                <w:ind w:left="720" w:hanging="720"/>
                <w:rPr>
                  <w:noProof/>
                  <w:lang w:val="en-US"/>
                </w:rPr>
              </w:pPr>
              <w:r>
                <w:rPr>
                  <w:noProof/>
                  <w:lang w:val="en-US"/>
                </w:rPr>
                <w:t xml:space="preserve">King, J. (2019). </w:t>
              </w:r>
              <w:r>
                <w:rPr>
                  <w:i/>
                  <w:iCs/>
                  <w:noProof/>
                  <w:lang w:val="en-US"/>
                </w:rPr>
                <w:t>The Democratic Case for a Written Constitution.</w:t>
              </w:r>
              <w:r>
                <w:rPr>
                  <w:noProof/>
                  <w:lang w:val="en-US"/>
                </w:rPr>
                <w:t xml:space="preserve"> </w:t>
              </w:r>
            </w:p>
            <w:p w14:paraId="29F501A7" w14:textId="77777777" w:rsidR="00FE6885" w:rsidRDefault="00FE6885" w:rsidP="00FE6885">
              <w:pPr>
                <w:pStyle w:val="Bibliography"/>
                <w:ind w:left="720" w:hanging="720"/>
                <w:rPr>
                  <w:noProof/>
                  <w:lang w:val="en-US"/>
                </w:rPr>
              </w:pPr>
              <w:r>
                <w:rPr>
                  <w:noProof/>
                  <w:lang w:val="en-US"/>
                </w:rPr>
                <w:t>Miller v Secretary of State for Exiting the European Union (The Supreme Court January 24, 2017).</w:t>
              </w:r>
            </w:p>
            <w:p w14:paraId="374D29E0" w14:textId="77777777" w:rsidR="00FE6885" w:rsidRDefault="00FE6885" w:rsidP="00FE6885">
              <w:pPr>
                <w:pStyle w:val="Bibliography"/>
                <w:ind w:left="720" w:hanging="720"/>
                <w:rPr>
                  <w:noProof/>
                  <w:lang w:val="en-US"/>
                </w:rPr>
              </w:pPr>
              <w:r>
                <w:rPr>
                  <w:noProof/>
                  <w:lang w:val="en-US"/>
                </w:rPr>
                <w:t>Neuberger, L. (2014). 'The Britsh and Europe', Freshfields Annual Lecture.</w:t>
              </w:r>
            </w:p>
            <w:p w14:paraId="264C57C9" w14:textId="77777777" w:rsidR="00FE6885" w:rsidRDefault="00FE6885" w:rsidP="00FE6885">
              <w:pPr>
                <w:pStyle w:val="Bibliography"/>
                <w:ind w:left="720" w:hanging="720"/>
                <w:rPr>
                  <w:noProof/>
                  <w:lang w:val="en-US"/>
                </w:rPr>
              </w:pPr>
              <w:r>
                <w:rPr>
                  <w:noProof/>
                  <w:lang w:val="en-US"/>
                </w:rPr>
                <w:t>R (Jackson) v Attorney General, UKHL 56 (House of Lords October 13, 2005).</w:t>
              </w:r>
            </w:p>
            <w:p w14:paraId="59D07297" w14:textId="77777777" w:rsidR="00FE6885" w:rsidRDefault="00FE6885" w:rsidP="00FE6885">
              <w:pPr>
                <w:pStyle w:val="Bibliography"/>
                <w:ind w:left="720" w:hanging="720"/>
                <w:rPr>
                  <w:noProof/>
                  <w:lang w:val="en-US"/>
                </w:rPr>
              </w:pPr>
              <w:r>
                <w:rPr>
                  <w:noProof/>
                  <w:lang w:val="en-US"/>
                </w:rPr>
                <w:t>R(Miller) v The Prime Minister and Cherry v Advocate General for Scotland, UKSC 41 (The Supreme Court September 24, 2019).</w:t>
              </w:r>
            </w:p>
            <w:p w14:paraId="2CC8EA04" w14:textId="77777777" w:rsidR="00FE6885" w:rsidRDefault="00FE6885" w:rsidP="00FE6885">
              <w:pPr>
                <w:pStyle w:val="Bibliography"/>
                <w:ind w:left="720" w:hanging="720"/>
                <w:rPr>
                  <w:noProof/>
                  <w:lang w:val="en-US"/>
                </w:rPr>
              </w:pPr>
              <w:r>
                <w:rPr>
                  <w:noProof/>
                  <w:lang w:val="en-US"/>
                </w:rPr>
                <w:t>Thoburn v Sunderland City Council (Divisional Court February 18, 2002).</w:t>
              </w:r>
            </w:p>
            <w:p w14:paraId="32C66928" w14:textId="77777777" w:rsidR="00FE6885" w:rsidRDefault="00FE6885" w:rsidP="00FE6885">
              <w:pPr>
                <w:pStyle w:val="Bibliography"/>
                <w:ind w:left="720" w:hanging="720"/>
                <w:rPr>
                  <w:noProof/>
                  <w:lang w:val="en-US"/>
                </w:rPr>
              </w:pPr>
              <w:r>
                <w:rPr>
                  <w:noProof/>
                  <w:lang w:val="en-US"/>
                </w:rPr>
                <w:t>Vauxhall Estates Ltd v Liverpool Corporation, 1 KB 733 (Kings Bench Divison November 18, 1932).</w:t>
              </w:r>
            </w:p>
            <w:p w14:paraId="00BCE4DF" w14:textId="77777777" w:rsidR="00FE6885" w:rsidRDefault="00FE6885" w:rsidP="00FE6885">
              <w:pPr>
                <w:pStyle w:val="Bibliography"/>
                <w:ind w:left="720" w:hanging="720"/>
                <w:rPr>
                  <w:noProof/>
                  <w:lang w:val="en-US"/>
                </w:rPr>
              </w:pPr>
              <w:r>
                <w:rPr>
                  <w:noProof/>
                  <w:lang w:val="en-US"/>
                </w:rPr>
                <w:t>Whitley v Chappel (1868).</w:t>
              </w:r>
            </w:p>
            <w:p w14:paraId="408DAF42" w14:textId="12A2FF9E" w:rsidR="00FE6885" w:rsidRDefault="00FE6885" w:rsidP="00FE6885">
              <w:r>
                <w:rPr>
                  <w:b/>
                  <w:bCs/>
                  <w:noProof/>
                </w:rPr>
                <w:fldChar w:fldCharType="end"/>
              </w:r>
            </w:p>
          </w:sdtContent>
        </w:sdt>
      </w:sdtContent>
    </w:sdt>
    <w:p w14:paraId="46E95A26" w14:textId="77777777" w:rsidR="00FE6885" w:rsidRDefault="00FE6885" w:rsidP="00CE5C64"/>
    <w:sectPr w:rsidR="00FE6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268F"/>
    <w:multiLevelType w:val="hybridMultilevel"/>
    <w:tmpl w:val="E37C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367B5"/>
    <w:multiLevelType w:val="hybridMultilevel"/>
    <w:tmpl w:val="C5DE6D7E"/>
    <w:lvl w:ilvl="0" w:tplc="0C0A426C">
      <w:start w:val="1"/>
      <w:numFmt w:val="decimal"/>
      <w:lvlText w:val="%1."/>
      <w:lvlJc w:val="left"/>
      <w:pPr>
        <w:tabs>
          <w:tab w:val="num" w:pos="720"/>
        </w:tabs>
        <w:ind w:left="720" w:hanging="360"/>
      </w:pPr>
    </w:lvl>
    <w:lvl w:ilvl="1" w:tplc="85F0D208" w:tentative="1">
      <w:start w:val="1"/>
      <w:numFmt w:val="decimal"/>
      <w:lvlText w:val="%2."/>
      <w:lvlJc w:val="left"/>
      <w:pPr>
        <w:tabs>
          <w:tab w:val="num" w:pos="1440"/>
        </w:tabs>
        <w:ind w:left="1440" w:hanging="360"/>
      </w:pPr>
    </w:lvl>
    <w:lvl w:ilvl="2" w:tplc="FCBC6246" w:tentative="1">
      <w:start w:val="1"/>
      <w:numFmt w:val="decimal"/>
      <w:lvlText w:val="%3."/>
      <w:lvlJc w:val="left"/>
      <w:pPr>
        <w:tabs>
          <w:tab w:val="num" w:pos="2160"/>
        </w:tabs>
        <w:ind w:left="2160" w:hanging="360"/>
      </w:pPr>
    </w:lvl>
    <w:lvl w:ilvl="3" w:tplc="9398C9EC" w:tentative="1">
      <w:start w:val="1"/>
      <w:numFmt w:val="decimal"/>
      <w:lvlText w:val="%4."/>
      <w:lvlJc w:val="left"/>
      <w:pPr>
        <w:tabs>
          <w:tab w:val="num" w:pos="2880"/>
        </w:tabs>
        <w:ind w:left="2880" w:hanging="360"/>
      </w:pPr>
    </w:lvl>
    <w:lvl w:ilvl="4" w:tplc="00806B42" w:tentative="1">
      <w:start w:val="1"/>
      <w:numFmt w:val="decimal"/>
      <w:lvlText w:val="%5."/>
      <w:lvlJc w:val="left"/>
      <w:pPr>
        <w:tabs>
          <w:tab w:val="num" w:pos="3600"/>
        </w:tabs>
        <w:ind w:left="3600" w:hanging="360"/>
      </w:pPr>
    </w:lvl>
    <w:lvl w:ilvl="5" w:tplc="312CE244" w:tentative="1">
      <w:start w:val="1"/>
      <w:numFmt w:val="decimal"/>
      <w:lvlText w:val="%6."/>
      <w:lvlJc w:val="left"/>
      <w:pPr>
        <w:tabs>
          <w:tab w:val="num" w:pos="4320"/>
        </w:tabs>
        <w:ind w:left="4320" w:hanging="360"/>
      </w:pPr>
    </w:lvl>
    <w:lvl w:ilvl="6" w:tplc="0108CA9A" w:tentative="1">
      <w:start w:val="1"/>
      <w:numFmt w:val="decimal"/>
      <w:lvlText w:val="%7."/>
      <w:lvlJc w:val="left"/>
      <w:pPr>
        <w:tabs>
          <w:tab w:val="num" w:pos="5040"/>
        </w:tabs>
        <w:ind w:left="5040" w:hanging="360"/>
      </w:pPr>
    </w:lvl>
    <w:lvl w:ilvl="7" w:tplc="3232EE5C" w:tentative="1">
      <w:start w:val="1"/>
      <w:numFmt w:val="decimal"/>
      <w:lvlText w:val="%8."/>
      <w:lvlJc w:val="left"/>
      <w:pPr>
        <w:tabs>
          <w:tab w:val="num" w:pos="5760"/>
        </w:tabs>
        <w:ind w:left="5760" w:hanging="360"/>
      </w:pPr>
    </w:lvl>
    <w:lvl w:ilvl="8" w:tplc="DD76BBD6" w:tentative="1">
      <w:start w:val="1"/>
      <w:numFmt w:val="decimal"/>
      <w:lvlText w:val="%9."/>
      <w:lvlJc w:val="left"/>
      <w:pPr>
        <w:tabs>
          <w:tab w:val="num" w:pos="6480"/>
        </w:tabs>
        <w:ind w:left="6480" w:hanging="360"/>
      </w:pPr>
    </w:lvl>
  </w:abstractNum>
  <w:num w:numId="1" w16cid:durableId="1122922226">
    <w:abstractNumId w:val="1"/>
  </w:num>
  <w:num w:numId="2" w16cid:durableId="1110392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673"/>
    <w:rsid w:val="000278FC"/>
    <w:rsid w:val="00070A7F"/>
    <w:rsid w:val="000A45A7"/>
    <w:rsid w:val="00226420"/>
    <w:rsid w:val="00280FA0"/>
    <w:rsid w:val="002B3735"/>
    <w:rsid w:val="00377E8D"/>
    <w:rsid w:val="00475DCD"/>
    <w:rsid w:val="004C45E6"/>
    <w:rsid w:val="00530E83"/>
    <w:rsid w:val="006464AD"/>
    <w:rsid w:val="0066391D"/>
    <w:rsid w:val="00682BA0"/>
    <w:rsid w:val="00683C3D"/>
    <w:rsid w:val="007003C6"/>
    <w:rsid w:val="00761673"/>
    <w:rsid w:val="00905DDA"/>
    <w:rsid w:val="00A13354"/>
    <w:rsid w:val="00A37394"/>
    <w:rsid w:val="00B33153"/>
    <w:rsid w:val="00BF60B3"/>
    <w:rsid w:val="00C06A31"/>
    <w:rsid w:val="00CE5C64"/>
    <w:rsid w:val="00E3205C"/>
    <w:rsid w:val="00F92AB9"/>
    <w:rsid w:val="00FC18BD"/>
    <w:rsid w:val="00FE6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8A38A8"/>
  <w15:chartTrackingRefBased/>
  <w15:docId w15:val="{29A6E978-30D8-4240-B412-201C40D47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885"/>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673"/>
    <w:pPr>
      <w:ind w:left="720"/>
      <w:contextualSpacing/>
    </w:pPr>
  </w:style>
  <w:style w:type="character" w:customStyle="1" w:styleId="Heading1Char">
    <w:name w:val="Heading 1 Char"/>
    <w:basedOn w:val="DefaultParagraphFont"/>
    <w:link w:val="Heading1"/>
    <w:uiPriority w:val="9"/>
    <w:rsid w:val="00FE6885"/>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FE6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144496">
      <w:bodyDiv w:val="1"/>
      <w:marLeft w:val="0"/>
      <w:marRight w:val="0"/>
      <w:marTop w:val="0"/>
      <w:marBottom w:val="0"/>
      <w:divBdr>
        <w:top w:val="none" w:sz="0" w:space="0" w:color="auto"/>
        <w:left w:val="none" w:sz="0" w:space="0" w:color="auto"/>
        <w:bottom w:val="none" w:sz="0" w:space="0" w:color="auto"/>
        <w:right w:val="none" w:sz="0" w:space="0" w:color="auto"/>
      </w:divBdr>
    </w:div>
    <w:div w:id="508562114">
      <w:bodyDiv w:val="1"/>
      <w:marLeft w:val="0"/>
      <w:marRight w:val="0"/>
      <w:marTop w:val="0"/>
      <w:marBottom w:val="0"/>
      <w:divBdr>
        <w:top w:val="none" w:sz="0" w:space="0" w:color="auto"/>
        <w:left w:val="none" w:sz="0" w:space="0" w:color="auto"/>
        <w:bottom w:val="none" w:sz="0" w:space="0" w:color="auto"/>
        <w:right w:val="none" w:sz="0" w:space="0" w:color="auto"/>
      </w:divBdr>
    </w:div>
    <w:div w:id="514420690">
      <w:bodyDiv w:val="1"/>
      <w:marLeft w:val="0"/>
      <w:marRight w:val="0"/>
      <w:marTop w:val="0"/>
      <w:marBottom w:val="0"/>
      <w:divBdr>
        <w:top w:val="none" w:sz="0" w:space="0" w:color="auto"/>
        <w:left w:val="none" w:sz="0" w:space="0" w:color="auto"/>
        <w:bottom w:val="none" w:sz="0" w:space="0" w:color="auto"/>
        <w:right w:val="none" w:sz="0" w:space="0" w:color="auto"/>
      </w:divBdr>
    </w:div>
    <w:div w:id="533806937">
      <w:bodyDiv w:val="1"/>
      <w:marLeft w:val="0"/>
      <w:marRight w:val="0"/>
      <w:marTop w:val="0"/>
      <w:marBottom w:val="0"/>
      <w:divBdr>
        <w:top w:val="none" w:sz="0" w:space="0" w:color="auto"/>
        <w:left w:val="none" w:sz="0" w:space="0" w:color="auto"/>
        <w:bottom w:val="none" w:sz="0" w:space="0" w:color="auto"/>
        <w:right w:val="none" w:sz="0" w:space="0" w:color="auto"/>
      </w:divBdr>
    </w:div>
    <w:div w:id="713433656">
      <w:bodyDiv w:val="1"/>
      <w:marLeft w:val="0"/>
      <w:marRight w:val="0"/>
      <w:marTop w:val="0"/>
      <w:marBottom w:val="0"/>
      <w:divBdr>
        <w:top w:val="none" w:sz="0" w:space="0" w:color="auto"/>
        <w:left w:val="none" w:sz="0" w:space="0" w:color="auto"/>
        <w:bottom w:val="none" w:sz="0" w:space="0" w:color="auto"/>
        <w:right w:val="none" w:sz="0" w:space="0" w:color="auto"/>
      </w:divBdr>
    </w:div>
    <w:div w:id="732586963">
      <w:bodyDiv w:val="1"/>
      <w:marLeft w:val="0"/>
      <w:marRight w:val="0"/>
      <w:marTop w:val="0"/>
      <w:marBottom w:val="0"/>
      <w:divBdr>
        <w:top w:val="none" w:sz="0" w:space="0" w:color="auto"/>
        <w:left w:val="none" w:sz="0" w:space="0" w:color="auto"/>
        <w:bottom w:val="none" w:sz="0" w:space="0" w:color="auto"/>
        <w:right w:val="none" w:sz="0" w:space="0" w:color="auto"/>
      </w:divBdr>
    </w:div>
    <w:div w:id="973212588">
      <w:bodyDiv w:val="1"/>
      <w:marLeft w:val="0"/>
      <w:marRight w:val="0"/>
      <w:marTop w:val="0"/>
      <w:marBottom w:val="0"/>
      <w:divBdr>
        <w:top w:val="none" w:sz="0" w:space="0" w:color="auto"/>
        <w:left w:val="none" w:sz="0" w:space="0" w:color="auto"/>
        <w:bottom w:val="none" w:sz="0" w:space="0" w:color="auto"/>
        <w:right w:val="none" w:sz="0" w:space="0" w:color="auto"/>
      </w:divBdr>
    </w:div>
    <w:div w:id="1014529794">
      <w:bodyDiv w:val="1"/>
      <w:marLeft w:val="0"/>
      <w:marRight w:val="0"/>
      <w:marTop w:val="0"/>
      <w:marBottom w:val="0"/>
      <w:divBdr>
        <w:top w:val="none" w:sz="0" w:space="0" w:color="auto"/>
        <w:left w:val="none" w:sz="0" w:space="0" w:color="auto"/>
        <w:bottom w:val="none" w:sz="0" w:space="0" w:color="auto"/>
        <w:right w:val="none" w:sz="0" w:space="0" w:color="auto"/>
      </w:divBdr>
    </w:div>
    <w:div w:id="1032416946">
      <w:bodyDiv w:val="1"/>
      <w:marLeft w:val="0"/>
      <w:marRight w:val="0"/>
      <w:marTop w:val="0"/>
      <w:marBottom w:val="0"/>
      <w:divBdr>
        <w:top w:val="none" w:sz="0" w:space="0" w:color="auto"/>
        <w:left w:val="none" w:sz="0" w:space="0" w:color="auto"/>
        <w:bottom w:val="none" w:sz="0" w:space="0" w:color="auto"/>
        <w:right w:val="none" w:sz="0" w:space="0" w:color="auto"/>
      </w:divBdr>
      <w:divsChild>
        <w:div w:id="2016031928">
          <w:marLeft w:val="547"/>
          <w:marRight w:val="0"/>
          <w:marTop w:val="200"/>
          <w:marBottom w:val="0"/>
          <w:divBdr>
            <w:top w:val="none" w:sz="0" w:space="0" w:color="auto"/>
            <w:left w:val="none" w:sz="0" w:space="0" w:color="auto"/>
            <w:bottom w:val="none" w:sz="0" w:space="0" w:color="auto"/>
            <w:right w:val="none" w:sz="0" w:space="0" w:color="auto"/>
          </w:divBdr>
        </w:div>
        <w:div w:id="1723139170">
          <w:marLeft w:val="547"/>
          <w:marRight w:val="0"/>
          <w:marTop w:val="200"/>
          <w:marBottom w:val="0"/>
          <w:divBdr>
            <w:top w:val="none" w:sz="0" w:space="0" w:color="auto"/>
            <w:left w:val="none" w:sz="0" w:space="0" w:color="auto"/>
            <w:bottom w:val="none" w:sz="0" w:space="0" w:color="auto"/>
            <w:right w:val="none" w:sz="0" w:space="0" w:color="auto"/>
          </w:divBdr>
        </w:div>
        <w:div w:id="976305286">
          <w:marLeft w:val="547"/>
          <w:marRight w:val="0"/>
          <w:marTop w:val="200"/>
          <w:marBottom w:val="0"/>
          <w:divBdr>
            <w:top w:val="none" w:sz="0" w:space="0" w:color="auto"/>
            <w:left w:val="none" w:sz="0" w:space="0" w:color="auto"/>
            <w:bottom w:val="none" w:sz="0" w:space="0" w:color="auto"/>
            <w:right w:val="none" w:sz="0" w:space="0" w:color="auto"/>
          </w:divBdr>
        </w:div>
        <w:div w:id="1483422940">
          <w:marLeft w:val="547"/>
          <w:marRight w:val="0"/>
          <w:marTop w:val="200"/>
          <w:marBottom w:val="0"/>
          <w:divBdr>
            <w:top w:val="none" w:sz="0" w:space="0" w:color="auto"/>
            <w:left w:val="none" w:sz="0" w:space="0" w:color="auto"/>
            <w:bottom w:val="none" w:sz="0" w:space="0" w:color="auto"/>
            <w:right w:val="none" w:sz="0" w:space="0" w:color="auto"/>
          </w:divBdr>
        </w:div>
        <w:div w:id="1246108144">
          <w:marLeft w:val="547"/>
          <w:marRight w:val="0"/>
          <w:marTop w:val="200"/>
          <w:marBottom w:val="0"/>
          <w:divBdr>
            <w:top w:val="none" w:sz="0" w:space="0" w:color="auto"/>
            <w:left w:val="none" w:sz="0" w:space="0" w:color="auto"/>
            <w:bottom w:val="none" w:sz="0" w:space="0" w:color="auto"/>
            <w:right w:val="none" w:sz="0" w:space="0" w:color="auto"/>
          </w:divBdr>
        </w:div>
        <w:div w:id="1548637825">
          <w:marLeft w:val="547"/>
          <w:marRight w:val="0"/>
          <w:marTop w:val="200"/>
          <w:marBottom w:val="0"/>
          <w:divBdr>
            <w:top w:val="none" w:sz="0" w:space="0" w:color="auto"/>
            <w:left w:val="none" w:sz="0" w:space="0" w:color="auto"/>
            <w:bottom w:val="none" w:sz="0" w:space="0" w:color="auto"/>
            <w:right w:val="none" w:sz="0" w:space="0" w:color="auto"/>
          </w:divBdr>
        </w:div>
        <w:div w:id="2012415959">
          <w:marLeft w:val="547"/>
          <w:marRight w:val="0"/>
          <w:marTop w:val="200"/>
          <w:marBottom w:val="0"/>
          <w:divBdr>
            <w:top w:val="none" w:sz="0" w:space="0" w:color="auto"/>
            <w:left w:val="none" w:sz="0" w:space="0" w:color="auto"/>
            <w:bottom w:val="none" w:sz="0" w:space="0" w:color="auto"/>
            <w:right w:val="none" w:sz="0" w:space="0" w:color="auto"/>
          </w:divBdr>
        </w:div>
      </w:divsChild>
    </w:div>
    <w:div w:id="1094933196">
      <w:bodyDiv w:val="1"/>
      <w:marLeft w:val="0"/>
      <w:marRight w:val="0"/>
      <w:marTop w:val="0"/>
      <w:marBottom w:val="0"/>
      <w:divBdr>
        <w:top w:val="none" w:sz="0" w:space="0" w:color="auto"/>
        <w:left w:val="none" w:sz="0" w:space="0" w:color="auto"/>
        <w:bottom w:val="none" w:sz="0" w:space="0" w:color="auto"/>
        <w:right w:val="none" w:sz="0" w:space="0" w:color="auto"/>
      </w:divBdr>
    </w:div>
    <w:div w:id="1106194040">
      <w:bodyDiv w:val="1"/>
      <w:marLeft w:val="0"/>
      <w:marRight w:val="0"/>
      <w:marTop w:val="0"/>
      <w:marBottom w:val="0"/>
      <w:divBdr>
        <w:top w:val="none" w:sz="0" w:space="0" w:color="auto"/>
        <w:left w:val="none" w:sz="0" w:space="0" w:color="auto"/>
        <w:bottom w:val="none" w:sz="0" w:space="0" w:color="auto"/>
        <w:right w:val="none" w:sz="0" w:space="0" w:color="auto"/>
      </w:divBdr>
    </w:div>
    <w:div w:id="1198658411">
      <w:bodyDiv w:val="1"/>
      <w:marLeft w:val="0"/>
      <w:marRight w:val="0"/>
      <w:marTop w:val="0"/>
      <w:marBottom w:val="0"/>
      <w:divBdr>
        <w:top w:val="none" w:sz="0" w:space="0" w:color="auto"/>
        <w:left w:val="none" w:sz="0" w:space="0" w:color="auto"/>
        <w:bottom w:val="none" w:sz="0" w:space="0" w:color="auto"/>
        <w:right w:val="none" w:sz="0" w:space="0" w:color="auto"/>
      </w:divBdr>
    </w:div>
    <w:div w:id="1867056223">
      <w:bodyDiv w:val="1"/>
      <w:marLeft w:val="0"/>
      <w:marRight w:val="0"/>
      <w:marTop w:val="0"/>
      <w:marBottom w:val="0"/>
      <w:divBdr>
        <w:top w:val="none" w:sz="0" w:space="0" w:color="auto"/>
        <w:left w:val="none" w:sz="0" w:space="0" w:color="auto"/>
        <w:bottom w:val="none" w:sz="0" w:space="0" w:color="auto"/>
        <w:right w:val="none" w:sz="0" w:space="0" w:color="auto"/>
      </w:divBdr>
    </w:div>
    <w:div w:id="1868175287">
      <w:bodyDiv w:val="1"/>
      <w:marLeft w:val="0"/>
      <w:marRight w:val="0"/>
      <w:marTop w:val="0"/>
      <w:marBottom w:val="0"/>
      <w:divBdr>
        <w:top w:val="none" w:sz="0" w:space="0" w:color="auto"/>
        <w:left w:val="none" w:sz="0" w:space="0" w:color="auto"/>
        <w:bottom w:val="none" w:sz="0" w:space="0" w:color="auto"/>
        <w:right w:val="none" w:sz="0" w:space="0" w:color="auto"/>
      </w:divBdr>
    </w:div>
    <w:div w:id="1947079282">
      <w:bodyDiv w:val="1"/>
      <w:marLeft w:val="0"/>
      <w:marRight w:val="0"/>
      <w:marTop w:val="0"/>
      <w:marBottom w:val="0"/>
      <w:divBdr>
        <w:top w:val="none" w:sz="0" w:space="0" w:color="auto"/>
        <w:left w:val="none" w:sz="0" w:space="0" w:color="auto"/>
        <w:bottom w:val="none" w:sz="0" w:space="0" w:color="auto"/>
        <w:right w:val="none" w:sz="0" w:space="0" w:color="auto"/>
      </w:divBdr>
    </w:div>
    <w:div w:id="198673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Lor14</b:Tag>
    <b:SourceType>Misc</b:SourceType>
    <b:Guid>{150E10B8-5191-7440-93FC-70C3FA2A33C1}</b:Guid>
    <b:Title>'The Britsh and Europe', Freshfields Annual Lecture</b:Title>
    <b:Year>2014</b:Year>
    <b:Author>
      <b:Author>
        <b:NameList>
          <b:Person>
            <b:Last>Neuberger</b:Last>
            <b:First>Lord</b:First>
          </b:Person>
        </b:NameList>
      </b:Author>
    </b:Author>
    <b:RefOrder>3</b:RefOrder>
  </b:Source>
  <b:Source>
    <b:Tag>AVD85</b:Tag>
    <b:SourceType>Book</b:SourceType>
    <b:Guid>{EC7E561A-1CAA-4C47-B8A2-8DA01BF95CF0}</b:Guid>
    <b:Title>Introduction to the Study of the Law od the Constitution</b:Title>
    <b:Year>1885</b:Year>
    <b:Publisher>Macmillan</b:Publisher>
    <b:Author>
      <b:Author>
        <b:NameList>
          <b:Person>
            <b:Last>Dicey</b:Last>
            <b:First>A</b:First>
            <b:Middle>V</b:Middle>
          </b:Person>
        </b:NameList>
      </b:Author>
    </b:Author>
    <b:RefOrder>2</b:RefOrder>
  </b:Source>
  <b:Source>
    <b:Tag>AVD851</b:Tag>
    <b:SourceType>Book</b:SourceType>
    <b:Guid>{91EBBC7F-3A31-DB48-9D9A-AC9ABD6FF391}</b:Guid>
    <b:Author>
      <b:Author>
        <b:NameList>
          <b:Person>
            <b:Last>Dicey</b:Last>
            <b:First>A</b:First>
            <b:Middle>V</b:Middle>
          </b:Person>
        </b:NameList>
      </b:Author>
    </b:Author>
    <b:Title>Introduction to the Study of the Law of the Constitution</b:Title>
    <b:Publisher>Macmillan</b:Publisher>
    <b:Year>1885</b:Year>
    <b:RefOrder>13</b:RefOrder>
  </b:Source>
  <b:Source>
    <b:Tag>AVD852</b:Tag>
    <b:SourceType>Book</b:SourceType>
    <b:Guid>{7FE553D7-60CB-1B42-BFBC-561DB81FE32D}</b:Guid>
    <b:Author>
      <b:Author>
        <b:NameList>
          <b:Person>
            <b:Last>Dicey</b:Last>
            <b:First>A</b:First>
            <b:Middle>V</b:Middle>
          </b:Person>
        </b:NameList>
      </b:Author>
    </b:Author>
    <b:Title>Introduction to the Study of the Law of the Constitution</b:Title>
    <b:Publisher>Macmillan</b:Publisher>
    <b:Year>1885</b:Year>
    <b:RefOrder>1</b:RefOrder>
  </b:Source>
  <b:Source>
    <b:Tag>RMi19</b:Tag>
    <b:SourceType>Case</b:SourceType>
    <b:Guid>{D17EF891-776C-EF4E-A761-5EC938B9009D}</b:Guid>
    <b:Title>R(Miller) v The Prime Minister and Cherry v Advocate General for Scotland</b:Title>
    <b:Year>2019</b:Year>
    <b:CaseNumber>UKSC 41</b:CaseNumber>
    <b:Court>The Supreme Court</b:Court>
    <b:Month>September</b:Month>
    <b:Day>24</b:Day>
    <b:RefOrder>4</b:RefOrder>
  </b:Source>
  <b:Source>
    <b:Tag>RJa05</b:Tag>
    <b:SourceType>Case</b:SourceType>
    <b:Guid>{CE876EC9-85B0-3E49-9BDE-4516E3D2AD81}</b:Guid>
    <b:Title>R (Jackson) v Attorney General</b:Title>
    <b:CaseNumber>UKHL 56</b:CaseNumber>
    <b:Court>House of Lords</b:Court>
    <b:Year>2005</b:Year>
    <b:Month>October</b:Month>
    <b:Day>13</b:Day>
    <b:RefOrder>5</b:RefOrder>
  </b:Source>
  <b:Source>
    <b:Tag>Bin11</b:Tag>
    <b:SourceType>Book</b:SourceType>
    <b:Guid>{F2A49E79-2AC1-E94D-9CDC-6F4E592C9C6E}</b:Guid>
    <b:Title>The Rule of Law</b:Title>
    <b:Year>2011</b:Year>
    <b:Author>
      <b:Author>
        <b:NameList>
          <b:Person>
            <b:Last>Bingham</b:Last>
            <b:First>Lord</b:First>
          </b:Person>
        </b:NameList>
      </b:Author>
    </b:Author>
    <b:RefOrder>6</b:RefOrder>
  </b:Source>
  <b:Source>
    <b:Tag>AXA11</b:Tag>
    <b:SourceType>Case</b:SourceType>
    <b:Guid>{D002F726-B9D8-1548-BEA2-D001B677110F}</b:Guid>
    <b:Title>AXA v Lord Advocate</b:Title>
    <b:Year>2011</b:Year>
    <b:Court>Supreme Court</b:Court>
    <b:Month>October</b:Month>
    <b:Day>12</b:Day>
    <b:RefOrder>7</b:RefOrder>
  </b:Source>
  <b:Source>
    <b:Tag>Vau32</b:Tag>
    <b:SourceType>Case</b:SourceType>
    <b:Guid>{0C12AB87-A9E3-A44D-A1AB-1A231C41F888}</b:Guid>
    <b:Title>Vauxhall Estates Ltd v Liverpool Corporation</b:Title>
    <b:CaseNumber>1 KB 733</b:CaseNumber>
    <b:Court>Kings Bench Divison</b:Court>
    <b:Year>1932</b:Year>
    <b:Month>November</b:Month>
    <b:Day>18</b:Day>
    <b:RefOrder>9</b:RefOrder>
  </b:Source>
  <b:Source>
    <b:Tag>Tho02</b:Tag>
    <b:SourceType>Case</b:SourceType>
    <b:Guid>{8C1DA88C-BE03-3641-B1A4-D74C07C6415C}</b:Guid>
    <b:Title>Thoburn v Sunderland City Council</b:Title>
    <b:Court>Divisional Court</b:Court>
    <b:Year>2002</b:Year>
    <b:Month>February</b:Month>
    <b:Day>18</b:Day>
    <b:RefOrder>10</b:RefOrder>
  </b:Source>
  <b:Source>
    <b:Tag>Jef19</b:Tag>
    <b:SourceType>Book</b:SourceType>
    <b:Guid>{EB1F3779-E66F-5841-94B0-5FCE3F4D8623}</b:Guid>
    <b:Title>The Democratic Case for a Written Constitution</b:Title>
    <b:Year>2019</b:Year>
    <b:Author>
      <b:Author>
        <b:NameList>
          <b:Person>
            <b:Last>King</b:Last>
            <b:First>Jeff</b:First>
          </b:Person>
        </b:NameList>
      </b:Author>
    </b:Author>
    <b:RefOrder>11</b:RefOrder>
  </b:Source>
  <b:Source>
    <b:Tag>Mil17</b:Tag>
    <b:SourceType>Case</b:SourceType>
    <b:Guid>{F68131ED-5B6E-FF47-A8FA-EAC3E55FC7EC}</b:Guid>
    <b:Author>
      <b:Author>
        <b:NameList>
          <b:Person>
            <b:Last>Union</b:Last>
            <b:First>Miller</b:First>
            <b:Middle>v Secretary of State for Exiting the European</b:Middle>
          </b:Person>
        </b:NameList>
      </b:Author>
    </b:Author>
    <b:Title>Miller v Secretary of State for Exiting the European Union</b:Title>
    <b:Year>2017</b:Year>
    <b:Court>The Supreme Court</b:Court>
    <b:Month>January</b:Month>
    <b:Day>24</b:Day>
    <b:RefOrder>12</b:RefOrder>
  </b:Source>
  <b:Source>
    <b:Tag>Whi68</b:Tag>
    <b:SourceType>Case</b:SourceType>
    <b:Guid>{F82FA178-9050-9B4C-BD6F-1D95B9910D12}</b:Guid>
    <b:Title>Whitley v Chappel</b:Title>
    <b:Year>1868</b:Year>
    <b:RefOrder>8</b:RefOrder>
  </b:Source>
</b:Sources>
</file>

<file path=customXml/itemProps1.xml><?xml version="1.0" encoding="utf-8"?>
<ds:datastoreItem xmlns:ds="http://schemas.openxmlformats.org/officeDocument/2006/customXml" ds:itemID="{CE3CE769-549D-104A-8D1A-6E8CA2B18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Pages>
  <Words>1586</Words>
  <Characters>9041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Paul Davies (2119924)</dc:creator>
  <cp:keywords/>
  <dc:description/>
  <cp:lastModifiedBy>Ethan Paul Davies (2119924)</cp:lastModifiedBy>
  <cp:revision>8</cp:revision>
  <dcterms:created xsi:type="dcterms:W3CDTF">2023-11-08T17:22:00Z</dcterms:created>
  <dcterms:modified xsi:type="dcterms:W3CDTF">2023-11-09T00:19:00Z</dcterms:modified>
</cp:coreProperties>
</file>