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rPr>
        <w:id w:val="-642656507"/>
        <w:docPartObj>
          <w:docPartGallery w:val="Cover Pages"/>
          <w:docPartUnique/>
        </w:docPartObj>
      </w:sdtPr>
      <w:sdtEndPr>
        <w:rPr>
          <w:color w:val="auto"/>
        </w:rPr>
      </w:sdtEndPr>
      <w:sdtContent>
        <w:p w14:paraId="3C52E429" w14:textId="59F77C77" w:rsidR="00727185" w:rsidRDefault="000A6720">
          <w:pPr>
            <w:pStyle w:val="NoSpacing"/>
            <w:spacing w:before="1540" w:after="240"/>
            <w:jc w:val="center"/>
            <w:rPr>
              <w:color w:val="4472C4" w:themeColor="accent1"/>
            </w:rPr>
          </w:pPr>
          <w:r>
            <w:rPr>
              <w:rFonts w:eastAsiaTheme="minorHAnsi"/>
              <w:color w:val="4472C4" w:themeColor="accent1"/>
            </w:rPr>
            <w:t>Chelm Petronela id student 2018560</w:t>
          </w:r>
          <w:bookmarkStart w:id="0" w:name="_GoBack"/>
          <w:bookmarkEnd w:id="0"/>
        </w:p>
        <w:p w14:paraId="5307C000" w14:textId="2CF0ABBD" w:rsidR="00727185" w:rsidRDefault="0072718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Hilton hotel</w:t>
          </w:r>
        </w:p>
        <w:p w14:paraId="6B5DA84C" w14:textId="7FA245AA" w:rsidR="00727185" w:rsidRDefault="00727185">
          <w:pPr>
            <w:pStyle w:val="NoSpacing"/>
            <w:jc w:val="center"/>
            <w:rPr>
              <w:color w:val="4472C4" w:themeColor="accent1"/>
              <w:sz w:val="28"/>
              <w:szCs w:val="28"/>
            </w:rPr>
          </w:pPr>
          <w:r>
            <w:rPr>
              <w:color w:val="4472C4" w:themeColor="accent1"/>
              <w:sz w:val="28"/>
              <w:szCs w:val="28"/>
            </w:rPr>
            <w:t>Ratio Analysis</w:t>
          </w:r>
        </w:p>
        <w:p w14:paraId="030E65D2" w14:textId="0DDB1857" w:rsidR="00727185" w:rsidRDefault="00727185">
          <w:pPr>
            <w:pStyle w:val="NoSpacing"/>
            <w:spacing w:before="480"/>
            <w:jc w:val="center"/>
            <w:rPr>
              <w:color w:val="4472C4" w:themeColor="accent1"/>
            </w:rPr>
          </w:pPr>
          <w:r>
            <w:rPr>
              <w:noProof/>
              <w:color w:val="4472C4" w:themeColor="accent1"/>
              <w:lang w:val="ro-RO" w:eastAsia="ro-RO"/>
            </w:rPr>
            <mc:AlternateContent>
              <mc:Choice Requires="wps">
                <w:drawing>
                  <wp:anchor distT="0" distB="0" distL="114300" distR="114300" simplePos="0" relativeHeight="251659264" behindDoc="0" locked="0" layoutInCell="1" allowOverlap="1" wp14:anchorId="2C8D4756" wp14:editId="42F67E7E">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45841F" w14:textId="1F6DFAB8" w:rsidR="00727185" w:rsidRDefault="00727185">
                                <w:pPr>
                                  <w:pStyle w:val="NoSpacing"/>
                                  <w:spacing w:after="40"/>
                                  <w:jc w:val="center"/>
                                  <w:rPr>
                                    <w:caps/>
                                    <w:color w:val="4472C4" w:themeColor="accent1"/>
                                    <w:sz w:val="28"/>
                                    <w:szCs w:val="28"/>
                                  </w:rPr>
                                </w:pPr>
                              </w:p>
                              <w:p w14:paraId="53EA5ECB" w14:textId="27F93B8B" w:rsidR="00727185" w:rsidRDefault="00727185">
                                <w:pPr>
                                  <w:pStyle w:val="NoSpacing"/>
                                  <w:jc w:val="center"/>
                                  <w:rPr>
                                    <w:color w:val="4472C4" w:themeColor="accent1"/>
                                  </w:rPr>
                                </w:pPr>
                              </w:p>
                              <w:p w14:paraId="6143812A" w14:textId="593839A9" w:rsidR="00727185" w:rsidRDefault="00727185">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2C8D475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645841F" w14:textId="1F6DFAB8" w:rsidR="00727185" w:rsidRDefault="00727185">
                          <w:pPr>
                            <w:pStyle w:val="NoSpacing"/>
                            <w:spacing w:after="40"/>
                            <w:jc w:val="center"/>
                            <w:rPr>
                              <w:caps/>
                              <w:color w:val="4472C4" w:themeColor="accent1"/>
                              <w:sz w:val="28"/>
                              <w:szCs w:val="28"/>
                            </w:rPr>
                          </w:pPr>
                        </w:p>
                        <w:p w14:paraId="53EA5ECB" w14:textId="27F93B8B" w:rsidR="00727185" w:rsidRDefault="00727185">
                          <w:pPr>
                            <w:pStyle w:val="NoSpacing"/>
                            <w:jc w:val="center"/>
                            <w:rPr>
                              <w:color w:val="4472C4" w:themeColor="accent1"/>
                            </w:rPr>
                          </w:pPr>
                        </w:p>
                        <w:p w14:paraId="6143812A" w14:textId="593839A9" w:rsidR="00727185" w:rsidRDefault="00727185">
                          <w:pPr>
                            <w:pStyle w:val="NoSpacing"/>
                            <w:jc w:val="center"/>
                            <w:rPr>
                              <w:color w:val="4472C4" w:themeColor="accent1"/>
                            </w:rPr>
                          </w:pPr>
                        </w:p>
                      </w:txbxContent>
                    </v:textbox>
                    <w10:wrap anchorx="margin" anchory="page"/>
                  </v:shape>
                </w:pict>
              </mc:Fallback>
            </mc:AlternateContent>
          </w:r>
        </w:p>
        <w:p w14:paraId="28DA2238" w14:textId="65490ACA" w:rsidR="00727185" w:rsidRDefault="00727185">
          <w:r>
            <w:br w:type="page"/>
          </w:r>
        </w:p>
      </w:sdtContent>
    </w:sdt>
    <w:sdt>
      <w:sdtPr>
        <w:rPr>
          <w:rFonts w:asciiTheme="minorHAnsi" w:eastAsiaTheme="minorHAnsi" w:hAnsiTheme="minorHAnsi" w:cstheme="minorBidi"/>
          <w:color w:val="auto"/>
          <w:sz w:val="22"/>
          <w:szCs w:val="22"/>
        </w:rPr>
        <w:id w:val="2106375395"/>
        <w:docPartObj>
          <w:docPartGallery w:val="Table of Contents"/>
          <w:docPartUnique/>
        </w:docPartObj>
      </w:sdtPr>
      <w:sdtEndPr>
        <w:rPr>
          <w:b/>
          <w:bCs/>
          <w:noProof/>
        </w:rPr>
      </w:sdtEndPr>
      <w:sdtContent>
        <w:p w14:paraId="148557B8" w14:textId="5123878B" w:rsidR="001241EA" w:rsidRPr="008C6B9B" w:rsidRDefault="001241EA">
          <w:pPr>
            <w:pStyle w:val="TOCHeading"/>
            <w:rPr>
              <w:rFonts w:ascii="Times New Roman" w:hAnsi="Times New Roman" w:cs="Times New Roman"/>
              <w:b/>
              <w:bCs/>
            </w:rPr>
          </w:pPr>
          <w:r w:rsidRPr="008C6B9B">
            <w:rPr>
              <w:rFonts w:ascii="Times New Roman" w:hAnsi="Times New Roman" w:cs="Times New Roman"/>
              <w:b/>
              <w:bCs/>
            </w:rPr>
            <w:t>Contents</w:t>
          </w:r>
        </w:p>
        <w:p w14:paraId="0F2A4EA1" w14:textId="2D3E1E67" w:rsidR="001241EA" w:rsidRPr="008C6B9B" w:rsidRDefault="001241EA">
          <w:pPr>
            <w:pStyle w:val="TOC1"/>
            <w:tabs>
              <w:tab w:val="right" w:leader="dot" w:pos="9350"/>
            </w:tabs>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104274195" w:history="1">
            <w:r w:rsidRPr="008C6B9B">
              <w:rPr>
                <w:rStyle w:val="Hyperlink"/>
                <w:rFonts w:ascii="Times New Roman" w:hAnsi="Times New Roman" w:cs="Times New Roman"/>
                <w:b/>
                <w:bCs/>
                <w:noProof/>
                <w:sz w:val="24"/>
                <w:szCs w:val="24"/>
              </w:rPr>
              <w:t>Executive summary:</w:t>
            </w:r>
            <w:r w:rsidRPr="008C6B9B">
              <w:rPr>
                <w:rFonts w:ascii="Times New Roman" w:hAnsi="Times New Roman" w:cs="Times New Roman"/>
                <w:noProof/>
                <w:webHidden/>
                <w:sz w:val="24"/>
                <w:szCs w:val="24"/>
              </w:rPr>
              <w:tab/>
            </w:r>
            <w:r w:rsidRPr="008C6B9B">
              <w:rPr>
                <w:rFonts w:ascii="Times New Roman" w:hAnsi="Times New Roman" w:cs="Times New Roman"/>
                <w:noProof/>
                <w:webHidden/>
                <w:sz w:val="24"/>
                <w:szCs w:val="24"/>
              </w:rPr>
              <w:fldChar w:fldCharType="begin"/>
            </w:r>
            <w:r w:rsidRPr="008C6B9B">
              <w:rPr>
                <w:rFonts w:ascii="Times New Roman" w:hAnsi="Times New Roman" w:cs="Times New Roman"/>
                <w:noProof/>
                <w:webHidden/>
                <w:sz w:val="24"/>
                <w:szCs w:val="24"/>
              </w:rPr>
              <w:instrText xml:space="preserve"> PAGEREF _Toc104274195 \h </w:instrText>
            </w:r>
            <w:r w:rsidRPr="008C6B9B">
              <w:rPr>
                <w:rFonts w:ascii="Times New Roman" w:hAnsi="Times New Roman" w:cs="Times New Roman"/>
                <w:noProof/>
                <w:webHidden/>
                <w:sz w:val="24"/>
                <w:szCs w:val="24"/>
              </w:rPr>
            </w:r>
            <w:r w:rsidRPr="008C6B9B">
              <w:rPr>
                <w:rFonts w:ascii="Times New Roman" w:hAnsi="Times New Roman" w:cs="Times New Roman"/>
                <w:noProof/>
                <w:webHidden/>
                <w:sz w:val="24"/>
                <w:szCs w:val="24"/>
              </w:rPr>
              <w:fldChar w:fldCharType="separate"/>
            </w:r>
            <w:r w:rsidRPr="008C6B9B">
              <w:rPr>
                <w:rFonts w:ascii="Times New Roman" w:hAnsi="Times New Roman" w:cs="Times New Roman"/>
                <w:noProof/>
                <w:webHidden/>
                <w:sz w:val="24"/>
                <w:szCs w:val="24"/>
              </w:rPr>
              <w:t>2</w:t>
            </w:r>
            <w:r w:rsidRPr="008C6B9B">
              <w:rPr>
                <w:rFonts w:ascii="Times New Roman" w:hAnsi="Times New Roman" w:cs="Times New Roman"/>
                <w:noProof/>
                <w:webHidden/>
                <w:sz w:val="24"/>
                <w:szCs w:val="24"/>
              </w:rPr>
              <w:fldChar w:fldCharType="end"/>
            </w:r>
          </w:hyperlink>
        </w:p>
        <w:p w14:paraId="6517367A" w14:textId="1B2D433C"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196" w:history="1">
            <w:r w:rsidR="001241EA" w:rsidRPr="008C6B9B">
              <w:rPr>
                <w:rStyle w:val="Hyperlink"/>
                <w:rFonts w:ascii="Times New Roman" w:hAnsi="Times New Roman" w:cs="Times New Roman"/>
                <w:b/>
                <w:bCs/>
                <w:noProof/>
                <w:sz w:val="24"/>
                <w:szCs w:val="24"/>
              </w:rPr>
              <w:t>Introduction:</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_Toc104274196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2</w:t>
            </w:r>
            <w:r w:rsidR="001241EA" w:rsidRPr="008C6B9B">
              <w:rPr>
                <w:rFonts w:ascii="Times New Roman" w:hAnsi="Times New Roman" w:cs="Times New Roman"/>
                <w:noProof/>
                <w:webHidden/>
                <w:sz w:val="24"/>
                <w:szCs w:val="24"/>
              </w:rPr>
              <w:fldChar w:fldCharType="end"/>
            </w:r>
          </w:hyperlink>
        </w:p>
        <w:p w14:paraId="4691C4CE" w14:textId="5C4333A0"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197" w:history="1">
            <w:r w:rsidR="001241EA" w:rsidRPr="008C6B9B">
              <w:rPr>
                <w:rStyle w:val="Hyperlink"/>
                <w:rFonts w:ascii="Times New Roman" w:hAnsi="Times New Roman" w:cs="Times New Roman"/>
                <w:b/>
                <w:bCs/>
                <w:noProof/>
                <w:sz w:val="24"/>
                <w:szCs w:val="24"/>
              </w:rPr>
              <w:t>Financial analysis:</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_Toc104274197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3</w:t>
            </w:r>
            <w:r w:rsidR="001241EA" w:rsidRPr="008C6B9B">
              <w:rPr>
                <w:rFonts w:ascii="Times New Roman" w:hAnsi="Times New Roman" w:cs="Times New Roman"/>
                <w:noProof/>
                <w:webHidden/>
                <w:sz w:val="24"/>
                <w:szCs w:val="24"/>
              </w:rPr>
              <w:fldChar w:fldCharType="end"/>
            </w:r>
          </w:hyperlink>
        </w:p>
        <w:p w14:paraId="6137EE8C" w14:textId="6A2D1F71"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198" w:history="1">
            <w:r w:rsidR="001241EA" w:rsidRPr="008C6B9B">
              <w:rPr>
                <w:rStyle w:val="Hyperlink"/>
                <w:rFonts w:ascii="Times New Roman" w:hAnsi="Times New Roman" w:cs="Times New Roman"/>
                <w:noProof/>
                <w:sz w:val="24"/>
                <w:szCs w:val="24"/>
              </w:rPr>
              <w:t>Table one (profitability ratio)</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_Toc104274198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3</w:t>
            </w:r>
            <w:r w:rsidR="001241EA" w:rsidRPr="008C6B9B">
              <w:rPr>
                <w:rFonts w:ascii="Times New Roman" w:hAnsi="Times New Roman" w:cs="Times New Roman"/>
                <w:noProof/>
                <w:webHidden/>
                <w:sz w:val="24"/>
                <w:szCs w:val="24"/>
              </w:rPr>
              <w:fldChar w:fldCharType="end"/>
            </w:r>
          </w:hyperlink>
        </w:p>
        <w:p w14:paraId="39C75749" w14:textId="1A53635A"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199" w:history="1">
            <w:r w:rsidR="001241EA" w:rsidRPr="008C6B9B">
              <w:rPr>
                <w:rStyle w:val="Hyperlink"/>
                <w:rFonts w:ascii="Times New Roman" w:hAnsi="Times New Roman" w:cs="Times New Roman"/>
                <w:noProof/>
                <w:sz w:val="24"/>
                <w:szCs w:val="24"/>
              </w:rPr>
              <w:t>Chart one</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_Toc104274199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4</w:t>
            </w:r>
            <w:r w:rsidR="001241EA" w:rsidRPr="008C6B9B">
              <w:rPr>
                <w:rFonts w:ascii="Times New Roman" w:hAnsi="Times New Roman" w:cs="Times New Roman"/>
                <w:noProof/>
                <w:webHidden/>
                <w:sz w:val="24"/>
                <w:szCs w:val="24"/>
              </w:rPr>
              <w:fldChar w:fldCharType="end"/>
            </w:r>
          </w:hyperlink>
        </w:p>
        <w:p w14:paraId="2F6C70F9" w14:textId="319998E8"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0" w:history="1">
            <w:r w:rsidR="001241EA" w:rsidRPr="008C6B9B">
              <w:rPr>
                <w:rStyle w:val="Hyperlink"/>
                <w:rFonts w:ascii="Times New Roman" w:hAnsi="Times New Roman" w:cs="Times New Roman"/>
                <w:noProof/>
                <w:sz w:val="24"/>
                <w:szCs w:val="24"/>
              </w:rPr>
              <w:t>Table 2 (Gearing /solvency ratio)</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_Toc104274200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4</w:t>
            </w:r>
            <w:r w:rsidR="001241EA" w:rsidRPr="008C6B9B">
              <w:rPr>
                <w:rFonts w:ascii="Times New Roman" w:hAnsi="Times New Roman" w:cs="Times New Roman"/>
                <w:noProof/>
                <w:webHidden/>
                <w:sz w:val="24"/>
                <w:szCs w:val="24"/>
              </w:rPr>
              <w:fldChar w:fldCharType="end"/>
            </w:r>
          </w:hyperlink>
        </w:p>
        <w:p w14:paraId="6E36D80C" w14:textId="6D09B32D"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1" w:history="1">
            <w:r w:rsidR="001241EA" w:rsidRPr="008C6B9B">
              <w:rPr>
                <w:rStyle w:val="Hyperlink"/>
                <w:rFonts w:ascii="Times New Roman" w:hAnsi="Times New Roman" w:cs="Times New Roman"/>
                <w:noProof/>
                <w:sz w:val="24"/>
                <w:szCs w:val="24"/>
              </w:rPr>
              <w:t>Chart 2</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_Toc104274201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5</w:t>
            </w:r>
            <w:r w:rsidR="001241EA" w:rsidRPr="008C6B9B">
              <w:rPr>
                <w:rFonts w:ascii="Times New Roman" w:hAnsi="Times New Roman" w:cs="Times New Roman"/>
                <w:noProof/>
                <w:webHidden/>
                <w:sz w:val="24"/>
                <w:szCs w:val="24"/>
              </w:rPr>
              <w:fldChar w:fldCharType="end"/>
            </w:r>
          </w:hyperlink>
        </w:p>
        <w:p w14:paraId="490B2B29" w14:textId="12706832"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2" w:history="1">
            <w:r w:rsidR="001241EA" w:rsidRPr="008C6B9B">
              <w:rPr>
                <w:rStyle w:val="Hyperlink"/>
                <w:rFonts w:ascii="Times New Roman" w:hAnsi="Times New Roman" w:cs="Times New Roman"/>
                <w:noProof/>
                <w:sz w:val="24"/>
                <w:szCs w:val="24"/>
              </w:rPr>
              <w:t>Table 3 (Liquidity ratio)</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_Toc104274202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5</w:t>
            </w:r>
            <w:r w:rsidR="001241EA" w:rsidRPr="008C6B9B">
              <w:rPr>
                <w:rFonts w:ascii="Times New Roman" w:hAnsi="Times New Roman" w:cs="Times New Roman"/>
                <w:noProof/>
                <w:webHidden/>
                <w:sz w:val="24"/>
                <w:szCs w:val="24"/>
              </w:rPr>
              <w:fldChar w:fldCharType="end"/>
            </w:r>
          </w:hyperlink>
        </w:p>
        <w:p w14:paraId="4C83A5D3" w14:textId="169D662E"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3" w:history="1">
            <w:r w:rsidR="001241EA" w:rsidRPr="008C6B9B">
              <w:rPr>
                <w:rStyle w:val="Hyperlink"/>
                <w:rFonts w:ascii="Times New Roman" w:hAnsi="Times New Roman" w:cs="Times New Roman"/>
                <w:noProof/>
                <w:sz w:val="24"/>
                <w:szCs w:val="24"/>
              </w:rPr>
              <w:t>Chart 3</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_Toc104274203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6</w:t>
            </w:r>
            <w:r w:rsidR="001241EA" w:rsidRPr="008C6B9B">
              <w:rPr>
                <w:rFonts w:ascii="Times New Roman" w:hAnsi="Times New Roman" w:cs="Times New Roman"/>
                <w:noProof/>
                <w:webHidden/>
                <w:sz w:val="24"/>
                <w:szCs w:val="24"/>
              </w:rPr>
              <w:fldChar w:fldCharType="end"/>
            </w:r>
          </w:hyperlink>
        </w:p>
        <w:p w14:paraId="717D7900" w14:textId="4788AA22"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4" w:history="1">
            <w:r w:rsidR="001241EA" w:rsidRPr="008C6B9B">
              <w:rPr>
                <w:rStyle w:val="Hyperlink"/>
                <w:rFonts w:ascii="Times New Roman" w:hAnsi="Times New Roman" w:cs="Times New Roman"/>
                <w:noProof/>
                <w:sz w:val="24"/>
                <w:szCs w:val="24"/>
              </w:rPr>
              <w:t>Table 4</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_Toc104274204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7</w:t>
            </w:r>
            <w:r w:rsidR="001241EA" w:rsidRPr="008C6B9B">
              <w:rPr>
                <w:rFonts w:ascii="Times New Roman" w:hAnsi="Times New Roman" w:cs="Times New Roman"/>
                <w:noProof/>
                <w:webHidden/>
                <w:sz w:val="24"/>
                <w:szCs w:val="24"/>
              </w:rPr>
              <w:fldChar w:fldCharType="end"/>
            </w:r>
          </w:hyperlink>
        </w:p>
        <w:p w14:paraId="7597DDAC" w14:textId="31DFAB95"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5" w:history="1">
            <w:r w:rsidR="001241EA" w:rsidRPr="008C6B9B">
              <w:rPr>
                <w:rStyle w:val="Hyperlink"/>
                <w:rFonts w:ascii="Times New Roman" w:hAnsi="Times New Roman" w:cs="Times New Roman"/>
                <w:b/>
                <w:bCs/>
                <w:noProof/>
                <w:sz w:val="24"/>
                <w:szCs w:val="24"/>
              </w:rPr>
              <w:t>Importance of Ratio analysis:</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_Toc104274205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7</w:t>
            </w:r>
            <w:r w:rsidR="001241EA" w:rsidRPr="008C6B9B">
              <w:rPr>
                <w:rFonts w:ascii="Times New Roman" w:hAnsi="Times New Roman" w:cs="Times New Roman"/>
                <w:noProof/>
                <w:webHidden/>
                <w:sz w:val="24"/>
                <w:szCs w:val="24"/>
              </w:rPr>
              <w:fldChar w:fldCharType="end"/>
            </w:r>
          </w:hyperlink>
        </w:p>
        <w:p w14:paraId="5E20063F" w14:textId="5358CCAB"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6" w:history="1">
            <w:r w:rsidR="001241EA" w:rsidRPr="008C6B9B">
              <w:rPr>
                <w:rStyle w:val="Hyperlink"/>
                <w:rFonts w:ascii="Times New Roman" w:hAnsi="Times New Roman" w:cs="Times New Roman"/>
                <w:b/>
                <w:bCs/>
                <w:noProof/>
                <w:sz w:val="24"/>
                <w:szCs w:val="24"/>
              </w:rPr>
              <w:t>Limitations of Ratio Anaslysis:</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_Toc104274206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8</w:t>
            </w:r>
            <w:r w:rsidR="001241EA" w:rsidRPr="008C6B9B">
              <w:rPr>
                <w:rFonts w:ascii="Times New Roman" w:hAnsi="Times New Roman" w:cs="Times New Roman"/>
                <w:noProof/>
                <w:webHidden/>
                <w:sz w:val="24"/>
                <w:szCs w:val="24"/>
              </w:rPr>
              <w:fldChar w:fldCharType="end"/>
            </w:r>
          </w:hyperlink>
        </w:p>
        <w:p w14:paraId="0D9C74FC" w14:textId="1064AA92"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7" w:history="1">
            <w:r w:rsidR="001241EA" w:rsidRPr="008C6B9B">
              <w:rPr>
                <w:rStyle w:val="Hyperlink"/>
                <w:rFonts w:ascii="Times New Roman" w:hAnsi="Times New Roman" w:cs="Times New Roman"/>
                <w:b/>
                <w:bCs/>
                <w:noProof/>
                <w:sz w:val="24"/>
                <w:szCs w:val="24"/>
              </w:rPr>
              <w:t>Conclusion:</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_Toc104274207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9</w:t>
            </w:r>
            <w:r w:rsidR="001241EA" w:rsidRPr="008C6B9B">
              <w:rPr>
                <w:rFonts w:ascii="Times New Roman" w:hAnsi="Times New Roman" w:cs="Times New Roman"/>
                <w:noProof/>
                <w:webHidden/>
                <w:sz w:val="24"/>
                <w:szCs w:val="24"/>
              </w:rPr>
              <w:fldChar w:fldCharType="end"/>
            </w:r>
          </w:hyperlink>
        </w:p>
        <w:p w14:paraId="46408FB5" w14:textId="5B1D6100" w:rsidR="001241EA" w:rsidRPr="008C6B9B" w:rsidRDefault="00472745">
          <w:pPr>
            <w:pStyle w:val="TOC1"/>
            <w:tabs>
              <w:tab w:val="right" w:leader="dot" w:pos="9350"/>
            </w:tabs>
            <w:rPr>
              <w:rFonts w:ascii="Times New Roman" w:eastAsiaTheme="minorEastAsia" w:hAnsi="Times New Roman" w:cs="Times New Roman"/>
              <w:noProof/>
              <w:sz w:val="24"/>
              <w:szCs w:val="24"/>
            </w:rPr>
          </w:pPr>
          <w:hyperlink w:anchor="_Toc104274208" w:history="1">
            <w:r w:rsidR="001241EA" w:rsidRPr="008C6B9B">
              <w:rPr>
                <w:rStyle w:val="Hyperlink"/>
                <w:rFonts w:ascii="Times New Roman" w:hAnsi="Times New Roman" w:cs="Times New Roman"/>
                <w:b/>
                <w:bCs/>
                <w:noProof/>
                <w:sz w:val="24"/>
                <w:szCs w:val="24"/>
              </w:rPr>
              <w:t>Reference:</w:t>
            </w:r>
            <w:r w:rsidR="001241EA" w:rsidRPr="008C6B9B">
              <w:rPr>
                <w:rFonts w:ascii="Times New Roman" w:hAnsi="Times New Roman" w:cs="Times New Roman"/>
                <w:noProof/>
                <w:webHidden/>
                <w:sz w:val="24"/>
                <w:szCs w:val="24"/>
              </w:rPr>
              <w:tab/>
            </w:r>
            <w:r w:rsidR="001241EA" w:rsidRPr="008C6B9B">
              <w:rPr>
                <w:rFonts w:ascii="Times New Roman" w:hAnsi="Times New Roman" w:cs="Times New Roman"/>
                <w:noProof/>
                <w:webHidden/>
                <w:sz w:val="24"/>
                <w:szCs w:val="24"/>
              </w:rPr>
              <w:fldChar w:fldCharType="begin"/>
            </w:r>
            <w:r w:rsidR="001241EA" w:rsidRPr="008C6B9B">
              <w:rPr>
                <w:rFonts w:ascii="Times New Roman" w:hAnsi="Times New Roman" w:cs="Times New Roman"/>
                <w:noProof/>
                <w:webHidden/>
                <w:sz w:val="24"/>
                <w:szCs w:val="24"/>
              </w:rPr>
              <w:instrText xml:space="preserve"> PAGEREF _Toc104274208 \h </w:instrText>
            </w:r>
            <w:r w:rsidR="001241EA" w:rsidRPr="008C6B9B">
              <w:rPr>
                <w:rFonts w:ascii="Times New Roman" w:hAnsi="Times New Roman" w:cs="Times New Roman"/>
                <w:noProof/>
                <w:webHidden/>
                <w:sz w:val="24"/>
                <w:szCs w:val="24"/>
              </w:rPr>
            </w:r>
            <w:r w:rsidR="001241EA" w:rsidRPr="008C6B9B">
              <w:rPr>
                <w:rFonts w:ascii="Times New Roman" w:hAnsi="Times New Roman" w:cs="Times New Roman"/>
                <w:noProof/>
                <w:webHidden/>
                <w:sz w:val="24"/>
                <w:szCs w:val="24"/>
              </w:rPr>
              <w:fldChar w:fldCharType="separate"/>
            </w:r>
            <w:r w:rsidR="001241EA" w:rsidRPr="008C6B9B">
              <w:rPr>
                <w:rFonts w:ascii="Times New Roman" w:hAnsi="Times New Roman" w:cs="Times New Roman"/>
                <w:noProof/>
                <w:webHidden/>
                <w:sz w:val="24"/>
                <w:szCs w:val="24"/>
              </w:rPr>
              <w:t>9</w:t>
            </w:r>
            <w:r w:rsidR="001241EA" w:rsidRPr="008C6B9B">
              <w:rPr>
                <w:rFonts w:ascii="Times New Roman" w:hAnsi="Times New Roman" w:cs="Times New Roman"/>
                <w:noProof/>
                <w:webHidden/>
                <w:sz w:val="24"/>
                <w:szCs w:val="24"/>
              </w:rPr>
              <w:fldChar w:fldCharType="end"/>
            </w:r>
          </w:hyperlink>
        </w:p>
        <w:p w14:paraId="5A82F912" w14:textId="35D5FA61" w:rsidR="001241EA" w:rsidRDefault="001241EA">
          <w:r>
            <w:rPr>
              <w:b/>
              <w:bCs/>
              <w:noProof/>
            </w:rPr>
            <w:fldChar w:fldCharType="end"/>
          </w:r>
        </w:p>
      </w:sdtContent>
    </w:sdt>
    <w:p w14:paraId="3A026DE8" w14:textId="77777777" w:rsidR="001241EA" w:rsidRDefault="001241EA">
      <w:pPr>
        <w:rPr>
          <w:rFonts w:ascii="Times New Roman" w:eastAsiaTheme="majorEastAsia" w:hAnsi="Times New Roman" w:cs="Times New Roman"/>
          <w:b/>
          <w:bCs/>
          <w:color w:val="2F5496" w:themeColor="accent1" w:themeShade="BF"/>
          <w:sz w:val="32"/>
          <w:szCs w:val="32"/>
        </w:rPr>
      </w:pPr>
      <w:r>
        <w:rPr>
          <w:rFonts w:ascii="Times New Roman" w:hAnsi="Times New Roman" w:cs="Times New Roman"/>
          <w:b/>
          <w:bCs/>
        </w:rPr>
        <w:br w:type="page"/>
      </w:r>
    </w:p>
    <w:p w14:paraId="319CD734" w14:textId="5710C92B" w:rsidR="00D4149F" w:rsidRDefault="007646BF" w:rsidP="007646BF">
      <w:pPr>
        <w:pStyle w:val="Heading1"/>
        <w:rPr>
          <w:b/>
          <w:bCs/>
        </w:rPr>
      </w:pPr>
      <w:bookmarkStart w:id="1" w:name="_Toc104274195"/>
      <w:r w:rsidRPr="00ED4AA0">
        <w:rPr>
          <w:rFonts w:ascii="Times New Roman" w:hAnsi="Times New Roman" w:cs="Times New Roman"/>
          <w:b/>
          <w:bCs/>
        </w:rPr>
        <w:lastRenderedPageBreak/>
        <w:t>Executive summary</w:t>
      </w:r>
      <w:r w:rsidRPr="007646BF">
        <w:rPr>
          <w:b/>
          <w:bCs/>
        </w:rPr>
        <w:t>:</w:t>
      </w:r>
      <w:bookmarkEnd w:id="1"/>
    </w:p>
    <w:p w14:paraId="1B817A71" w14:textId="39E71034" w:rsidR="007646BF" w:rsidRDefault="007646BF" w:rsidP="007646BF">
      <w:pPr>
        <w:spacing w:line="360" w:lineRule="auto"/>
        <w:jc w:val="both"/>
        <w:rPr>
          <w:rFonts w:ascii="Times New Roman" w:hAnsi="Times New Roman" w:cs="Times New Roman"/>
          <w:sz w:val="24"/>
          <w:szCs w:val="24"/>
        </w:rPr>
      </w:pPr>
      <w:r w:rsidRPr="007646BF">
        <w:rPr>
          <w:rFonts w:ascii="Times New Roman" w:hAnsi="Times New Roman" w:cs="Times New Roman"/>
          <w:sz w:val="24"/>
          <w:szCs w:val="24"/>
        </w:rPr>
        <w:t xml:space="preserve">For the purposes of this research, </w:t>
      </w:r>
      <w:r w:rsidR="002E7A0D">
        <w:rPr>
          <w:rFonts w:ascii="Times New Roman" w:hAnsi="Times New Roman" w:cs="Times New Roman"/>
          <w:sz w:val="24"/>
          <w:szCs w:val="24"/>
        </w:rPr>
        <w:t xml:space="preserve">the </w:t>
      </w:r>
      <w:r w:rsidRPr="007646BF">
        <w:rPr>
          <w:rFonts w:ascii="Times New Roman" w:hAnsi="Times New Roman" w:cs="Times New Roman"/>
          <w:sz w:val="24"/>
          <w:szCs w:val="24"/>
        </w:rPr>
        <w:t xml:space="preserve">Hilton Hotel, an American hospitality corporation that maintains a wide range of hotels, will be examined in terms of financial ratios. This report will be provided to the company's CEO to evaluate its performance in the fiscal years 2019 and 2020. Profitability, liquidity, and gearing are the three segments of the ratio analysis. It will then be determined based on the </w:t>
      </w:r>
      <w:r w:rsidR="002E7A0D">
        <w:rPr>
          <w:rFonts w:ascii="Times New Roman" w:hAnsi="Times New Roman" w:cs="Times New Roman"/>
          <w:sz w:val="24"/>
          <w:szCs w:val="24"/>
        </w:rPr>
        <w:t xml:space="preserve">income statement </w:t>
      </w:r>
      <w:r w:rsidRPr="007646BF">
        <w:rPr>
          <w:rFonts w:ascii="Times New Roman" w:hAnsi="Times New Roman" w:cs="Times New Roman"/>
          <w:sz w:val="24"/>
          <w:szCs w:val="24"/>
        </w:rPr>
        <w:t>account and balance sheet ratios. Additional ratios will be used to determine the company's weaknesses. Visual graphs and critical analysis of ratio results will be shown to management after the calculation is complete</w:t>
      </w:r>
      <w:r w:rsidR="00D91998">
        <w:rPr>
          <w:rFonts w:ascii="Times New Roman" w:hAnsi="Times New Roman" w:cs="Times New Roman"/>
          <w:sz w:val="24"/>
          <w:szCs w:val="24"/>
        </w:rPr>
        <w:t xml:space="preserve"> (</w:t>
      </w:r>
      <w:r w:rsidR="00D91998" w:rsidRPr="007B1A5B">
        <w:rPr>
          <w:rFonts w:ascii="Times New Roman" w:hAnsi="Times New Roman" w:cs="Times New Roman"/>
          <w:color w:val="222222"/>
          <w:sz w:val="24"/>
          <w:szCs w:val="24"/>
          <w:shd w:val="clear" w:color="auto" w:fill="FFFFFF"/>
        </w:rPr>
        <w:t>Zainudin</w:t>
      </w:r>
      <w:r w:rsidR="00D91998">
        <w:rPr>
          <w:rFonts w:ascii="Times New Roman" w:hAnsi="Times New Roman" w:cs="Times New Roman"/>
          <w:color w:val="222222"/>
          <w:sz w:val="24"/>
          <w:szCs w:val="24"/>
          <w:shd w:val="clear" w:color="auto" w:fill="FFFFFF"/>
        </w:rPr>
        <w:t xml:space="preserve"> </w:t>
      </w:r>
      <w:r w:rsidR="00D91998" w:rsidRPr="007B1A5B">
        <w:rPr>
          <w:rFonts w:ascii="Times New Roman" w:hAnsi="Times New Roman" w:cs="Times New Roman"/>
          <w:color w:val="222222"/>
          <w:sz w:val="24"/>
          <w:szCs w:val="24"/>
          <w:shd w:val="clear" w:color="auto" w:fill="FFFFFF"/>
        </w:rPr>
        <w:t>and Hashim,2016</w:t>
      </w:r>
      <w:r w:rsidR="00D91998">
        <w:rPr>
          <w:rFonts w:ascii="Times New Roman" w:hAnsi="Times New Roman" w:cs="Times New Roman"/>
          <w:color w:val="222222"/>
          <w:sz w:val="24"/>
          <w:szCs w:val="24"/>
          <w:shd w:val="clear" w:color="auto" w:fill="FFFFFF"/>
        </w:rPr>
        <w:t>)</w:t>
      </w:r>
      <w:r w:rsidRPr="007646BF">
        <w:rPr>
          <w:rFonts w:ascii="Times New Roman" w:hAnsi="Times New Roman" w:cs="Times New Roman"/>
          <w:sz w:val="24"/>
          <w:szCs w:val="24"/>
        </w:rPr>
        <w:t>. Finally, a succinct description of the ratio is supplied for enhanced comprehension and decision-making purposes.</w:t>
      </w:r>
    </w:p>
    <w:p w14:paraId="725D3F8F" w14:textId="1253DA63" w:rsidR="007646BF" w:rsidRPr="00ED4AA0" w:rsidRDefault="00ED4AA0" w:rsidP="00ED4AA0">
      <w:pPr>
        <w:pStyle w:val="Heading1"/>
        <w:rPr>
          <w:rFonts w:ascii="Times New Roman" w:hAnsi="Times New Roman" w:cs="Times New Roman"/>
          <w:b/>
          <w:bCs/>
        </w:rPr>
      </w:pPr>
      <w:bookmarkStart w:id="2" w:name="_Toc104274196"/>
      <w:r>
        <w:rPr>
          <w:rFonts w:ascii="Times New Roman" w:hAnsi="Times New Roman" w:cs="Times New Roman"/>
          <w:b/>
          <w:bCs/>
        </w:rPr>
        <w:t>Introduction:</w:t>
      </w:r>
      <w:bookmarkEnd w:id="2"/>
    </w:p>
    <w:p w14:paraId="336EDBD9" w14:textId="452BD613" w:rsidR="007646BF" w:rsidRDefault="007646BF" w:rsidP="007646BF">
      <w:pPr>
        <w:spacing w:line="360" w:lineRule="auto"/>
        <w:jc w:val="both"/>
        <w:rPr>
          <w:rFonts w:ascii="Times New Roman" w:hAnsi="Times New Roman" w:cs="Times New Roman"/>
          <w:sz w:val="24"/>
          <w:szCs w:val="24"/>
        </w:rPr>
      </w:pPr>
      <w:r w:rsidRPr="007646BF">
        <w:rPr>
          <w:rFonts w:ascii="Times New Roman" w:hAnsi="Times New Roman" w:cs="Times New Roman"/>
          <w:sz w:val="24"/>
          <w:szCs w:val="24"/>
        </w:rPr>
        <w:t xml:space="preserve">Hilton Hotels is an American hospitality firm that owns and manages a wide range of properties. Companies' profitability, liquidity, and gearing ratio for 2019 and 2020 fiscal years will be presented in this report to the CEO. Using a ratio in accounting can indicate the interplay between balance sheet items or aspects of the </w:t>
      </w:r>
      <w:r w:rsidR="008C6B9B">
        <w:rPr>
          <w:rFonts w:ascii="Times New Roman" w:hAnsi="Times New Roman" w:cs="Times New Roman"/>
          <w:sz w:val="24"/>
          <w:szCs w:val="24"/>
        </w:rPr>
        <w:t>gain</w:t>
      </w:r>
      <w:r w:rsidRPr="007646BF">
        <w:rPr>
          <w:rFonts w:ascii="Times New Roman" w:hAnsi="Times New Roman" w:cs="Times New Roman"/>
          <w:sz w:val="24"/>
          <w:szCs w:val="24"/>
        </w:rPr>
        <w:t xml:space="preserve"> and loss account and the balance sheet. </w:t>
      </w:r>
    </w:p>
    <w:p w14:paraId="67E02E84" w14:textId="5EDED939" w:rsidR="007646BF" w:rsidRDefault="00C9646B" w:rsidP="007646BF">
      <w:pPr>
        <w:spacing w:line="360" w:lineRule="auto"/>
        <w:jc w:val="both"/>
        <w:rPr>
          <w:rFonts w:ascii="Times New Roman" w:hAnsi="Times New Roman" w:cs="Times New Roman"/>
          <w:sz w:val="24"/>
          <w:szCs w:val="24"/>
        </w:rPr>
      </w:pPr>
      <w:r w:rsidRPr="00C9646B">
        <w:rPr>
          <w:rFonts w:ascii="Times New Roman" w:hAnsi="Times New Roman" w:cs="Times New Roman"/>
          <w:sz w:val="24"/>
          <w:szCs w:val="24"/>
        </w:rPr>
        <w:t xml:space="preserve">Ratios are </w:t>
      </w:r>
      <w:r w:rsidR="008C6B9B">
        <w:rPr>
          <w:rFonts w:ascii="Times New Roman" w:hAnsi="Times New Roman" w:cs="Times New Roman"/>
          <w:sz w:val="24"/>
          <w:szCs w:val="24"/>
        </w:rPr>
        <w:t>help</w:t>
      </w:r>
      <w:r w:rsidRPr="00C9646B">
        <w:rPr>
          <w:rFonts w:ascii="Times New Roman" w:hAnsi="Times New Roman" w:cs="Times New Roman"/>
          <w:sz w:val="24"/>
          <w:szCs w:val="24"/>
        </w:rPr>
        <w:t xml:space="preserve">ful tools for analyzing and comparing the financial data of an industry versus the </w:t>
      </w:r>
      <w:r w:rsidR="002E7A0D">
        <w:rPr>
          <w:rFonts w:ascii="Times New Roman" w:hAnsi="Times New Roman" w:cs="Times New Roman"/>
          <w:sz w:val="24"/>
          <w:szCs w:val="24"/>
        </w:rPr>
        <w:t>monetary</w:t>
      </w:r>
      <w:r w:rsidRPr="00C9646B">
        <w:rPr>
          <w:rFonts w:ascii="Times New Roman" w:hAnsi="Times New Roman" w:cs="Times New Roman"/>
          <w:sz w:val="24"/>
          <w:szCs w:val="24"/>
        </w:rPr>
        <w:t xml:space="preserve"> data of pre</w:t>
      </w:r>
      <w:r w:rsidR="002E7A0D">
        <w:rPr>
          <w:rFonts w:ascii="Times New Roman" w:hAnsi="Times New Roman" w:cs="Times New Roman"/>
          <w:sz w:val="24"/>
          <w:szCs w:val="24"/>
        </w:rPr>
        <w:t>ceding</w:t>
      </w:r>
      <w:r w:rsidRPr="00C9646B">
        <w:rPr>
          <w:rFonts w:ascii="Times New Roman" w:hAnsi="Times New Roman" w:cs="Times New Roman"/>
          <w:sz w:val="24"/>
          <w:szCs w:val="24"/>
        </w:rPr>
        <w:t xml:space="preserve"> years or with the financial data of c</w:t>
      </w:r>
      <w:r w:rsidR="002E7A0D">
        <w:rPr>
          <w:rFonts w:ascii="Times New Roman" w:hAnsi="Times New Roman" w:cs="Times New Roman"/>
          <w:sz w:val="24"/>
          <w:szCs w:val="24"/>
        </w:rPr>
        <w:t>hallengers</w:t>
      </w:r>
      <w:r w:rsidRPr="00C9646B">
        <w:rPr>
          <w:rFonts w:ascii="Times New Roman" w:hAnsi="Times New Roman" w:cs="Times New Roman"/>
          <w:sz w:val="24"/>
          <w:szCs w:val="24"/>
        </w:rPr>
        <w:t xml:space="preserve"> in the same industry or in </w:t>
      </w:r>
      <w:r w:rsidR="002E7A0D">
        <w:rPr>
          <w:rFonts w:ascii="Times New Roman" w:hAnsi="Times New Roman" w:cs="Times New Roman"/>
          <w:sz w:val="24"/>
          <w:szCs w:val="24"/>
        </w:rPr>
        <w:t>contrasting</w:t>
      </w:r>
      <w:r w:rsidRPr="00C9646B">
        <w:rPr>
          <w:rFonts w:ascii="Times New Roman" w:hAnsi="Times New Roman" w:cs="Times New Roman"/>
          <w:sz w:val="24"/>
          <w:szCs w:val="24"/>
        </w:rPr>
        <w:t xml:space="preserve"> sectors</w:t>
      </w:r>
      <w:r w:rsidR="00C9624D">
        <w:rPr>
          <w:rFonts w:ascii="Times New Roman" w:hAnsi="Times New Roman" w:cs="Times New Roman"/>
          <w:sz w:val="24"/>
          <w:szCs w:val="24"/>
        </w:rPr>
        <w:t xml:space="preserve"> (</w:t>
      </w:r>
      <w:r w:rsidR="001241EA" w:rsidRPr="007B1A5B">
        <w:rPr>
          <w:rFonts w:ascii="Times New Roman" w:hAnsi="Times New Roman" w:cs="Times New Roman"/>
          <w:color w:val="222222"/>
          <w:sz w:val="24"/>
          <w:szCs w:val="24"/>
          <w:shd w:val="clear" w:color="auto" w:fill="FFFFFF"/>
        </w:rPr>
        <w:t>Arkan,</w:t>
      </w:r>
      <w:r w:rsidR="00C9624D" w:rsidRPr="007B1A5B">
        <w:rPr>
          <w:rFonts w:ascii="Times New Roman" w:hAnsi="Times New Roman" w:cs="Times New Roman"/>
          <w:color w:val="222222"/>
          <w:sz w:val="24"/>
          <w:szCs w:val="24"/>
          <w:shd w:val="clear" w:color="auto" w:fill="FFFFFF"/>
        </w:rPr>
        <w:t>2016</w:t>
      </w:r>
      <w:r w:rsidR="001241EA">
        <w:rPr>
          <w:rFonts w:ascii="Times New Roman" w:hAnsi="Times New Roman" w:cs="Times New Roman"/>
          <w:color w:val="222222"/>
          <w:sz w:val="24"/>
          <w:szCs w:val="24"/>
          <w:shd w:val="clear" w:color="auto" w:fill="FFFFFF"/>
        </w:rPr>
        <w:t>.</w:t>
      </w:r>
      <w:r w:rsidRPr="00C9646B">
        <w:rPr>
          <w:rFonts w:ascii="Times New Roman" w:hAnsi="Times New Roman" w:cs="Times New Roman"/>
          <w:sz w:val="24"/>
          <w:szCs w:val="24"/>
        </w:rPr>
        <w:t xml:space="preserve"> It is </w:t>
      </w:r>
      <w:r w:rsidR="00267A67">
        <w:rPr>
          <w:rFonts w:ascii="Times New Roman" w:hAnsi="Times New Roman" w:cs="Times New Roman"/>
          <w:sz w:val="24"/>
          <w:szCs w:val="24"/>
        </w:rPr>
        <w:t>feasible</w:t>
      </w:r>
      <w:r w:rsidRPr="00C9646B">
        <w:rPr>
          <w:rFonts w:ascii="Times New Roman" w:hAnsi="Times New Roman" w:cs="Times New Roman"/>
          <w:sz w:val="24"/>
          <w:szCs w:val="24"/>
        </w:rPr>
        <w:t xml:space="preserve"> to </w:t>
      </w:r>
      <w:r w:rsidR="00267A67">
        <w:rPr>
          <w:rFonts w:ascii="Times New Roman" w:hAnsi="Times New Roman" w:cs="Times New Roman"/>
          <w:sz w:val="24"/>
          <w:szCs w:val="24"/>
        </w:rPr>
        <w:t>acquire</w:t>
      </w:r>
      <w:r w:rsidRPr="00C9646B">
        <w:rPr>
          <w:rFonts w:ascii="Times New Roman" w:hAnsi="Times New Roman" w:cs="Times New Roman"/>
          <w:sz w:val="24"/>
          <w:szCs w:val="24"/>
        </w:rPr>
        <w:t xml:space="preserve"> a concise image of the </w:t>
      </w:r>
      <w:r w:rsidR="00267A67">
        <w:rPr>
          <w:rFonts w:ascii="Times New Roman" w:hAnsi="Times New Roman" w:cs="Times New Roman"/>
          <w:sz w:val="24"/>
          <w:szCs w:val="24"/>
        </w:rPr>
        <w:t>action</w:t>
      </w:r>
      <w:r w:rsidRPr="00C9646B">
        <w:rPr>
          <w:rFonts w:ascii="Times New Roman" w:hAnsi="Times New Roman" w:cs="Times New Roman"/>
          <w:sz w:val="24"/>
          <w:szCs w:val="24"/>
        </w:rPr>
        <w:t xml:space="preserve"> and </w:t>
      </w:r>
      <w:r w:rsidR="00267A67">
        <w:rPr>
          <w:rFonts w:ascii="Times New Roman" w:hAnsi="Times New Roman" w:cs="Times New Roman"/>
          <w:sz w:val="24"/>
          <w:szCs w:val="24"/>
        </w:rPr>
        <w:t>situation</w:t>
      </w:r>
      <w:r w:rsidRPr="00C9646B">
        <w:rPr>
          <w:rFonts w:ascii="Times New Roman" w:hAnsi="Times New Roman" w:cs="Times New Roman"/>
          <w:sz w:val="24"/>
          <w:szCs w:val="24"/>
        </w:rPr>
        <w:t xml:space="preserve"> of the firm over a specific period of time by calculating a few ratios. This picture will give you an idea of how the company has been doing during this period.</w:t>
      </w:r>
    </w:p>
    <w:p w14:paraId="0406FBD8" w14:textId="4C251E51" w:rsidR="00C9646B" w:rsidRDefault="00C9646B" w:rsidP="007646BF">
      <w:pPr>
        <w:spacing w:line="360" w:lineRule="auto"/>
        <w:jc w:val="both"/>
        <w:rPr>
          <w:rFonts w:ascii="Times New Roman" w:hAnsi="Times New Roman" w:cs="Times New Roman"/>
          <w:sz w:val="24"/>
          <w:szCs w:val="24"/>
        </w:rPr>
      </w:pPr>
      <w:r w:rsidRPr="00C9646B">
        <w:rPr>
          <w:rFonts w:ascii="Times New Roman" w:hAnsi="Times New Roman" w:cs="Times New Roman"/>
          <w:sz w:val="24"/>
          <w:szCs w:val="24"/>
        </w:rPr>
        <w:t>The success of a long-term business depends on accurate forecasting and monetary control. Financial trends and results over time can be discerned by using ratio analysis, which is a useful administrative tool</w:t>
      </w:r>
      <w:r w:rsidR="00D91998">
        <w:rPr>
          <w:rFonts w:ascii="Times New Roman" w:hAnsi="Times New Roman" w:cs="Times New Roman"/>
          <w:sz w:val="24"/>
          <w:szCs w:val="24"/>
        </w:rPr>
        <w:t xml:space="preserve"> (</w:t>
      </w:r>
      <w:r w:rsidR="00D91998" w:rsidRPr="007B1A5B">
        <w:rPr>
          <w:rFonts w:ascii="Times New Roman" w:hAnsi="Times New Roman" w:cs="Times New Roman"/>
          <w:color w:val="222222"/>
          <w:sz w:val="24"/>
          <w:szCs w:val="24"/>
          <w:shd w:val="clear" w:color="auto" w:fill="FFFFFF"/>
        </w:rPr>
        <w:t>Rodrigues</w:t>
      </w:r>
      <w:r w:rsidR="00D91998">
        <w:rPr>
          <w:rFonts w:ascii="Times New Roman" w:hAnsi="Times New Roman" w:cs="Times New Roman"/>
          <w:color w:val="222222"/>
          <w:sz w:val="24"/>
          <w:szCs w:val="24"/>
          <w:shd w:val="clear" w:color="auto" w:fill="FFFFFF"/>
        </w:rPr>
        <w:t xml:space="preserve"> </w:t>
      </w:r>
      <w:r w:rsidR="00D91998" w:rsidRPr="007B1A5B">
        <w:rPr>
          <w:rFonts w:ascii="Times New Roman" w:hAnsi="Times New Roman" w:cs="Times New Roman"/>
          <w:color w:val="222222"/>
          <w:sz w:val="24"/>
          <w:szCs w:val="24"/>
          <w:shd w:val="clear" w:color="auto" w:fill="FFFFFF"/>
        </w:rPr>
        <w:t>and Rodrigues, 2018</w:t>
      </w:r>
      <w:r w:rsidR="00D91998">
        <w:rPr>
          <w:rFonts w:ascii="Times New Roman" w:hAnsi="Times New Roman" w:cs="Times New Roman"/>
          <w:color w:val="222222"/>
          <w:sz w:val="24"/>
          <w:szCs w:val="24"/>
          <w:shd w:val="clear" w:color="auto" w:fill="FFFFFF"/>
        </w:rPr>
        <w:t>)</w:t>
      </w:r>
      <w:r w:rsidRPr="00C9646B">
        <w:rPr>
          <w:rFonts w:ascii="Times New Roman" w:hAnsi="Times New Roman" w:cs="Times New Roman"/>
          <w:sz w:val="24"/>
          <w:szCs w:val="24"/>
        </w:rPr>
        <w:t>. An executive's ability to discern the strengths and shortcomings of a company might be aided by ratio analysis. In order to evaluate a company's performance in comparison to other companies, investors might employ ratio analysis.</w:t>
      </w:r>
    </w:p>
    <w:p w14:paraId="5D72F9AA" w14:textId="77777777" w:rsidR="00C9646B" w:rsidRDefault="00ED4AA0" w:rsidP="007646BF">
      <w:pPr>
        <w:spacing w:line="360" w:lineRule="auto"/>
        <w:jc w:val="both"/>
        <w:rPr>
          <w:rFonts w:ascii="Times New Roman" w:hAnsi="Times New Roman" w:cs="Times New Roman"/>
          <w:sz w:val="24"/>
          <w:szCs w:val="24"/>
        </w:rPr>
      </w:pPr>
      <w:r w:rsidRPr="00ED4AA0">
        <w:rPr>
          <w:rFonts w:ascii="Times New Roman" w:hAnsi="Times New Roman" w:cs="Times New Roman"/>
          <w:sz w:val="24"/>
          <w:szCs w:val="24"/>
        </w:rPr>
        <w:t>The company's strengths and weaknesses can be seen in the company's ratios, but the ratios don't explain why these are the company's strengths or flaws. As a result, further investigation is required to uncover the hidden facts. Analysis of a company's financial situation can be done using ratio analysis. To name a few: stockholders or potential investors; lenders; senior executives; banks</w:t>
      </w:r>
      <w:r>
        <w:rPr>
          <w:rFonts w:ascii="Times New Roman" w:hAnsi="Times New Roman" w:cs="Times New Roman"/>
          <w:sz w:val="24"/>
          <w:szCs w:val="24"/>
        </w:rPr>
        <w:t xml:space="preserve"> </w:t>
      </w:r>
      <w:r w:rsidRPr="00ED4AA0">
        <w:rPr>
          <w:rFonts w:ascii="Times New Roman" w:hAnsi="Times New Roman" w:cs="Times New Roman"/>
          <w:sz w:val="24"/>
          <w:szCs w:val="24"/>
        </w:rPr>
        <w:t>etc</w:t>
      </w:r>
      <w:r>
        <w:rPr>
          <w:rFonts w:ascii="Times New Roman" w:hAnsi="Times New Roman" w:cs="Times New Roman"/>
          <w:sz w:val="24"/>
          <w:szCs w:val="24"/>
        </w:rPr>
        <w:t>.</w:t>
      </w:r>
    </w:p>
    <w:p w14:paraId="0BC641FE" w14:textId="4FDE5309" w:rsidR="00F34A0A" w:rsidRPr="00F34A0A" w:rsidRDefault="00276FEE" w:rsidP="00F34A0A">
      <w:pPr>
        <w:pStyle w:val="Heading1"/>
        <w:rPr>
          <w:rFonts w:ascii="Times New Roman" w:hAnsi="Times New Roman" w:cs="Times New Roman"/>
          <w:b/>
          <w:bCs/>
        </w:rPr>
      </w:pPr>
      <w:bookmarkStart w:id="3" w:name="_Toc104274197"/>
      <w:r>
        <w:rPr>
          <w:rFonts w:ascii="Times New Roman" w:hAnsi="Times New Roman" w:cs="Times New Roman"/>
          <w:b/>
          <w:bCs/>
        </w:rPr>
        <w:lastRenderedPageBreak/>
        <w:t>Financial analysis:</w:t>
      </w:r>
      <w:bookmarkEnd w:id="3"/>
    </w:p>
    <w:p w14:paraId="11329928" w14:textId="77777777" w:rsidR="00276FEE" w:rsidRPr="00276FEE" w:rsidRDefault="00276FEE" w:rsidP="00276FEE"/>
    <w:tbl>
      <w:tblPr>
        <w:tblStyle w:val="TableGrid"/>
        <w:tblpPr w:leftFromText="180" w:rightFromText="180" w:horzAnchor="margin" w:tblpY="641"/>
        <w:tblW w:w="9625" w:type="dxa"/>
        <w:tblInd w:w="0" w:type="dxa"/>
        <w:tblLook w:val="04A0" w:firstRow="1" w:lastRow="0" w:firstColumn="1" w:lastColumn="0" w:noHBand="0" w:noVBand="1"/>
      </w:tblPr>
      <w:tblGrid>
        <w:gridCol w:w="1644"/>
        <w:gridCol w:w="2058"/>
        <w:gridCol w:w="2165"/>
        <w:gridCol w:w="1013"/>
        <w:gridCol w:w="1870"/>
        <w:gridCol w:w="875"/>
      </w:tblGrid>
      <w:tr w:rsidR="00105D1F" w14:paraId="11B87201" w14:textId="77777777" w:rsidTr="0002489D">
        <w:tc>
          <w:tcPr>
            <w:tcW w:w="1644" w:type="dxa"/>
            <w:tcBorders>
              <w:top w:val="single" w:sz="4" w:space="0" w:color="auto"/>
              <w:left w:val="single" w:sz="4" w:space="0" w:color="auto"/>
              <w:bottom w:val="single" w:sz="4" w:space="0" w:color="auto"/>
              <w:right w:val="single" w:sz="4" w:space="0" w:color="auto"/>
            </w:tcBorders>
            <w:hideMark/>
          </w:tcPr>
          <w:p w14:paraId="04B8B36F" w14:textId="77777777" w:rsidR="00105D1F" w:rsidRDefault="00105D1F">
            <w:pPr>
              <w:jc w:val="center"/>
            </w:pPr>
            <w:r>
              <w:t>Ratio</w:t>
            </w:r>
          </w:p>
        </w:tc>
        <w:tc>
          <w:tcPr>
            <w:tcW w:w="2058" w:type="dxa"/>
            <w:tcBorders>
              <w:top w:val="single" w:sz="4" w:space="0" w:color="auto"/>
              <w:left w:val="single" w:sz="4" w:space="0" w:color="auto"/>
              <w:bottom w:val="single" w:sz="4" w:space="0" w:color="auto"/>
              <w:right w:val="single" w:sz="4" w:space="0" w:color="auto"/>
            </w:tcBorders>
            <w:hideMark/>
          </w:tcPr>
          <w:p w14:paraId="3CC8621F" w14:textId="77777777" w:rsidR="00105D1F" w:rsidRDefault="00105D1F">
            <w:pPr>
              <w:jc w:val="center"/>
            </w:pPr>
            <w:r>
              <w:t>Formula</w:t>
            </w:r>
          </w:p>
        </w:tc>
        <w:tc>
          <w:tcPr>
            <w:tcW w:w="3178" w:type="dxa"/>
            <w:gridSpan w:val="2"/>
            <w:tcBorders>
              <w:top w:val="single" w:sz="4" w:space="0" w:color="auto"/>
              <w:left w:val="single" w:sz="4" w:space="0" w:color="auto"/>
              <w:bottom w:val="single" w:sz="4" w:space="0" w:color="auto"/>
              <w:right w:val="single" w:sz="4" w:space="0" w:color="auto"/>
            </w:tcBorders>
            <w:hideMark/>
          </w:tcPr>
          <w:p w14:paraId="6E690CF6" w14:textId="77777777" w:rsidR="00105D1F" w:rsidRDefault="00105D1F">
            <w:pPr>
              <w:jc w:val="center"/>
            </w:pPr>
            <w:r>
              <w:t>2019</w:t>
            </w:r>
          </w:p>
        </w:tc>
        <w:tc>
          <w:tcPr>
            <w:tcW w:w="2745" w:type="dxa"/>
            <w:gridSpan w:val="2"/>
            <w:tcBorders>
              <w:top w:val="single" w:sz="4" w:space="0" w:color="auto"/>
              <w:left w:val="single" w:sz="4" w:space="0" w:color="auto"/>
              <w:bottom w:val="single" w:sz="4" w:space="0" w:color="auto"/>
              <w:right w:val="single" w:sz="4" w:space="0" w:color="auto"/>
            </w:tcBorders>
            <w:hideMark/>
          </w:tcPr>
          <w:p w14:paraId="4F232111" w14:textId="77777777" w:rsidR="00105D1F" w:rsidRDefault="00105D1F">
            <w:pPr>
              <w:jc w:val="center"/>
            </w:pPr>
            <w:r>
              <w:t>2020</w:t>
            </w:r>
          </w:p>
        </w:tc>
      </w:tr>
      <w:tr w:rsidR="00105D1F" w14:paraId="08CAC901" w14:textId="77777777" w:rsidTr="0002489D">
        <w:tc>
          <w:tcPr>
            <w:tcW w:w="1644" w:type="dxa"/>
            <w:tcBorders>
              <w:top w:val="single" w:sz="4" w:space="0" w:color="auto"/>
              <w:left w:val="single" w:sz="4" w:space="0" w:color="auto"/>
              <w:bottom w:val="single" w:sz="4" w:space="0" w:color="auto"/>
              <w:right w:val="single" w:sz="4" w:space="0" w:color="auto"/>
            </w:tcBorders>
            <w:hideMark/>
          </w:tcPr>
          <w:p w14:paraId="6BFA4842" w14:textId="77777777" w:rsidR="00105D1F" w:rsidRDefault="00105D1F">
            <w:pPr>
              <w:jc w:val="center"/>
            </w:pPr>
            <w:r>
              <w:t>Gross Profit</w:t>
            </w:r>
          </w:p>
        </w:tc>
        <w:tc>
          <w:tcPr>
            <w:tcW w:w="2058" w:type="dxa"/>
            <w:tcBorders>
              <w:top w:val="single" w:sz="4" w:space="0" w:color="auto"/>
              <w:left w:val="single" w:sz="4" w:space="0" w:color="auto"/>
              <w:bottom w:val="single" w:sz="4" w:space="0" w:color="auto"/>
              <w:right w:val="single" w:sz="4" w:space="0" w:color="auto"/>
            </w:tcBorders>
            <w:hideMark/>
          </w:tcPr>
          <w:p w14:paraId="7BB2F925" w14:textId="77777777" w:rsidR="00105D1F" w:rsidRDefault="00105D1F">
            <w:pPr>
              <w:jc w:val="center"/>
            </w:pPr>
            <w:r>
              <w:t>(Gross profit/ Sales) *100</w:t>
            </w:r>
          </w:p>
        </w:tc>
        <w:tc>
          <w:tcPr>
            <w:tcW w:w="2165" w:type="dxa"/>
            <w:tcBorders>
              <w:top w:val="single" w:sz="4" w:space="0" w:color="auto"/>
              <w:left w:val="single" w:sz="4" w:space="0" w:color="auto"/>
              <w:bottom w:val="single" w:sz="4" w:space="0" w:color="auto"/>
              <w:right w:val="single" w:sz="4" w:space="0" w:color="auto"/>
            </w:tcBorders>
            <w:hideMark/>
          </w:tcPr>
          <w:p w14:paraId="1C0CF34F" w14:textId="77777777" w:rsidR="00105D1F" w:rsidRDefault="00105D1F">
            <w:pPr>
              <w:jc w:val="center"/>
            </w:pPr>
            <w:r>
              <w:t>(2435000/ 9452000) *100</w:t>
            </w:r>
          </w:p>
        </w:tc>
        <w:tc>
          <w:tcPr>
            <w:tcW w:w="1013" w:type="dxa"/>
            <w:tcBorders>
              <w:top w:val="single" w:sz="4" w:space="0" w:color="auto"/>
              <w:left w:val="single" w:sz="4" w:space="0" w:color="auto"/>
              <w:bottom w:val="single" w:sz="4" w:space="0" w:color="auto"/>
              <w:right w:val="single" w:sz="4" w:space="0" w:color="auto"/>
            </w:tcBorders>
            <w:hideMark/>
          </w:tcPr>
          <w:p w14:paraId="37DEE2B6" w14:textId="77777777" w:rsidR="00105D1F" w:rsidRDefault="00105D1F">
            <w:pPr>
              <w:jc w:val="center"/>
            </w:pPr>
            <w:r>
              <w:t>25.76%</w:t>
            </w:r>
          </w:p>
        </w:tc>
        <w:tc>
          <w:tcPr>
            <w:tcW w:w="1870" w:type="dxa"/>
            <w:tcBorders>
              <w:top w:val="single" w:sz="4" w:space="0" w:color="auto"/>
              <w:left w:val="single" w:sz="4" w:space="0" w:color="auto"/>
              <w:bottom w:val="single" w:sz="4" w:space="0" w:color="auto"/>
              <w:right w:val="single" w:sz="4" w:space="0" w:color="auto"/>
            </w:tcBorders>
            <w:hideMark/>
          </w:tcPr>
          <w:p w14:paraId="7CAC1EC1" w14:textId="77777777" w:rsidR="00105D1F" w:rsidRDefault="00105D1F">
            <w:pPr>
              <w:jc w:val="center"/>
            </w:pPr>
            <w:r>
              <w:t>(583000/ 4307000) *100</w:t>
            </w:r>
          </w:p>
        </w:tc>
        <w:tc>
          <w:tcPr>
            <w:tcW w:w="875" w:type="dxa"/>
            <w:tcBorders>
              <w:top w:val="single" w:sz="4" w:space="0" w:color="auto"/>
              <w:left w:val="single" w:sz="4" w:space="0" w:color="auto"/>
              <w:bottom w:val="single" w:sz="4" w:space="0" w:color="auto"/>
              <w:right w:val="single" w:sz="4" w:space="0" w:color="auto"/>
            </w:tcBorders>
            <w:hideMark/>
          </w:tcPr>
          <w:p w14:paraId="7224CC9E" w14:textId="77777777" w:rsidR="00105D1F" w:rsidRDefault="00105D1F">
            <w:pPr>
              <w:jc w:val="center"/>
            </w:pPr>
            <w:r>
              <w:t>13.54%</w:t>
            </w:r>
          </w:p>
        </w:tc>
      </w:tr>
      <w:tr w:rsidR="00105D1F" w14:paraId="43ACE603" w14:textId="77777777" w:rsidTr="0002489D">
        <w:tc>
          <w:tcPr>
            <w:tcW w:w="1644" w:type="dxa"/>
            <w:tcBorders>
              <w:top w:val="single" w:sz="4" w:space="0" w:color="auto"/>
              <w:left w:val="single" w:sz="4" w:space="0" w:color="auto"/>
              <w:bottom w:val="single" w:sz="4" w:space="0" w:color="auto"/>
              <w:right w:val="single" w:sz="4" w:space="0" w:color="auto"/>
            </w:tcBorders>
            <w:hideMark/>
          </w:tcPr>
          <w:p w14:paraId="668DEBBA" w14:textId="77777777" w:rsidR="00105D1F" w:rsidRDefault="00105D1F">
            <w:pPr>
              <w:jc w:val="center"/>
            </w:pPr>
            <w:r>
              <w:t>Net Profit</w:t>
            </w:r>
          </w:p>
        </w:tc>
        <w:tc>
          <w:tcPr>
            <w:tcW w:w="2058" w:type="dxa"/>
            <w:tcBorders>
              <w:top w:val="single" w:sz="4" w:space="0" w:color="auto"/>
              <w:left w:val="single" w:sz="4" w:space="0" w:color="auto"/>
              <w:bottom w:val="single" w:sz="4" w:space="0" w:color="auto"/>
              <w:right w:val="single" w:sz="4" w:space="0" w:color="auto"/>
            </w:tcBorders>
            <w:hideMark/>
          </w:tcPr>
          <w:p w14:paraId="6D991988" w14:textId="77777777" w:rsidR="00105D1F" w:rsidRDefault="00105D1F">
            <w:pPr>
              <w:jc w:val="center"/>
            </w:pPr>
            <w:r>
              <w:t>(Net profit/ Sales) *100</w:t>
            </w:r>
          </w:p>
        </w:tc>
        <w:tc>
          <w:tcPr>
            <w:tcW w:w="2165" w:type="dxa"/>
            <w:tcBorders>
              <w:top w:val="single" w:sz="4" w:space="0" w:color="auto"/>
              <w:left w:val="single" w:sz="4" w:space="0" w:color="auto"/>
              <w:bottom w:val="single" w:sz="4" w:space="0" w:color="auto"/>
              <w:right w:val="single" w:sz="4" w:space="0" w:color="auto"/>
            </w:tcBorders>
            <w:hideMark/>
          </w:tcPr>
          <w:p w14:paraId="257563E1" w14:textId="77777777" w:rsidR="00105D1F" w:rsidRDefault="00105D1F">
            <w:pPr>
              <w:jc w:val="center"/>
            </w:pPr>
            <w:r>
              <w:t xml:space="preserve">(881,000/9,452,000) *100 </w:t>
            </w:r>
          </w:p>
        </w:tc>
        <w:tc>
          <w:tcPr>
            <w:tcW w:w="1013" w:type="dxa"/>
            <w:tcBorders>
              <w:top w:val="single" w:sz="4" w:space="0" w:color="auto"/>
              <w:left w:val="single" w:sz="4" w:space="0" w:color="auto"/>
              <w:bottom w:val="single" w:sz="4" w:space="0" w:color="auto"/>
              <w:right w:val="single" w:sz="4" w:space="0" w:color="auto"/>
            </w:tcBorders>
            <w:hideMark/>
          </w:tcPr>
          <w:p w14:paraId="238570C1" w14:textId="77777777" w:rsidR="00105D1F" w:rsidRDefault="00105D1F">
            <w:pPr>
              <w:jc w:val="center"/>
            </w:pPr>
            <w:r>
              <w:t>9.32%</w:t>
            </w:r>
          </w:p>
        </w:tc>
        <w:tc>
          <w:tcPr>
            <w:tcW w:w="1870" w:type="dxa"/>
            <w:tcBorders>
              <w:top w:val="single" w:sz="4" w:space="0" w:color="auto"/>
              <w:left w:val="single" w:sz="4" w:space="0" w:color="auto"/>
              <w:bottom w:val="single" w:sz="4" w:space="0" w:color="auto"/>
              <w:right w:val="single" w:sz="4" w:space="0" w:color="auto"/>
            </w:tcBorders>
            <w:hideMark/>
          </w:tcPr>
          <w:p w14:paraId="51435090" w14:textId="77777777" w:rsidR="00105D1F" w:rsidRDefault="00105D1F">
            <w:pPr>
              <w:jc w:val="center"/>
            </w:pPr>
            <w:r>
              <w:t xml:space="preserve">(-715,000 / </w:t>
            </w:r>
            <w:r>
              <w:rPr>
                <w:rFonts w:ascii="Calibri" w:hAnsi="Calibri" w:cs="Calibri"/>
              </w:rPr>
              <w:t>4,307,000) *100</w:t>
            </w:r>
          </w:p>
        </w:tc>
        <w:tc>
          <w:tcPr>
            <w:tcW w:w="875" w:type="dxa"/>
            <w:tcBorders>
              <w:top w:val="single" w:sz="4" w:space="0" w:color="auto"/>
              <w:left w:val="single" w:sz="4" w:space="0" w:color="auto"/>
              <w:bottom w:val="single" w:sz="4" w:space="0" w:color="auto"/>
              <w:right w:val="single" w:sz="4" w:space="0" w:color="auto"/>
            </w:tcBorders>
            <w:hideMark/>
          </w:tcPr>
          <w:p w14:paraId="1E7683D9" w14:textId="77777777" w:rsidR="00105D1F" w:rsidRDefault="00105D1F">
            <w:pPr>
              <w:jc w:val="center"/>
            </w:pPr>
            <w:r>
              <w:t>-16.5%</w:t>
            </w:r>
          </w:p>
        </w:tc>
      </w:tr>
      <w:tr w:rsidR="00105D1F" w14:paraId="61243B96" w14:textId="77777777" w:rsidTr="0002489D">
        <w:tc>
          <w:tcPr>
            <w:tcW w:w="1644" w:type="dxa"/>
            <w:tcBorders>
              <w:top w:val="single" w:sz="4" w:space="0" w:color="auto"/>
              <w:left w:val="single" w:sz="4" w:space="0" w:color="auto"/>
              <w:bottom w:val="single" w:sz="4" w:space="0" w:color="auto"/>
              <w:right w:val="single" w:sz="4" w:space="0" w:color="auto"/>
            </w:tcBorders>
            <w:hideMark/>
          </w:tcPr>
          <w:p w14:paraId="5B00D42F" w14:textId="77777777" w:rsidR="00105D1F" w:rsidRDefault="00105D1F">
            <w:pPr>
              <w:jc w:val="center"/>
            </w:pPr>
            <w:r>
              <w:t>ROCE</w:t>
            </w:r>
          </w:p>
        </w:tc>
        <w:tc>
          <w:tcPr>
            <w:tcW w:w="2058" w:type="dxa"/>
            <w:tcBorders>
              <w:top w:val="single" w:sz="4" w:space="0" w:color="auto"/>
              <w:left w:val="single" w:sz="4" w:space="0" w:color="auto"/>
              <w:bottom w:val="single" w:sz="4" w:space="0" w:color="auto"/>
              <w:right w:val="single" w:sz="4" w:space="0" w:color="auto"/>
            </w:tcBorders>
            <w:hideMark/>
          </w:tcPr>
          <w:p w14:paraId="49D8F9C6" w14:textId="77777777" w:rsidR="00105D1F" w:rsidRDefault="00105D1F">
            <w:pPr>
              <w:jc w:val="center"/>
            </w:pPr>
            <w:r>
              <w:t>(Net profit + Loan Interest)/ (Total assets – current liability) *100</w:t>
            </w:r>
          </w:p>
        </w:tc>
        <w:tc>
          <w:tcPr>
            <w:tcW w:w="2165" w:type="dxa"/>
            <w:tcBorders>
              <w:top w:val="single" w:sz="4" w:space="0" w:color="auto"/>
              <w:left w:val="single" w:sz="4" w:space="0" w:color="auto"/>
              <w:bottom w:val="single" w:sz="4" w:space="0" w:color="auto"/>
              <w:right w:val="single" w:sz="4" w:space="0" w:color="auto"/>
            </w:tcBorders>
            <w:hideMark/>
          </w:tcPr>
          <w:p w14:paraId="23F2ED95" w14:textId="77777777" w:rsidR="00105D1F" w:rsidRDefault="00105D1F">
            <w:pPr>
              <w:jc w:val="center"/>
            </w:pPr>
            <w:r>
              <w:t>(</w:t>
            </w:r>
            <w:r>
              <w:rPr>
                <w:rFonts w:ascii="Calibri" w:hAnsi="Calibri" w:cs="Calibri"/>
              </w:rPr>
              <w:t>881,000 + 414000)/ (14,957,000 - 2,871,000) *100</w:t>
            </w:r>
          </w:p>
        </w:tc>
        <w:tc>
          <w:tcPr>
            <w:tcW w:w="1013" w:type="dxa"/>
            <w:tcBorders>
              <w:top w:val="single" w:sz="4" w:space="0" w:color="auto"/>
              <w:left w:val="single" w:sz="4" w:space="0" w:color="auto"/>
              <w:bottom w:val="single" w:sz="4" w:space="0" w:color="auto"/>
              <w:right w:val="single" w:sz="4" w:space="0" w:color="auto"/>
            </w:tcBorders>
            <w:hideMark/>
          </w:tcPr>
          <w:p w14:paraId="39914000" w14:textId="77777777" w:rsidR="00105D1F" w:rsidRDefault="00105D1F">
            <w:pPr>
              <w:jc w:val="center"/>
            </w:pPr>
            <w:r>
              <w:t>10.71%</w:t>
            </w:r>
          </w:p>
        </w:tc>
        <w:tc>
          <w:tcPr>
            <w:tcW w:w="1870" w:type="dxa"/>
            <w:tcBorders>
              <w:top w:val="single" w:sz="4" w:space="0" w:color="auto"/>
              <w:left w:val="single" w:sz="4" w:space="0" w:color="auto"/>
              <w:bottom w:val="single" w:sz="4" w:space="0" w:color="auto"/>
              <w:right w:val="single" w:sz="4" w:space="0" w:color="auto"/>
            </w:tcBorders>
            <w:hideMark/>
          </w:tcPr>
          <w:p w14:paraId="145115CC" w14:textId="77777777" w:rsidR="00105D1F" w:rsidRDefault="00105D1F">
            <w:pPr>
              <w:jc w:val="center"/>
            </w:pPr>
            <w:r>
              <w:t>(-715,000 + 429,000)/ (16,755,000 - 2,431,000) *100</w:t>
            </w:r>
          </w:p>
        </w:tc>
        <w:tc>
          <w:tcPr>
            <w:tcW w:w="875" w:type="dxa"/>
            <w:tcBorders>
              <w:top w:val="single" w:sz="4" w:space="0" w:color="auto"/>
              <w:left w:val="single" w:sz="4" w:space="0" w:color="auto"/>
              <w:bottom w:val="single" w:sz="4" w:space="0" w:color="auto"/>
              <w:right w:val="single" w:sz="4" w:space="0" w:color="auto"/>
            </w:tcBorders>
            <w:hideMark/>
          </w:tcPr>
          <w:p w14:paraId="05BDE5C4" w14:textId="77777777" w:rsidR="00105D1F" w:rsidRDefault="00105D1F">
            <w:pPr>
              <w:jc w:val="center"/>
            </w:pPr>
            <w:r>
              <w:t>-2%</w:t>
            </w:r>
          </w:p>
        </w:tc>
      </w:tr>
    </w:tbl>
    <w:p w14:paraId="6B9327EF" w14:textId="1FA56A53" w:rsidR="00B8483B" w:rsidRDefault="00B8483B" w:rsidP="00B8483B">
      <w:pPr>
        <w:pStyle w:val="Heading1"/>
      </w:pPr>
      <w:r>
        <w:t xml:space="preserve">                                       </w:t>
      </w:r>
      <w:bookmarkStart w:id="4" w:name="_Toc104274198"/>
      <w:r>
        <w:t>Table one</w:t>
      </w:r>
      <w:r w:rsidR="00276FEE">
        <w:t xml:space="preserve"> (profitability ratio)</w:t>
      </w:r>
      <w:bookmarkEnd w:id="4"/>
    </w:p>
    <w:p w14:paraId="460EC9DA" w14:textId="0B7924FF" w:rsidR="00105D1F" w:rsidRPr="0002489D" w:rsidRDefault="0002489D" w:rsidP="0002489D">
      <w:pPr>
        <w:spacing w:line="360" w:lineRule="auto"/>
        <w:jc w:val="both"/>
        <w:rPr>
          <w:rFonts w:ascii="Times New Roman" w:hAnsi="Times New Roman" w:cs="Times New Roman"/>
          <w:sz w:val="24"/>
          <w:szCs w:val="24"/>
        </w:rPr>
      </w:pPr>
      <w:r w:rsidRPr="0002489D">
        <w:rPr>
          <w:rFonts w:ascii="Times New Roman" w:hAnsi="Times New Roman" w:cs="Times New Roman"/>
          <w:sz w:val="24"/>
          <w:szCs w:val="24"/>
        </w:rPr>
        <w:t xml:space="preserve">During a fiscal year, stakeholders utilize profitability measures to examine and assess a company's ability to generate revenue, assets, operational expenses, and shareholders' equity. The greater the ratio, the better the company is doing in terms of cash flow and revenue generation. </w:t>
      </w:r>
      <w:r>
        <w:rPr>
          <w:rFonts w:ascii="Times New Roman" w:hAnsi="Times New Roman" w:cs="Times New Roman"/>
          <w:sz w:val="24"/>
          <w:szCs w:val="24"/>
        </w:rPr>
        <w:t>Hilton hotel</w:t>
      </w:r>
      <w:r w:rsidRPr="0002489D">
        <w:rPr>
          <w:rFonts w:ascii="Times New Roman" w:hAnsi="Times New Roman" w:cs="Times New Roman"/>
          <w:sz w:val="24"/>
          <w:szCs w:val="24"/>
        </w:rPr>
        <w:t xml:space="preserve"> is earning a sizable annual profit, which is likely to entice investors and raise the value of shareholders' stock</w:t>
      </w:r>
      <w:r w:rsidR="00A73E8F">
        <w:rPr>
          <w:rFonts w:ascii="Times New Roman" w:hAnsi="Times New Roman" w:cs="Times New Roman"/>
          <w:sz w:val="24"/>
          <w:szCs w:val="24"/>
        </w:rPr>
        <w:t xml:space="preserve"> (</w:t>
      </w:r>
      <w:r w:rsidR="00A73E8F" w:rsidRPr="007B1A5B">
        <w:rPr>
          <w:rFonts w:ascii="Times New Roman" w:hAnsi="Times New Roman" w:cs="Times New Roman"/>
          <w:color w:val="222222"/>
          <w:sz w:val="24"/>
          <w:szCs w:val="24"/>
          <w:shd w:val="clear" w:color="auto" w:fill="FFFFFF"/>
        </w:rPr>
        <w:t>Ruslim</w:t>
      </w:r>
      <w:r w:rsidR="00A73E8F">
        <w:rPr>
          <w:rFonts w:ascii="Times New Roman" w:hAnsi="Times New Roman" w:cs="Times New Roman"/>
          <w:color w:val="222222"/>
          <w:sz w:val="24"/>
          <w:szCs w:val="24"/>
          <w:shd w:val="clear" w:color="auto" w:fill="FFFFFF"/>
        </w:rPr>
        <w:t xml:space="preserve"> </w:t>
      </w:r>
      <w:r w:rsidR="00A73E8F" w:rsidRPr="007B1A5B">
        <w:rPr>
          <w:rFonts w:ascii="Times New Roman" w:hAnsi="Times New Roman" w:cs="Times New Roman"/>
          <w:color w:val="222222"/>
          <w:sz w:val="24"/>
          <w:szCs w:val="24"/>
          <w:shd w:val="clear" w:color="auto" w:fill="FFFFFF"/>
        </w:rPr>
        <w:t>and Michael,2019</w:t>
      </w:r>
      <w:r w:rsidR="00A73E8F">
        <w:rPr>
          <w:rFonts w:ascii="Times New Roman" w:hAnsi="Times New Roman" w:cs="Times New Roman"/>
          <w:color w:val="222222"/>
          <w:sz w:val="24"/>
          <w:szCs w:val="24"/>
          <w:shd w:val="clear" w:color="auto" w:fill="FFFFFF"/>
        </w:rPr>
        <w:t>)</w:t>
      </w:r>
      <w:r w:rsidRPr="0002489D">
        <w:rPr>
          <w:rFonts w:ascii="Times New Roman" w:hAnsi="Times New Roman" w:cs="Times New Roman"/>
          <w:sz w:val="24"/>
          <w:szCs w:val="24"/>
        </w:rPr>
        <w:t xml:space="preserve">. The profitability ratio can be used to compare the results of two </w:t>
      </w:r>
      <w:r w:rsidR="001241EA" w:rsidRPr="0002489D">
        <w:rPr>
          <w:rFonts w:ascii="Times New Roman" w:hAnsi="Times New Roman" w:cs="Times New Roman"/>
          <w:sz w:val="24"/>
          <w:szCs w:val="24"/>
        </w:rPr>
        <w:t>companies.</w:t>
      </w:r>
      <w:r w:rsidR="001241EA">
        <w:rPr>
          <w:rFonts w:ascii="Times New Roman" w:hAnsi="Times New Roman" w:cs="Times New Roman"/>
          <w:sz w:val="24"/>
          <w:szCs w:val="24"/>
        </w:rPr>
        <w:t xml:space="preserve"> Hilton</w:t>
      </w:r>
      <w:r>
        <w:rPr>
          <w:rFonts w:ascii="Times New Roman" w:hAnsi="Times New Roman" w:cs="Times New Roman"/>
          <w:sz w:val="24"/>
          <w:szCs w:val="24"/>
        </w:rPr>
        <w:t xml:space="preserve"> hotel</w:t>
      </w:r>
      <w:r w:rsidRPr="0002489D">
        <w:rPr>
          <w:rFonts w:ascii="Times New Roman" w:hAnsi="Times New Roman" w:cs="Times New Roman"/>
          <w:sz w:val="24"/>
          <w:szCs w:val="24"/>
        </w:rPr>
        <w:t xml:space="preserve">, a hotel management company, has the capacity to see which hotels in its portfolio are generating most revenue based on their profitability </w:t>
      </w:r>
      <w:r w:rsidR="001241EA" w:rsidRPr="0002489D">
        <w:rPr>
          <w:rFonts w:ascii="Times New Roman" w:hAnsi="Times New Roman" w:cs="Times New Roman"/>
          <w:sz w:val="24"/>
          <w:szCs w:val="24"/>
        </w:rPr>
        <w:t>ratio.</w:t>
      </w:r>
      <w:r w:rsidRPr="0002489D">
        <w:rPr>
          <w:rFonts w:ascii="Times New Roman" w:hAnsi="Times New Roman" w:cs="Times New Roman"/>
          <w:sz w:val="24"/>
          <w:szCs w:val="24"/>
        </w:rPr>
        <w:t xml:space="preserve"> </w:t>
      </w:r>
      <w:r>
        <w:rPr>
          <w:rFonts w:ascii="Times New Roman" w:hAnsi="Times New Roman" w:cs="Times New Roman"/>
          <w:noProof/>
          <w:sz w:val="24"/>
          <w:szCs w:val="24"/>
          <w:lang w:val="ro-RO" w:eastAsia="ro-RO"/>
        </w:rPr>
        <w:drawing>
          <wp:inline distT="0" distB="0" distL="0" distR="0" wp14:anchorId="43AD83BE" wp14:editId="06AF2EC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0627A4D" w14:textId="58499B1A" w:rsidR="00105D1F" w:rsidRDefault="009776BE" w:rsidP="009776BE">
      <w:pPr>
        <w:pStyle w:val="Heading1"/>
      </w:pPr>
      <w:r>
        <w:lastRenderedPageBreak/>
        <w:t xml:space="preserve">                                             </w:t>
      </w:r>
      <w:bookmarkStart w:id="5" w:name="_Toc104274199"/>
      <w:r>
        <w:t>Chart one</w:t>
      </w:r>
      <w:bookmarkEnd w:id="5"/>
    </w:p>
    <w:p w14:paraId="1AD01C73" w14:textId="4AC470E8" w:rsidR="009776BE" w:rsidRDefault="009776BE" w:rsidP="009776BE">
      <w:pPr>
        <w:spacing w:line="360" w:lineRule="auto"/>
        <w:jc w:val="both"/>
        <w:rPr>
          <w:rFonts w:ascii="Times New Roman" w:hAnsi="Times New Roman" w:cs="Times New Roman"/>
          <w:sz w:val="24"/>
          <w:szCs w:val="24"/>
        </w:rPr>
      </w:pPr>
      <w:r w:rsidRPr="009776BE">
        <w:rPr>
          <w:rFonts w:ascii="Times New Roman" w:hAnsi="Times New Roman" w:cs="Times New Roman"/>
          <w:sz w:val="24"/>
          <w:szCs w:val="24"/>
        </w:rPr>
        <w:t xml:space="preserve">Gross profit at </w:t>
      </w:r>
      <w:r w:rsidR="00994370">
        <w:rPr>
          <w:rFonts w:ascii="Times New Roman" w:hAnsi="Times New Roman" w:cs="Times New Roman"/>
          <w:sz w:val="24"/>
          <w:szCs w:val="24"/>
        </w:rPr>
        <w:t>Hilton Hotel</w:t>
      </w:r>
      <w:r w:rsidRPr="009776BE">
        <w:rPr>
          <w:rFonts w:ascii="Times New Roman" w:hAnsi="Times New Roman" w:cs="Times New Roman"/>
          <w:sz w:val="24"/>
          <w:szCs w:val="24"/>
        </w:rPr>
        <w:t xml:space="preserve"> for 2019 and 2020 is much </w:t>
      </w:r>
      <w:r w:rsidR="00A06A39">
        <w:rPr>
          <w:rFonts w:ascii="Times New Roman" w:hAnsi="Times New Roman" w:cs="Times New Roman"/>
          <w:sz w:val="24"/>
          <w:szCs w:val="24"/>
        </w:rPr>
        <w:t>lower</w:t>
      </w:r>
      <w:r w:rsidRPr="009776BE">
        <w:rPr>
          <w:rFonts w:ascii="Times New Roman" w:hAnsi="Times New Roman" w:cs="Times New Roman"/>
          <w:sz w:val="24"/>
          <w:szCs w:val="24"/>
        </w:rPr>
        <w:t>, according to the P&amp;L statement. This year</w:t>
      </w:r>
      <w:r w:rsidR="00A06A39">
        <w:rPr>
          <w:rFonts w:ascii="Times New Roman" w:hAnsi="Times New Roman" w:cs="Times New Roman"/>
          <w:sz w:val="24"/>
          <w:szCs w:val="24"/>
        </w:rPr>
        <w:t>’</w:t>
      </w:r>
      <w:r w:rsidRPr="009776BE">
        <w:rPr>
          <w:rFonts w:ascii="Times New Roman" w:hAnsi="Times New Roman" w:cs="Times New Roman"/>
          <w:sz w:val="24"/>
          <w:szCs w:val="24"/>
        </w:rPr>
        <w:t xml:space="preserve">s net profit is </w:t>
      </w:r>
      <w:r>
        <w:rPr>
          <w:rFonts w:ascii="Times New Roman" w:hAnsi="Times New Roman" w:cs="Times New Roman"/>
          <w:sz w:val="24"/>
          <w:szCs w:val="24"/>
        </w:rPr>
        <w:t>16.50</w:t>
      </w:r>
      <w:r w:rsidRPr="009776BE">
        <w:rPr>
          <w:rFonts w:ascii="Times New Roman" w:hAnsi="Times New Roman" w:cs="Times New Roman"/>
          <w:sz w:val="24"/>
          <w:szCs w:val="24"/>
        </w:rPr>
        <w:t xml:space="preserve"> percent </w:t>
      </w:r>
      <w:r>
        <w:rPr>
          <w:rFonts w:ascii="Times New Roman" w:hAnsi="Times New Roman" w:cs="Times New Roman"/>
          <w:sz w:val="24"/>
          <w:szCs w:val="24"/>
        </w:rPr>
        <w:t>less</w:t>
      </w:r>
      <w:r w:rsidRPr="009776BE">
        <w:rPr>
          <w:rFonts w:ascii="Times New Roman" w:hAnsi="Times New Roman" w:cs="Times New Roman"/>
          <w:sz w:val="24"/>
          <w:szCs w:val="24"/>
        </w:rPr>
        <w:t xml:space="preserve"> than last year</w:t>
      </w:r>
      <w:r w:rsidR="00A06A39">
        <w:rPr>
          <w:rFonts w:ascii="Times New Roman" w:hAnsi="Times New Roman" w:cs="Times New Roman"/>
          <w:sz w:val="24"/>
          <w:szCs w:val="24"/>
        </w:rPr>
        <w:t>’</w:t>
      </w:r>
      <w:r w:rsidRPr="009776BE">
        <w:rPr>
          <w:rFonts w:ascii="Times New Roman" w:hAnsi="Times New Roman" w:cs="Times New Roman"/>
          <w:sz w:val="24"/>
          <w:szCs w:val="24"/>
        </w:rPr>
        <w:t>s because of higher rent, more expensive advertising, and more bad debt.</w:t>
      </w:r>
    </w:p>
    <w:p w14:paraId="38308082" w14:textId="77777777" w:rsidR="00A06A39" w:rsidRPr="009776BE" w:rsidRDefault="00A06A39" w:rsidP="009776BE">
      <w:pPr>
        <w:spacing w:line="360" w:lineRule="auto"/>
        <w:jc w:val="both"/>
        <w:rPr>
          <w:rFonts w:ascii="Times New Roman" w:hAnsi="Times New Roman" w:cs="Times New Roman"/>
          <w:sz w:val="24"/>
          <w:szCs w:val="24"/>
        </w:rPr>
      </w:pPr>
    </w:p>
    <w:p w14:paraId="5980175B" w14:textId="101BB9C1" w:rsidR="00B8483B" w:rsidRDefault="00B8483B" w:rsidP="00A06A39"/>
    <w:tbl>
      <w:tblPr>
        <w:tblStyle w:val="TableGrid"/>
        <w:tblW w:w="9625" w:type="dxa"/>
        <w:tblInd w:w="0" w:type="dxa"/>
        <w:tblLook w:val="04A0" w:firstRow="1" w:lastRow="0" w:firstColumn="1" w:lastColumn="0" w:noHBand="0" w:noVBand="1"/>
      </w:tblPr>
      <w:tblGrid>
        <w:gridCol w:w="1950"/>
        <w:gridCol w:w="2353"/>
        <w:gridCol w:w="1751"/>
        <w:gridCol w:w="981"/>
        <w:gridCol w:w="1640"/>
        <w:gridCol w:w="950"/>
      </w:tblGrid>
      <w:tr w:rsidR="00B8483B" w14:paraId="65AB430B" w14:textId="77777777" w:rsidTr="00505671">
        <w:tc>
          <w:tcPr>
            <w:tcW w:w="2174" w:type="dxa"/>
            <w:tcBorders>
              <w:top w:val="single" w:sz="4" w:space="0" w:color="auto"/>
              <w:left w:val="single" w:sz="4" w:space="0" w:color="auto"/>
              <w:bottom w:val="single" w:sz="4" w:space="0" w:color="auto"/>
              <w:right w:val="single" w:sz="4" w:space="0" w:color="auto"/>
            </w:tcBorders>
            <w:hideMark/>
          </w:tcPr>
          <w:p w14:paraId="246DFB03" w14:textId="77777777" w:rsidR="00A06A39" w:rsidRDefault="00A06A39">
            <w:pPr>
              <w:jc w:val="center"/>
            </w:pPr>
            <w:r>
              <w:t>Ratio</w:t>
            </w:r>
          </w:p>
        </w:tc>
        <w:tc>
          <w:tcPr>
            <w:tcW w:w="2656" w:type="dxa"/>
            <w:tcBorders>
              <w:top w:val="single" w:sz="4" w:space="0" w:color="auto"/>
              <w:left w:val="single" w:sz="4" w:space="0" w:color="auto"/>
              <w:bottom w:val="single" w:sz="4" w:space="0" w:color="auto"/>
              <w:right w:val="single" w:sz="4" w:space="0" w:color="auto"/>
            </w:tcBorders>
            <w:hideMark/>
          </w:tcPr>
          <w:p w14:paraId="2A437470" w14:textId="77777777" w:rsidR="00A06A39" w:rsidRDefault="00A06A39">
            <w:pPr>
              <w:jc w:val="center"/>
            </w:pPr>
            <w:r>
              <w:t>Formula</w:t>
            </w:r>
          </w:p>
        </w:tc>
        <w:tc>
          <w:tcPr>
            <w:tcW w:w="2789" w:type="dxa"/>
            <w:gridSpan w:val="2"/>
            <w:tcBorders>
              <w:top w:val="single" w:sz="4" w:space="0" w:color="auto"/>
              <w:left w:val="single" w:sz="4" w:space="0" w:color="auto"/>
              <w:bottom w:val="single" w:sz="4" w:space="0" w:color="auto"/>
              <w:right w:val="single" w:sz="4" w:space="0" w:color="auto"/>
            </w:tcBorders>
            <w:hideMark/>
          </w:tcPr>
          <w:p w14:paraId="78D6B810" w14:textId="77777777" w:rsidR="00A06A39" w:rsidRDefault="00A06A39">
            <w:pPr>
              <w:jc w:val="center"/>
            </w:pPr>
            <w:r>
              <w:t>2019</w:t>
            </w:r>
          </w:p>
        </w:tc>
        <w:tc>
          <w:tcPr>
            <w:tcW w:w="2006" w:type="dxa"/>
            <w:gridSpan w:val="2"/>
            <w:tcBorders>
              <w:top w:val="single" w:sz="4" w:space="0" w:color="auto"/>
              <w:left w:val="single" w:sz="4" w:space="0" w:color="auto"/>
              <w:bottom w:val="single" w:sz="4" w:space="0" w:color="auto"/>
              <w:right w:val="single" w:sz="4" w:space="0" w:color="auto"/>
            </w:tcBorders>
            <w:hideMark/>
          </w:tcPr>
          <w:p w14:paraId="606033AC" w14:textId="77777777" w:rsidR="00A06A39" w:rsidRDefault="00A06A39">
            <w:pPr>
              <w:jc w:val="center"/>
            </w:pPr>
            <w:r>
              <w:t>2020</w:t>
            </w:r>
          </w:p>
        </w:tc>
      </w:tr>
      <w:tr w:rsidR="00B8483B" w14:paraId="79E8A900" w14:textId="77777777" w:rsidTr="00505671">
        <w:tc>
          <w:tcPr>
            <w:tcW w:w="2174" w:type="dxa"/>
            <w:tcBorders>
              <w:top w:val="single" w:sz="4" w:space="0" w:color="auto"/>
              <w:left w:val="single" w:sz="4" w:space="0" w:color="auto"/>
              <w:bottom w:val="single" w:sz="4" w:space="0" w:color="auto"/>
              <w:right w:val="single" w:sz="4" w:space="0" w:color="auto"/>
            </w:tcBorders>
            <w:hideMark/>
          </w:tcPr>
          <w:p w14:paraId="7637FCF8" w14:textId="77777777" w:rsidR="00A06A39" w:rsidRDefault="00A06A39">
            <w:pPr>
              <w:jc w:val="center"/>
            </w:pPr>
            <w:r>
              <w:t>Interest Cover</w:t>
            </w:r>
          </w:p>
        </w:tc>
        <w:tc>
          <w:tcPr>
            <w:tcW w:w="2656" w:type="dxa"/>
            <w:tcBorders>
              <w:top w:val="single" w:sz="4" w:space="0" w:color="auto"/>
              <w:left w:val="single" w:sz="4" w:space="0" w:color="auto"/>
              <w:bottom w:val="single" w:sz="4" w:space="0" w:color="auto"/>
              <w:right w:val="single" w:sz="4" w:space="0" w:color="auto"/>
            </w:tcBorders>
            <w:hideMark/>
          </w:tcPr>
          <w:p w14:paraId="5CF0BF96" w14:textId="77777777" w:rsidR="00A06A39" w:rsidRDefault="00A06A39">
            <w:pPr>
              <w:jc w:val="center"/>
            </w:pPr>
            <w:r>
              <w:t>(Net profit + Cash in hand) / Loan Interest</w:t>
            </w:r>
          </w:p>
        </w:tc>
        <w:tc>
          <w:tcPr>
            <w:tcW w:w="1751" w:type="dxa"/>
            <w:tcBorders>
              <w:top w:val="single" w:sz="4" w:space="0" w:color="auto"/>
              <w:left w:val="single" w:sz="4" w:space="0" w:color="auto"/>
              <w:bottom w:val="single" w:sz="4" w:space="0" w:color="auto"/>
              <w:right w:val="single" w:sz="4" w:space="0" w:color="auto"/>
            </w:tcBorders>
          </w:tcPr>
          <w:p w14:paraId="1AF2C353" w14:textId="3FA79CF4" w:rsidR="00A06A39" w:rsidRDefault="00B8483B">
            <w:pPr>
              <w:jc w:val="center"/>
            </w:pPr>
            <w:r>
              <w:t>1244000/414000</w:t>
            </w:r>
          </w:p>
        </w:tc>
        <w:tc>
          <w:tcPr>
            <w:tcW w:w="1038" w:type="dxa"/>
            <w:tcBorders>
              <w:top w:val="single" w:sz="4" w:space="0" w:color="auto"/>
              <w:left w:val="single" w:sz="4" w:space="0" w:color="auto"/>
              <w:bottom w:val="single" w:sz="4" w:space="0" w:color="auto"/>
              <w:right w:val="single" w:sz="4" w:space="0" w:color="auto"/>
            </w:tcBorders>
          </w:tcPr>
          <w:p w14:paraId="6E3BF4DB" w14:textId="6A65DC48" w:rsidR="00A06A39" w:rsidRDefault="00B8483B">
            <w:pPr>
              <w:jc w:val="center"/>
            </w:pPr>
            <w:r>
              <w:t>3.004</w:t>
            </w:r>
          </w:p>
        </w:tc>
        <w:tc>
          <w:tcPr>
            <w:tcW w:w="981" w:type="dxa"/>
            <w:tcBorders>
              <w:top w:val="single" w:sz="4" w:space="0" w:color="auto"/>
              <w:left w:val="single" w:sz="4" w:space="0" w:color="auto"/>
              <w:bottom w:val="single" w:sz="4" w:space="0" w:color="auto"/>
              <w:right w:val="single" w:sz="4" w:space="0" w:color="auto"/>
            </w:tcBorders>
          </w:tcPr>
          <w:p w14:paraId="0D2D6E1F" w14:textId="2DBEDCCF" w:rsidR="00A06A39" w:rsidRDefault="001241EA">
            <w:pPr>
              <w:jc w:val="center"/>
            </w:pPr>
            <w:r>
              <w:t>-924000/429000</w:t>
            </w:r>
          </w:p>
        </w:tc>
        <w:tc>
          <w:tcPr>
            <w:tcW w:w="1025" w:type="dxa"/>
            <w:tcBorders>
              <w:top w:val="single" w:sz="4" w:space="0" w:color="auto"/>
              <w:left w:val="single" w:sz="4" w:space="0" w:color="auto"/>
              <w:bottom w:val="single" w:sz="4" w:space="0" w:color="auto"/>
              <w:right w:val="single" w:sz="4" w:space="0" w:color="auto"/>
            </w:tcBorders>
          </w:tcPr>
          <w:p w14:paraId="22E658C8" w14:textId="03C1DC19" w:rsidR="00A06A39" w:rsidRDefault="00B8483B">
            <w:pPr>
              <w:jc w:val="center"/>
            </w:pPr>
            <w:r>
              <w:t>-2.15</w:t>
            </w:r>
          </w:p>
        </w:tc>
      </w:tr>
    </w:tbl>
    <w:p w14:paraId="0CF7742C" w14:textId="13A32A3A" w:rsidR="00F62DF2" w:rsidRDefault="00F62DF2" w:rsidP="00F62DF2">
      <w:pPr>
        <w:pStyle w:val="Heading1"/>
      </w:pPr>
      <w:r>
        <w:t xml:space="preserve">                                          </w:t>
      </w:r>
      <w:bookmarkStart w:id="6" w:name="_Toc104274200"/>
      <w:r>
        <w:t>Table 2</w:t>
      </w:r>
      <w:r w:rsidR="00276FEE">
        <w:t xml:space="preserve"> (Gearing /solvency ratio)</w:t>
      </w:r>
      <w:bookmarkEnd w:id="6"/>
    </w:p>
    <w:p w14:paraId="0B5AE119" w14:textId="19ABCFD8" w:rsidR="00A06A39" w:rsidRDefault="00505671" w:rsidP="00505671">
      <w:pPr>
        <w:spacing w:line="360" w:lineRule="auto"/>
        <w:jc w:val="both"/>
        <w:rPr>
          <w:rFonts w:ascii="Times New Roman" w:hAnsi="Times New Roman" w:cs="Times New Roman"/>
          <w:sz w:val="24"/>
          <w:szCs w:val="24"/>
        </w:rPr>
      </w:pPr>
      <w:r w:rsidRPr="00505671">
        <w:rPr>
          <w:rFonts w:ascii="Times New Roman" w:hAnsi="Times New Roman" w:cs="Times New Roman"/>
          <w:sz w:val="24"/>
          <w:szCs w:val="24"/>
        </w:rPr>
        <w:t xml:space="preserve">Companies' ability to repay their long-term debt is determined by their solvency or </w:t>
      </w:r>
      <w:r w:rsidR="00994370">
        <w:rPr>
          <w:rFonts w:ascii="Times New Roman" w:hAnsi="Times New Roman" w:cs="Times New Roman"/>
          <w:sz w:val="24"/>
          <w:szCs w:val="24"/>
        </w:rPr>
        <w:t xml:space="preserve">the </w:t>
      </w:r>
      <w:r w:rsidRPr="00505671">
        <w:rPr>
          <w:rFonts w:ascii="Times New Roman" w:hAnsi="Times New Roman" w:cs="Times New Roman"/>
          <w:sz w:val="24"/>
          <w:szCs w:val="24"/>
        </w:rPr>
        <w:t>gearing ratio. In addition, the equity-to-debt ratio is used to gauge the financial health of the business. The company's gearing ratio reveals the financial risks it faces</w:t>
      </w:r>
      <w:r w:rsidR="00A73E8F">
        <w:rPr>
          <w:rFonts w:ascii="Times New Roman" w:hAnsi="Times New Roman" w:cs="Times New Roman"/>
          <w:sz w:val="24"/>
          <w:szCs w:val="24"/>
        </w:rPr>
        <w:t xml:space="preserve"> (</w:t>
      </w:r>
      <w:r w:rsidR="00A73E8F" w:rsidRPr="007B1A5B">
        <w:rPr>
          <w:rFonts w:ascii="Times New Roman" w:hAnsi="Times New Roman" w:cs="Times New Roman"/>
          <w:color w:val="222222"/>
          <w:sz w:val="24"/>
          <w:szCs w:val="24"/>
          <w:shd w:val="clear" w:color="auto" w:fill="FFFFFF"/>
        </w:rPr>
        <w:t>Lee and Lee, 2018</w:t>
      </w:r>
      <w:r w:rsidR="00A73E8F">
        <w:rPr>
          <w:rFonts w:ascii="Times New Roman" w:hAnsi="Times New Roman" w:cs="Times New Roman"/>
          <w:color w:val="222222"/>
          <w:sz w:val="24"/>
          <w:szCs w:val="24"/>
          <w:shd w:val="clear" w:color="auto" w:fill="FFFFFF"/>
        </w:rPr>
        <w:t>)</w:t>
      </w:r>
      <w:r w:rsidRPr="00505671">
        <w:rPr>
          <w:rFonts w:ascii="Times New Roman" w:hAnsi="Times New Roman" w:cs="Times New Roman"/>
          <w:sz w:val="24"/>
          <w:szCs w:val="24"/>
        </w:rPr>
        <w:t>. Financial distress can occur when businesses are heavily in debt. A low gearing ratio indicates a low debt-to-equity ratio.</w:t>
      </w:r>
    </w:p>
    <w:p w14:paraId="44FCA8D7" w14:textId="54C53FD6" w:rsidR="00F62DF2" w:rsidRDefault="005F1C85" w:rsidP="0050567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14:anchorId="713F7D6C" wp14:editId="3F82F2EF">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E2EC60A" w14:textId="4B82CB30" w:rsidR="00F62DF2" w:rsidRDefault="00F62DF2" w:rsidP="00F62DF2">
      <w:pPr>
        <w:pStyle w:val="Heading1"/>
      </w:pPr>
      <w:r>
        <w:lastRenderedPageBreak/>
        <w:t xml:space="preserve">                                            </w:t>
      </w:r>
      <w:bookmarkStart w:id="7" w:name="_Toc104274201"/>
      <w:r>
        <w:t>Chart 2</w:t>
      </w:r>
      <w:bookmarkEnd w:id="7"/>
    </w:p>
    <w:p w14:paraId="1CB1A59A" w14:textId="77777777" w:rsidR="00F62DF2" w:rsidRDefault="00F62DF2" w:rsidP="00F62DF2">
      <w:pPr>
        <w:spacing w:line="360" w:lineRule="auto"/>
        <w:jc w:val="both"/>
        <w:rPr>
          <w:rFonts w:ascii="Times New Roman" w:hAnsi="Times New Roman" w:cs="Times New Roman"/>
          <w:sz w:val="24"/>
          <w:szCs w:val="24"/>
        </w:rPr>
      </w:pPr>
      <w:r>
        <w:rPr>
          <w:rFonts w:ascii="Times New Roman" w:hAnsi="Times New Roman" w:cs="Times New Roman"/>
          <w:sz w:val="24"/>
          <w:szCs w:val="24"/>
        </w:rPr>
        <w:t>Hilton’s</w:t>
      </w:r>
      <w:r w:rsidRPr="00F62DF2">
        <w:rPr>
          <w:rFonts w:ascii="Times New Roman" w:hAnsi="Times New Roman" w:cs="Times New Roman"/>
          <w:sz w:val="24"/>
          <w:szCs w:val="24"/>
        </w:rPr>
        <w:t xml:space="preserve"> low interest coverage ratio indicates that profits are insufficient to cover the debt's interest costs.</w:t>
      </w:r>
    </w:p>
    <w:p w14:paraId="2E780F23" w14:textId="000A0D6C" w:rsidR="00B1262C" w:rsidRPr="00F62DF2" w:rsidRDefault="00B8483B" w:rsidP="00F62DF2">
      <w:pPr>
        <w:spacing w:line="360" w:lineRule="auto"/>
        <w:jc w:val="both"/>
        <w:rPr>
          <w:rFonts w:ascii="Times New Roman" w:hAnsi="Times New Roman" w:cs="Times New Roman"/>
          <w:sz w:val="24"/>
          <w:szCs w:val="24"/>
        </w:rPr>
      </w:pPr>
      <w:r>
        <w:t>Liquidity</w:t>
      </w:r>
    </w:p>
    <w:tbl>
      <w:tblPr>
        <w:tblStyle w:val="TableGrid"/>
        <w:tblW w:w="9625" w:type="dxa"/>
        <w:tblInd w:w="0" w:type="dxa"/>
        <w:tblLook w:val="04A0" w:firstRow="1" w:lastRow="0" w:firstColumn="1" w:lastColumn="0" w:noHBand="0" w:noVBand="1"/>
      </w:tblPr>
      <w:tblGrid>
        <w:gridCol w:w="2304"/>
        <w:gridCol w:w="2837"/>
        <w:gridCol w:w="1174"/>
        <w:gridCol w:w="1067"/>
        <w:gridCol w:w="1174"/>
        <w:gridCol w:w="1069"/>
      </w:tblGrid>
      <w:tr w:rsidR="00B8483B" w14:paraId="172781CC" w14:textId="77777777" w:rsidTr="00B1262C">
        <w:tc>
          <w:tcPr>
            <w:tcW w:w="2304" w:type="dxa"/>
            <w:tcBorders>
              <w:top w:val="single" w:sz="4" w:space="0" w:color="auto"/>
              <w:left w:val="single" w:sz="4" w:space="0" w:color="auto"/>
              <w:bottom w:val="single" w:sz="4" w:space="0" w:color="auto"/>
              <w:right w:val="single" w:sz="4" w:space="0" w:color="auto"/>
            </w:tcBorders>
            <w:hideMark/>
          </w:tcPr>
          <w:p w14:paraId="436C1342" w14:textId="77777777" w:rsidR="00B8483B" w:rsidRDefault="00B8483B">
            <w:pPr>
              <w:jc w:val="center"/>
            </w:pPr>
            <w:r>
              <w:t>Ratio</w:t>
            </w:r>
          </w:p>
        </w:tc>
        <w:tc>
          <w:tcPr>
            <w:tcW w:w="2837" w:type="dxa"/>
            <w:tcBorders>
              <w:top w:val="single" w:sz="4" w:space="0" w:color="auto"/>
              <w:left w:val="single" w:sz="4" w:space="0" w:color="auto"/>
              <w:bottom w:val="single" w:sz="4" w:space="0" w:color="auto"/>
              <w:right w:val="single" w:sz="4" w:space="0" w:color="auto"/>
            </w:tcBorders>
            <w:hideMark/>
          </w:tcPr>
          <w:p w14:paraId="242B96A9" w14:textId="77777777" w:rsidR="00B8483B" w:rsidRDefault="00B8483B">
            <w:pPr>
              <w:jc w:val="center"/>
            </w:pPr>
            <w:r>
              <w:t>Formula</w:t>
            </w:r>
          </w:p>
        </w:tc>
        <w:tc>
          <w:tcPr>
            <w:tcW w:w="2241" w:type="dxa"/>
            <w:gridSpan w:val="2"/>
            <w:tcBorders>
              <w:top w:val="single" w:sz="4" w:space="0" w:color="auto"/>
              <w:left w:val="single" w:sz="4" w:space="0" w:color="auto"/>
              <w:bottom w:val="single" w:sz="4" w:space="0" w:color="auto"/>
              <w:right w:val="single" w:sz="4" w:space="0" w:color="auto"/>
            </w:tcBorders>
            <w:hideMark/>
          </w:tcPr>
          <w:p w14:paraId="373F870B" w14:textId="77777777" w:rsidR="00B8483B" w:rsidRDefault="00B8483B">
            <w:pPr>
              <w:jc w:val="center"/>
            </w:pPr>
            <w:r>
              <w:t>2019</w:t>
            </w:r>
          </w:p>
        </w:tc>
        <w:tc>
          <w:tcPr>
            <w:tcW w:w="2243" w:type="dxa"/>
            <w:gridSpan w:val="2"/>
            <w:tcBorders>
              <w:top w:val="single" w:sz="4" w:space="0" w:color="auto"/>
              <w:left w:val="single" w:sz="4" w:space="0" w:color="auto"/>
              <w:bottom w:val="single" w:sz="4" w:space="0" w:color="auto"/>
              <w:right w:val="single" w:sz="4" w:space="0" w:color="auto"/>
            </w:tcBorders>
            <w:hideMark/>
          </w:tcPr>
          <w:p w14:paraId="1B2C8CF0" w14:textId="77777777" w:rsidR="00B8483B" w:rsidRDefault="00B8483B">
            <w:pPr>
              <w:jc w:val="center"/>
            </w:pPr>
            <w:r>
              <w:t>2020</w:t>
            </w:r>
          </w:p>
        </w:tc>
      </w:tr>
      <w:tr w:rsidR="00B8483B" w14:paraId="760E178D" w14:textId="77777777" w:rsidTr="00B1262C">
        <w:tc>
          <w:tcPr>
            <w:tcW w:w="2304" w:type="dxa"/>
            <w:tcBorders>
              <w:top w:val="single" w:sz="4" w:space="0" w:color="auto"/>
              <w:left w:val="single" w:sz="4" w:space="0" w:color="auto"/>
              <w:bottom w:val="single" w:sz="4" w:space="0" w:color="auto"/>
              <w:right w:val="single" w:sz="4" w:space="0" w:color="auto"/>
            </w:tcBorders>
            <w:hideMark/>
          </w:tcPr>
          <w:p w14:paraId="61AB21D6" w14:textId="77777777" w:rsidR="00B8483B" w:rsidRDefault="00B8483B">
            <w:pPr>
              <w:jc w:val="center"/>
            </w:pPr>
            <w:r>
              <w:t>Current Ratio</w:t>
            </w:r>
          </w:p>
        </w:tc>
        <w:tc>
          <w:tcPr>
            <w:tcW w:w="2837" w:type="dxa"/>
            <w:tcBorders>
              <w:top w:val="single" w:sz="4" w:space="0" w:color="auto"/>
              <w:left w:val="single" w:sz="4" w:space="0" w:color="auto"/>
              <w:bottom w:val="single" w:sz="4" w:space="0" w:color="auto"/>
              <w:right w:val="single" w:sz="4" w:space="0" w:color="auto"/>
            </w:tcBorders>
            <w:hideMark/>
          </w:tcPr>
          <w:p w14:paraId="7D3DE774" w14:textId="77777777" w:rsidR="00B8483B" w:rsidRDefault="00B8483B">
            <w:pPr>
              <w:jc w:val="center"/>
            </w:pPr>
            <w:r>
              <w:t>Current Assets/ Current Liabilities</w:t>
            </w:r>
          </w:p>
        </w:tc>
        <w:tc>
          <w:tcPr>
            <w:tcW w:w="1174" w:type="dxa"/>
            <w:tcBorders>
              <w:top w:val="single" w:sz="4" w:space="0" w:color="auto"/>
              <w:left w:val="single" w:sz="4" w:space="0" w:color="auto"/>
              <w:bottom w:val="single" w:sz="4" w:space="0" w:color="auto"/>
              <w:right w:val="single" w:sz="4" w:space="0" w:color="auto"/>
            </w:tcBorders>
            <w:hideMark/>
          </w:tcPr>
          <w:p w14:paraId="4AE54FBE" w14:textId="77777777" w:rsidR="00B8483B" w:rsidRDefault="00B8483B">
            <w:pPr>
              <w:jc w:val="center"/>
            </w:pPr>
            <w:r>
              <w:t>(2,093,000 / 2,871,000)</w:t>
            </w:r>
          </w:p>
        </w:tc>
        <w:tc>
          <w:tcPr>
            <w:tcW w:w="1067" w:type="dxa"/>
            <w:tcBorders>
              <w:top w:val="single" w:sz="4" w:space="0" w:color="auto"/>
              <w:left w:val="single" w:sz="4" w:space="0" w:color="auto"/>
              <w:bottom w:val="single" w:sz="4" w:space="0" w:color="auto"/>
              <w:right w:val="single" w:sz="4" w:space="0" w:color="auto"/>
            </w:tcBorders>
            <w:hideMark/>
          </w:tcPr>
          <w:p w14:paraId="5A30F693" w14:textId="77777777" w:rsidR="00B8483B" w:rsidRDefault="00B8483B">
            <w:pPr>
              <w:jc w:val="center"/>
            </w:pPr>
            <w:r>
              <w:t>.73</w:t>
            </w:r>
          </w:p>
        </w:tc>
        <w:tc>
          <w:tcPr>
            <w:tcW w:w="1174" w:type="dxa"/>
            <w:tcBorders>
              <w:top w:val="single" w:sz="4" w:space="0" w:color="auto"/>
              <w:left w:val="single" w:sz="4" w:space="0" w:color="auto"/>
              <w:bottom w:val="single" w:sz="4" w:space="0" w:color="auto"/>
              <w:right w:val="single" w:sz="4" w:space="0" w:color="auto"/>
            </w:tcBorders>
            <w:hideMark/>
          </w:tcPr>
          <w:p w14:paraId="23705B57" w14:textId="77777777" w:rsidR="00B8483B" w:rsidRDefault="00B8483B">
            <w:pPr>
              <w:jc w:val="center"/>
            </w:pPr>
            <w:r>
              <w:t>(4,202,000 / 2,431,000)</w:t>
            </w:r>
          </w:p>
        </w:tc>
        <w:tc>
          <w:tcPr>
            <w:tcW w:w="1069" w:type="dxa"/>
            <w:tcBorders>
              <w:top w:val="single" w:sz="4" w:space="0" w:color="auto"/>
              <w:left w:val="single" w:sz="4" w:space="0" w:color="auto"/>
              <w:bottom w:val="single" w:sz="4" w:space="0" w:color="auto"/>
              <w:right w:val="single" w:sz="4" w:space="0" w:color="auto"/>
            </w:tcBorders>
            <w:hideMark/>
          </w:tcPr>
          <w:p w14:paraId="286CEEB3" w14:textId="77777777" w:rsidR="00B8483B" w:rsidRDefault="00B8483B">
            <w:pPr>
              <w:jc w:val="center"/>
            </w:pPr>
            <w:r>
              <w:t>1.73</w:t>
            </w:r>
          </w:p>
        </w:tc>
      </w:tr>
      <w:tr w:rsidR="00B8483B" w14:paraId="6502CF22" w14:textId="77777777" w:rsidTr="00B1262C">
        <w:tc>
          <w:tcPr>
            <w:tcW w:w="2304" w:type="dxa"/>
            <w:tcBorders>
              <w:top w:val="single" w:sz="4" w:space="0" w:color="auto"/>
              <w:left w:val="single" w:sz="4" w:space="0" w:color="auto"/>
              <w:bottom w:val="single" w:sz="4" w:space="0" w:color="auto"/>
              <w:right w:val="single" w:sz="4" w:space="0" w:color="auto"/>
            </w:tcBorders>
            <w:hideMark/>
          </w:tcPr>
          <w:p w14:paraId="15AA63DA" w14:textId="77777777" w:rsidR="00B8483B" w:rsidRDefault="00B8483B">
            <w:pPr>
              <w:jc w:val="center"/>
            </w:pPr>
            <w:r>
              <w:t>Quick Ratio</w:t>
            </w:r>
          </w:p>
        </w:tc>
        <w:tc>
          <w:tcPr>
            <w:tcW w:w="2837" w:type="dxa"/>
            <w:tcBorders>
              <w:top w:val="single" w:sz="4" w:space="0" w:color="auto"/>
              <w:left w:val="single" w:sz="4" w:space="0" w:color="auto"/>
              <w:bottom w:val="single" w:sz="4" w:space="0" w:color="auto"/>
              <w:right w:val="single" w:sz="4" w:space="0" w:color="auto"/>
            </w:tcBorders>
            <w:hideMark/>
          </w:tcPr>
          <w:p w14:paraId="44C55DC3" w14:textId="77777777" w:rsidR="00B8483B" w:rsidRDefault="00B8483B">
            <w:pPr>
              <w:jc w:val="center"/>
            </w:pPr>
            <w:r>
              <w:t>Current Assets – Stock/ Current Liability</w:t>
            </w:r>
          </w:p>
        </w:tc>
        <w:tc>
          <w:tcPr>
            <w:tcW w:w="1174" w:type="dxa"/>
            <w:tcBorders>
              <w:top w:val="single" w:sz="4" w:space="0" w:color="auto"/>
              <w:left w:val="single" w:sz="4" w:space="0" w:color="auto"/>
              <w:bottom w:val="single" w:sz="4" w:space="0" w:color="auto"/>
              <w:right w:val="single" w:sz="4" w:space="0" w:color="auto"/>
            </w:tcBorders>
            <w:hideMark/>
          </w:tcPr>
          <w:p w14:paraId="62AAEB30" w14:textId="77777777" w:rsidR="00B8483B" w:rsidRDefault="00B8483B">
            <w:pPr>
              <w:jc w:val="center"/>
            </w:pPr>
            <w:r>
              <w:t>(2,093,000 – 3000) / 2,871,000</w:t>
            </w:r>
          </w:p>
        </w:tc>
        <w:tc>
          <w:tcPr>
            <w:tcW w:w="1067" w:type="dxa"/>
            <w:tcBorders>
              <w:top w:val="single" w:sz="4" w:space="0" w:color="auto"/>
              <w:left w:val="single" w:sz="4" w:space="0" w:color="auto"/>
              <w:bottom w:val="single" w:sz="4" w:space="0" w:color="auto"/>
              <w:right w:val="single" w:sz="4" w:space="0" w:color="auto"/>
            </w:tcBorders>
            <w:hideMark/>
          </w:tcPr>
          <w:p w14:paraId="520D791D" w14:textId="77777777" w:rsidR="00B8483B" w:rsidRDefault="00B8483B">
            <w:pPr>
              <w:jc w:val="center"/>
            </w:pPr>
            <w:r>
              <w:t>.73</w:t>
            </w:r>
          </w:p>
        </w:tc>
        <w:tc>
          <w:tcPr>
            <w:tcW w:w="1174" w:type="dxa"/>
            <w:tcBorders>
              <w:top w:val="single" w:sz="4" w:space="0" w:color="auto"/>
              <w:left w:val="single" w:sz="4" w:space="0" w:color="auto"/>
              <w:bottom w:val="single" w:sz="4" w:space="0" w:color="auto"/>
              <w:right w:val="single" w:sz="4" w:space="0" w:color="auto"/>
            </w:tcBorders>
            <w:hideMark/>
          </w:tcPr>
          <w:p w14:paraId="69EC1DDB" w14:textId="77777777" w:rsidR="00B8483B" w:rsidRDefault="00B8483B">
            <w:pPr>
              <w:jc w:val="center"/>
            </w:pPr>
            <w:r>
              <w:t>(4,202,000 – 3000) / 2,431,000</w:t>
            </w:r>
          </w:p>
        </w:tc>
        <w:tc>
          <w:tcPr>
            <w:tcW w:w="1069" w:type="dxa"/>
            <w:tcBorders>
              <w:top w:val="single" w:sz="4" w:space="0" w:color="auto"/>
              <w:left w:val="single" w:sz="4" w:space="0" w:color="auto"/>
              <w:bottom w:val="single" w:sz="4" w:space="0" w:color="auto"/>
              <w:right w:val="single" w:sz="4" w:space="0" w:color="auto"/>
            </w:tcBorders>
            <w:hideMark/>
          </w:tcPr>
          <w:p w14:paraId="22424FF9" w14:textId="77777777" w:rsidR="00B8483B" w:rsidRDefault="00B8483B">
            <w:pPr>
              <w:jc w:val="center"/>
            </w:pPr>
            <w:r>
              <w:t>1.73</w:t>
            </w:r>
          </w:p>
        </w:tc>
      </w:tr>
    </w:tbl>
    <w:p w14:paraId="58278026" w14:textId="6AAF89B0" w:rsidR="00276FEE" w:rsidRDefault="00276FEE" w:rsidP="00276FEE">
      <w:pPr>
        <w:pStyle w:val="Heading1"/>
      </w:pPr>
      <w:r>
        <w:t xml:space="preserve">                                           </w:t>
      </w:r>
      <w:bookmarkStart w:id="8" w:name="_Toc104274202"/>
      <w:r>
        <w:t>Table 3 (Liquidity ratio)</w:t>
      </w:r>
      <w:bookmarkEnd w:id="8"/>
    </w:p>
    <w:p w14:paraId="54B0684A" w14:textId="247D30AE" w:rsidR="00B8483B" w:rsidRDefault="00B1262C" w:rsidP="00B1262C">
      <w:pPr>
        <w:spacing w:line="360" w:lineRule="auto"/>
        <w:jc w:val="both"/>
        <w:rPr>
          <w:rFonts w:ascii="Times New Roman" w:hAnsi="Times New Roman" w:cs="Times New Roman"/>
          <w:sz w:val="24"/>
          <w:szCs w:val="24"/>
        </w:rPr>
      </w:pPr>
      <w:r w:rsidRPr="00B1262C">
        <w:rPr>
          <w:rFonts w:ascii="Times New Roman" w:hAnsi="Times New Roman" w:cs="Times New Roman"/>
          <w:sz w:val="24"/>
          <w:szCs w:val="24"/>
        </w:rPr>
        <w:t xml:space="preserve">When it comes to short-term debt repayment, a company's liquidity ratio demonstrates how quickly it can turn its current assets into cash in order to pay off its current </w:t>
      </w:r>
      <w:r w:rsidR="001241EA" w:rsidRPr="00B1262C">
        <w:rPr>
          <w:rFonts w:ascii="Times New Roman" w:hAnsi="Times New Roman" w:cs="Times New Roman"/>
          <w:sz w:val="24"/>
          <w:szCs w:val="24"/>
        </w:rPr>
        <w:t>liabilities.</w:t>
      </w:r>
      <w:r w:rsidRPr="00B1262C">
        <w:rPr>
          <w:rFonts w:ascii="Times New Roman" w:hAnsi="Times New Roman" w:cs="Times New Roman"/>
          <w:sz w:val="24"/>
          <w:szCs w:val="24"/>
        </w:rPr>
        <w:t xml:space="preserve"> When it comes to determining a company's creditworthiness, the current and quick ratio is a key factor to consider. It is regarded typical for the business to have a current ratio of at least 02 and a quick ratio of at least 1. As a result, it shows that the </w:t>
      </w:r>
      <w:r w:rsidR="00994370">
        <w:rPr>
          <w:rFonts w:ascii="Times New Roman" w:hAnsi="Times New Roman" w:cs="Times New Roman"/>
          <w:sz w:val="24"/>
          <w:szCs w:val="24"/>
        </w:rPr>
        <w:t>firm</w:t>
      </w:r>
      <w:r w:rsidRPr="00B1262C">
        <w:rPr>
          <w:rFonts w:ascii="Times New Roman" w:hAnsi="Times New Roman" w:cs="Times New Roman"/>
          <w:sz w:val="24"/>
          <w:szCs w:val="24"/>
        </w:rPr>
        <w:t xml:space="preserve"> has </w:t>
      </w:r>
      <w:r w:rsidR="00994370">
        <w:rPr>
          <w:rFonts w:ascii="Times New Roman" w:hAnsi="Times New Roman" w:cs="Times New Roman"/>
          <w:sz w:val="24"/>
          <w:szCs w:val="24"/>
        </w:rPr>
        <w:t>adequate</w:t>
      </w:r>
      <w:r w:rsidRPr="00B1262C">
        <w:rPr>
          <w:rFonts w:ascii="Times New Roman" w:hAnsi="Times New Roman" w:cs="Times New Roman"/>
          <w:sz w:val="24"/>
          <w:szCs w:val="24"/>
        </w:rPr>
        <w:t xml:space="preserve"> liquid </w:t>
      </w:r>
      <w:r w:rsidR="00994370">
        <w:rPr>
          <w:rFonts w:ascii="Times New Roman" w:hAnsi="Times New Roman" w:cs="Times New Roman"/>
          <w:sz w:val="24"/>
          <w:szCs w:val="24"/>
        </w:rPr>
        <w:t>resources</w:t>
      </w:r>
      <w:r w:rsidRPr="00B1262C">
        <w:rPr>
          <w:rFonts w:ascii="Times New Roman" w:hAnsi="Times New Roman" w:cs="Times New Roman"/>
          <w:sz w:val="24"/>
          <w:szCs w:val="24"/>
        </w:rPr>
        <w:t xml:space="preserve"> to meet its present </w:t>
      </w:r>
      <w:r w:rsidR="00994370">
        <w:rPr>
          <w:rFonts w:ascii="Times New Roman" w:hAnsi="Times New Roman" w:cs="Times New Roman"/>
          <w:sz w:val="24"/>
          <w:szCs w:val="24"/>
        </w:rPr>
        <w:t>commitments.</w:t>
      </w:r>
      <w:r w:rsidR="00A73E8F">
        <w:rPr>
          <w:rFonts w:ascii="Times New Roman" w:hAnsi="Times New Roman" w:cs="Times New Roman"/>
          <w:sz w:val="24"/>
          <w:szCs w:val="24"/>
        </w:rPr>
        <w:t xml:space="preserve"> (</w:t>
      </w:r>
      <w:r w:rsidR="00A73E8F" w:rsidRPr="007B1A5B">
        <w:rPr>
          <w:rFonts w:ascii="Times New Roman" w:hAnsi="Times New Roman" w:cs="Times New Roman"/>
          <w:color w:val="222222"/>
          <w:sz w:val="24"/>
          <w:szCs w:val="24"/>
          <w:shd w:val="clear" w:color="auto" w:fill="FFFFFF"/>
        </w:rPr>
        <w:t>Sulila,2019</w:t>
      </w:r>
      <w:r w:rsidR="00A73E8F">
        <w:rPr>
          <w:rFonts w:ascii="Times New Roman" w:hAnsi="Times New Roman" w:cs="Times New Roman"/>
          <w:color w:val="222222"/>
          <w:sz w:val="24"/>
          <w:szCs w:val="24"/>
          <w:shd w:val="clear" w:color="auto" w:fill="FFFFFF"/>
        </w:rPr>
        <w:t>)</w:t>
      </w:r>
      <w:r w:rsidRPr="00B1262C">
        <w:rPr>
          <w:rFonts w:ascii="Times New Roman" w:hAnsi="Times New Roman" w:cs="Times New Roman"/>
          <w:sz w:val="24"/>
          <w:szCs w:val="24"/>
        </w:rPr>
        <w:t>. The Liquidity Ratio is a business analyst's favorite since it is simple to understand and reflects the current status of a company's liquid assets. As an added bonus, it demonstrates the rapidity with which a company can pay off its debt. Finally, it demonstrates the business's efficiency in utilizing its asset. However, relying solely on this index is a bad idea. If you use different accounting standards to measure the stockpile's worth over time, the ratio can change as well.</w:t>
      </w:r>
    </w:p>
    <w:p w14:paraId="58054355" w14:textId="77777777" w:rsidR="00B945CD" w:rsidRDefault="00B945CD" w:rsidP="00B1262C">
      <w:pPr>
        <w:spacing w:line="360" w:lineRule="auto"/>
        <w:jc w:val="both"/>
        <w:rPr>
          <w:rFonts w:ascii="Times New Roman" w:hAnsi="Times New Roman" w:cs="Times New Roman"/>
          <w:sz w:val="24"/>
          <w:szCs w:val="24"/>
        </w:rPr>
      </w:pPr>
    </w:p>
    <w:p w14:paraId="0F7FEE95" w14:textId="39F07F1B" w:rsidR="00B1262C" w:rsidRDefault="00B1262C" w:rsidP="00B1262C">
      <w:pPr>
        <w:spacing w:line="360" w:lineRule="auto"/>
        <w:jc w:val="both"/>
        <w:rPr>
          <w:rFonts w:ascii="Times New Roman" w:hAnsi="Times New Roman" w:cs="Times New Roman"/>
          <w:sz w:val="24"/>
          <w:szCs w:val="24"/>
        </w:rPr>
      </w:pPr>
    </w:p>
    <w:p w14:paraId="5A48F265" w14:textId="3B87E063" w:rsidR="00B1262C" w:rsidRDefault="00B1262C" w:rsidP="00B1262C">
      <w:pPr>
        <w:spacing w:line="360" w:lineRule="auto"/>
        <w:jc w:val="both"/>
        <w:rPr>
          <w:rFonts w:ascii="Times New Roman" w:hAnsi="Times New Roman" w:cs="Times New Roman"/>
          <w:sz w:val="24"/>
          <w:szCs w:val="24"/>
        </w:rPr>
      </w:pPr>
    </w:p>
    <w:p w14:paraId="241C8989" w14:textId="7F954BA0" w:rsidR="00A06A39" w:rsidRDefault="00B1262C" w:rsidP="00105D1F">
      <w:r>
        <w:rPr>
          <w:noProof/>
          <w:lang w:val="ro-RO" w:eastAsia="ro-RO"/>
        </w:rPr>
        <w:lastRenderedPageBreak/>
        <w:drawing>
          <wp:inline distT="0" distB="0" distL="0" distR="0" wp14:anchorId="1D833F79" wp14:editId="7759FEF8">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0D6D197" w14:textId="4A101DF0" w:rsidR="00105D1F" w:rsidRDefault="000560EF" w:rsidP="000560EF">
      <w:pPr>
        <w:pStyle w:val="Heading1"/>
      </w:pPr>
      <w:r>
        <w:t xml:space="preserve">                                          </w:t>
      </w:r>
      <w:bookmarkStart w:id="9" w:name="_Toc104274203"/>
      <w:r>
        <w:t>Chart 3</w:t>
      </w:r>
      <w:bookmarkEnd w:id="9"/>
    </w:p>
    <w:p w14:paraId="597BF168" w14:textId="77777777" w:rsidR="00105D1F" w:rsidRDefault="00105D1F" w:rsidP="00105D1F"/>
    <w:p w14:paraId="792457C6" w14:textId="1410750E" w:rsidR="00F62DF2" w:rsidRDefault="00505671" w:rsidP="00105D1F">
      <w:pPr>
        <w:spacing w:line="360" w:lineRule="auto"/>
        <w:jc w:val="both"/>
        <w:rPr>
          <w:rFonts w:ascii="Times New Roman" w:hAnsi="Times New Roman" w:cs="Times New Roman"/>
          <w:sz w:val="24"/>
          <w:szCs w:val="24"/>
        </w:rPr>
      </w:pPr>
      <w:r w:rsidRPr="00505671">
        <w:rPr>
          <w:rFonts w:ascii="Times New Roman" w:hAnsi="Times New Roman" w:cs="Times New Roman"/>
          <w:sz w:val="24"/>
          <w:szCs w:val="24"/>
        </w:rPr>
        <w:t xml:space="preserve">Having a quick ratio greater than 1 indicates that </w:t>
      </w:r>
      <w:r>
        <w:rPr>
          <w:rFonts w:ascii="Times New Roman" w:hAnsi="Times New Roman" w:cs="Times New Roman"/>
          <w:sz w:val="24"/>
          <w:szCs w:val="24"/>
        </w:rPr>
        <w:t>Hilton</w:t>
      </w:r>
      <w:r w:rsidRPr="00505671">
        <w:rPr>
          <w:rFonts w:ascii="Times New Roman" w:hAnsi="Times New Roman" w:cs="Times New Roman"/>
          <w:sz w:val="24"/>
          <w:szCs w:val="24"/>
        </w:rPr>
        <w:t xml:space="preserve"> has more quick assets than current liabilities.  </w:t>
      </w:r>
      <w:r>
        <w:rPr>
          <w:rFonts w:ascii="Times New Roman" w:hAnsi="Times New Roman" w:cs="Times New Roman"/>
          <w:sz w:val="24"/>
          <w:szCs w:val="24"/>
        </w:rPr>
        <w:t>Hilton</w:t>
      </w:r>
      <w:r w:rsidRPr="00505671">
        <w:rPr>
          <w:rFonts w:ascii="Times New Roman" w:hAnsi="Times New Roman" w:cs="Times New Roman"/>
          <w:sz w:val="24"/>
          <w:szCs w:val="24"/>
        </w:rPr>
        <w:t>'s liquidity improve</w:t>
      </w:r>
      <w:r>
        <w:rPr>
          <w:rFonts w:ascii="Times New Roman" w:hAnsi="Times New Roman" w:cs="Times New Roman"/>
          <w:sz w:val="24"/>
          <w:szCs w:val="24"/>
        </w:rPr>
        <w:t xml:space="preserve">d as </w:t>
      </w:r>
      <w:r w:rsidRPr="00505671">
        <w:rPr>
          <w:rFonts w:ascii="Times New Roman" w:hAnsi="Times New Roman" w:cs="Times New Roman"/>
          <w:sz w:val="24"/>
          <w:szCs w:val="24"/>
        </w:rPr>
        <w:t>the quick ratio rises. If cash is needed, more assets can be easily transformed.</w:t>
      </w:r>
    </w:p>
    <w:p w14:paraId="35B8FD18" w14:textId="77777777" w:rsidR="00F62DF2" w:rsidRDefault="00F62DF2">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pPr w:leftFromText="180" w:rightFromText="180" w:horzAnchor="margin" w:tblpY="641"/>
        <w:tblW w:w="9625" w:type="dxa"/>
        <w:tblInd w:w="0" w:type="dxa"/>
        <w:tblLook w:val="04A0" w:firstRow="1" w:lastRow="0" w:firstColumn="1" w:lastColumn="0" w:noHBand="0" w:noVBand="1"/>
      </w:tblPr>
      <w:tblGrid>
        <w:gridCol w:w="2237"/>
        <w:gridCol w:w="2751"/>
        <w:gridCol w:w="1285"/>
        <w:gridCol w:w="1032"/>
        <w:gridCol w:w="1285"/>
        <w:gridCol w:w="1035"/>
      </w:tblGrid>
      <w:tr w:rsidR="00F62DF2" w14:paraId="0BB17418" w14:textId="77777777" w:rsidTr="004B27D9">
        <w:tc>
          <w:tcPr>
            <w:tcW w:w="2237" w:type="dxa"/>
            <w:tcBorders>
              <w:top w:val="single" w:sz="4" w:space="0" w:color="auto"/>
              <w:left w:val="single" w:sz="4" w:space="0" w:color="auto"/>
              <w:bottom w:val="single" w:sz="4" w:space="0" w:color="auto"/>
              <w:right w:val="single" w:sz="4" w:space="0" w:color="auto"/>
            </w:tcBorders>
            <w:hideMark/>
          </w:tcPr>
          <w:p w14:paraId="69B17BA8" w14:textId="77777777" w:rsidR="00F62DF2" w:rsidRDefault="00F62DF2" w:rsidP="005E6970">
            <w:pPr>
              <w:jc w:val="center"/>
            </w:pPr>
            <w:r>
              <w:lastRenderedPageBreak/>
              <w:t>Ratio</w:t>
            </w:r>
          </w:p>
        </w:tc>
        <w:tc>
          <w:tcPr>
            <w:tcW w:w="2751" w:type="dxa"/>
            <w:tcBorders>
              <w:top w:val="single" w:sz="4" w:space="0" w:color="auto"/>
              <w:left w:val="single" w:sz="4" w:space="0" w:color="auto"/>
              <w:bottom w:val="single" w:sz="4" w:space="0" w:color="auto"/>
              <w:right w:val="single" w:sz="4" w:space="0" w:color="auto"/>
            </w:tcBorders>
            <w:hideMark/>
          </w:tcPr>
          <w:p w14:paraId="58E1D497" w14:textId="77777777" w:rsidR="00F62DF2" w:rsidRDefault="00F62DF2" w:rsidP="005E6970">
            <w:pPr>
              <w:jc w:val="center"/>
            </w:pPr>
            <w:r>
              <w:t>Formula</w:t>
            </w:r>
          </w:p>
        </w:tc>
        <w:tc>
          <w:tcPr>
            <w:tcW w:w="2317" w:type="dxa"/>
            <w:gridSpan w:val="2"/>
            <w:tcBorders>
              <w:top w:val="single" w:sz="4" w:space="0" w:color="auto"/>
              <w:left w:val="single" w:sz="4" w:space="0" w:color="auto"/>
              <w:bottom w:val="single" w:sz="4" w:space="0" w:color="auto"/>
              <w:right w:val="single" w:sz="4" w:space="0" w:color="auto"/>
            </w:tcBorders>
            <w:hideMark/>
          </w:tcPr>
          <w:p w14:paraId="6AA588A8" w14:textId="77777777" w:rsidR="00F62DF2" w:rsidRDefault="00F62DF2" w:rsidP="005E6970">
            <w:pPr>
              <w:jc w:val="center"/>
            </w:pPr>
            <w:r>
              <w:t>2019</w:t>
            </w:r>
          </w:p>
        </w:tc>
        <w:tc>
          <w:tcPr>
            <w:tcW w:w="2320" w:type="dxa"/>
            <w:gridSpan w:val="2"/>
            <w:tcBorders>
              <w:top w:val="single" w:sz="4" w:space="0" w:color="auto"/>
              <w:left w:val="single" w:sz="4" w:space="0" w:color="auto"/>
              <w:bottom w:val="single" w:sz="4" w:space="0" w:color="auto"/>
              <w:right w:val="single" w:sz="4" w:space="0" w:color="auto"/>
            </w:tcBorders>
            <w:hideMark/>
          </w:tcPr>
          <w:p w14:paraId="6B789322" w14:textId="77777777" w:rsidR="00F62DF2" w:rsidRDefault="00F62DF2" w:rsidP="005E6970">
            <w:pPr>
              <w:jc w:val="center"/>
            </w:pPr>
            <w:r>
              <w:t>2020</w:t>
            </w:r>
          </w:p>
        </w:tc>
      </w:tr>
      <w:tr w:rsidR="00F62DF2" w14:paraId="34A79D21" w14:textId="77777777" w:rsidTr="004B27D9">
        <w:tc>
          <w:tcPr>
            <w:tcW w:w="2237" w:type="dxa"/>
            <w:tcBorders>
              <w:top w:val="single" w:sz="4" w:space="0" w:color="auto"/>
              <w:left w:val="single" w:sz="4" w:space="0" w:color="auto"/>
              <w:bottom w:val="single" w:sz="4" w:space="0" w:color="auto"/>
              <w:right w:val="single" w:sz="4" w:space="0" w:color="auto"/>
            </w:tcBorders>
            <w:hideMark/>
          </w:tcPr>
          <w:p w14:paraId="31BF7032" w14:textId="77777777" w:rsidR="00F62DF2" w:rsidRDefault="00F62DF2" w:rsidP="005E6970">
            <w:pPr>
              <w:jc w:val="center"/>
            </w:pPr>
            <w:r>
              <w:t>Working Capital Turnover</w:t>
            </w:r>
          </w:p>
        </w:tc>
        <w:tc>
          <w:tcPr>
            <w:tcW w:w="2751" w:type="dxa"/>
            <w:tcBorders>
              <w:top w:val="single" w:sz="4" w:space="0" w:color="auto"/>
              <w:left w:val="single" w:sz="4" w:space="0" w:color="auto"/>
              <w:bottom w:val="single" w:sz="4" w:space="0" w:color="auto"/>
              <w:right w:val="single" w:sz="4" w:space="0" w:color="auto"/>
            </w:tcBorders>
            <w:hideMark/>
          </w:tcPr>
          <w:p w14:paraId="183FFFD7" w14:textId="77777777" w:rsidR="00F62DF2" w:rsidRDefault="00F62DF2" w:rsidP="005E6970">
            <w:pPr>
              <w:jc w:val="center"/>
            </w:pPr>
            <w:r>
              <w:t>Sales / Net Current Assets</w:t>
            </w:r>
          </w:p>
        </w:tc>
        <w:tc>
          <w:tcPr>
            <w:tcW w:w="1285" w:type="dxa"/>
            <w:tcBorders>
              <w:top w:val="single" w:sz="4" w:space="0" w:color="auto"/>
              <w:left w:val="single" w:sz="4" w:space="0" w:color="auto"/>
              <w:bottom w:val="single" w:sz="4" w:space="0" w:color="auto"/>
              <w:right w:val="single" w:sz="4" w:space="0" w:color="auto"/>
            </w:tcBorders>
            <w:hideMark/>
          </w:tcPr>
          <w:p w14:paraId="6A468E21" w14:textId="77777777" w:rsidR="00F62DF2" w:rsidRDefault="00F62DF2" w:rsidP="005E6970">
            <w:pPr>
              <w:jc w:val="center"/>
            </w:pPr>
            <w:r>
              <w:t>(9,452,000 / 2,093,000)</w:t>
            </w:r>
          </w:p>
        </w:tc>
        <w:tc>
          <w:tcPr>
            <w:tcW w:w="1032" w:type="dxa"/>
            <w:tcBorders>
              <w:top w:val="single" w:sz="4" w:space="0" w:color="auto"/>
              <w:left w:val="single" w:sz="4" w:space="0" w:color="auto"/>
              <w:bottom w:val="single" w:sz="4" w:space="0" w:color="auto"/>
              <w:right w:val="single" w:sz="4" w:space="0" w:color="auto"/>
            </w:tcBorders>
          </w:tcPr>
          <w:p w14:paraId="2FC77C94" w14:textId="03E1B90E" w:rsidR="00F62DF2" w:rsidRDefault="00D202C9" w:rsidP="005E6970">
            <w:pPr>
              <w:jc w:val="center"/>
            </w:pPr>
            <w:r>
              <w:t>4.51</w:t>
            </w:r>
          </w:p>
        </w:tc>
        <w:tc>
          <w:tcPr>
            <w:tcW w:w="1285" w:type="dxa"/>
            <w:tcBorders>
              <w:top w:val="single" w:sz="4" w:space="0" w:color="auto"/>
              <w:left w:val="single" w:sz="4" w:space="0" w:color="auto"/>
              <w:bottom w:val="single" w:sz="4" w:space="0" w:color="auto"/>
              <w:right w:val="single" w:sz="4" w:space="0" w:color="auto"/>
            </w:tcBorders>
            <w:hideMark/>
          </w:tcPr>
          <w:p w14:paraId="13030585" w14:textId="77777777" w:rsidR="00F62DF2" w:rsidRDefault="00F62DF2" w:rsidP="005E6970">
            <w:pPr>
              <w:jc w:val="center"/>
            </w:pPr>
            <w:r>
              <w:t>(4,307,000 / 4,202,000)</w:t>
            </w:r>
          </w:p>
        </w:tc>
        <w:tc>
          <w:tcPr>
            <w:tcW w:w="1035" w:type="dxa"/>
            <w:tcBorders>
              <w:top w:val="single" w:sz="4" w:space="0" w:color="auto"/>
              <w:left w:val="single" w:sz="4" w:space="0" w:color="auto"/>
              <w:bottom w:val="single" w:sz="4" w:space="0" w:color="auto"/>
              <w:right w:val="single" w:sz="4" w:space="0" w:color="auto"/>
            </w:tcBorders>
          </w:tcPr>
          <w:p w14:paraId="75F78B4A" w14:textId="1669DE81" w:rsidR="00F62DF2" w:rsidRDefault="00D202C9" w:rsidP="005E6970">
            <w:pPr>
              <w:jc w:val="center"/>
            </w:pPr>
            <w:r>
              <w:t>1.024</w:t>
            </w:r>
          </w:p>
        </w:tc>
      </w:tr>
      <w:tr w:rsidR="00F62DF2" w14:paraId="7ED68622" w14:textId="77777777" w:rsidTr="004B27D9">
        <w:tc>
          <w:tcPr>
            <w:tcW w:w="2237" w:type="dxa"/>
            <w:tcBorders>
              <w:top w:val="single" w:sz="4" w:space="0" w:color="auto"/>
              <w:left w:val="single" w:sz="4" w:space="0" w:color="auto"/>
              <w:bottom w:val="single" w:sz="4" w:space="0" w:color="auto"/>
              <w:right w:val="single" w:sz="4" w:space="0" w:color="auto"/>
            </w:tcBorders>
            <w:hideMark/>
          </w:tcPr>
          <w:p w14:paraId="1D43CF96" w14:textId="77777777" w:rsidR="00F62DF2" w:rsidRDefault="00F62DF2" w:rsidP="005E6970">
            <w:pPr>
              <w:jc w:val="center"/>
            </w:pPr>
            <w:r>
              <w:t>Total assets Turnover</w:t>
            </w:r>
          </w:p>
        </w:tc>
        <w:tc>
          <w:tcPr>
            <w:tcW w:w="2751" w:type="dxa"/>
            <w:tcBorders>
              <w:top w:val="single" w:sz="4" w:space="0" w:color="auto"/>
              <w:left w:val="single" w:sz="4" w:space="0" w:color="auto"/>
              <w:bottom w:val="single" w:sz="4" w:space="0" w:color="auto"/>
              <w:right w:val="single" w:sz="4" w:space="0" w:color="auto"/>
            </w:tcBorders>
            <w:hideMark/>
          </w:tcPr>
          <w:p w14:paraId="4D7F63BD" w14:textId="77777777" w:rsidR="00F62DF2" w:rsidRDefault="00F62DF2" w:rsidP="005E6970">
            <w:pPr>
              <w:jc w:val="center"/>
            </w:pPr>
            <w:r>
              <w:t>Sales/ Total Assets less current liability</w:t>
            </w:r>
          </w:p>
        </w:tc>
        <w:tc>
          <w:tcPr>
            <w:tcW w:w="1285" w:type="dxa"/>
            <w:tcBorders>
              <w:top w:val="single" w:sz="4" w:space="0" w:color="auto"/>
              <w:left w:val="single" w:sz="4" w:space="0" w:color="auto"/>
              <w:bottom w:val="single" w:sz="4" w:space="0" w:color="auto"/>
              <w:right w:val="single" w:sz="4" w:space="0" w:color="auto"/>
            </w:tcBorders>
            <w:hideMark/>
          </w:tcPr>
          <w:p w14:paraId="2B2236FB" w14:textId="77777777" w:rsidR="00F62DF2" w:rsidRDefault="00F62DF2" w:rsidP="005E6970">
            <w:pPr>
              <w:jc w:val="center"/>
            </w:pPr>
            <w:r>
              <w:t>9,452,000 / (14,957,000 - 2,871,000)</w:t>
            </w:r>
          </w:p>
        </w:tc>
        <w:tc>
          <w:tcPr>
            <w:tcW w:w="1032" w:type="dxa"/>
            <w:tcBorders>
              <w:top w:val="single" w:sz="4" w:space="0" w:color="auto"/>
              <w:left w:val="single" w:sz="4" w:space="0" w:color="auto"/>
              <w:bottom w:val="single" w:sz="4" w:space="0" w:color="auto"/>
              <w:right w:val="single" w:sz="4" w:space="0" w:color="auto"/>
            </w:tcBorders>
          </w:tcPr>
          <w:p w14:paraId="5AA4158C" w14:textId="5979751A" w:rsidR="00F62DF2" w:rsidRDefault="00BD38E0" w:rsidP="005E6970">
            <w:pPr>
              <w:jc w:val="center"/>
            </w:pPr>
            <w:r>
              <w:t>.78</w:t>
            </w:r>
          </w:p>
        </w:tc>
        <w:tc>
          <w:tcPr>
            <w:tcW w:w="1285" w:type="dxa"/>
            <w:tcBorders>
              <w:top w:val="single" w:sz="4" w:space="0" w:color="auto"/>
              <w:left w:val="single" w:sz="4" w:space="0" w:color="auto"/>
              <w:bottom w:val="single" w:sz="4" w:space="0" w:color="auto"/>
              <w:right w:val="single" w:sz="4" w:space="0" w:color="auto"/>
            </w:tcBorders>
            <w:hideMark/>
          </w:tcPr>
          <w:p w14:paraId="63DB77F2" w14:textId="77777777" w:rsidR="00F62DF2" w:rsidRDefault="00F62DF2" w:rsidP="005E6970">
            <w:pPr>
              <w:jc w:val="center"/>
            </w:pPr>
            <w:r>
              <w:t>4,307,000 / (16,755,000 - 2,431,000)</w:t>
            </w:r>
          </w:p>
        </w:tc>
        <w:tc>
          <w:tcPr>
            <w:tcW w:w="1035" w:type="dxa"/>
            <w:tcBorders>
              <w:top w:val="single" w:sz="4" w:space="0" w:color="auto"/>
              <w:left w:val="single" w:sz="4" w:space="0" w:color="auto"/>
              <w:bottom w:val="single" w:sz="4" w:space="0" w:color="auto"/>
              <w:right w:val="single" w:sz="4" w:space="0" w:color="auto"/>
            </w:tcBorders>
          </w:tcPr>
          <w:p w14:paraId="759561D1" w14:textId="7BE0B91D" w:rsidR="00F62DF2" w:rsidRDefault="00BD38E0" w:rsidP="005E6970">
            <w:pPr>
              <w:jc w:val="center"/>
            </w:pPr>
            <w:r>
              <w:t>.30</w:t>
            </w:r>
          </w:p>
        </w:tc>
      </w:tr>
      <w:tr w:rsidR="00F62DF2" w14:paraId="504E8ABF" w14:textId="77777777" w:rsidTr="004B27D9">
        <w:tc>
          <w:tcPr>
            <w:tcW w:w="2237" w:type="dxa"/>
            <w:tcBorders>
              <w:top w:val="single" w:sz="4" w:space="0" w:color="auto"/>
              <w:left w:val="single" w:sz="4" w:space="0" w:color="auto"/>
              <w:bottom w:val="single" w:sz="4" w:space="0" w:color="auto"/>
              <w:right w:val="single" w:sz="4" w:space="0" w:color="auto"/>
            </w:tcBorders>
            <w:hideMark/>
          </w:tcPr>
          <w:p w14:paraId="7A64B363" w14:textId="77777777" w:rsidR="00F62DF2" w:rsidRDefault="00F62DF2" w:rsidP="005E6970">
            <w:pPr>
              <w:jc w:val="center"/>
            </w:pPr>
            <w:r>
              <w:t>Debt Ratio</w:t>
            </w:r>
          </w:p>
        </w:tc>
        <w:tc>
          <w:tcPr>
            <w:tcW w:w="2751" w:type="dxa"/>
            <w:tcBorders>
              <w:top w:val="single" w:sz="4" w:space="0" w:color="auto"/>
              <w:left w:val="single" w:sz="4" w:space="0" w:color="auto"/>
              <w:bottom w:val="single" w:sz="4" w:space="0" w:color="auto"/>
              <w:right w:val="single" w:sz="4" w:space="0" w:color="auto"/>
            </w:tcBorders>
            <w:hideMark/>
          </w:tcPr>
          <w:p w14:paraId="0442C57E" w14:textId="77777777" w:rsidR="00F62DF2" w:rsidRDefault="00F62DF2" w:rsidP="005E6970">
            <w:pPr>
              <w:jc w:val="center"/>
            </w:pPr>
            <w:r>
              <w:t>(Total current liability + Bank Loan) / (Total current assets + Fixed assets)</w:t>
            </w:r>
          </w:p>
        </w:tc>
        <w:tc>
          <w:tcPr>
            <w:tcW w:w="1285" w:type="dxa"/>
            <w:tcBorders>
              <w:top w:val="single" w:sz="4" w:space="0" w:color="auto"/>
              <w:left w:val="single" w:sz="4" w:space="0" w:color="auto"/>
              <w:bottom w:val="single" w:sz="4" w:space="0" w:color="auto"/>
              <w:right w:val="single" w:sz="4" w:space="0" w:color="auto"/>
            </w:tcBorders>
            <w:hideMark/>
          </w:tcPr>
          <w:p w14:paraId="109F353D" w14:textId="77777777" w:rsidR="00F62DF2" w:rsidRDefault="00F62DF2" w:rsidP="005E6970">
            <w:pPr>
              <w:jc w:val="center"/>
            </w:pPr>
            <w:r>
              <w:t>(2,871,000 / 2,093,000)</w:t>
            </w:r>
          </w:p>
        </w:tc>
        <w:tc>
          <w:tcPr>
            <w:tcW w:w="1032" w:type="dxa"/>
            <w:tcBorders>
              <w:top w:val="single" w:sz="4" w:space="0" w:color="auto"/>
              <w:left w:val="single" w:sz="4" w:space="0" w:color="auto"/>
              <w:bottom w:val="single" w:sz="4" w:space="0" w:color="auto"/>
              <w:right w:val="single" w:sz="4" w:space="0" w:color="auto"/>
            </w:tcBorders>
          </w:tcPr>
          <w:p w14:paraId="46CA1D0E" w14:textId="4C9137F2" w:rsidR="00F62DF2" w:rsidRDefault="00D202C9" w:rsidP="005E6970">
            <w:pPr>
              <w:jc w:val="center"/>
            </w:pPr>
            <w:r>
              <w:t>1.37</w:t>
            </w:r>
          </w:p>
        </w:tc>
        <w:tc>
          <w:tcPr>
            <w:tcW w:w="1285" w:type="dxa"/>
            <w:tcBorders>
              <w:top w:val="single" w:sz="4" w:space="0" w:color="auto"/>
              <w:left w:val="single" w:sz="4" w:space="0" w:color="auto"/>
              <w:bottom w:val="single" w:sz="4" w:space="0" w:color="auto"/>
              <w:right w:val="single" w:sz="4" w:space="0" w:color="auto"/>
            </w:tcBorders>
            <w:hideMark/>
          </w:tcPr>
          <w:p w14:paraId="52C98F41" w14:textId="77777777" w:rsidR="00F62DF2" w:rsidRDefault="00F62DF2" w:rsidP="005E6970">
            <w:pPr>
              <w:jc w:val="center"/>
            </w:pPr>
            <w:r>
              <w:t>(2,431,000 / 4,202,000)</w:t>
            </w:r>
          </w:p>
        </w:tc>
        <w:tc>
          <w:tcPr>
            <w:tcW w:w="1035" w:type="dxa"/>
            <w:tcBorders>
              <w:top w:val="single" w:sz="4" w:space="0" w:color="auto"/>
              <w:left w:val="single" w:sz="4" w:space="0" w:color="auto"/>
              <w:bottom w:val="single" w:sz="4" w:space="0" w:color="auto"/>
              <w:right w:val="single" w:sz="4" w:space="0" w:color="auto"/>
            </w:tcBorders>
          </w:tcPr>
          <w:p w14:paraId="1989A368" w14:textId="54DADFFE" w:rsidR="00F62DF2" w:rsidRDefault="00D202C9" w:rsidP="005E6970">
            <w:pPr>
              <w:jc w:val="center"/>
            </w:pPr>
            <w:r>
              <w:t>.57</w:t>
            </w:r>
          </w:p>
        </w:tc>
      </w:tr>
    </w:tbl>
    <w:p w14:paraId="1455D3FB" w14:textId="3157D829" w:rsidR="00F62DF2" w:rsidRDefault="00F62DF2" w:rsidP="00105D1F">
      <w:pPr>
        <w:spacing w:line="360" w:lineRule="auto"/>
        <w:jc w:val="both"/>
        <w:rPr>
          <w:rFonts w:ascii="Times New Roman" w:hAnsi="Times New Roman" w:cs="Times New Roman"/>
          <w:sz w:val="24"/>
          <w:szCs w:val="24"/>
        </w:rPr>
      </w:pPr>
    </w:p>
    <w:p w14:paraId="67207600" w14:textId="678F563E" w:rsidR="004B27D9" w:rsidRDefault="004B27D9" w:rsidP="004B27D9">
      <w:pPr>
        <w:pStyle w:val="Heading1"/>
      </w:pPr>
      <w:r>
        <w:t xml:space="preserve">                                                </w:t>
      </w:r>
      <w:bookmarkStart w:id="10" w:name="_Toc104274204"/>
      <w:r>
        <w:t>Table 4</w:t>
      </w:r>
      <w:bookmarkEnd w:id="10"/>
    </w:p>
    <w:p w14:paraId="00EC7626" w14:textId="77777777" w:rsidR="00C05048" w:rsidRPr="00C05048" w:rsidRDefault="00C05048" w:rsidP="00C05048"/>
    <w:p w14:paraId="50636862" w14:textId="6E2FBA92" w:rsidR="00766B73" w:rsidRDefault="00B945CD" w:rsidP="00766B73">
      <w:pPr>
        <w:spacing w:line="360" w:lineRule="auto"/>
        <w:jc w:val="both"/>
        <w:rPr>
          <w:rFonts w:ascii="Times New Roman" w:hAnsi="Times New Roman" w:cs="Times New Roman"/>
          <w:sz w:val="24"/>
          <w:szCs w:val="24"/>
        </w:rPr>
      </w:pPr>
      <w:r w:rsidRPr="00B945CD">
        <w:rPr>
          <w:rFonts w:ascii="Times New Roman" w:hAnsi="Times New Roman" w:cs="Times New Roman"/>
          <w:sz w:val="24"/>
          <w:szCs w:val="24"/>
        </w:rPr>
        <w:t xml:space="preserve">The working capital turnover index measures how many </w:t>
      </w:r>
      <w:r>
        <w:rPr>
          <w:rFonts w:ascii="Times New Roman" w:hAnsi="Times New Roman" w:cs="Times New Roman"/>
          <w:sz w:val="24"/>
          <w:szCs w:val="24"/>
        </w:rPr>
        <w:t>dollars</w:t>
      </w:r>
      <w:r w:rsidRPr="00B945CD">
        <w:rPr>
          <w:rFonts w:ascii="Times New Roman" w:hAnsi="Times New Roman" w:cs="Times New Roman"/>
          <w:sz w:val="24"/>
          <w:szCs w:val="24"/>
        </w:rPr>
        <w:t xml:space="preserve"> of working capital the company can generate in sales. </w:t>
      </w:r>
      <w:r>
        <w:rPr>
          <w:rFonts w:ascii="Times New Roman" w:hAnsi="Times New Roman" w:cs="Times New Roman"/>
          <w:sz w:val="24"/>
          <w:szCs w:val="24"/>
        </w:rPr>
        <w:t>A</w:t>
      </w:r>
      <w:r w:rsidRPr="00B945CD">
        <w:rPr>
          <w:rFonts w:ascii="Times New Roman" w:hAnsi="Times New Roman" w:cs="Times New Roman"/>
          <w:sz w:val="24"/>
          <w:szCs w:val="24"/>
        </w:rPr>
        <w:t xml:space="preserve"> greater working capital turnover index indicates that the </w:t>
      </w:r>
      <w:r w:rsidR="00F27A33">
        <w:rPr>
          <w:rFonts w:ascii="Times New Roman" w:hAnsi="Times New Roman" w:cs="Times New Roman"/>
          <w:sz w:val="24"/>
          <w:szCs w:val="24"/>
        </w:rPr>
        <w:t>firm</w:t>
      </w:r>
      <w:r w:rsidRPr="00B945CD">
        <w:rPr>
          <w:rFonts w:ascii="Times New Roman" w:hAnsi="Times New Roman" w:cs="Times New Roman"/>
          <w:sz w:val="24"/>
          <w:szCs w:val="24"/>
        </w:rPr>
        <w:t xml:space="preserve"> is capable of </w:t>
      </w:r>
      <w:r w:rsidR="00F27A33">
        <w:rPr>
          <w:rFonts w:ascii="Times New Roman" w:hAnsi="Times New Roman" w:cs="Times New Roman"/>
          <w:sz w:val="24"/>
          <w:szCs w:val="24"/>
        </w:rPr>
        <w:t>producing</w:t>
      </w:r>
      <w:r w:rsidRPr="00B945CD">
        <w:rPr>
          <w:rFonts w:ascii="Times New Roman" w:hAnsi="Times New Roman" w:cs="Times New Roman"/>
          <w:sz w:val="24"/>
          <w:szCs w:val="24"/>
        </w:rPr>
        <w:t xml:space="preserve"> </w:t>
      </w:r>
      <w:r w:rsidR="00994370">
        <w:rPr>
          <w:rFonts w:ascii="Times New Roman" w:hAnsi="Times New Roman" w:cs="Times New Roman"/>
          <w:sz w:val="24"/>
          <w:szCs w:val="24"/>
        </w:rPr>
        <w:t>bigge</w:t>
      </w:r>
      <w:r w:rsidRPr="00B945CD">
        <w:rPr>
          <w:rFonts w:ascii="Times New Roman" w:hAnsi="Times New Roman" w:cs="Times New Roman"/>
          <w:sz w:val="24"/>
          <w:szCs w:val="24"/>
        </w:rPr>
        <w:t xml:space="preserve">r sales amounts, resulting in </w:t>
      </w:r>
      <w:r w:rsidR="00F27A33">
        <w:rPr>
          <w:rFonts w:ascii="Times New Roman" w:hAnsi="Times New Roman" w:cs="Times New Roman"/>
          <w:sz w:val="24"/>
          <w:szCs w:val="24"/>
        </w:rPr>
        <w:t>gain</w:t>
      </w:r>
      <w:r w:rsidRPr="00B945CD">
        <w:rPr>
          <w:rFonts w:ascii="Times New Roman" w:hAnsi="Times New Roman" w:cs="Times New Roman"/>
          <w:sz w:val="24"/>
          <w:szCs w:val="24"/>
        </w:rPr>
        <w:t xml:space="preserve">. In contrast, a smaller index of working capital indicates that the </w:t>
      </w:r>
      <w:r w:rsidR="00994370">
        <w:rPr>
          <w:rFonts w:ascii="Times New Roman" w:hAnsi="Times New Roman" w:cs="Times New Roman"/>
          <w:sz w:val="24"/>
          <w:szCs w:val="24"/>
        </w:rPr>
        <w:t>trade</w:t>
      </w:r>
      <w:r w:rsidRPr="00B945CD">
        <w:rPr>
          <w:rFonts w:ascii="Times New Roman" w:hAnsi="Times New Roman" w:cs="Times New Roman"/>
          <w:sz w:val="24"/>
          <w:szCs w:val="24"/>
        </w:rPr>
        <w:t xml:space="preserve"> is </w:t>
      </w:r>
      <w:r w:rsidR="00994370">
        <w:rPr>
          <w:rFonts w:ascii="Times New Roman" w:hAnsi="Times New Roman" w:cs="Times New Roman"/>
          <w:sz w:val="24"/>
          <w:szCs w:val="24"/>
        </w:rPr>
        <w:t>putting money</w:t>
      </w:r>
      <w:r w:rsidRPr="00B945CD">
        <w:rPr>
          <w:rFonts w:ascii="Times New Roman" w:hAnsi="Times New Roman" w:cs="Times New Roman"/>
          <w:sz w:val="24"/>
          <w:szCs w:val="24"/>
        </w:rPr>
        <w:t xml:space="preserve"> in too many accounts receivables, which may lead to bad debts</w:t>
      </w:r>
      <w:r w:rsidR="00A73E8F">
        <w:rPr>
          <w:rFonts w:ascii="Times New Roman" w:hAnsi="Times New Roman" w:cs="Times New Roman"/>
          <w:sz w:val="24"/>
          <w:szCs w:val="24"/>
        </w:rPr>
        <w:t xml:space="preserve"> (</w:t>
      </w:r>
      <w:r w:rsidR="001241EA" w:rsidRPr="007B1A5B">
        <w:rPr>
          <w:rFonts w:ascii="Times New Roman" w:hAnsi="Times New Roman" w:cs="Times New Roman"/>
          <w:color w:val="222222"/>
          <w:sz w:val="24"/>
          <w:szCs w:val="24"/>
          <w:shd w:val="clear" w:color="auto" w:fill="FFFFFF"/>
        </w:rPr>
        <w:t>Pražák, and</w:t>
      </w:r>
      <w:r w:rsidR="00A73E8F" w:rsidRPr="007B1A5B">
        <w:rPr>
          <w:rFonts w:ascii="Times New Roman" w:hAnsi="Times New Roman" w:cs="Times New Roman"/>
          <w:color w:val="222222"/>
          <w:sz w:val="24"/>
          <w:szCs w:val="24"/>
          <w:shd w:val="clear" w:color="auto" w:fill="FFFFFF"/>
        </w:rPr>
        <w:t xml:space="preserve"> Stavárek, 2017</w:t>
      </w:r>
      <w:r w:rsidR="00A73E8F">
        <w:rPr>
          <w:rFonts w:ascii="Times New Roman" w:hAnsi="Times New Roman" w:cs="Times New Roman"/>
          <w:color w:val="222222"/>
          <w:sz w:val="24"/>
          <w:szCs w:val="24"/>
          <w:shd w:val="clear" w:color="auto" w:fill="FFFFFF"/>
        </w:rPr>
        <w:t>)</w:t>
      </w:r>
      <w:r w:rsidRPr="00B945CD">
        <w:rPr>
          <w:rFonts w:ascii="Times New Roman" w:hAnsi="Times New Roman" w:cs="Times New Roman"/>
          <w:sz w:val="24"/>
          <w:szCs w:val="24"/>
        </w:rPr>
        <w:t>. Finally, the number of days it takes for a business to turn over its inventory is shown by the stock turnover days. Lower inventory turnover shows better management by the company</w:t>
      </w:r>
      <w:r>
        <w:rPr>
          <w:rFonts w:ascii="Times New Roman" w:hAnsi="Times New Roman" w:cs="Times New Roman"/>
          <w:sz w:val="24"/>
          <w:szCs w:val="24"/>
        </w:rPr>
        <w:t>.</w:t>
      </w:r>
    </w:p>
    <w:p w14:paraId="6F9F6BF8" w14:textId="372F668E" w:rsidR="00ED4AA0" w:rsidRPr="001241EA" w:rsidRDefault="00D202C9" w:rsidP="001241EA">
      <w:pPr>
        <w:pStyle w:val="Heading1"/>
        <w:rPr>
          <w:rFonts w:ascii="Times New Roman" w:hAnsi="Times New Roman" w:cs="Times New Roman"/>
          <w:b/>
          <w:bCs/>
          <w:sz w:val="24"/>
          <w:szCs w:val="24"/>
        </w:rPr>
      </w:pPr>
      <w:bookmarkStart w:id="11" w:name="_Toc104274205"/>
      <w:r w:rsidRPr="001241EA">
        <w:rPr>
          <w:rFonts w:ascii="Times New Roman" w:hAnsi="Times New Roman" w:cs="Times New Roman"/>
          <w:b/>
          <w:bCs/>
        </w:rPr>
        <w:t>I</w:t>
      </w:r>
      <w:r w:rsidR="00697212" w:rsidRPr="001241EA">
        <w:rPr>
          <w:rFonts w:ascii="Times New Roman" w:hAnsi="Times New Roman" w:cs="Times New Roman"/>
          <w:b/>
          <w:bCs/>
        </w:rPr>
        <w:t xml:space="preserve">mportance of </w:t>
      </w:r>
      <w:r w:rsidR="001241EA">
        <w:rPr>
          <w:rFonts w:ascii="Times New Roman" w:hAnsi="Times New Roman" w:cs="Times New Roman"/>
          <w:b/>
          <w:bCs/>
        </w:rPr>
        <w:t>R</w:t>
      </w:r>
      <w:r w:rsidR="00697212" w:rsidRPr="001241EA">
        <w:rPr>
          <w:rFonts w:ascii="Times New Roman" w:hAnsi="Times New Roman" w:cs="Times New Roman"/>
          <w:b/>
          <w:bCs/>
        </w:rPr>
        <w:t>atio analysis:</w:t>
      </w:r>
      <w:bookmarkEnd w:id="11"/>
    </w:p>
    <w:p w14:paraId="099A5A76" w14:textId="5BFB8063" w:rsidR="00697212" w:rsidRDefault="00697212" w:rsidP="00697212">
      <w:pPr>
        <w:spacing w:line="360" w:lineRule="auto"/>
        <w:jc w:val="both"/>
        <w:rPr>
          <w:rFonts w:ascii="Times New Roman" w:hAnsi="Times New Roman" w:cs="Times New Roman"/>
          <w:sz w:val="24"/>
          <w:szCs w:val="24"/>
        </w:rPr>
      </w:pPr>
      <w:r w:rsidRPr="00697212">
        <w:rPr>
          <w:rFonts w:ascii="Times New Roman" w:hAnsi="Times New Roman" w:cs="Times New Roman"/>
          <w:sz w:val="24"/>
          <w:szCs w:val="24"/>
        </w:rPr>
        <w:t>Hotels and motels, theme parks, transportation, and other industries are all part of the hospitality industry. There are a number of enterprises owned by Hilton that fall under this umbrella. A thorough understanding of ratios will help you analyze the many firms that make up your company's portfolio. The portfolio's many businesses can be analyzed to see which ones are doing well and which ones require development.</w:t>
      </w:r>
    </w:p>
    <w:p w14:paraId="4FDD85FC" w14:textId="585AFC24" w:rsidR="007A7D3A" w:rsidRDefault="007A7D3A" w:rsidP="007A7D3A">
      <w:pPr>
        <w:spacing w:line="360" w:lineRule="auto"/>
        <w:jc w:val="both"/>
        <w:rPr>
          <w:rFonts w:ascii="Times New Roman" w:hAnsi="Times New Roman" w:cs="Times New Roman"/>
          <w:sz w:val="24"/>
          <w:szCs w:val="24"/>
        </w:rPr>
      </w:pPr>
      <w:r w:rsidRPr="007A7D3A">
        <w:rPr>
          <w:rFonts w:ascii="Times New Roman" w:hAnsi="Times New Roman" w:cs="Times New Roman"/>
          <w:sz w:val="24"/>
          <w:szCs w:val="24"/>
        </w:rPr>
        <w:t>Using a ratio analysis, one financial variable's value is compared to another</w:t>
      </w:r>
      <w:r>
        <w:rPr>
          <w:rFonts w:ascii="Times New Roman" w:hAnsi="Times New Roman" w:cs="Times New Roman"/>
          <w:sz w:val="24"/>
          <w:szCs w:val="24"/>
        </w:rPr>
        <w:t>.</w:t>
      </w:r>
      <w:r w:rsidR="00276FEE" w:rsidRPr="007A7D3A">
        <w:rPr>
          <w:rFonts w:ascii="Times New Roman" w:hAnsi="Times New Roman" w:cs="Times New Roman"/>
          <w:sz w:val="24"/>
          <w:szCs w:val="24"/>
        </w:rPr>
        <w:t xml:space="preserve"> </w:t>
      </w:r>
      <w:r w:rsidRPr="007A7D3A">
        <w:rPr>
          <w:rFonts w:ascii="Times New Roman" w:hAnsi="Times New Roman" w:cs="Times New Roman"/>
          <w:sz w:val="24"/>
          <w:szCs w:val="24"/>
        </w:rPr>
        <w:t>Ratios can be calculated using P&amp;L and balance sheet accounts, which are the most common and relevant financial information sources</w:t>
      </w:r>
      <w:r w:rsidR="00C9624D">
        <w:rPr>
          <w:rFonts w:ascii="Times New Roman" w:hAnsi="Times New Roman" w:cs="Times New Roman"/>
          <w:sz w:val="24"/>
          <w:szCs w:val="24"/>
        </w:rPr>
        <w:t xml:space="preserve"> (</w:t>
      </w:r>
      <w:r w:rsidR="00C9624D" w:rsidRPr="007B1A5B">
        <w:rPr>
          <w:rFonts w:ascii="Times New Roman" w:hAnsi="Times New Roman" w:cs="Times New Roman"/>
          <w:color w:val="222222"/>
          <w:sz w:val="24"/>
          <w:szCs w:val="24"/>
          <w:shd w:val="clear" w:color="auto" w:fill="FFFFFF"/>
        </w:rPr>
        <w:t>Sadi’ah,2018</w:t>
      </w:r>
      <w:r w:rsidR="00C9624D">
        <w:rPr>
          <w:rFonts w:ascii="Times New Roman" w:hAnsi="Times New Roman" w:cs="Times New Roman"/>
          <w:color w:val="222222"/>
          <w:sz w:val="24"/>
          <w:szCs w:val="24"/>
          <w:shd w:val="clear" w:color="auto" w:fill="FFFFFF"/>
        </w:rPr>
        <w:t>)</w:t>
      </w:r>
      <w:r w:rsidRPr="007A7D3A">
        <w:rPr>
          <w:rFonts w:ascii="Times New Roman" w:hAnsi="Times New Roman" w:cs="Times New Roman"/>
          <w:sz w:val="24"/>
          <w:szCs w:val="24"/>
        </w:rPr>
        <w:t>. Since these statements are widely used in the business center, it is simple to compare the ratios with those of another department or firm, or even a potential new acquisition.</w:t>
      </w:r>
    </w:p>
    <w:p w14:paraId="5C30B94D" w14:textId="78517346" w:rsidR="007A7D3A" w:rsidRDefault="00086270" w:rsidP="007A7D3A">
      <w:pPr>
        <w:spacing w:line="360" w:lineRule="auto"/>
        <w:jc w:val="both"/>
        <w:rPr>
          <w:rFonts w:ascii="Times New Roman" w:hAnsi="Times New Roman" w:cs="Times New Roman"/>
          <w:sz w:val="24"/>
          <w:szCs w:val="24"/>
        </w:rPr>
      </w:pPr>
      <w:r w:rsidRPr="00086270">
        <w:rPr>
          <w:rFonts w:ascii="Times New Roman" w:hAnsi="Times New Roman" w:cs="Times New Roman"/>
          <w:sz w:val="24"/>
          <w:szCs w:val="24"/>
        </w:rPr>
        <w:lastRenderedPageBreak/>
        <w:t xml:space="preserve">Investors, creditors and other stakeholders utilize ratio analysis to determine a company's creditworthiness. Using ratio analysis, managers can identify </w:t>
      </w:r>
      <w:r w:rsidR="00F27A33">
        <w:rPr>
          <w:rFonts w:ascii="Times New Roman" w:hAnsi="Times New Roman" w:cs="Times New Roman"/>
          <w:sz w:val="24"/>
          <w:szCs w:val="24"/>
        </w:rPr>
        <w:t xml:space="preserve">the </w:t>
      </w:r>
      <w:r w:rsidRPr="00086270">
        <w:rPr>
          <w:rFonts w:ascii="Times New Roman" w:hAnsi="Times New Roman" w:cs="Times New Roman"/>
          <w:sz w:val="24"/>
          <w:szCs w:val="24"/>
        </w:rPr>
        <w:t>strengths and weaknesses in order to develop strategies and initiatives for improving corporate processes.</w:t>
      </w:r>
    </w:p>
    <w:p w14:paraId="354E7C64" w14:textId="0F902E79" w:rsidR="00086270" w:rsidRDefault="00086270" w:rsidP="007A7D3A">
      <w:pPr>
        <w:spacing w:line="360" w:lineRule="auto"/>
        <w:jc w:val="both"/>
        <w:rPr>
          <w:rFonts w:ascii="Times New Roman" w:hAnsi="Times New Roman" w:cs="Times New Roman"/>
          <w:sz w:val="24"/>
          <w:szCs w:val="24"/>
        </w:rPr>
      </w:pPr>
      <w:r w:rsidRPr="00086270">
        <w:rPr>
          <w:rFonts w:ascii="Times New Roman" w:hAnsi="Times New Roman" w:cs="Times New Roman"/>
          <w:sz w:val="24"/>
          <w:szCs w:val="24"/>
        </w:rPr>
        <w:t xml:space="preserve">To make qualitative performance decisions based on quantitative decisions, organizations use ratios to summarize massive amounts of financial </w:t>
      </w:r>
      <w:r w:rsidR="001241EA" w:rsidRPr="00086270">
        <w:rPr>
          <w:rFonts w:ascii="Times New Roman" w:hAnsi="Times New Roman" w:cs="Times New Roman"/>
          <w:sz w:val="24"/>
          <w:szCs w:val="24"/>
        </w:rPr>
        <w:t>data</w:t>
      </w:r>
      <w:r w:rsidR="001241EA">
        <w:rPr>
          <w:rFonts w:ascii="Times New Roman" w:hAnsi="Times New Roman" w:cs="Times New Roman"/>
          <w:sz w:val="24"/>
          <w:szCs w:val="24"/>
        </w:rPr>
        <w:t xml:space="preserve"> (</w:t>
      </w:r>
      <w:r w:rsidR="00D91998" w:rsidRPr="007B1A5B">
        <w:rPr>
          <w:rFonts w:ascii="Times New Roman" w:hAnsi="Times New Roman" w:cs="Times New Roman"/>
          <w:color w:val="222222"/>
          <w:sz w:val="24"/>
          <w:szCs w:val="24"/>
          <w:shd w:val="clear" w:color="auto" w:fill="FFFFFF"/>
        </w:rPr>
        <w:t>Dance</w:t>
      </w:r>
      <w:r w:rsidR="00D91998">
        <w:rPr>
          <w:rFonts w:ascii="Times New Roman" w:hAnsi="Times New Roman" w:cs="Times New Roman"/>
          <w:color w:val="222222"/>
          <w:sz w:val="24"/>
          <w:szCs w:val="24"/>
          <w:shd w:val="clear" w:color="auto" w:fill="FFFFFF"/>
        </w:rPr>
        <w:t xml:space="preserve"> </w:t>
      </w:r>
      <w:r w:rsidR="00D91998" w:rsidRPr="007B1A5B">
        <w:rPr>
          <w:rFonts w:ascii="Times New Roman" w:hAnsi="Times New Roman" w:cs="Times New Roman"/>
          <w:color w:val="222222"/>
          <w:sz w:val="24"/>
          <w:szCs w:val="24"/>
          <w:shd w:val="clear" w:color="auto" w:fill="FFFFFF"/>
        </w:rPr>
        <w:t>and Imade,2019</w:t>
      </w:r>
      <w:r w:rsidR="00D91998">
        <w:rPr>
          <w:rFonts w:ascii="Times New Roman" w:hAnsi="Times New Roman" w:cs="Times New Roman"/>
          <w:color w:val="222222"/>
          <w:sz w:val="24"/>
          <w:szCs w:val="24"/>
          <w:shd w:val="clear" w:color="auto" w:fill="FFFFFF"/>
        </w:rPr>
        <w:t>)</w:t>
      </w:r>
      <w:r w:rsidRPr="00086270">
        <w:rPr>
          <w:rFonts w:ascii="Times New Roman" w:hAnsi="Times New Roman" w:cs="Times New Roman"/>
          <w:sz w:val="24"/>
          <w:szCs w:val="24"/>
        </w:rPr>
        <w:t xml:space="preserve">. During the fiscal year, the current ratio is a quantitative </w:t>
      </w:r>
      <w:r w:rsidR="00F27A33">
        <w:rPr>
          <w:rFonts w:ascii="Times New Roman" w:hAnsi="Times New Roman" w:cs="Times New Roman"/>
          <w:sz w:val="24"/>
          <w:szCs w:val="24"/>
        </w:rPr>
        <w:t>correlation</w:t>
      </w:r>
      <w:r w:rsidRPr="00086270">
        <w:rPr>
          <w:rFonts w:ascii="Times New Roman" w:hAnsi="Times New Roman" w:cs="Times New Roman"/>
          <w:sz w:val="24"/>
          <w:szCs w:val="24"/>
        </w:rPr>
        <w:t xml:space="preserve"> of the </w:t>
      </w:r>
      <w:r w:rsidR="00F27A33">
        <w:rPr>
          <w:rFonts w:ascii="Times New Roman" w:hAnsi="Times New Roman" w:cs="Times New Roman"/>
          <w:sz w:val="24"/>
          <w:szCs w:val="24"/>
        </w:rPr>
        <w:t>correlation</w:t>
      </w:r>
      <w:r w:rsidRPr="00086270">
        <w:rPr>
          <w:rFonts w:ascii="Times New Roman" w:hAnsi="Times New Roman" w:cs="Times New Roman"/>
          <w:sz w:val="24"/>
          <w:szCs w:val="24"/>
        </w:rPr>
        <w:t xml:space="preserve"> between </w:t>
      </w:r>
      <w:r w:rsidR="00F27A33">
        <w:rPr>
          <w:rFonts w:ascii="Times New Roman" w:hAnsi="Times New Roman" w:cs="Times New Roman"/>
          <w:sz w:val="24"/>
          <w:szCs w:val="24"/>
        </w:rPr>
        <w:t>present</w:t>
      </w:r>
      <w:r w:rsidRPr="00086270">
        <w:rPr>
          <w:rFonts w:ascii="Times New Roman" w:hAnsi="Times New Roman" w:cs="Times New Roman"/>
          <w:sz w:val="24"/>
          <w:szCs w:val="24"/>
        </w:rPr>
        <w:t xml:space="preserve"> assets and </w:t>
      </w:r>
      <w:r w:rsidR="00F27A33">
        <w:rPr>
          <w:rFonts w:ascii="Times New Roman" w:hAnsi="Times New Roman" w:cs="Times New Roman"/>
          <w:sz w:val="24"/>
          <w:szCs w:val="24"/>
        </w:rPr>
        <w:t>present</w:t>
      </w:r>
      <w:r w:rsidRPr="00086270">
        <w:rPr>
          <w:rFonts w:ascii="Times New Roman" w:hAnsi="Times New Roman" w:cs="Times New Roman"/>
          <w:sz w:val="24"/>
          <w:szCs w:val="24"/>
        </w:rPr>
        <w:t xml:space="preserve"> liabilities. Using this metric, a hotel's liquidity and ability to meet its present obligations can be evaluated on a qualitative level. Because of this, it's important to keep in mind that a ratio can be used to demonstrate a quantitative relationship and to assist in making qualitative decisions.</w:t>
      </w:r>
    </w:p>
    <w:p w14:paraId="3AE5A6DD" w14:textId="26484213" w:rsidR="0033154A" w:rsidRDefault="0033154A" w:rsidP="0033154A">
      <w:pPr>
        <w:pStyle w:val="Heading1"/>
        <w:rPr>
          <w:rFonts w:ascii="Times New Roman" w:hAnsi="Times New Roman" w:cs="Times New Roman"/>
          <w:b/>
          <w:bCs/>
        </w:rPr>
      </w:pPr>
      <w:bookmarkStart w:id="12" w:name="_Toc104274206"/>
      <w:r>
        <w:rPr>
          <w:rFonts w:ascii="Times New Roman" w:hAnsi="Times New Roman" w:cs="Times New Roman"/>
          <w:b/>
          <w:bCs/>
        </w:rPr>
        <w:t xml:space="preserve">Limitations of Ratio </w:t>
      </w:r>
      <w:r w:rsidR="001241EA">
        <w:rPr>
          <w:rFonts w:ascii="Times New Roman" w:hAnsi="Times New Roman" w:cs="Times New Roman"/>
          <w:b/>
          <w:bCs/>
        </w:rPr>
        <w:t>Analysis</w:t>
      </w:r>
      <w:r>
        <w:rPr>
          <w:rFonts w:ascii="Times New Roman" w:hAnsi="Times New Roman" w:cs="Times New Roman"/>
          <w:b/>
          <w:bCs/>
        </w:rPr>
        <w:t>:</w:t>
      </w:r>
      <w:bookmarkEnd w:id="12"/>
    </w:p>
    <w:p w14:paraId="1BAF9271" w14:textId="46A6C240" w:rsidR="0033154A" w:rsidRDefault="0033154A" w:rsidP="0033154A">
      <w:pPr>
        <w:spacing w:line="360" w:lineRule="auto"/>
        <w:jc w:val="both"/>
        <w:rPr>
          <w:rFonts w:ascii="Times New Roman" w:hAnsi="Times New Roman" w:cs="Times New Roman"/>
          <w:sz w:val="24"/>
          <w:szCs w:val="24"/>
        </w:rPr>
      </w:pPr>
      <w:r w:rsidRPr="0033154A">
        <w:rPr>
          <w:rFonts w:ascii="Times New Roman" w:hAnsi="Times New Roman" w:cs="Times New Roman"/>
          <w:sz w:val="24"/>
          <w:szCs w:val="24"/>
        </w:rPr>
        <w:t>Using historical P&amp;L and balance sheet data, managers compute these ratios. Using historical data may not accurately reflect current patterns, and hence using ratios may not be useful in predicting future outcomes. A 4.7 percent inflation rate was not taken into account in the ratio calculations during the pandemic.</w:t>
      </w:r>
    </w:p>
    <w:p w14:paraId="0676F715" w14:textId="12D2E88A" w:rsidR="0033154A" w:rsidRDefault="009630C3" w:rsidP="009630C3">
      <w:pPr>
        <w:spacing w:line="360" w:lineRule="auto"/>
        <w:jc w:val="both"/>
        <w:rPr>
          <w:rFonts w:ascii="Times New Roman" w:hAnsi="Times New Roman" w:cs="Times New Roman"/>
          <w:sz w:val="24"/>
          <w:szCs w:val="24"/>
        </w:rPr>
      </w:pPr>
      <w:r w:rsidRPr="009630C3">
        <w:rPr>
          <w:rFonts w:ascii="Times New Roman" w:hAnsi="Times New Roman" w:cs="Times New Roman"/>
          <w:sz w:val="24"/>
          <w:szCs w:val="24"/>
        </w:rPr>
        <w:t xml:space="preserve">Because of external events such as the pandemic, recession, etc., calculating ratio analysis may not be precise. During the lockdown, hotels were unable to amuse their customers, which resulted in greater overhead costs for cleaning and cleaning </w:t>
      </w:r>
      <w:r w:rsidR="001241EA" w:rsidRPr="009630C3">
        <w:rPr>
          <w:rFonts w:ascii="Times New Roman" w:hAnsi="Times New Roman" w:cs="Times New Roman"/>
          <w:sz w:val="24"/>
          <w:szCs w:val="24"/>
        </w:rPr>
        <w:t>supplies. As</w:t>
      </w:r>
      <w:r w:rsidRPr="009630C3">
        <w:rPr>
          <w:rFonts w:ascii="Times New Roman" w:hAnsi="Times New Roman" w:cs="Times New Roman"/>
          <w:sz w:val="24"/>
          <w:szCs w:val="24"/>
        </w:rPr>
        <w:t xml:space="preserve"> a result, Hilton Hotel's net profit was lower than expected.</w:t>
      </w:r>
    </w:p>
    <w:p w14:paraId="689D71F0" w14:textId="151D3922" w:rsidR="009630C3" w:rsidRDefault="009630C3" w:rsidP="009630C3">
      <w:pPr>
        <w:spacing w:line="360" w:lineRule="auto"/>
        <w:jc w:val="both"/>
        <w:rPr>
          <w:rFonts w:ascii="Times New Roman" w:hAnsi="Times New Roman" w:cs="Times New Roman"/>
          <w:sz w:val="24"/>
          <w:szCs w:val="24"/>
        </w:rPr>
      </w:pPr>
      <w:r w:rsidRPr="009630C3">
        <w:rPr>
          <w:rFonts w:ascii="Times New Roman" w:hAnsi="Times New Roman" w:cs="Times New Roman"/>
          <w:sz w:val="24"/>
          <w:szCs w:val="24"/>
        </w:rPr>
        <w:t xml:space="preserve">Due to </w:t>
      </w:r>
      <w:r>
        <w:rPr>
          <w:rFonts w:ascii="Times New Roman" w:hAnsi="Times New Roman" w:cs="Times New Roman"/>
          <w:sz w:val="24"/>
          <w:szCs w:val="24"/>
        </w:rPr>
        <w:t>Hilton Hotel</w:t>
      </w:r>
      <w:r w:rsidRPr="009630C3">
        <w:rPr>
          <w:rFonts w:ascii="Times New Roman" w:hAnsi="Times New Roman" w:cs="Times New Roman"/>
          <w:sz w:val="24"/>
          <w:szCs w:val="24"/>
        </w:rPr>
        <w:t>'s multi-business structure, its financial statements will be a little more difficult to analyze</w:t>
      </w:r>
      <w:r w:rsidR="00D91998">
        <w:rPr>
          <w:rFonts w:ascii="Times New Roman" w:hAnsi="Times New Roman" w:cs="Times New Roman"/>
          <w:sz w:val="24"/>
          <w:szCs w:val="24"/>
        </w:rPr>
        <w:t xml:space="preserve"> (</w:t>
      </w:r>
      <w:r w:rsidR="00D91998" w:rsidRPr="007B1A5B">
        <w:rPr>
          <w:rFonts w:ascii="Times New Roman" w:hAnsi="Times New Roman" w:cs="Times New Roman"/>
          <w:color w:val="222222"/>
          <w:sz w:val="24"/>
          <w:szCs w:val="24"/>
          <w:shd w:val="clear" w:color="auto" w:fill="FFFFFF"/>
        </w:rPr>
        <w:t xml:space="preserve">Kim and </w:t>
      </w:r>
      <w:r w:rsidR="001241EA" w:rsidRPr="007B1A5B">
        <w:rPr>
          <w:rFonts w:ascii="Times New Roman" w:hAnsi="Times New Roman" w:cs="Times New Roman"/>
          <w:color w:val="222222"/>
          <w:sz w:val="24"/>
          <w:szCs w:val="24"/>
          <w:shd w:val="clear" w:color="auto" w:fill="FFFFFF"/>
        </w:rPr>
        <w:t>I’m</w:t>
      </w:r>
      <w:r w:rsidR="00D91998">
        <w:rPr>
          <w:rFonts w:ascii="Times New Roman" w:hAnsi="Times New Roman" w:cs="Times New Roman"/>
          <w:color w:val="222222"/>
          <w:sz w:val="24"/>
          <w:szCs w:val="24"/>
          <w:shd w:val="clear" w:color="auto" w:fill="FFFFFF"/>
        </w:rPr>
        <w:t xml:space="preserve"> </w:t>
      </w:r>
      <w:r w:rsidR="00D91998" w:rsidRPr="007B1A5B">
        <w:rPr>
          <w:rFonts w:ascii="Times New Roman" w:hAnsi="Times New Roman" w:cs="Times New Roman"/>
          <w:color w:val="222222"/>
          <w:sz w:val="24"/>
          <w:szCs w:val="24"/>
          <w:shd w:val="clear" w:color="auto" w:fill="FFFFFF"/>
        </w:rPr>
        <w:t>,</w:t>
      </w:r>
      <w:r w:rsidR="00D91998">
        <w:rPr>
          <w:rFonts w:ascii="Times New Roman" w:hAnsi="Times New Roman" w:cs="Times New Roman"/>
          <w:color w:val="222222"/>
          <w:sz w:val="24"/>
          <w:szCs w:val="24"/>
          <w:shd w:val="clear" w:color="auto" w:fill="FFFFFF"/>
        </w:rPr>
        <w:t xml:space="preserve"> </w:t>
      </w:r>
      <w:r w:rsidR="00D91998" w:rsidRPr="007B1A5B">
        <w:rPr>
          <w:rFonts w:ascii="Times New Roman" w:hAnsi="Times New Roman" w:cs="Times New Roman"/>
          <w:color w:val="222222"/>
          <w:sz w:val="24"/>
          <w:szCs w:val="24"/>
          <w:shd w:val="clear" w:color="auto" w:fill="FFFFFF"/>
        </w:rPr>
        <w:t>2017</w:t>
      </w:r>
      <w:r w:rsidR="00D91998">
        <w:rPr>
          <w:rFonts w:ascii="Times New Roman" w:hAnsi="Times New Roman" w:cs="Times New Roman"/>
          <w:color w:val="222222"/>
          <w:sz w:val="24"/>
          <w:szCs w:val="24"/>
          <w:shd w:val="clear" w:color="auto" w:fill="FFFFFF"/>
        </w:rPr>
        <w:t>)</w:t>
      </w:r>
      <w:r w:rsidRPr="009630C3">
        <w:rPr>
          <w:rFonts w:ascii="Times New Roman" w:hAnsi="Times New Roman" w:cs="Times New Roman"/>
          <w:sz w:val="24"/>
          <w:szCs w:val="24"/>
        </w:rPr>
        <w:t xml:space="preserve">. As a result of its interpretations, financial accounting data can be interpreted in many ways. Accounting criteria give a wide range of bookkeeping procedures, which makes it difficult to compare and hence less useful for ratio analysis in this </w:t>
      </w:r>
      <w:r w:rsidR="001241EA" w:rsidRPr="009630C3">
        <w:rPr>
          <w:rFonts w:ascii="Times New Roman" w:hAnsi="Times New Roman" w:cs="Times New Roman"/>
          <w:sz w:val="24"/>
          <w:szCs w:val="24"/>
        </w:rPr>
        <w:t>case. When</w:t>
      </w:r>
      <w:r w:rsidRPr="009630C3">
        <w:rPr>
          <w:rFonts w:ascii="Times New Roman" w:hAnsi="Times New Roman" w:cs="Times New Roman"/>
          <w:sz w:val="24"/>
          <w:szCs w:val="24"/>
        </w:rPr>
        <w:t xml:space="preserve"> determining the most efficient business, it would be more efficient to calculate each business's ratios individually and then compare them.</w:t>
      </w:r>
      <w:r w:rsidR="00F747C5" w:rsidRPr="00F747C5">
        <w:t xml:space="preserve"> </w:t>
      </w:r>
      <w:r w:rsidR="00F747C5" w:rsidRPr="00F747C5">
        <w:rPr>
          <w:rFonts w:ascii="Times New Roman" w:hAnsi="Times New Roman" w:cs="Times New Roman"/>
          <w:sz w:val="24"/>
          <w:szCs w:val="24"/>
        </w:rPr>
        <w:t>Due to major changes in internal company activities, comparison of ratio analysis may lead to erroneous conclusions about the business's success and future prospects. It's impossible to determine an establishment's true profitability by combining  F&amp;B and lodging profitability ratios.</w:t>
      </w:r>
    </w:p>
    <w:p w14:paraId="74FCD6F2" w14:textId="0A7D3952" w:rsidR="00F747C5" w:rsidRDefault="00F747C5" w:rsidP="00F747C5">
      <w:pPr>
        <w:pStyle w:val="Heading1"/>
        <w:spacing w:line="360" w:lineRule="auto"/>
        <w:jc w:val="both"/>
        <w:rPr>
          <w:rFonts w:ascii="Times New Roman" w:hAnsi="Times New Roman" w:cs="Times New Roman"/>
          <w:b/>
          <w:bCs/>
        </w:rPr>
      </w:pPr>
      <w:bookmarkStart w:id="13" w:name="_Toc104274207"/>
      <w:r>
        <w:rPr>
          <w:rFonts w:ascii="Times New Roman" w:hAnsi="Times New Roman" w:cs="Times New Roman"/>
          <w:b/>
          <w:bCs/>
        </w:rPr>
        <w:lastRenderedPageBreak/>
        <w:t>Conclusion:</w:t>
      </w:r>
      <w:bookmarkEnd w:id="13"/>
    </w:p>
    <w:p w14:paraId="010CA409" w14:textId="6F6BA54F" w:rsidR="00C05048" w:rsidRPr="00C05048" w:rsidRDefault="00C05048" w:rsidP="00C05048">
      <w:pPr>
        <w:spacing w:line="360" w:lineRule="auto"/>
        <w:jc w:val="both"/>
        <w:rPr>
          <w:rFonts w:ascii="Times New Roman" w:hAnsi="Times New Roman" w:cs="Times New Roman"/>
          <w:sz w:val="24"/>
          <w:szCs w:val="24"/>
        </w:rPr>
      </w:pPr>
      <w:r w:rsidRPr="00C05048">
        <w:rPr>
          <w:rFonts w:ascii="Times New Roman" w:hAnsi="Times New Roman" w:cs="Times New Roman"/>
          <w:sz w:val="24"/>
          <w:szCs w:val="24"/>
        </w:rPr>
        <w:t>The Hilton hotel's 2019 and 2020 financial filings show that gross revenue and net profit are both below expectations. In 2020, net profit is expected to be much lower. Because of this, the corporation is unable to meet its short-term obligations. Because they have a low interest cover ratio, they are unable to handle corporate assets and turn them into revenue. Increasing revenues, such as through the sale of more products or services or a rise in prices, can help Hilton hotels boost their net margin and interest cover. It is possible to raise a company's net profit margin through cutting costs.</w:t>
      </w:r>
    </w:p>
    <w:p w14:paraId="0117C71C" w14:textId="70C751E7" w:rsidR="00F747C5" w:rsidRDefault="00F747C5" w:rsidP="00F747C5">
      <w:pPr>
        <w:pStyle w:val="Heading1"/>
        <w:rPr>
          <w:rFonts w:ascii="Times New Roman" w:hAnsi="Times New Roman" w:cs="Times New Roman"/>
          <w:b/>
          <w:bCs/>
        </w:rPr>
      </w:pPr>
      <w:bookmarkStart w:id="14" w:name="_Toc104274208"/>
      <w:r>
        <w:rPr>
          <w:rFonts w:ascii="Times New Roman" w:hAnsi="Times New Roman" w:cs="Times New Roman"/>
          <w:b/>
          <w:bCs/>
        </w:rPr>
        <w:t>Reference:</w:t>
      </w:r>
      <w:bookmarkEnd w:id="14"/>
    </w:p>
    <w:p w14:paraId="2C670E55" w14:textId="77777777" w:rsidR="00F34A0A" w:rsidRDefault="00F34A0A" w:rsidP="00F1410F"/>
    <w:p w14:paraId="1F5D558B"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bookmarkStart w:id="15" w:name="_Hlk104229780"/>
      <w:r w:rsidRPr="007B1A5B">
        <w:rPr>
          <w:rFonts w:ascii="Times New Roman" w:hAnsi="Times New Roman" w:cs="Times New Roman"/>
          <w:color w:val="222222"/>
          <w:sz w:val="24"/>
          <w:szCs w:val="24"/>
          <w:shd w:val="clear" w:color="auto" w:fill="FFFFFF"/>
        </w:rPr>
        <w:t xml:space="preserve">Arkan, T., 2016. </w:t>
      </w:r>
      <w:bookmarkEnd w:id="15"/>
      <w:r w:rsidRPr="007B1A5B">
        <w:rPr>
          <w:rFonts w:ascii="Times New Roman" w:hAnsi="Times New Roman" w:cs="Times New Roman"/>
          <w:color w:val="222222"/>
          <w:sz w:val="24"/>
          <w:szCs w:val="24"/>
          <w:shd w:val="clear" w:color="auto" w:fill="FFFFFF"/>
        </w:rPr>
        <w:t>The importance of financial ratios in predicting stock price trends: A case study in emerging markets. </w:t>
      </w:r>
      <w:r w:rsidRPr="007B1A5B">
        <w:rPr>
          <w:rFonts w:ascii="Times New Roman" w:hAnsi="Times New Roman" w:cs="Times New Roman"/>
          <w:i/>
          <w:iCs/>
          <w:color w:val="222222"/>
          <w:sz w:val="24"/>
          <w:szCs w:val="24"/>
          <w:shd w:val="clear" w:color="auto" w:fill="FFFFFF"/>
        </w:rPr>
        <w:t>Finanse, Rynki Finansowe, Ubezpieczenia</w:t>
      </w:r>
      <w:r w:rsidRPr="007B1A5B">
        <w:rPr>
          <w:rFonts w:ascii="Times New Roman" w:hAnsi="Times New Roman" w:cs="Times New Roman"/>
          <w:color w:val="222222"/>
          <w:sz w:val="24"/>
          <w:szCs w:val="24"/>
          <w:shd w:val="clear" w:color="auto" w:fill="FFFFFF"/>
        </w:rPr>
        <w:t>, (79), pp.13-26.</w:t>
      </w:r>
    </w:p>
    <w:p w14:paraId="5AA76A2B" w14:textId="77777777" w:rsidR="00F34A0A" w:rsidRPr="007B1A5B" w:rsidRDefault="00F34A0A" w:rsidP="007B1A5B">
      <w:pPr>
        <w:spacing w:line="360" w:lineRule="auto"/>
        <w:jc w:val="both"/>
        <w:rPr>
          <w:rFonts w:ascii="Times New Roman" w:hAnsi="Times New Roman" w:cs="Times New Roman"/>
          <w:sz w:val="24"/>
          <w:szCs w:val="24"/>
        </w:rPr>
      </w:pPr>
      <w:bookmarkStart w:id="16" w:name="_Hlk104229514"/>
      <w:r w:rsidRPr="007B1A5B">
        <w:rPr>
          <w:rFonts w:ascii="Times New Roman" w:hAnsi="Times New Roman" w:cs="Times New Roman"/>
          <w:color w:val="222222"/>
          <w:sz w:val="24"/>
          <w:szCs w:val="24"/>
          <w:shd w:val="clear" w:color="auto" w:fill="FFFFFF"/>
        </w:rPr>
        <w:t>Dance, M. and Imade, S., 2019</w:t>
      </w:r>
      <w:bookmarkEnd w:id="16"/>
      <w:r w:rsidRPr="007B1A5B">
        <w:rPr>
          <w:rFonts w:ascii="Times New Roman" w:hAnsi="Times New Roman" w:cs="Times New Roman"/>
          <w:color w:val="222222"/>
          <w:sz w:val="24"/>
          <w:szCs w:val="24"/>
          <w:shd w:val="clear" w:color="auto" w:fill="FFFFFF"/>
        </w:rPr>
        <w:t>. Financial ratio analysis in predicting financial conditions distress in indonesia stock exchange. </w:t>
      </w:r>
      <w:r w:rsidRPr="007B1A5B">
        <w:rPr>
          <w:rFonts w:ascii="Times New Roman" w:hAnsi="Times New Roman" w:cs="Times New Roman"/>
          <w:i/>
          <w:iCs/>
          <w:color w:val="222222"/>
          <w:sz w:val="24"/>
          <w:szCs w:val="24"/>
          <w:shd w:val="clear" w:color="auto" w:fill="FFFFFF"/>
        </w:rPr>
        <w:t>Russian Journal of Agricultural and Socio-Economic Sciences</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86</w:t>
      </w:r>
      <w:r w:rsidRPr="007B1A5B">
        <w:rPr>
          <w:rFonts w:ascii="Times New Roman" w:hAnsi="Times New Roman" w:cs="Times New Roman"/>
          <w:color w:val="222222"/>
          <w:sz w:val="24"/>
          <w:szCs w:val="24"/>
          <w:shd w:val="clear" w:color="auto" w:fill="FFFFFF"/>
        </w:rPr>
        <w:t>(2).</w:t>
      </w:r>
    </w:p>
    <w:p w14:paraId="63A0E80F"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r w:rsidRPr="007B1A5B">
        <w:rPr>
          <w:rFonts w:ascii="Times New Roman" w:hAnsi="Times New Roman" w:cs="Times New Roman"/>
          <w:color w:val="222222"/>
          <w:sz w:val="24"/>
          <w:szCs w:val="24"/>
          <w:shd w:val="clear" w:color="auto" w:fill="FFFFFF"/>
        </w:rPr>
        <w:t>Kim, J. and Im, C., 2017. Study on corporate social responsibility (CSR): Focus on tax avoidance and financial ratio analysis. </w:t>
      </w:r>
      <w:r w:rsidRPr="007B1A5B">
        <w:rPr>
          <w:rFonts w:ascii="Times New Roman" w:hAnsi="Times New Roman" w:cs="Times New Roman"/>
          <w:i/>
          <w:iCs/>
          <w:color w:val="222222"/>
          <w:sz w:val="24"/>
          <w:szCs w:val="24"/>
          <w:shd w:val="clear" w:color="auto" w:fill="FFFFFF"/>
        </w:rPr>
        <w:t>Sustainability</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9</w:t>
      </w:r>
      <w:r w:rsidRPr="007B1A5B">
        <w:rPr>
          <w:rFonts w:ascii="Times New Roman" w:hAnsi="Times New Roman" w:cs="Times New Roman"/>
          <w:color w:val="222222"/>
          <w:sz w:val="24"/>
          <w:szCs w:val="24"/>
          <w:shd w:val="clear" w:color="auto" w:fill="FFFFFF"/>
        </w:rPr>
        <w:t>(10), p.1710.</w:t>
      </w:r>
    </w:p>
    <w:p w14:paraId="2EF36BA1"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r w:rsidRPr="007B1A5B">
        <w:rPr>
          <w:rFonts w:ascii="Times New Roman" w:hAnsi="Times New Roman" w:cs="Times New Roman"/>
          <w:color w:val="222222"/>
          <w:sz w:val="24"/>
          <w:szCs w:val="24"/>
          <w:shd w:val="clear" w:color="auto" w:fill="FFFFFF"/>
        </w:rPr>
        <w:t>Lee, B.H. and Lee, S.H., 2018. A study on financial ratio and prediction of financial distress in financial markets. </w:t>
      </w:r>
      <w:r w:rsidRPr="007B1A5B">
        <w:rPr>
          <w:rFonts w:ascii="Times New Roman" w:hAnsi="Times New Roman" w:cs="Times New Roman"/>
          <w:i/>
          <w:iCs/>
          <w:color w:val="222222"/>
          <w:sz w:val="24"/>
          <w:szCs w:val="24"/>
          <w:shd w:val="clear" w:color="auto" w:fill="FFFFFF"/>
        </w:rPr>
        <w:t>Journal of Distribution Science</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16</w:t>
      </w:r>
      <w:r w:rsidRPr="007B1A5B">
        <w:rPr>
          <w:rFonts w:ascii="Times New Roman" w:hAnsi="Times New Roman" w:cs="Times New Roman"/>
          <w:color w:val="222222"/>
          <w:sz w:val="24"/>
          <w:szCs w:val="24"/>
          <w:shd w:val="clear" w:color="auto" w:fill="FFFFFF"/>
        </w:rPr>
        <w:t>(11), pp.21-27.</w:t>
      </w:r>
    </w:p>
    <w:p w14:paraId="4B74D3B5" w14:textId="77777777" w:rsidR="00F34A0A" w:rsidRPr="00A73E8F" w:rsidRDefault="00F34A0A" w:rsidP="00A73E8F">
      <w:pPr>
        <w:spacing w:line="360" w:lineRule="auto"/>
        <w:jc w:val="both"/>
        <w:rPr>
          <w:rFonts w:ascii="Times New Roman" w:hAnsi="Times New Roman" w:cs="Times New Roman"/>
          <w:sz w:val="24"/>
          <w:szCs w:val="24"/>
        </w:rPr>
      </w:pPr>
      <w:r w:rsidRPr="007B1A5B">
        <w:rPr>
          <w:rFonts w:ascii="Times New Roman" w:hAnsi="Times New Roman" w:cs="Times New Roman"/>
          <w:color w:val="222222"/>
          <w:sz w:val="24"/>
          <w:szCs w:val="24"/>
          <w:shd w:val="clear" w:color="auto" w:fill="FFFFFF"/>
        </w:rPr>
        <w:t>Pražák, T. and Stavárek, D., 2017. The effect of financial ratios on the stock price development. </w:t>
      </w:r>
      <w:r w:rsidRPr="007B1A5B">
        <w:rPr>
          <w:rFonts w:ascii="Times New Roman" w:hAnsi="Times New Roman" w:cs="Times New Roman"/>
          <w:i/>
          <w:iCs/>
          <w:color w:val="222222"/>
          <w:sz w:val="24"/>
          <w:szCs w:val="24"/>
          <w:shd w:val="clear" w:color="auto" w:fill="FFFFFF"/>
        </w:rPr>
        <w:t>Interdiscip. Econ. Bus. Res</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43</w:t>
      </w:r>
      <w:r w:rsidRPr="007B1A5B">
        <w:rPr>
          <w:rFonts w:ascii="Times New Roman" w:hAnsi="Times New Roman" w:cs="Times New Roman"/>
          <w:color w:val="222222"/>
          <w:sz w:val="24"/>
          <w:szCs w:val="24"/>
          <w:shd w:val="clear" w:color="auto" w:fill="FFFFFF"/>
        </w:rPr>
        <w:t>, p.3.</w:t>
      </w:r>
    </w:p>
    <w:p w14:paraId="5BEAA6E3"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r w:rsidRPr="007B1A5B">
        <w:rPr>
          <w:rFonts w:ascii="Times New Roman" w:hAnsi="Times New Roman" w:cs="Times New Roman"/>
          <w:color w:val="222222"/>
          <w:sz w:val="24"/>
          <w:szCs w:val="24"/>
          <w:shd w:val="clear" w:color="auto" w:fill="FFFFFF"/>
        </w:rPr>
        <w:t>Rodrigues, L. and Rodrigues, L., 2018. Economic-financial performance of the Brazilian sugarcane energy industry: An empirical evaluation using financial ratio, cluster and discriminant analysis. </w:t>
      </w:r>
      <w:r w:rsidRPr="007B1A5B">
        <w:rPr>
          <w:rFonts w:ascii="Times New Roman" w:hAnsi="Times New Roman" w:cs="Times New Roman"/>
          <w:i/>
          <w:iCs/>
          <w:color w:val="222222"/>
          <w:sz w:val="24"/>
          <w:szCs w:val="24"/>
          <w:shd w:val="clear" w:color="auto" w:fill="FFFFFF"/>
        </w:rPr>
        <w:t>Biomass and bioenergy</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108</w:t>
      </w:r>
      <w:r w:rsidRPr="007B1A5B">
        <w:rPr>
          <w:rFonts w:ascii="Times New Roman" w:hAnsi="Times New Roman" w:cs="Times New Roman"/>
          <w:color w:val="222222"/>
          <w:sz w:val="24"/>
          <w:szCs w:val="24"/>
          <w:shd w:val="clear" w:color="auto" w:fill="FFFFFF"/>
        </w:rPr>
        <w:t>, pp.289-296.</w:t>
      </w:r>
    </w:p>
    <w:p w14:paraId="54112E07"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bookmarkStart w:id="17" w:name="_Hlk104273622"/>
      <w:r w:rsidRPr="007B1A5B">
        <w:rPr>
          <w:rFonts w:ascii="Times New Roman" w:hAnsi="Times New Roman" w:cs="Times New Roman"/>
          <w:color w:val="222222"/>
          <w:sz w:val="24"/>
          <w:szCs w:val="24"/>
          <w:shd w:val="clear" w:color="auto" w:fill="FFFFFF"/>
        </w:rPr>
        <w:t>Ruslim, H. and Michael, M., 2019</w:t>
      </w:r>
      <w:bookmarkEnd w:id="17"/>
      <w:r w:rsidRPr="007B1A5B">
        <w:rPr>
          <w:rFonts w:ascii="Times New Roman" w:hAnsi="Times New Roman" w:cs="Times New Roman"/>
          <w:color w:val="222222"/>
          <w:sz w:val="24"/>
          <w:szCs w:val="24"/>
          <w:shd w:val="clear" w:color="auto" w:fill="FFFFFF"/>
        </w:rPr>
        <w:t>. The effect of financial ratio on company value with inflation as a moderation variable. </w:t>
      </w:r>
      <w:r w:rsidRPr="007B1A5B">
        <w:rPr>
          <w:rFonts w:ascii="Times New Roman" w:hAnsi="Times New Roman" w:cs="Times New Roman"/>
          <w:i/>
          <w:iCs/>
          <w:color w:val="222222"/>
          <w:sz w:val="24"/>
          <w:szCs w:val="24"/>
          <w:shd w:val="clear" w:color="auto" w:fill="FFFFFF"/>
        </w:rPr>
        <w:t>Jurnal Akuntansi</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23</w:t>
      </w:r>
      <w:r w:rsidRPr="007B1A5B">
        <w:rPr>
          <w:rFonts w:ascii="Times New Roman" w:hAnsi="Times New Roman" w:cs="Times New Roman"/>
          <w:color w:val="222222"/>
          <w:sz w:val="24"/>
          <w:szCs w:val="24"/>
          <w:shd w:val="clear" w:color="auto" w:fill="FFFFFF"/>
        </w:rPr>
        <w:t>(1), pp.34-46.</w:t>
      </w:r>
    </w:p>
    <w:p w14:paraId="321F9B09"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r w:rsidRPr="007B1A5B">
        <w:rPr>
          <w:rFonts w:ascii="Times New Roman" w:hAnsi="Times New Roman" w:cs="Times New Roman"/>
          <w:color w:val="222222"/>
          <w:sz w:val="24"/>
          <w:szCs w:val="24"/>
          <w:shd w:val="clear" w:color="auto" w:fill="FFFFFF"/>
        </w:rPr>
        <w:lastRenderedPageBreak/>
        <w:t>Sadi’ah, K., 2018. The effect of corporate financial ratio upon the company value. </w:t>
      </w:r>
      <w:r w:rsidRPr="007B1A5B">
        <w:rPr>
          <w:rFonts w:ascii="Times New Roman" w:hAnsi="Times New Roman" w:cs="Times New Roman"/>
          <w:i/>
          <w:iCs/>
          <w:color w:val="222222"/>
          <w:sz w:val="24"/>
          <w:szCs w:val="24"/>
          <w:shd w:val="clear" w:color="auto" w:fill="FFFFFF"/>
        </w:rPr>
        <w:t>The Accounting Journal of Binaniaga</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3</w:t>
      </w:r>
      <w:r w:rsidRPr="007B1A5B">
        <w:rPr>
          <w:rFonts w:ascii="Times New Roman" w:hAnsi="Times New Roman" w:cs="Times New Roman"/>
          <w:color w:val="222222"/>
          <w:sz w:val="24"/>
          <w:szCs w:val="24"/>
          <w:shd w:val="clear" w:color="auto" w:fill="FFFFFF"/>
        </w:rPr>
        <w:t>(02), pp.75-88.</w:t>
      </w:r>
    </w:p>
    <w:p w14:paraId="018B6F9B"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r w:rsidRPr="007B1A5B">
        <w:rPr>
          <w:rFonts w:ascii="Times New Roman" w:hAnsi="Times New Roman" w:cs="Times New Roman"/>
          <w:color w:val="222222"/>
          <w:sz w:val="24"/>
          <w:szCs w:val="24"/>
          <w:shd w:val="clear" w:color="auto" w:fill="FFFFFF"/>
        </w:rPr>
        <w:t>Sulila, I., 2019. Regional Financial Public Services Evaluation Based on Regional Budget and Expenditure. </w:t>
      </w:r>
      <w:r w:rsidRPr="007B1A5B">
        <w:rPr>
          <w:rFonts w:ascii="Times New Roman" w:hAnsi="Times New Roman" w:cs="Times New Roman"/>
          <w:i/>
          <w:iCs/>
          <w:color w:val="222222"/>
          <w:sz w:val="24"/>
          <w:szCs w:val="24"/>
          <w:shd w:val="clear" w:color="auto" w:fill="FFFFFF"/>
        </w:rPr>
        <w:t>Jurnal Sosial dan Pembangunan MIMBAR</w:t>
      </w:r>
      <w:r w:rsidRPr="007B1A5B">
        <w:rPr>
          <w:rFonts w:ascii="Times New Roman" w:hAnsi="Times New Roman" w:cs="Times New Roman"/>
          <w:color w:val="222222"/>
          <w:sz w:val="24"/>
          <w:szCs w:val="24"/>
          <w:shd w:val="clear" w:color="auto" w:fill="FFFFFF"/>
        </w:rPr>
        <w:t>, </w:t>
      </w:r>
      <w:r w:rsidRPr="007B1A5B">
        <w:rPr>
          <w:rFonts w:ascii="Times New Roman" w:hAnsi="Times New Roman" w:cs="Times New Roman"/>
          <w:i/>
          <w:iCs/>
          <w:color w:val="222222"/>
          <w:sz w:val="24"/>
          <w:szCs w:val="24"/>
          <w:shd w:val="clear" w:color="auto" w:fill="FFFFFF"/>
        </w:rPr>
        <w:t>35</w:t>
      </w:r>
      <w:r w:rsidRPr="007B1A5B">
        <w:rPr>
          <w:rFonts w:ascii="Times New Roman" w:hAnsi="Times New Roman" w:cs="Times New Roman"/>
          <w:color w:val="222222"/>
          <w:sz w:val="24"/>
          <w:szCs w:val="24"/>
          <w:shd w:val="clear" w:color="auto" w:fill="FFFFFF"/>
        </w:rPr>
        <w:t>, pp.295-305.</w:t>
      </w:r>
    </w:p>
    <w:p w14:paraId="5D453DC9" w14:textId="77777777" w:rsidR="00F34A0A" w:rsidRPr="007B1A5B" w:rsidRDefault="00F34A0A" w:rsidP="007B1A5B">
      <w:pPr>
        <w:spacing w:line="360" w:lineRule="auto"/>
        <w:jc w:val="both"/>
        <w:rPr>
          <w:rFonts w:ascii="Times New Roman" w:hAnsi="Times New Roman" w:cs="Times New Roman"/>
          <w:color w:val="222222"/>
          <w:sz w:val="24"/>
          <w:szCs w:val="24"/>
          <w:shd w:val="clear" w:color="auto" w:fill="FFFFFF"/>
        </w:rPr>
      </w:pPr>
      <w:r w:rsidRPr="007B1A5B">
        <w:rPr>
          <w:rFonts w:ascii="Times New Roman" w:hAnsi="Times New Roman" w:cs="Times New Roman"/>
          <w:color w:val="222222"/>
          <w:sz w:val="24"/>
          <w:szCs w:val="24"/>
          <w:shd w:val="clear" w:color="auto" w:fill="FFFFFF"/>
        </w:rPr>
        <w:t>Zainudin, E.F. and Hashim, H.A., 2016. Detecting fraudulent financial reporting using financial ratio. </w:t>
      </w:r>
      <w:r w:rsidRPr="007B1A5B">
        <w:rPr>
          <w:rFonts w:ascii="Times New Roman" w:hAnsi="Times New Roman" w:cs="Times New Roman"/>
          <w:i/>
          <w:iCs/>
          <w:color w:val="222222"/>
          <w:sz w:val="24"/>
          <w:szCs w:val="24"/>
          <w:shd w:val="clear" w:color="auto" w:fill="FFFFFF"/>
        </w:rPr>
        <w:t>Journal of Financial Reporting and Accounting</w:t>
      </w:r>
      <w:r w:rsidRPr="007B1A5B">
        <w:rPr>
          <w:rFonts w:ascii="Times New Roman" w:hAnsi="Times New Roman" w:cs="Times New Roman"/>
          <w:color w:val="222222"/>
          <w:sz w:val="24"/>
          <w:szCs w:val="24"/>
          <w:shd w:val="clear" w:color="auto" w:fill="FFFFFF"/>
        </w:rPr>
        <w:t>.</w:t>
      </w:r>
    </w:p>
    <w:sectPr w:rsidR="00F34A0A" w:rsidRPr="007B1A5B" w:rsidSect="0072718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89B39D" w14:textId="77777777" w:rsidR="00472745" w:rsidRDefault="00472745" w:rsidP="009953AF">
      <w:pPr>
        <w:spacing w:after="0" w:line="240" w:lineRule="auto"/>
      </w:pPr>
      <w:r>
        <w:separator/>
      </w:r>
    </w:p>
  </w:endnote>
  <w:endnote w:type="continuationSeparator" w:id="0">
    <w:p w14:paraId="65D557EE" w14:textId="77777777" w:rsidR="00472745" w:rsidRDefault="00472745" w:rsidP="00995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98A93E" w14:textId="77777777" w:rsidR="00472745" w:rsidRDefault="00472745" w:rsidP="009953AF">
      <w:pPr>
        <w:spacing w:after="0" w:line="240" w:lineRule="auto"/>
      </w:pPr>
      <w:r>
        <w:separator/>
      </w:r>
    </w:p>
  </w:footnote>
  <w:footnote w:type="continuationSeparator" w:id="0">
    <w:p w14:paraId="3C4DAFE6" w14:textId="77777777" w:rsidR="00472745" w:rsidRDefault="00472745" w:rsidP="009953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185"/>
    <w:rsid w:val="0002489D"/>
    <w:rsid w:val="00025B9B"/>
    <w:rsid w:val="000560EF"/>
    <w:rsid w:val="00085038"/>
    <w:rsid w:val="00086270"/>
    <w:rsid w:val="000A4729"/>
    <w:rsid w:val="000A6720"/>
    <w:rsid w:val="00105D1F"/>
    <w:rsid w:val="001241EA"/>
    <w:rsid w:val="00267A67"/>
    <w:rsid w:val="00276FEE"/>
    <w:rsid w:val="002E1DD4"/>
    <w:rsid w:val="002E7A0D"/>
    <w:rsid w:val="00310EBE"/>
    <w:rsid w:val="0033154A"/>
    <w:rsid w:val="00331DC6"/>
    <w:rsid w:val="00336B3B"/>
    <w:rsid w:val="00472745"/>
    <w:rsid w:val="004B27D9"/>
    <w:rsid w:val="00505671"/>
    <w:rsid w:val="005F1C85"/>
    <w:rsid w:val="00697212"/>
    <w:rsid w:val="006E5EB8"/>
    <w:rsid w:val="00727185"/>
    <w:rsid w:val="007646BF"/>
    <w:rsid w:val="00766B73"/>
    <w:rsid w:val="007A7D3A"/>
    <w:rsid w:val="007B1A5B"/>
    <w:rsid w:val="00893463"/>
    <w:rsid w:val="008C6B9B"/>
    <w:rsid w:val="009630C3"/>
    <w:rsid w:val="009776BE"/>
    <w:rsid w:val="00994370"/>
    <w:rsid w:val="009953AF"/>
    <w:rsid w:val="00A06A39"/>
    <w:rsid w:val="00A73E8F"/>
    <w:rsid w:val="00B1262C"/>
    <w:rsid w:val="00B8483B"/>
    <w:rsid w:val="00B945CD"/>
    <w:rsid w:val="00BD38E0"/>
    <w:rsid w:val="00C05048"/>
    <w:rsid w:val="00C9624D"/>
    <w:rsid w:val="00C9646B"/>
    <w:rsid w:val="00D202C9"/>
    <w:rsid w:val="00D4149F"/>
    <w:rsid w:val="00D91998"/>
    <w:rsid w:val="00E07E56"/>
    <w:rsid w:val="00EB0138"/>
    <w:rsid w:val="00ED4AA0"/>
    <w:rsid w:val="00F1410F"/>
    <w:rsid w:val="00F27A33"/>
    <w:rsid w:val="00F34A0A"/>
    <w:rsid w:val="00F62DF2"/>
    <w:rsid w:val="00F747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D4C8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46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7185"/>
    <w:pPr>
      <w:spacing w:after="0" w:line="240" w:lineRule="auto"/>
    </w:pPr>
    <w:rPr>
      <w:rFonts w:eastAsiaTheme="minorEastAsia"/>
    </w:rPr>
  </w:style>
  <w:style w:type="character" w:customStyle="1" w:styleId="NoSpacingChar">
    <w:name w:val="No Spacing Char"/>
    <w:basedOn w:val="DefaultParagraphFont"/>
    <w:link w:val="NoSpacing"/>
    <w:uiPriority w:val="1"/>
    <w:rsid w:val="00727185"/>
    <w:rPr>
      <w:rFonts w:eastAsiaTheme="minorEastAsia"/>
    </w:rPr>
  </w:style>
  <w:style w:type="character" w:customStyle="1" w:styleId="Heading1Char">
    <w:name w:val="Heading 1 Char"/>
    <w:basedOn w:val="DefaultParagraphFont"/>
    <w:link w:val="Heading1"/>
    <w:uiPriority w:val="9"/>
    <w:rsid w:val="007646B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1410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41EA"/>
    <w:pPr>
      <w:outlineLvl w:val="9"/>
    </w:pPr>
  </w:style>
  <w:style w:type="paragraph" w:styleId="TOC1">
    <w:name w:val="toc 1"/>
    <w:basedOn w:val="Normal"/>
    <w:next w:val="Normal"/>
    <w:autoRedefine/>
    <w:uiPriority w:val="39"/>
    <w:unhideWhenUsed/>
    <w:rsid w:val="001241EA"/>
    <w:pPr>
      <w:spacing w:after="100"/>
    </w:pPr>
  </w:style>
  <w:style w:type="character" w:styleId="Hyperlink">
    <w:name w:val="Hyperlink"/>
    <w:basedOn w:val="DefaultParagraphFont"/>
    <w:uiPriority w:val="99"/>
    <w:unhideWhenUsed/>
    <w:rsid w:val="001241EA"/>
    <w:rPr>
      <w:color w:val="0563C1" w:themeColor="hyperlink"/>
      <w:u w:val="single"/>
    </w:rPr>
  </w:style>
  <w:style w:type="paragraph" w:styleId="Header">
    <w:name w:val="header"/>
    <w:basedOn w:val="Normal"/>
    <w:link w:val="HeaderChar"/>
    <w:uiPriority w:val="99"/>
    <w:unhideWhenUsed/>
    <w:rsid w:val="009953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53AF"/>
  </w:style>
  <w:style w:type="paragraph" w:styleId="Footer">
    <w:name w:val="footer"/>
    <w:basedOn w:val="Normal"/>
    <w:link w:val="FooterChar"/>
    <w:uiPriority w:val="99"/>
    <w:unhideWhenUsed/>
    <w:rsid w:val="009953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53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291243">
      <w:bodyDiv w:val="1"/>
      <w:marLeft w:val="0"/>
      <w:marRight w:val="0"/>
      <w:marTop w:val="0"/>
      <w:marBottom w:val="0"/>
      <w:divBdr>
        <w:top w:val="none" w:sz="0" w:space="0" w:color="auto"/>
        <w:left w:val="none" w:sz="0" w:space="0" w:color="auto"/>
        <w:bottom w:val="none" w:sz="0" w:space="0" w:color="auto"/>
        <w:right w:val="none" w:sz="0" w:space="0" w:color="auto"/>
      </w:divBdr>
    </w:div>
    <w:div w:id="158039064">
      <w:bodyDiv w:val="1"/>
      <w:marLeft w:val="0"/>
      <w:marRight w:val="0"/>
      <w:marTop w:val="0"/>
      <w:marBottom w:val="0"/>
      <w:divBdr>
        <w:top w:val="none" w:sz="0" w:space="0" w:color="auto"/>
        <w:left w:val="none" w:sz="0" w:space="0" w:color="auto"/>
        <w:bottom w:val="none" w:sz="0" w:space="0" w:color="auto"/>
        <w:right w:val="none" w:sz="0" w:space="0" w:color="auto"/>
      </w:divBdr>
    </w:div>
    <w:div w:id="184248026">
      <w:bodyDiv w:val="1"/>
      <w:marLeft w:val="0"/>
      <w:marRight w:val="0"/>
      <w:marTop w:val="0"/>
      <w:marBottom w:val="0"/>
      <w:divBdr>
        <w:top w:val="none" w:sz="0" w:space="0" w:color="auto"/>
        <w:left w:val="none" w:sz="0" w:space="0" w:color="auto"/>
        <w:bottom w:val="none" w:sz="0" w:space="0" w:color="auto"/>
        <w:right w:val="none" w:sz="0" w:space="0" w:color="auto"/>
      </w:divBdr>
    </w:div>
    <w:div w:id="325744266">
      <w:bodyDiv w:val="1"/>
      <w:marLeft w:val="0"/>
      <w:marRight w:val="0"/>
      <w:marTop w:val="0"/>
      <w:marBottom w:val="0"/>
      <w:divBdr>
        <w:top w:val="none" w:sz="0" w:space="0" w:color="auto"/>
        <w:left w:val="none" w:sz="0" w:space="0" w:color="auto"/>
        <w:bottom w:val="none" w:sz="0" w:space="0" w:color="auto"/>
        <w:right w:val="none" w:sz="0" w:space="0" w:color="auto"/>
      </w:divBdr>
    </w:div>
    <w:div w:id="346713608">
      <w:bodyDiv w:val="1"/>
      <w:marLeft w:val="0"/>
      <w:marRight w:val="0"/>
      <w:marTop w:val="0"/>
      <w:marBottom w:val="0"/>
      <w:divBdr>
        <w:top w:val="none" w:sz="0" w:space="0" w:color="auto"/>
        <w:left w:val="none" w:sz="0" w:space="0" w:color="auto"/>
        <w:bottom w:val="none" w:sz="0" w:space="0" w:color="auto"/>
        <w:right w:val="none" w:sz="0" w:space="0" w:color="auto"/>
      </w:divBdr>
    </w:div>
    <w:div w:id="417793554">
      <w:bodyDiv w:val="1"/>
      <w:marLeft w:val="0"/>
      <w:marRight w:val="0"/>
      <w:marTop w:val="0"/>
      <w:marBottom w:val="0"/>
      <w:divBdr>
        <w:top w:val="none" w:sz="0" w:space="0" w:color="auto"/>
        <w:left w:val="none" w:sz="0" w:space="0" w:color="auto"/>
        <w:bottom w:val="none" w:sz="0" w:space="0" w:color="auto"/>
        <w:right w:val="none" w:sz="0" w:space="0" w:color="auto"/>
      </w:divBdr>
    </w:div>
    <w:div w:id="790904163">
      <w:bodyDiv w:val="1"/>
      <w:marLeft w:val="0"/>
      <w:marRight w:val="0"/>
      <w:marTop w:val="0"/>
      <w:marBottom w:val="0"/>
      <w:divBdr>
        <w:top w:val="none" w:sz="0" w:space="0" w:color="auto"/>
        <w:left w:val="none" w:sz="0" w:space="0" w:color="auto"/>
        <w:bottom w:val="none" w:sz="0" w:space="0" w:color="auto"/>
        <w:right w:val="none" w:sz="0" w:space="0" w:color="auto"/>
      </w:divBdr>
    </w:div>
    <w:div w:id="827482803">
      <w:bodyDiv w:val="1"/>
      <w:marLeft w:val="0"/>
      <w:marRight w:val="0"/>
      <w:marTop w:val="0"/>
      <w:marBottom w:val="0"/>
      <w:divBdr>
        <w:top w:val="none" w:sz="0" w:space="0" w:color="auto"/>
        <w:left w:val="none" w:sz="0" w:space="0" w:color="auto"/>
        <w:bottom w:val="none" w:sz="0" w:space="0" w:color="auto"/>
        <w:right w:val="none" w:sz="0" w:space="0" w:color="auto"/>
      </w:divBdr>
    </w:div>
    <w:div w:id="1032192831">
      <w:bodyDiv w:val="1"/>
      <w:marLeft w:val="0"/>
      <w:marRight w:val="0"/>
      <w:marTop w:val="0"/>
      <w:marBottom w:val="0"/>
      <w:divBdr>
        <w:top w:val="none" w:sz="0" w:space="0" w:color="auto"/>
        <w:left w:val="none" w:sz="0" w:space="0" w:color="auto"/>
        <w:bottom w:val="none" w:sz="0" w:space="0" w:color="auto"/>
        <w:right w:val="none" w:sz="0" w:space="0" w:color="auto"/>
      </w:divBdr>
    </w:div>
    <w:div w:id="1032344237">
      <w:bodyDiv w:val="1"/>
      <w:marLeft w:val="0"/>
      <w:marRight w:val="0"/>
      <w:marTop w:val="0"/>
      <w:marBottom w:val="0"/>
      <w:divBdr>
        <w:top w:val="none" w:sz="0" w:space="0" w:color="auto"/>
        <w:left w:val="none" w:sz="0" w:space="0" w:color="auto"/>
        <w:bottom w:val="none" w:sz="0" w:space="0" w:color="auto"/>
        <w:right w:val="none" w:sz="0" w:space="0" w:color="auto"/>
      </w:divBdr>
    </w:div>
    <w:div w:id="1127896572">
      <w:bodyDiv w:val="1"/>
      <w:marLeft w:val="0"/>
      <w:marRight w:val="0"/>
      <w:marTop w:val="0"/>
      <w:marBottom w:val="0"/>
      <w:divBdr>
        <w:top w:val="none" w:sz="0" w:space="0" w:color="auto"/>
        <w:left w:val="none" w:sz="0" w:space="0" w:color="auto"/>
        <w:bottom w:val="none" w:sz="0" w:space="0" w:color="auto"/>
        <w:right w:val="none" w:sz="0" w:space="0" w:color="auto"/>
      </w:divBdr>
    </w:div>
    <w:div w:id="1320033403">
      <w:bodyDiv w:val="1"/>
      <w:marLeft w:val="0"/>
      <w:marRight w:val="0"/>
      <w:marTop w:val="0"/>
      <w:marBottom w:val="0"/>
      <w:divBdr>
        <w:top w:val="none" w:sz="0" w:space="0" w:color="auto"/>
        <w:left w:val="none" w:sz="0" w:space="0" w:color="auto"/>
        <w:bottom w:val="none" w:sz="0" w:space="0" w:color="auto"/>
        <w:right w:val="none" w:sz="0" w:space="0" w:color="auto"/>
      </w:divBdr>
    </w:div>
    <w:div w:id="1458723603">
      <w:bodyDiv w:val="1"/>
      <w:marLeft w:val="0"/>
      <w:marRight w:val="0"/>
      <w:marTop w:val="0"/>
      <w:marBottom w:val="0"/>
      <w:divBdr>
        <w:top w:val="none" w:sz="0" w:space="0" w:color="auto"/>
        <w:left w:val="none" w:sz="0" w:space="0" w:color="auto"/>
        <w:bottom w:val="none" w:sz="0" w:space="0" w:color="auto"/>
        <w:right w:val="none" w:sz="0" w:space="0" w:color="auto"/>
      </w:divBdr>
    </w:div>
    <w:div w:id="1551648510">
      <w:bodyDiv w:val="1"/>
      <w:marLeft w:val="0"/>
      <w:marRight w:val="0"/>
      <w:marTop w:val="0"/>
      <w:marBottom w:val="0"/>
      <w:divBdr>
        <w:top w:val="none" w:sz="0" w:space="0" w:color="auto"/>
        <w:left w:val="none" w:sz="0" w:space="0" w:color="auto"/>
        <w:bottom w:val="none" w:sz="0" w:space="0" w:color="auto"/>
        <w:right w:val="none" w:sz="0" w:space="0" w:color="auto"/>
      </w:divBdr>
    </w:div>
    <w:div w:id="1618684121">
      <w:bodyDiv w:val="1"/>
      <w:marLeft w:val="0"/>
      <w:marRight w:val="0"/>
      <w:marTop w:val="0"/>
      <w:marBottom w:val="0"/>
      <w:divBdr>
        <w:top w:val="none" w:sz="0" w:space="0" w:color="auto"/>
        <w:left w:val="none" w:sz="0" w:space="0" w:color="auto"/>
        <w:bottom w:val="none" w:sz="0" w:space="0" w:color="auto"/>
        <w:right w:val="none" w:sz="0" w:space="0" w:color="auto"/>
      </w:divBdr>
    </w:div>
    <w:div w:id="1838963092">
      <w:bodyDiv w:val="1"/>
      <w:marLeft w:val="0"/>
      <w:marRight w:val="0"/>
      <w:marTop w:val="0"/>
      <w:marBottom w:val="0"/>
      <w:divBdr>
        <w:top w:val="none" w:sz="0" w:space="0" w:color="auto"/>
        <w:left w:val="none" w:sz="0" w:space="0" w:color="auto"/>
        <w:bottom w:val="none" w:sz="0" w:space="0" w:color="auto"/>
        <w:right w:val="none" w:sz="0" w:space="0" w:color="auto"/>
      </w:divBdr>
    </w:div>
    <w:div w:id="214684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_____Microsoft_Excel.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_____Microsoft_Excel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_____Microsoft_Excel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2019</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2"/>
                <c:pt idx="0">
                  <c:v>gross profit</c:v>
                </c:pt>
                <c:pt idx="1">
                  <c:v>net profit</c:v>
                </c:pt>
              </c:strCache>
            </c:strRef>
          </c:cat>
          <c:val>
            <c:numRef>
              <c:f>Sheet1!$B$2:$B$5</c:f>
              <c:numCache>
                <c:formatCode>0.00%</c:formatCode>
                <c:ptCount val="4"/>
                <c:pt idx="0">
                  <c:v>0.2576</c:v>
                </c:pt>
                <c:pt idx="1">
                  <c:v>9.3200000000000005E-2</c:v>
                </c:pt>
              </c:numCache>
            </c:numRef>
          </c:val>
          <c:extLst>
            <c:ext xmlns:c16="http://schemas.microsoft.com/office/drawing/2014/chart" uri="{C3380CC4-5D6E-409C-BE32-E72D297353CC}">
              <c16:uniqueId val="{00000000-E4A3-4878-BB53-8618D84972EF}"/>
            </c:ext>
          </c:extLst>
        </c:ser>
        <c:ser>
          <c:idx val="1"/>
          <c:order val="1"/>
          <c:tx>
            <c:strRef>
              <c:f>Sheet1!$C$1</c:f>
              <c:strCache>
                <c:ptCount val="1"/>
                <c:pt idx="0">
                  <c:v>2020</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2"/>
                <c:pt idx="0">
                  <c:v>gross profit</c:v>
                </c:pt>
                <c:pt idx="1">
                  <c:v>net profit</c:v>
                </c:pt>
              </c:strCache>
            </c:strRef>
          </c:cat>
          <c:val>
            <c:numRef>
              <c:f>Sheet1!$C$2:$C$5</c:f>
              <c:numCache>
                <c:formatCode>0.00%</c:formatCode>
                <c:ptCount val="4"/>
                <c:pt idx="0">
                  <c:v>0.13539999999999999</c:v>
                </c:pt>
                <c:pt idx="1">
                  <c:v>-0.16500000000000001</c:v>
                </c:pt>
              </c:numCache>
            </c:numRef>
          </c:val>
          <c:extLst>
            <c:ext xmlns:c16="http://schemas.microsoft.com/office/drawing/2014/chart" uri="{C3380CC4-5D6E-409C-BE32-E72D297353CC}">
              <c16:uniqueId val="{00000001-E4A3-4878-BB53-8618D84972EF}"/>
            </c:ext>
          </c:extLst>
        </c:ser>
        <c:ser>
          <c:idx val="2"/>
          <c:order val="2"/>
          <c:tx>
            <c:strRef>
              <c:f>Sheet1!$D$1</c:f>
              <c:strCache>
                <c:ptCount val="1"/>
                <c:pt idx="0">
                  <c:v>Column1</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2"/>
                <c:pt idx="0">
                  <c:v>gross profit</c:v>
                </c:pt>
                <c:pt idx="1">
                  <c:v>net profit</c:v>
                </c:pt>
              </c:strCache>
            </c:strRef>
          </c:cat>
          <c:val>
            <c:numRef>
              <c:f>Sheet1!$D$2:$D$5</c:f>
              <c:numCache>
                <c:formatCode>General</c:formatCode>
                <c:ptCount val="4"/>
              </c:numCache>
            </c:numRef>
          </c:val>
          <c:extLst>
            <c:ext xmlns:c16="http://schemas.microsoft.com/office/drawing/2014/chart" uri="{C3380CC4-5D6E-409C-BE32-E72D297353CC}">
              <c16:uniqueId val="{00000002-E4A3-4878-BB53-8618D84972EF}"/>
            </c:ext>
          </c:extLst>
        </c:ser>
        <c:dLbls>
          <c:showLegendKey val="0"/>
          <c:showVal val="1"/>
          <c:showCatName val="0"/>
          <c:showSerName val="0"/>
          <c:showPercent val="0"/>
          <c:showBubbleSize val="0"/>
        </c:dLbls>
        <c:gapWidth val="84"/>
        <c:gapDepth val="53"/>
        <c:shape val="box"/>
        <c:axId val="508562352"/>
        <c:axId val="508567928"/>
        <c:axId val="0"/>
      </c:bar3DChart>
      <c:catAx>
        <c:axId val="5085623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o-RO"/>
          </a:p>
        </c:txPr>
        <c:crossAx val="508567928"/>
        <c:crosses val="autoZero"/>
        <c:auto val="1"/>
        <c:lblAlgn val="ctr"/>
        <c:lblOffset val="100"/>
        <c:noMultiLvlLbl val="0"/>
      </c:catAx>
      <c:valAx>
        <c:axId val="508567928"/>
        <c:scaling>
          <c:orientation val="minMax"/>
        </c:scaling>
        <c:delete val="1"/>
        <c:axPos val="l"/>
        <c:numFmt formatCode="0.00%" sourceLinked="1"/>
        <c:majorTickMark val="out"/>
        <c:minorTickMark val="none"/>
        <c:tickLblPos val="nextTo"/>
        <c:crossAx val="5085623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o-RO"/>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ro-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2019</c:v>
                </c:pt>
              </c:strCache>
            </c:strRef>
          </c:tx>
          <c:spPr>
            <a:gradFill>
              <a:gsLst>
                <a:gs pos="100000">
                  <a:schemeClr val="accent1">
                    <a:alpha val="0"/>
                  </a:schemeClr>
                </a:gs>
                <a:gs pos="50000">
                  <a:schemeClr val="accent1"/>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interest cover</c:v>
                </c:pt>
              </c:strCache>
            </c:strRef>
          </c:cat>
          <c:val>
            <c:numRef>
              <c:f>Sheet1!$B$2:$B$5</c:f>
              <c:numCache>
                <c:formatCode>General</c:formatCode>
                <c:ptCount val="4"/>
                <c:pt idx="0">
                  <c:v>3.004</c:v>
                </c:pt>
              </c:numCache>
            </c:numRef>
          </c:val>
          <c:extLst>
            <c:ext xmlns:c16="http://schemas.microsoft.com/office/drawing/2014/chart" uri="{C3380CC4-5D6E-409C-BE32-E72D297353CC}">
              <c16:uniqueId val="{00000000-4F87-49CC-8054-54D05C91C3B9}"/>
            </c:ext>
          </c:extLst>
        </c:ser>
        <c:ser>
          <c:idx val="1"/>
          <c:order val="1"/>
          <c:tx>
            <c:strRef>
              <c:f>Sheet1!$C$1</c:f>
              <c:strCache>
                <c:ptCount val="1"/>
                <c:pt idx="0">
                  <c:v>2020</c:v>
                </c:pt>
              </c:strCache>
            </c:strRef>
          </c:tx>
          <c:spPr>
            <a:gradFill>
              <a:gsLst>
                <a:gs pos="100000">
                  <a:schemeClr val="accent2">
                    <a:alpha val="0"/>
                  </a:schemeClr>
                </a:gs>
                <a:gs pos="50000">
                  <a:schemeClr val="accent2"/>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interest cover</c:v>
                </c:pt>
              </c:strCache>
            </c:strRef>
          </c:cat>
          <c:val>
            <c:numRef>
              <c:f>Sheet1!$C$2:$C$5</c:f>
              <c:numCache>
                <c:formatCode>General</c:formatCode>
                <c:ptCount val="4"/>
                <c:pt idx="0">
                  <c:v>-2.15</c:v>
                </c:pt>
              </c:numCache>
            </c:numRef>
          </c:val>
          <c:extLst>
            <c:ext xmlns:c16="http://schemas.microsoft.com/office/drawing/2014/chart" uri="{C3380CC4-5D6E-409C-BE32-E72D297353CC}">
              <c16:uniqueId val="{00000001-4F87-49CC-8054-54D05C91C3B9}"/>
            </c:ext>
          </c:extLst>
        </c:ser>
        <c:dLbls>
          <c:showLegendKey val="0"/>
          <c:showVal val="1"/>
          <c:showCatName val="0"/>
          <c:showSerName val="0"/>
          <c:showPercent val="0"/>
          <c:showBubbleSize val="0"/>
        </c:dLbls>
        <c:gapWidth val="150"/>
        <c:gapDepth val="0"/>
        <c:shape val="box"/>
        <c:axId val="587072888"/>
        <c:axId val="587072560"/>
        <c:axId val="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gradFill>
                    <a:gsLst>
                      <a:gs pos="100000">
                        <a:schemeClr val="accent3">
                          <a:alpha val="0"/>
                        </a:schemeClr>
                      </a:gs>
                      <a:gs pos="50000">
                        <a:schemeClr val="accent3"/>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Sheet1!$A$2:$A$5</c15:sqref>
                        </c15:formulaRef>
                      </c:ext>
                    </c:extLst>
                    <c:strCache>
                      <c:ptCount val="1"/>
                      <c:pt idx="0">
                        <c:v>interest cover</c:v>
                      </c:pt>
                    </c:strCache>
                  </c:strRef>
                </c:cat>
                <c:val>
                  <c:numRef>
                    <c:extLst>
                      <c:ext uri="{02D57815-91ED-43cb-92C2-25804820EDAC}">
                        <c15:formulaRef>
                          <c15:sqref>Sheet1!$D$2:$D$5</c15:sqref>
                        </c15:formulaRef>
                      </c:ext>
                    </c:extLst>
                    <c:numCache>
                      <c:formatCode>General</c:formatCode>
                      <c:ptCount val="4"/>
                    </c:numCache>
                  </c:numRef>
                </c:val>
                <c:extLst>
                  <c:ext xmlns:c16="http://schemas.microsoft.com/office/drawing/2014/chart" uri="{C3380CC4-5D6E-409C-BE32-E72D297353CC}">
                    <c16:uniqueId val="{00000002-4F87-49CC-8054-54D05C91C3B9}"/>
                  </c:ext>
                </c:extLst>
              </c15:ser>
            </c15:filteredBarSeries>
          </c:ext>
        </c:extLst>
      </c:bar3DChart>
      <c:catAx>
        <c:axId val="5870728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587072560"/>
        <c:crosses val="autoZero"/>
        <c:auto val="1"/>
        <c:lblAlgn val="ctr"/>
        <c:lblOffset val="100"/>
        <c:noMultiLvlLbl val="0"/>
      </c:catAx>
      <c:valAx>
        <c:axId val="587072560"/>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587072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2019</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2"/>
                <c:pt idx="0">
                  <c:v>current ratio</c:v>
                </c:pt>
                <c:pt idx="1">
                  <c:v>quick ratio</c:v>
                </c:pt>
              </c:strCache>
            </c:strRef>
          </c:cat>
          <c:val>
            <c:numRef>
              <c:f>Sheet1!$B$2:$B$5</c:f>
              <c:numCache>
                <c:formatCode>General</c:formatCode>
                <c:ptCount val="2"/>
                <c:pt idx="0">
                  <c:v>0.73</c:v>
                </c:pt>
                <c:pt idx="1">
                  <c:v>0.73</c:v>
                </c:pt>
              </c:numCache>
            </c:numRef>
          </c:val>
          <c:extLst>
            <c:ext xmlns:c16="http://schemas.microsoft.com/office/drawing/2014/chart" uri="{C3380CC4-5D6E-409C-BE32-E72D297353CC}">
              <c16:uniqueId val="{00000000-51C1-4CEC-A280-0750631D18C5}"/>
            </c:ext>
          </c:extLst>
        </c:ser>
        <c:ser>
          <c:idx val="1"/>
          <c:order val="1"/>
          <c:tx>
            <c:strRef>
              <c:f>Sheet1!$C$1</c:f>
              <c:strCache>
                <c:ptCount val="1"/>
                <c:pt idx="0">
                  <c:v>2020</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2"/>
                <c:pt idx="0">
                  <c:v>current ratio</c:v>
                </c:pt>
                <c:pt idx="1">
                  <c:v>quick ratio</c:v>
                </c:pt>
              </c:strCache>
            </c:strRef>
          </c:cat>
          <c:val>
            <c:numRef>
              <c:f>Sheet1!$C$2:$C$5</c:f>
              <c:numCache>
                <c:formatCode>General</c:formatCode>
                <c:ptCount val="2"/>
                <c:pt idx="0">
                  <c:v>1.73</c:v>
                </c:pt>
                <c:pt idx="1">
                  <c:v>1.73</c:v>
                </c:pt>
              </c:numCache>
            </c:numRef>
          </c:val>
          <c:extLst>
            <c:ext xmlns:c16="http://schemas.microsoft.com/office/drawing/2014/chart" uri="{C3380CC4-5D6E-409C-BE32-E72D297353CC}">
              <c16:uniqueId val="{00000001-51C1-4CEC-A280-0750631D18C5}"/>
            </c:ext>
          </c:extLst>
        </c:ser>
        <c:dLbls>
          <c:showLegendKey val="0"/>
          <c:showVal val="1"/>
          <c:showCatName val="0"/>
          <c:showSerName val="0"/>
          <c:showPercent val="0"/>
          <c:showBubbleSize val="0"/>
        </c:dLbls>
        <c:gapWidth val="84"/>
        <c:gapDepth val="53"/>
        <c:shape val="box"/>
        <c:axId val="555483856"/>
        <c:axId val="555484184"/>
        <c:axId val="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showLegendKey val="0"/>
                  <c:showVal val="1"/>
                  <c:showCatName val="0"/>
                  <c:showSerName val="0"/>
                  <c:showPercent val="0"/>
                  <c:showBubbleSize val="0"/>
                  <c:showLeaderLines val="0"/>
                  <c:extLst>
                    <c:ext uri="{CE6537A1-D6FC-4f65-9D91-7224C49458BB}">
                      <c15:showLeaderLines val="1"/>
                      <c15:leaderLines>
                        <c:spPr>
                          <a:ln w="9525">
                            <a:solidFill>
                              <a:schemeClr val="lt1">
                                <a:lumMod val="50000"/>
                              </a:schemeClr>
                            </a:solidFill>
                            <a:round/>
                          </a:ln>
                          <a:effectLst/>
                        </c:spPr>
                      </c15:leaderLines>
                    </c:ext>
                  </c:extLst>
                </c:dLbls>
                <c:cat>
                  <c:strRef>
                    <c:extLst>
                      <c:ext uri="{02D57815-91ED-43cb-92C2-25804820EDAC}">
                        <c15:formulaRef>
                          <c15:sqref>Sheet1!$A$2:$A$5</c15:sqref>
                        </c15:formulaRef>
                      </c:ext>
                    </c:extLst>
                    <c:strCache>
                      <c:ptCount val="2"/>
                      <c:pt idx="0">
                        <c:v>current ratio</c:v>
                      </c:pt>
                      <c:pt idx="1">
                        <c:v>quick ratio</c:v>
                      </c:pt>
                    </c:strCache>
                  </c:strRef>
                </c:cat>
                <c:val>
                  <c:numRef>
                    <c:extLst>
                      <c:ex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51C1-4CEC-A280-0750631D18C5}"/>
                  </c:ext>
                </c:extLst>
              </c15:ser>
            </c15:filteredBarSeries>
          </c:ext>
        </c:extLst>
      </c:bar3DChart>
      <c:catAx>
        <c:axId val="5554838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o-RO"/>
          </a:p>
        </c:txPr>
        <c:crossAx val="555484184"/>
        <c:crosses val="autoZero"/>
        <c:auto val="1"/>
        <c:lblAlgn val="ctr"/>
        <c:lblOffset val="100"/>
        <c:noMultiLvlLbl val="0"/>
      </c:catAx>
      <c:valAx>
        <c:axId val="555484184"/>
        <c:scaling>
          <c:orientation val="minMax"/>
        </c:scaling>
        <c:delete val="1"/>
        <c:axPos val="l"/>
        <c:numFmt formatCode="General" sourceLinked="1"/>
        <c:majorTickMark val="out"/>
        <c:minorTickMark val="none"/>
        <c:tickLblPos val="nextTo"/>
        <c:crossAx val="5554838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o-RO"/>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34E13-19A9-4198-BB11-0E8F28309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2102</Words>
  <Characters>12194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2022-05-28T15:45:00Z</dcterms:created>
  <dcterms:modified xsi:type="dcterms:W3CDTF">2022-05-28T15:45:00Z</dcterms:modified>
</cp:coreProperties>
</file>