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er &amp; Footer"/>
        <w:bidi w:val="0"/>
      </w:pPr>
      <w:r>
        <w:rPr>
          <w:rFonts w:ascii="Helvetica" w:cs="Arial Unicode MS" w:hAnsi="Arial Unicode MS" w:eastAsia="Arial Unicode MS"/>
          <w:rtl w:val="0"/>
        </w:rPr>
        <w:t xml:space="preserve">This supporting paper will explore further our chosen significant landmark within social welfare provision which is The Flying Start Programme, that was discussed during the presentation. </w:t>
      </w:r>
    </w:p>
    <w:p>
      <w:pPr>
        <w:pStyle w:val="Header &amp; Footer"/>
        <w:bidi w:val="0"/>
      </w:pPr>
    </w:p>
    <w:p>
      <w:pPr>
        <w:pStyle w:val="Header &amp; Footer"/>
        <w:bidi w:val="0"/>
      </w:pPr>
      <w:r>
        <w:rPr>
          <w:rFonts w:ascii="Helvetica" w:cs="Arial Unicode MS" w:hAnsi="Arial Unicode MS" w:eastAsia="Arial Unicode MS"/>
          <w:rtl w:val="0"/>
        </w:rPr>
        <w:t xml:space="preserve">Within the UK, social policy has existed over 100 years and has changed significantly throughout. A major landmark move in social policy was devolution, where certain policies were no longer controlled by the central government in the UK. Countries such as Scotland, Northern Ireland and Wales were given the power to introduce policies based on what they thought are priorities within their country. For Wales a priority for them was to eradicate child poverty, and they aimed to do this by the year 2020. One of the social policies they introduced in an attempt to try and achieve this is The Flying Start Provision. </w:t>
      </w:r>
    </w:p>
    <w:p>
      <w:pPr>
        <w:pStyle w:val="Header &amp; Footer"/>
        <w:bidi w:val="0"/>
      </w:pPr>
      <w:r>
        <w:rPr>
          <w:rFonts w:ascii="Helvetica" w:cs="Arial Unicode MS" w:hAnsi="Arial Unicode MS" w:eastAsia="Arial Unicode MS"/>
          <w:rtl w:val="0"/>
        </w:rPr>
        <w:t xml:space="preserve">(Williams, 2011) </w:t>
      </w:r>
    </w:p>
    <w:p>
      <w:pPr>
        <w:pStyle w:val="Header &amp; Footer"/>
        <w:bidi w:val="0"/>
      </w:pPr>
      <w:r>
        <w:rPr>
          <w:rFonts w:ascii="Helvetica" w:cs="Arial Unicode MS" w:hAnsi="Arial Unicode MS" w:eastAsia="Arial Unicode MS"/>
          <w:rtl w:val="0"/>
          <w:lang w:val="it-IT"/>
        </w:rPr>
        <w:t>(Shannon).</w:t>
      </w:r>
    </w:p>
    <w:p>
      <w:pPr>
        <w:pStyle w:val="Header &amp; Footer"/>
        <w:bidi w:val="0"/>
      </w:pPr>
    </w:p>
    <w:p>
      <w:pPr>
        <w:pStyle w:val="Header &amp; Footer"/>
        <w:bidi w:val="0"/>
      </w:pPr>
      <w:r>
        <w:rPr>
          <w:rFonts w:ascii="Helvetica" w:cs="Arial Unicode MS" w:hAnsi="Arial Unicode MS" w:eastAsia="Arial Unicode MS"/>
          <w:rtl w:val="0"/>
        </w:rPr>
        <w:t>The Flying Start Provision exists through-out the entire UK, although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name differs depending on the area. For example in Northern Ireland, the name of the provision is Sure Start. Both programmes include the same aims and policies, which is to provide a range of support services for parents and children who live in disadvantaged areas, under the age of four. Although The Flying Start provision exists through the whole of the UK, the area that this presentation is focussed on is Wales. According to Kenway (2010), from the years 1996-2009, the country who suffers from child poverty the most out of the UK is Wales - with a percentage of 36% of children stuck in poverty, in comparison to 32% of children stuck in poverty in Scotland. (Williams, (2011)</w:t>
      </w:r>
    </w:p>
    <w:p>
      <w:pPr>
        <w:pStyle w:val="Header &amp; Footer"/>
        <w:bidi w:val="0"/>
      </w:pPr>
      <w:r>
        <w:rPr>
          <w:rFonts w:ascii="Helvetica" w:cs="Arial Unicode MS" w:hAnsi="Arial Unicode MS" w:eastAsia="Arial Unicode MS"/>
          <w:rtl w:val="0"/>
          <w:lang w:val="it-IT"/>
        </w:rPr>
        <w:t xml:space="preserve">(Shannon). </w:t>
      </w:r>
    </w:p>
    <w:p>
      <w:pPr>
        <w:pStyle w:val="Header &amp; Footer"/>
        <w:bidi w:val="0"/>
      </w:pPr>
    </w:p>
    <w:p>
      <w:pPr>
        <w:pStyle w:val="Header &amp; Footer"/>
        <w:bidi w:val="0"/>
      </w:pPr>
      <w:r>
        <w:rPr>
          <w:rFonts w:ascii="Helvetica" w:cs="Arial Unicode MS" w:hAnsi="Arial Unicode MS" w:eastAsia="Arial Unicode MS"/>
          <w:rtl w:val="0"/>
        </w:rPr>
        <w:t>The Welsh Assembly Government launched The Flying-Start welfare provision in the years of 2006/07 and since then it has been in operation through-out every local-authority since 2007/08, it has been recognised by the Welsh Assembly Government that Flying-Start is unable to address all of the elements of disadvantage related to child poverty but instead it aims to focus on identified needs and on early interventions in order to improve children</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physical health and also their cognitive, language, social, and emotional development (Wales. Children, Young People and Families Division, 2014).</w:t>
      </w:r>
    </w:p>
    <w:p>
      <w:pPr>
        <w:pStyle w:val="Header &amp; Footer"/>
        <w:bidi w:val="0"/>
      </w:pPr>
      <w:r>
        <w:rPr>
          <w:rFonts w:ascii="Helvetica" w:cs="Arial Unicode MS" w:hAnsi="Arial Unicode MS" w:eastAsia="Arial Unicode MS"/>
          <w:rtl w:val="0"/>
          <w:lang w:val="it-IT"/>
        </w:rPr>
        <w:t xml:space="preserve">(Shannon). </w:t>
      </w:r>
    </w:p>
    <w:p>
      <w:pPr>
        <w:pStyle w:val="Header &amp; Footer"/>
        <w:bidi w:val="0"/>
      </w:pPr>
    </w:p>
    <w:p>
      <w:pPr>
        <w:pStyle w:val="Header &amp; Footer"/>
        <w:bidi w:val="0"/>
      </w:pPr>
      <w:r>
        <w:rPr>
          <w:rFonts w:ascii="Helvetica" w:cs="Arial Unicode MS" w:hAnsi="Arial Unicode MS" w:eastAsia="Arial Unicode MS"/>
          <w:rtl w:val="0"/>
          <w:lang w:val="de-DE"/>
        </w:rPr>
        <w:t>(Codie)</w:t>
      </w:r>
    </w:p>
    <w:p>
      <w:pPr>
        <w:pStyle w:val="Header &amp; Footer"/>
        <w:bidi w:val="0"/>
      </w:pPr>
      <w:r>
        <w:rPr>
          <w:rFonts w:ascii="Helvetica" w:cs="Arial Unicode MS" w:hAnsi="Arial Unicode MS" w:eastAsia="Arial Unicode MS"/>
          <w:rtl w:val="0"/>
        </w:rPr>
        <w:t xml:space="preserve">The Flying Start provision has played a part in making life changing improvements within child poverty. Child poverty has a significant impact on lives of children and families, it limits their chance at education, children who are in poverty are far less likely to do well in school. Children within child poverty are most likely to have a bad childhood experience, these children miss out on school trips, inviting friends over for tea and after school clubs. 70,000 children living in poverty in wales, this results in families living on </w:t>
      </w:r>
      <w:r>
        <w:rPr>
          <w:rFonts w:ascii="Arial Unicode MS" w:cs="Arial Unicode MS" w:hAnsi="Helvetica" w:eastAsia="Arial Unicode MS" w:hint="default"/>
          <w:rtl w:val="0"/>
        </w:rPr>
        <w:t>£</w:t>
      </w:r>
      <w:r>
        <w:rPr>
          <w:rFonts w:ascii="Helvetica" w:cs="Arial Unicode MS" w:hAnsi="Arial Unicode MS" w:eastAsia="Arial Unicode MS"/>
          <w:rtl w:val="0"/>
        </w:rPr>
        <w:t>134 per week after house costings. (Thomas, G. (13 July 2016).  After house costings left over money is to be spent on food, clothes, heating, transport and any other bills which are needed to be paid. As these families are unable to afford may things, this results in children going without a coat throughout winter or having the heating on at home in winter, this could have an impact on a child</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life as it is threatening to a child</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health and well-being. (Crowley, A. (2011).</w:t>
      </w:r>
    </w:p>
    <w:p>
      <w:pPr>
        <w:pStyle w:val="Header &amp; Footer"/>
        <w:bidi w:val="0"/>
      </w:pPr>
    </w:p>
    <w:p>
      <w:pPr>
        <w:pStyle w:val="Header &amp; Footer"/>
        <w:bidi w:val="0"/>
      </w:pPr>
    </w:p>
    <w:p>
      <w:pPr>
        <w:pStyle w:val="Header &amp; Footer"/>
        <w:bidi w:val="0"/>
      </w:pPr>
      <w:r>
        <w:rPr>
          <w:rFonts w:ascii="Helvetica" w:cs="Arial Unicode MS" w:hAnsi="Arial Unicode MS" w:eastAsia="Arial Unicode MS"/>
          <w:rtl w:val="0"/>
          <w:lang w:val="de-DE"/>
        </w:rPr>
        <w:t>(Codie)</w:t>
      </w:r>
    </w:p>
    <w:p>
      <w:pPr>
        <w:pStyle w:val="Header &amp; Footer"/>
        <w:bidi w:val="0"/>
      </w:pPr>
      <w:r>
        <w:rPr>
          <w:rFonts w:ascii="Helvetica" w:cs="Arial Unicode MS" w:hAnsi="Arial Unicode MS" w:eastAsia="Arial Unicode MS"/>
          <w:rtl w:val="0"/>
        </w:rPr>
        <w:t>The health visiting services ensure that families with children under the ages of 4 receive intense support, their aim is to promote the health and well- being of families. Raising awareness on smoking, alcohol, exercise and emotional health. First time parents are considered a high priority for Flying Start, they provide the parents with guidance and support. Within the visits health and safety topics are important and carefully spoken about such as, Protecting baby</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heads, Sudden Infant Death Syndrome preventative advice, car safety advice and, passive smoking. They also give advice and tips on how to breastfeed and the benefits and bonding with your baby. As the child gets older the advice given will start to change, tips and advice on safety at home, child development, speech and language. (Thomas, G. (2016).</w:t>
      </w:r>
    </w:p>
    <w:p>
      <w:pPr>
        <w:pStyle w:val="Header &amp; Footer"/>
        <w:bidi w:val="0"/>
      </w:pPr>
    </w:p>
    <w:p>
      <w:pPr>
        <w:pStyle w:val="Header &amp; Footer"/>
        <w:bidi w:val="0"/>
      </w:pPr>
      <w:r>
        <w:rPr>
          <w:rFonts w:ascii="Helvetica" w:cs="Arial Unicode MS" w:hAnsi="Arial Unicode MS" w:eastAsia="Arial Unicode MS"/>
          <w:rtl w:val="0"/>
        </w:rPr>
        <w:t>There are statistics to prove that The Flying Start Provision has had a positive impact on child poverty, such as in 2012/13, 23,579 children benefited from the services that Flying Start provides. Although some will argue that The Flying Start Provision has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faults. For example - Kirsty Williams, the Welsh Liberal Democrats leader states that The Flying Start Provision is like a </w:t>
      </w:r>
      <w:r>
        <w:rPr>
          <w:rFonts w:ascii="Arial Unicode MS" w:cs="Arial Unicode MS" w:hAnsi="Helvetica" w:eastAsia="Arial Unicode MS" w:hint="default"/>
          <w:rtl w:val="0"/>
        </w:rPr>
        <w:t>‘</w:t>
      </w:r>
      <w:r>
        <w:rPr>
          <w:rFonts w:ascii="Helvetica" w:cs="Arial Unicode MS" w:hAnsi="Arial Unicode MS" w:eastAsia="Arial Unicode MS"/>
          <w:rtl w:val="0"/>
          <w:lang w:val="es-ES_tradnl"/>
        </w:rPr>
        <w:t>postcode lottery</w:t>
      </w:r>
      <w:r>
        <w:rPr>
          <w:rFonts w:ascii="Arial Unicode MS" w:cs="Arial Unicode MS" w:hAnsi="Helvetica" w:eastAsia="Arial Unicode MS" w:hint="default"/>
          <w:rtl w:val="0"/>
          <w:lang w:val="fr-FR"/>
        </w:rPr>
        <w:t>’</w:t>
      </w:r>
      <w:r>
        <w:rPr>
          <w:rFonts w:ascii="Helvetica" w:cs="Arial Unicode MS" w:hAnsi="Arial Unicode MS" w:eastAsia="Arial Unicode MS"/>
          <w:rtl w:val="0"/>
        </w:rPr>
        <w:t>. (Welsh Liberal Democrats, 2015). What is meant by this is that, The Flying Start Provision aims to reach the most deprived areas, there for it is only covering those exact areas. Meaning it is not reaching all children who are suffering the effects of poverty in low-income households as they don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all live in areas where Flying-Start is targeted. There is research which highlights that parents are irritated , confused and simply do not understand why eligibility varies so much within a small area, and why there are people on one street that are eligible for The Flying Start services but those on the next street are not (Children</w:t>
      </w:r>
      <w:r>
        <w:rPr>
          <w:rFonts w:ascii="Arial Unicode MS" w:cs="Arial Unicode MS" w:hAnsi="Helvetica" w:eastAsia="Arial Unicode MS" w:hint="default"/>
          <w:rtl w:val="0"/>
          <w:lang w:val="fr-FR"/>
        </w:rPr>
        <w:t>’</w:t>
      </w:r>
      <w:r>
        <w:rPr>
          <w:rFonts w:ascii="Helvetica" w:cs="Arial Unicode MS" w:hAnsi="Arial Unicode MS" w:eastAsia="Arial Unicode MS"/>
          <w:rtl w:val="0"/>
          <w:lang w:val="da-DK"/>
        </w:rPr>
        <w:t xml:space="preserve">s Commissioner for Wales, 2012). </w:t>
      </w:r>
    </w:p>
    <w:p>
      <w:pPr>
        <w:pStyle w:val="Header &amp; Footer"/>
        <w:bidi w:val="0"/>
      </w:pPr>
      <w:r>
        <w:rPr>
          <w:rFonts w:ascii="Helvetica" w:cs="Arial Unicode MS" w:hAnsi="Arial Unicode MS" w:eastAsia="Arial Unicode MS"/>
          <w:rtl w:val="0"/>
          <w:lang w:val="it-IT"/>
        </w:rPr>
        <w:t xml:space="preserve">(Shannon). </w:t>
      </w:r>
    </w:p>
    <w:p>
      <w:pPr>
        <w:pStyle w:val="Header &amp; Footer"/>
        <w:bidi w:val="0"/>
      </w:pPr>
    </w:p>
    <w:p>
      <w:pPr>
        <w:pStyle w:val="Header &amp; Footer"/>
        <w:bidi w:val="0"/>
      </w:pPr>
      <w:r>
        <w:rPr>
          <w:rFonts w:ascii="Helvetica" w:cs="Arial Unicode MS" w:hAnsi="Arial Unicode MS" w:eastAsia="Arial Unicode MS"/>
          <w:rtl w:val="0"/>
          <w:lang w:val="de-DE"/>
        </w:rPr>
        <w:t>(Codie)</w:t>
      </w:r>
    </w:p>
    <w:p>
      <w:pPr>
        <w:pStyle w:val="Header &amp; Footer"/>
        <w:bidi w:val="0"/>
      </w:pPr>
      <w:r>
        <w:rPr>
          <w:rFonts w:ascii="Helvetica" w:cs="Arial Unicode MS" w:hAnsi="Arial Unicode MS" w:eastAsia="Arial Unicode MS"/>
          <w:rtl w:val="0"/>
        </w:rPr>
        <w:t xml:space="preserve"> Although there are critiques based on the Flying Start Provision, over all it has had a significant impact on a child</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and family</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life within poverty. The Flying Start provides early language development classes where therapists are hired as a part of the flying start team to help children within poverty have access to speech and language classes. The language and speech therapists will give children an extended chance at an education. Children who attended early years setting are most likely to grow up to be more independent, co-operative and are better prepared for challenges they meet in future life. Free quality child care is also provided, this gives parents who work have peace of mind knowing that their child is in a safe environment where they are also able to make friends. Parenting programmes and support classes are also available, there are many options depending on the need, support classes can be one to one at home or set in groups. This is a great chance for parents to increase their confidence in parenting skills, this also improves parents and children</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relationship, a chance to bond with one another. Within the flying start health visiting service, there must be one full time equivalent health visitor per 110 children aged under 4 in the target areas.  (Thomas, s.(March 2014). </w:t>
      </w:r>
    </w:p>
    <w:p>
      <w:pPr>
        <w:pStyle w:val="Header &amp; Footer"/>
        <w:bidi w:val="0"/>
      </w:pPr>
    </w:p>
    <w:p>
      <w:pPr>
        <w:pStyle w:val="Header &amp; Footer"/>
        <w:bidi w:val="0"/>
      </w:pPr>
    </w:p>
    <w:p>
      <w:pPr>
        <w:pStyle w:val="Header &amp; Footer"/>
        <w:rPr>
          <w:u w:val="single"/>
        </w:rPr>
      </w:pPr>
      <w:r>
        <w:rPr>
          <w:u w:val="single"/>
          <w:rtl w:val="0"/>
          <w:lang w:val="it-IT"/>
        </w:rPr>
        <w:t>References- Shannon</w:t>
      </w:r>
    </w:p>
    <w:p>
      <w:pPr>
        <w:pStyle w:val="Header &amp; Footer"/>
        <w:bidi w:val="0"/>
      </w:pPr>
      <w:r>
        <w:rPr>
          <w:rFonts w:ascii="Helvetica" w:cs="Arial Unicode MS" w:hAnsi="Arial Unicode MS" w:eastAsia="Arial Unicode MS"/>
          <w:rtl w:val="0"/>
        </w:rPr>
        <w:t>Williams, C (2011). Social Policy for Social Welfare Practice in a Devolved Wales. 2nd ed. Birmingham: Venture Press.</w:t>
      </w:r>
    </w:p>
    <w:p>
      <w:pPr>
        <w:pStyle w:val="Header &amp; Footer"/>
        <w:bidi w:val="0"/>
      </w:pPr>
    </w:p>
    <w:p>
      <w:pPr>
        <w:pStyle w:val="Header &amp; Footer"/>
        <w:bidi w:val="0"/>
      </w:pPr>
      <w:r>
        <w:rPr>
          <w:rFonts w:ascii="Helvetica" w:cs="Arial Unicode MS" w:hAnsi="Arial Unicode MS" w:eastAsia="Arial Unicode MS"/>
          <w:rtl w:val="0"/>
        </w:rPr>
        <w:t>Wales. Children, Young People and Education Committee. (2014). Flying Start. [Online] Available: http://www.senedd.assembly.wales/documents/s24070/CYPE4-04-14%20-%20Paper%201.html?CT=2</w:t>
      </w:r>
    </w:p>
    <w:p>
      <w:pPr>
        <w:pStyle w:val="Header &amp; Footer"/>
        <w:bidi w:val="0"/>
      </w:pPr>
    </w:p>
    <w:p>
      <w:pPr>
        <w:pStyle w:val="Header &amp; Footer"/>
        <w:bidi w:val="0"/>
      </w:pPr>
      <w:r>
        <w:rPr>
          <w:rFonts w:ascii="Helvetica" w:cs="Arial Unicode MS" w:hAnsi="Arial Unicode MS" w:eastAsia="Arial Unicode MS"/>
          <w:rtl w:val="0"/>
        </w:rPr>
        <w:t>Welsh Liberal Democrats. (2015). Welsh Lib Dems would radically reform support for poorest families. [Online] Available: http://www.welshlibdems.wales/welsh_lib_dems_would_radically_reform_support_for_poorest_families.</w:t>
      </w:r>
    </w:p>
    <w:p>
      <w:pPr>
        <w:pStyle w:val="Header &amp; Footer"/>
        <w:bidi w:val="0"/>
      </w:pPr>
    </w:p>
    <w:p>
      <w:pPr>
        <w:pStyle w:val="Header &amp; Footer"/>
        <w:bidi w:val="0"/>
      </w:pPr>
      <w:r>
        <w:rPr>
          <w:rFonts w:ascii="Helvetica" w:cs="Arial Unicode MS" w:hAnsi="Arial Unicode MS" w:eastAsia="Arial Unicode MS"/>
          <w:rtl w:val="0"/>
        </w:rPr>
        <w:t>Children</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Commissioner for Wales . (2012). Child poverty strategy: 2012 onwards. [Online] Available: http://www.scie-socialcareonline.org.uk/child-poverty-strategy-2012-onwards/r/a11G00000017z8ZIAQ.</w:t>
      </w:r>
    </w:p>
    <w:p>
      <w:pPr>
        <w:pStyle w:val="Header &amp; Footer"/>
        <w:bidi w:val="0"/>
      </w:pPr>
    </w:p>
    <w:p>
      <w:pPr>
        <w:pStyle w:val="Header &amp; Footer"/>
        <w:rPr>
          <w:u w:val="single"/>
        </w:rPr>
      </w:pPr>
      <w:r>
        <w:rPr>
          <w:u w:val="single"/>
          <w:rtl w:val="0"/>
          <w:lang w:val="en-US"/>
        </w:rPr>
        <w:t>References- Codie</w:t>
      </w:r>
    </w:p>
    <w:p>
      <w:pPr>
        <w:pStyle w:val="Header &amp; Footer"/>
        <w:bidi w:val="0"/>
      </w:pPr>
      <w:r>
        <w:rPr>
          <w:rFonts w:ascii="Helvetica" w:cs="Arial Unicode MS" w:hAnsi="Arial Unicode MS" w:eastAsia="Arial Unicode MS"/>
          <w:rtl w:val="0"/>
        </w:rPr>
        <w:t>Thomas, G. (13 July 2016). The Flying Start Programme. In: Flying Start, summary statistics 2015-16. Cardiff: Gwyneth Thomas . p1-12.</w:t>
      </w:r>
    </w:p>
    <w:p>
      <w:pPr>
        <w:pStyle w:val="Header &amp; Footer"/>
        <w:bidi w:val="0"/>
      </w:pPr>
    </w:p>
    <w:p>
      <w:pPr>
        <w:pStyle w:val="Header &amp; Footer"/>
        <w:bidi w:val="0"/>
      </w:pPr>
      <w:r>
        <w:rPr>
          <w:rFonts w:ascii="Helvetica" w:cs="Arial Unicode MS" w:hAnsi="Arial Unicode MS" w:eastAsia="Arial Unicode MS"/>
          <w:rtl w:val="0"/>
        </w:rPr>
        <w:t>Crowley, A. (2011). Child poverty in Wales. In: Williams, C Social Policy for Social Welfare Practice in a Devolved Wales. Birmingham: Venture Press. P-87-88.</w:t>
      </w:r>
    </w:p>
    <w:p>
      <w:pPr>
        <w:pStyle w:val="Header &amp; Footer"/>
        <w:bidi w:val="0"/>
      </w:pPr>
    </w:p>
    <w:p>
      <w:pPr>
        <w:pStyle w:val="Header &amp; Footer"/>
        <w:bidi w:val="0"/>
      </w:pPr>
      <w:r>
        <w:rPr>
          <w:rFonts w:ascii="Helvetica" w:cs="Arial Unicode MS" w:hAnsi="Arial Unicode MS" w:eastAsia="Arial Unicode MS"/>
          <w:rtl w:val="0"/>
        </w:rPr>
        <w:t>Thomas, s. (March 2014). The Flying Start. Available: http://dera.ioe.ac.uk/23963/1/rn14-005-English.pdf. Last accessed 30th of Nov.</w:t>
      </w:r>
    </w:p>
    <w:p>
      <w:pPr>
        <w:pStyle w:val="Header &amp; Footer"/>
        <w:bidi w:val="0"/>
      </w:pPr>
    </w:p>
    <w:p>
      <w:pPr>
        <w:pStyle w:val="Header &amp; Footer"/>
        <w:bidi w:val="0"/>
      </w:pPr>
      <w:r>
        <w:rPr>
          <w:rFonts w:ascii="Helvetica" w:cs="Arial Unicode MS" w:hAnsi="Arial Unicode MS" w:eastAsia="Arial Unicode MS"/>
          <w:rtl w:val="0"/>
        </w:rPr>
        <w:t>Thomas, G. (2016). The Flying Start. Available: http://dera.ioe.ac.uk/26877/1/160713-flying-start-summary-statistics-2015-16-en.pdf. Last accessed 29th of Nov.</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