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B4546" w:rsidRPr="007250E4" w:rsidRDefault="004B4546" w:rsidP="007250E4">
      <w:pPr>
        <w:jc w:val="center"/>
        <w:rPr>
          <w:b/>
        </w:rPr>
      </w:pPr>
    </w:p>
    <w:p w:rsidR="004B4546" w:rsidRDefault="004B4546" w:rsidP="007250E4">
      <w:pPr>
        <w:jc w:val="center"/>
        <w:rPr>
          <w:b/>
        </w:rPr>
      </w:pPr>
      <w:r w:rsidRPr="007250E4">
        <w:rPr>
          <w:b/>
        </w:rPr>
        <w:t>“We name things and then we can talk about them; can refer to them in talk” – As if what we did next were given with the mere act of naming” (PI 27) Are we, then, wrong to think in this way?</w:t>
      </w:r>
    </w:p>
    <w:p w:rsidR="007250E4" w:rsidRPr="007250E4" w:rsidRDefault="007250E4" w:rsidP="007250E4">
      <w:pPr>
        <w:jc w:val="center"/>
        <w:rPr>
          <w:b/>
        </w:rPr>
      </w:pPr>
    </w:p>
    <w:p w:rsidR="00BE445A" w:rsidRDefault="004B4546">
      <w:r>
        <w:t>Wittgenstein attempts to move beyond his conception of language in his original work to apply it how we use in our general everyday lives. We have to see language in functioning and it is in this way the richness and complexity of language can be revealed.</w:t>
      </w:r>
      <w:r w:rsidR="00A61E2E">
        <w:rPr>
          <w:rStyle w:val="FootnoteReference"/>
        </w:rPr>
        <w:footnoteReference w:id="1"/>
      </w:r>
      <w:r w:rsidR="00D22F87">
        <w:t xml:space="preserve"> This differs from Augustine who looked for </w:t>
      </w:r>
      <w:r w:rsidR="00D22F87" w:rsidRPr="00945D30">
        <w:rPr>
          <w:i/>
        </w:rPr>
        <w:t>“the essence of meaning in the idea of something being correlated with a word”</w:t>
      </w:r>
      <w:r w:rsidR="00A61E2E">
        <w:rPr>
          <w:rStyle w:val="FootnoteReference"/>
          <w:i/>
        </w:rPr>
        <w:footnoteReference w:id="2"/>
      </w:r>
      <w:r w:rsidR="00C179F6">
        <w:t xml:space="preserve">. </w:t>
      </w:r>
      <w:r w:rsidR="0045330B">
        <w:t>Wittgenstein</w:t>
      </w:r>
      <w:r w:rsidR="00C179F6">
        <w:t xml:space="preserve"> famously opens “Philosophical Investigations” with a</w:t>
      </w:r>
      <w:r w:rsidR="00A61E2E">
        <w:t>n</w:t>
      </w:r>
      <w:r w:rsidR="00C179F6">
        <w:t xml:space="preserve"> excerpt from Augustine referring to a picture of meaning a</w:t>
      </w:r>
      <w:r w:rsidR="00A61E2E">
        <w:t>s based upon a correspondence between language and objects and how sentences are such combinations</w:t>
      </w:r>
      <w:r w:rsidR="00A61E2E">
        <w:rPr>
          <w:rStyle w:val="FootnoteReference"/>
        </w:rPr>
        <w:footnoteReference w:id="3"/>
      </w:r>
      <w:r w:rsidR="00A61E2E">
        <w:t>.</w:t>
      </w:r>
      <w:r w:rsidR="00C179F6">
        <w:t xml:space="preserve"> </w:t>
      </w:r>
      <w:r w:rsidR="0045330B">
        <w:t>Wittgenstein</w:t>
      </w:r>
      <w:r w:rsidR="00977841">
        <w:t xml:space="preserve"> wrote his Philos</w:t>
      </w:r>
      <w:r w:rsidR="0045330B">
        <w:t>o</w:t>
      </w:r>
      <w:r w:rsidR="00977841">
        <w:t xml:space="preserve">phical Investigations partially as a response to his own </w:t>
      </w:r>
      <w:proofErr w:type="spellStart"/>
      <w:r w:rsidR="00945D30" w:rsidRPr="00945D30">
        <w:rPr>
          <w:i/>
        </w:rPr>
        <w:t>Tracatus</w:t>
      </w:r>
      <w:proofErr w:type="spellEnd"/>
      <w:r w:rsidR="00977841">
        <w:t xml:space="preserve">, in which he realised he had made faulty assumptions and had not succeeded in properly engaging in the various nuances within the structure of language. In Fergus Kerr’s view, Wittgenstein was wary of the role that science has upon modern thought and how from this the mind has distorted itself to view itself in ways it </w:t>
      </w:r>
      <w:r w:rsidR="00945D30">
        <w:t>shouldn’t</w:t>
      </w:r>
      <w:r w:rsidR="00977841">
        <w:t>. Because we strive for objectivity, the ways in which we understand ourselves as subjects has affected the way we consider language</w:t>
      </w:r>
      <w:r w:rsidR="00A61E2E">
        <w:rPr>
          <w:rStyle w:val="FootnoteReference"/>
        </w:rPr>
        <w:footnoteReference w:id="4"/>
      </w:r>
      <w:r w:rsidR="00977841">
        <w:t xml:space="preserve">. </w:t>
      </w:r>
      <w:r w:rsidR="007A183E">
        <w:t xml:space="preserve"> If we are to agree with him, we are, of course wrong to think in the sense that by simply naming things and referring to them in talk, what we do next is “given with the mere act of naming” as </w:t>
      </w:r>
      <w:r w:rsidR="0045330B">
        <w:t>Wittgenstein</w:t>
      </w:r>
      <w:r w:rsidR="007A183E">
        <w:t xml:space="preserve"> writes in P1 27. This essay will address this claim.</w:t>
      </w:r>
    </w:p>
    <w:p w:rsidR="00B46AE1" w:rsidRDefault="00B46AE1">
      <w:r>
        <w:t xml:space="preserve">Oswald </w:t>
      </w:r>
      <w:proofErr w:type="spellStart"/>
      <w:r>
        <w:t>Haffling</w:t>
      </w:r>
      <w:proofErr w:type="spellEnd"/>
      <w:r>
        <w:t xml:space="preserve"> compares </w:t>
      </w:r>
      <w:r w:rsidR="00A61E2E">
        <w:t>Wittgenstein’s</w:t>
      </w:r>
      <w:r w:rsidR="00AD417D">
        <w:t xml:space="preserve"> understanding of language and it’s use to the value of money and it’s use.  It is not that money has value because of it’s use, it has value because of how it is used and this also applies to language. </w:t>
      </w:r>
      <w:proofErr w:type="spellStart"/>
      <w:r w:rsidR="00AD417D">
        <w:t>Haffling</w:t>
      </w:r>
      <w:proofErr w:type="spellEnd"/>
      <w:r w:rsidR="00AD417D">
        <w:t xml:space="preserve"> emphasised the way in which Wittgenstein’s conception of language and description is misinterpreted</w:t>
      </w:r>
      <w:r w:rsidR="00A61E2E">
        <w:rPr>
          <w:rStyle w:val="FootnoteReference"/>
        </w:rPr>
        <w:footnoteReference w:id="5"/>
      </w:r>
      <w:r w:rsidR="00AD417D">
        <w:t>.  The way that certain words are used will  influence their meaning</w:t>
      </w:r>
      <w:r w:rsidR="006E2210">
        <w:t xml:space="preserve">s, it is not simply that the meaning is the same as </w:t>
      </w:r>
      <w:proofErr w:type="spellStart"/>
      <w:r w:rsidR="006E2210">
        <w:t>it’s</w:t>
      </w:r>
      <w:proofErr w:type="spellEnd"/>
      <w:r w:rsidR="006E2210">
        <w:t xml:space="preserve"> use in application.</w:t>
      </w:r>
    </w:p>
    <w:p w:rsidR="007250E4" w:rsidRDefault="008A4276">
      <w:proofErr w:type="spellStart"/>
      <w:r>
        <w:t>Haffling</w:t>
      </w:r>
      <w:proofErr w:type="spellEnd"/>
      <w:r>
        <w:t xml:space="preserve"> addresses the concept of ostensive definition that Wittgenstein believed couldn’t help us break out of the circle of language and</w:t>
      </w:r>
      <w:r w:rsidR="005B0511">
        <w:t xml:space="preserve"> that</w:t>
      </w:r>
      <w:r>
        <w:t xml:space="preserve"> certainly the learning of meaning c</w:t>
      </w:r>
      <w:r w:rsidR="005B0511">
        <w:t>ouldn’t</w:t>
      </w:r>
      <w:r>
        <w:t xml:space="preserve"> be accounted for by this</w:t>
      </w:r>
      <w:r w:rsidR="00A61E2E">
        <w:rPr>
          <w:rStyle w:val="FootnoteReference"/>
        </w:rPr>
        <w:footnoteReference w:id="6"/>
      </w:r>
      <w:r>
        <w:t xml:space="preserve">. </w:t>
      </w:r>
      <w:r w:rsidR="008278F4">
        <w:t>It is key that we understand what Wittgenstein meant by “ostensive definition” which</w:t>
      </w:r>
      <w:r w:rsidR="00DE33C8">
        <w:t xml:space="preserve"> in practice</w:t>
      </w:r>
      <w:r w:rsidR="008278F4">
        <w:t xml:space="preserve"> mean</w:t>
      </w:r>
      <w:r w:rsidR="00DE33C8">
        <w:t>s for someone</w:t>
      </w:r>
      <w:r w:rsidR="008278F4">
        <w:t xml:space="preserve"> to point to a</w:t>
      </w:r>
      <w:r w:rsidR="00DE33C8">
        <w:t xml:space="preserve"> visual </w:t>
      </w:r>
      <w:r w:rsidR="008278F4">
        <w:t xml:space="preserve">exemplar in order to </w:t>
      </w:r>
      <w:proofErr w:type="spellStart"/>
      <w:r w:rsidR="00DE33C8">
        <w:t>ostensively</w:t>
      </w:r>
      <w:proofErr w:type="spellEnd"/>
      <w:r w:rsidR="00DE33C8">
        <w:t xml:space="preserve"> teach words.</w:t>
      </w:r>
      <w:r w:rsidR="008278F4">
        <w:t xml:space="preserve"> Thus the ostensive teaching of words is key to key to understanding language.</w:t>
      </w:r>
      <w:r w:rsidR="00F33CFD">
        <w:rPr>
          <w:rStyle w:val="FootnoteReference"/>
        </w:rPr>
        <w:footnoteReference w:id="7"/>
      </w:r>
      <w:r w:rsidR="008278F4">
        <w:t xml:space="preserve"> </w:t>
      </w:r>
      <w:r w:rsidR="00DE33C8">
        <w:t xml:space="preserve">However it is fair to acknowledge that a </w:t>
      </w:r>
      <w:r w:rsidR="008278F4">
        <w:t>child cannot possibly grasp to learn definitions without the ability to name in the first place – he “cannot as yet ask what the name is.”</w:t>
      </w:r>
      <w:r w:rsidR="00F33CFD">
        <w:rPr>
          <w:rStyle w:val="FootnoteReference"/>
        </w:rPr>
        <w:footnoteReference w:id="8"/>
      </w:r>
      <w:r>
        <w:t xml:space="preserve"> </w:t>
      </w:r>
      <w:r w:rsidR="00DE33C8">
        <w:t xml:space="preserve">This is a way in which </w:t>
      </w:r>
      <w:r w:rsidR="00A61E2E">
        <w:t>Wittgenstein</w:t>
      </w:r>
      <w:r w:rsidR="00DE33C8">
        <w:t xml:space="preserve"> attempts to move beyond language as a system of signs</w:t>
      </w:r>
      <w:r w:rsidR="007250E4">
        <w:t>, or signifiers</w:t>
      </w:r>
      <w:r w:rsidR="00DE33C8">
        <w:t xml:space="preserve">. He recognises the need for a theory to represent how meaning is derived from such </w:t>
      </w:r>
      <w:r w:rsidR="007250E4">
        <w:t>signifiers</w:t>
      </w:r>
      <w:r w:rsidR="00DE33C8">
        <w:t xml:space="preserve"> but attempts to show this need as useless, </w:t>
      </w:r>
      <w:r w:rsidR="00DE33C8">
        <w:lastRenderedPageBreak/>
        <w:t>hence his theory of language as a form of life. This term “form of life” is intended to evoke the idea of us as individuals engaging in the lives of others</w:t>
      </w:r>
      <w:r w:rsidR="00F33CFD">
        <w:rPr>
          <w:rStyle w:val="FootnoteReference"/>
        </w:rPr>
        <w:footnoteReference w:id="9"/>
      </w:r>
      <w:r w:rsidR="00DE33C8">
        <w:t>.</w:t>
      </w:r>
      <w:r w:rsidR="006E2210">
        <w:t xml:space="preserve"> His language game theory is derived from this although Wittgenstein himself did not define it as such</w:t>
      </w:r>
      <w:r w:rsidR="00BA6624">
        <w:t>. He recognised that “the functions of words are as diverse as the functions of these objects</w:t>
      </w:r>
      <w:r w:rsidR="00C80AB3">
        <w:t>”</w:t>
      </w:r>
      <w:r w:rsidR="00F33CFD">
        <w:rPr>
          <w:rStyle w:val="FootnoteReference"/>
        </w:rPr>
        <w:footnoteReference w:id="10"/>
      </w:r>
      <w:r w:rsidR="00C80AB3">
        <w:t xml:space="preserve">. The nature of philosophy, especially in his period, </w:t>
      </w:r>
      <w:r w:rsidR="008A50AF">
        <w:t>seemed to entail</w:t>
      </w:r>
      <w:r w:rsidR="00C80AB3">
        <w:t xml:space="preserve"> that we theorize language in sense</w:t>
      </w:r>
      <w:r w:rsidR="008A50AF">
        <w:t xml:space="preserve"> which when reflecting upon the “uniform appearance of our words”, seems to fool us into believing we should be doing</w:t>
      </w:r>
      <w:r w:rsidR="00F33CFD">
        <w:rPr>
          <w:rStyle w:val="FootnoteReference"/>
        </w:rPr>
        <w:footnoteReference w:id="11"/>
      </w:r>
      <w:r w:rsidR="008A50AF">
        <w:t xml:space="preserve">. </w:t>
      </w:r>
    </w:p>
    <w:p w:rsidR="00DE33C8" w:rsidRDefault="008A50AF">
      <w:r>
        <w:t>Although Wittgenstein tried to steer his readers very much away from the Aug</w:t>
      </w:r>
      <w:r w:rsidR="005B0511">
        <w:t>u</w:t>
      </w:r>
      <w:r>
        <w:t>sti</w:t>
      </w:r>
      <w:r w:rsidR="00A61E2E">
        <w:t>ni</w:t>
      </w:r>
      <w:r>
        <w:t>an conception of acqua</w:t>
      </w:r>
      <w:r w:rsidR="005B0511">
        <w:t>i</w:t>
      </w:r>
      <w:r>
        <w:t>ntance and signification, it is important to point out that he</w:t>
      </w:r>
      <w:r w:rsidR="00DE33C8">
        <w:t xml:space="preserve"> is not denying the ways in which young children learn certain words, such as the names of colours or shapes via the empirical process of being acquainted with </w:t>
      </w:r>
      <w:r w:rsidR="00A61E2E">
        <w:t>something.</w:t>
      </w:r>
      <w:r w:rsidR="00DE33C8">
        <w:t xml:space="preserve"> It is simply that there are language abilities that the ostensive definition can’t account for – there would appear to be more complicated processes at work here</w:t>
      </w:r>
      <w:r w:rsidR="00F33CFD">
        <w:rPr>
          <w:rStyle w:val="FootnoteReference"/>
        </w:rPr>
        <w:footnoteReference w:id="12"/>
      </w:r>
      <w:r w:rsidR="00DE33C8">
        <w:t xml:space="preserve">. </w:t>
      </w:r>
      <w:r>
        <w:t>There are far too many similarities that overlap and criss-cross in a complicated network, as his describes in his PI and this how we should travel with the words uses, through this metaphorical network</w:t>
      </w:r>
      <w:r w:rsidR="00F33CFD">
        <w:rPr>
          <w:rStyle w:val="FootnoteReference"/>
        </w:rPr>
        <w:footnoteReference w:id="13"/>
      </w:r>
      <w:r>
        <w:t>.</w:t>
      </w:r>
      <w:r w:rsidR="00DE33C8">
        <w:t xml:space="preserve"> </w:t>
      </w:r>
      <w:r w:rsidR="00AB5646">
        <w:t xml:space="preserve">It is also fair to concede that the purpose of language is to not simply evoke imagery in the mind of the reader or listener depending on the context. It can be true some of the time and Wittgenstein concedes to this. But in the minds of an imaginary tribe of builders, when they say “pillar” or “beam”, to transfer mental images to another is simply not the intention. As </w:t>
      </w:r>
      <w:r w:rsidR="00C02871">
        <w:t>Marie McGinn</w:t>
      </w:r>
      <w:r w:rsidR="00AB5646">
        <w:t xml:space="preserve">  describes in  </w:t>
      </w:r>
      <w:r w:rsidR="00C02871" w:rsidRPr="00C02871">
        <w:rPr>
          <w:i/>
        </w:rPr>
        <w:t>A Routledge Companion Guidebook to Wittgenstein’s Philosophy</w:t>
      </w:r>
      <w:r w:rsidR="00C02871">
        <w:t xml:space="preserve">, </w:t>
      </w:r>
      <w:r w:rsidR="00AB5646">
        <w:t>a child simply cannot grasp the word in the same way the builder can</w:t>
      </w:r>
      <w:r w:rsidR="00F33CFD">
        <w:rPr>
          <w:rStyle w:val="FootnoteReference"/>
        </w:rPr>
        <w:footnoteReference w:id="14"/>
      </w:r>
      <w:r w:rsidR="00AB5646">
        <w:t xml:space="preserve">. But does this necessarily mean the child does not have a </w:t>
      </w:r>
      <w:r w:rsidR="007250E4">
        <w:t xml:space="preserve">reasonable </w:t>
      </w:r>
      <w:r w:rsidR="00AB5646">
        <w:t>conception of the word? We could counter argue, that in the same way that people can have a concept of weight without a system of weight measurement. This is because as Rundle elaborated upon very extensively in his “Meaning and Understanding”, that we can talk of meaning “before we have introduced a basis on which meanings can be individuated”. This may be inevitable when we consider having meaning in a sense that allows for conditions that align themselves for ways that apply to individual words.</w:t>
      </w:r>
      <w:r w:rsidR="00F33CFD">
        <w:rPr>
          <w:rStyle w:val="FootnoteReference"/>
        </w:rPr>
        <w:footnoteReference w:id="15"/>
      </w:r>
      <w:r w:rsidR="007250E4">
        <w:t xml:space="preserve"> So a child having a mental signifier of a pillar or beam via the process of ostensive definition is the starting point from which schemas are built, a fully realised idea of a pillar or beam has true potential from this starting point. The child can begin to talk from the limitation of what he/she does not know as long as there is a vague conception of what he/she intends to talk about. This would appear to </w:t>
      </w:r>
      <w:r w:rsidR="005B0511">
        <w:t>conflict with</w:t>
      </w:r>
      <w:r w:rsidR="007250E4">
        <w:t xml:space="preserve"> Wittgenstein.</w:t>
      </w:r>
    </w:p>
    <w:p w:rsidR="008A4276" w:rsidRDefault="008A4276">
      <w:r>
        <w:t xml:space="preserve">Whenever we try to define something, there is a presumption that we already understand or grasp knowledge of other words. </w:t>
      </w:r>
      <w:r w:rsidR="0073280D">
        <w:t xml:space="preserve">As Fergus Kerr explains, it is impossible to isolate naming from other activities whereas Augustine’s picture presents the infant self as already understanding what naming, referring, meaning etc are all about.  Even when we refer to and name objects, there is a sense that this naming and referring exists in the context of an awareness of our communication with others, the system of “the human way of doing things together”. This, after all, is </w:t>
      </w:r>
      <w:r w:rsidR="00AF448F">
        <w:t xml:space="preserve">what sustains </w:t>
      </w:r>
      <w:r w:rsidR="00AF448F">
        <w:lastRenderedPageBreak/>
        <w:t>an</w:t>
      </w:r>
      <w:r>
        <w:t>d</w:t>
      </w:r>
      <w:r w:rsidR="00AF448F">
        <w:t xml:space="preserve"> creates our consciousness</w:t>
      </w:r>
      <w:r w:rsidR="00F33CFD">
        <w:rPr>
          <w:rStyle w:val="FootnoteReference"/>
        </w:rPr>
        <w:footnoteReference w:id="16"/>
      </w:r>
      <w:r w:rsidR="00AF448F">
        <w:t>.</w:t>
      </w:r>
      <w:r w:rsidR="003F7F6A">
        <w:t xml:space="preserve"> Wittgenstein acknowledges that the temptation to view meaning as being derived from “signs” and hence the naming and referential theory associated </w:t>
      </w:r>
      <w:r w:rsidR="008E43DE">
        <w:t>and sees this as inevitable with the inevitable ponderous nature of existence</w:t>
      </w:r>
      <w:r w:rsidR="00F33CFD">
        <w:rPr>
          <w:rStyle w:val="FootnoteReference"/>
        </w:rPr>
        <w:footnoteReference w:id="17"/>
      </w:r>
      <w:r w:rsidR="008E43DE">
        <w:t xml:space="preserve">. In other words, people who may experience </w:t>
      </w:r>
      <w:r w:rsidR="00565D85">
        <w:t xml:space="preserve">an </w:t>
      </w:r>
      <w:r w:rsidR="008E43DE">
        <w:t xml:space="preserve">existential crisis or even </w:t>
      </w:r>
      <w:r w:rsidR="00565D85">
        <w:t xml:space="preserve">suffer from a </w:t>
      </w:r>
      <w:r w:rsidR="008E43DE">
        <w:t xml:space="preserve">mental illnesses may be so inward looking and trapped within their own </w:t>
      </w:r>
      <w:r w:rsidR="005B0511">
        <w:t xml:space="preserve">mind </w:t>
      </w:r>
      <w:r w:rsidR="008E43DE">
        <w:t xml:space="preserve">in the sense that </w:t>
      </w:r>
      <w:bookmarkStart w:id="6" w:name="_GoBack"/>
      <w:bookmarkEnd w:id="6"/>
      <w:r w:rsidR="008E43DE">
        <w:t>attention i</w:t>
      </w:r>
      <w:r w:rsidR="00C02871">
        <w:t>s</w:t>
      </w:r>
      <w:r w:rsidR="008E43DE">
        <w:t xml:space="preserve"> so focused on </w:t>
      </w:r>
      <w:r w:rsidR="005B0511">
        <w:t>perceptions</w:t>
      </w:r>
      <w:r w:rsidR="008E43DE">
        <w:t xml:space="preserve"> of their </w:t>
      </w:r>
      <w:r w:rsidR="005B0511">
        <w:t xml:space="preserve">own </w:t>
      </w:r>
      <w:r w:rsidR="008E43DE">
        <w:t xml:space="preserve">consciousness that they fail to see the system which permeates the world of language and the reality of how we really do as humans relate to one another. Perhaps what </w:t>
      </w:r>
      <w:r w:rsidR="00A61E2E">
        <w:t>Wittgenstein</w:t>
      </w:r>
      <w:r w:rsidR="008E43DE">
        <w:t xml:space="preserve"> is also admitting is that it is unhealthy to think of life in this way.</w:t>
      </w:r>
      <w:r w:rsidR="00AF448F">
        <w:t xml:space="preserve"> </w:t>
      </w:r>
      <w:r w:rsidR="005B0511">
        <w:t>This points to underlying reasons, spiritual or psychological reasons that motivated Wittgenstein to engage with philosophy in the way that he did, wanting a true engagement in the empirical world.</w:t>
      </w:r>
    </w:p>
    <w:p w:rsidR="00BE445A" w:rsidRDefault="008A4276">
      <w:r>
        <w:t xml:space="preserve">What is misunderstood amongst many is that he was </w:t>
      </w:r>
      <w:r w:rsidR="00AF448F">
        <w:t xml:space="preserve">not advocating a view that completely rejects the </w:t>
      </w:r>
      <w:r w:rsidR="005B0511">
        <w:t>Augustinian</w:t>
      </w:r>
      <w:r w:rsidR="00AF448F">
        <w:t xml:space="preserve"> view of language which he sought to argue against. What concerns Wittgenstein is that to strictly hold this view would push this particular conception beyond it’s limitations, applying itself in cases which cannot be applicable. There is inevitably a certain degree of restrictedness and scrutiny with which one must apply a theory of meaning that Augustine was advocating. </w:t>
      </w:r>
      <w:r w:rsidR="00A13AA8">
        <w:t>Rundle was keen to emphasise that meaning is not something found in the world</w:t>
      </w:r>
      <w:r w:rsidR="001A06DE">
        <w:t xml:space="preserve"> and however we explain the significations of words, these hold no bearing on actual matters of existence. We should not confuse signification and meaning as overlapping</w:t>
      </w:r>
      <w:r w:rsidR="00274AEA">
        <w:t xml:space="preserve"> and in</w:t>
      </w:r>
      <w:r>
        <w:t>ste</w:t>
      </w:r>
      <w:r w:rsidR="00274AEA">
        <w:t>ad we may hold the position t</w:t>
      </w:r>
      <w:r>
        <w:t>h</w:t>
      </w:r>
      <w:r w:rsidR="00274AEA">
        <w:t>at when considering “mean” we’re really thinking about intention</w:t>
      </w:r>
      <w:r w:rsidR="00F33CFD">
        <w:rPr>
          <w:rStyle w:val="FootnoteReference"/>
        </w:rPr>
        <w:footnoteReference w:id="18"/>
      </w:r>
      <w:r w:rsidR="00274AEA">
        <w:t>. Rundle spoke of the work “saffron” to illustrate his point that when we speak of it, we speak of it’s meaning as it’s intention which is to describe a certain colour.  However this does complicate the matter by insinuating a person as a subject “dropping the person in the construction” so that he/she becomes assimilated in the meaning of a word</w:t>
      </w:r>
      <w:r w:rsidR="00F33CFD">
        <w:rPr>
          <w:rStyle w:val="FootnoteReference"/>
        </w:rPr>
        <w:footnoteReference w:id="19"/>
      </w:r>
      <w:r w:rsidR="00274AEA">
        <w:t>.</w:t>
      </w:r>
    </w:p>
    <w:p w:rsidR="006E2210" w:rsidRDefault="00A11BF6">
      <w:r>
        <w:t>That we can refer to things in talk however by way of ostensive definition does seem to ring true to life in the sense that</w:t>
      </w:r>
      <w:r w:rsidR="00991AD2">
        <w:t xml:space="preserve"> ostensive definition does seem to be</w:t>
      </w:r>
      <w:r>
        <w:t xml:space="preserve"> the procedure we use when we explain how we use meaning, </w:t>
      </w:r>
      <w:r w:rsidR="00991AD2">
        <w:t xml:space="preserve">or think about how we use it, </w:t>
      </w:r>
      <w:r>
        <w:t xml:space="preserve">as Rundle acknowledged. It is possible to accommodate the idea of word as signifying something whilst in the practice of use. Rundle believed we must have a notion of meaning that is continuous with </w:t>
      </w:r>
      <w:r w:rsidR="00991AD2">
        <w:t>cases that are more “primitive”, in his case, meaning words that are more simple and obvious in their meanings</w:t>
      </w:r>
      <w:r w:rsidR="00E413AC">
        <w:rPr>
          <w:rStyle w:val="FootnoteReference"/>
        </w:rPr>
        <w:footnoteReference w:id="20"/>
      </w:r>
      <w:r w:rsidR="00991AD2">
        <w:t xml:space="preserve">. Therefore meaning in signifying should not be seen as mutually exclusive from meaning in use because “what use determines is in large measure what a word signifies”, the application of a word’s use is the action that the word is signifying to begin with. Wittgenstein </w:t>
      </w:r>
      <w:r w:rsidR="002463B9">
        <w:t>does not seem to consider this and instead appeals to a broader conception of meaning which is complicated by introducing other considerations that complicate matters. One example of a complication is that he allows the ostensive definition, the referential theory of signifying when it comes to differentiating words tha</w:t>
      </w:r>
      <w:r w:rsidR="006E2210">
        <w:t>t</w:t>
      </w:r>
      <w:r w:rsidR="002463B9">
        <w:t xml:space="preserve"> are very similar, such as “block” and “slab”</w:t>
      </w:r>
      <w:r w:rsidR="006E2210">
        <w:t>. This does remove misconceptions that are in question which is the only reason Wittgenstein seems to allow for this</w:t>
      </w:r>
      <w:r w:rsidR="00E413AC">
        <w:rPr>
          <w:rStyle w:val="FootnoteReference"/>
        </w:rPr>
        <w:footnoteReference w:id="21"/>
      </w:r>
      <w:r w:rsidR="006E2210">
        <w:t xml:space="preserve">. We may argue this seems suspiciously convenient on his part to make exceptions to his language game theory. Wittgenstein has also seemed contradictory and inconsistent in his Language Game Theory noted by other </w:t>
      </w:r>
      <w:r w:rsidR="006E2210">
        <w:lastRenderedPageBreak/>
        <w:t xml:space="preserve">philosophers like Rundle. It is Rundle who appears to have in a very detailed manner, examined the faults of Wittgenstein in </w:t>
      </w:r>
      <w:r w:rsidR="006E2210" w:rsidRPr="00C02871">
        <w:rPr>
          <w:i/>
        </w:rPr>
        <w:t>Meaning and Understanding</w:t>
      </w:r>
      <w:r w:rsidR="00C02871">
        <w:rPr>
          <w:i/>
        </w:rPr>
        <w:t xml:space="preserve"> </w:t>
      </w:r>
      <w:r w:rsidR="006E2210">
        <w:t xml:space="preserve">whilst contending with what Wittgenstein was intending to accomplish. </w:t>
      </w:r>
    </w:p>
    <w:p w:rsidR="00CA1B20" w:rsidRDefault="006E2210">
      <w:r>
        <w:t xml:space="preserve"> </w:t>
      </w:r>
      <w:r w:rsidR="0045330B">
        <w:t xml:space="preserve">There is a subtle difference between the meaning of a word being it’s very use and meaning as existing in the use of a word. Wittgenstein </w:t>
      </w:r>
      <w:r w:rsidR="00FA76FE">
        <w:t>did</w:t>
      </w:r>
      <w:r w:rsidR="0045330B">
        <w:t xml:space="preserve"> imply</w:t>
      </w:r>
      <w:r w:rsidR="00FA76FE">
        <w:t>, in the interpretations of many, including Rundle,</w:t>
      </w:r>
      <w:r w:rsidR="00C02871">
        <w:t xml:space="preserve"> </w:t>
      </w:r>
      <w:r w:rsidR="0045330B">
        <w:t xml:space="preserve">that the meaning </w:t>
      </w:r>
      <w:r w:rsidR="00FA76FE">
        <w:t xml:space="preserve">of a word lies in the use and hence we can infer the meaning from </w:t>
      </w:r>
      <w:proofErr w:type="spellStart"/>
      <w:r w:rsidR="00FA76FE">
        <w:t>it’s</w:t>
      </w:r>
      <w:proofErr w:type="spellEnd"/>
      <w:r w:rsidR="00FA76FE">
        <w:t xml:space="preserve"> use</w:t>
      </w:r>
      <w:r w:rsidR="00E413AC">
        <w:rPr>
          <w:rStyle w:val="FootnoteReference"/>
        </w:rPr>
        <w:footnoteReference w:id="22"/>
      </w:r>
      <w:r w:rsidR="00FA76FE">
        <w:t>. However, we should also point out, as did Rundle, that Wittgenstein was intent on clarifying that we shouldn’t be confused in the sense that we should think a difference in use of a word should cause a different meaning. Instead, the different use is the different meaning</w:t>
      </w:r>
      <w:r w:rsidR="00E413AC">
        <w:rPr>
          <w:rStyle w:val="FootnoteReference"/>
        </w:rPr>
        <w:footnoteReference w:id="23"/>
      </w:r>
      <w:r w:rsidR="00FA76FE">
        <w:t>. There is a contradiction here, as we can see, and this obscures the way we interpret what Wittgenstein meant</w:t>
      </w:r>
      <w:r>
        <w:t xml:space="preserve"> and we can argue this renders much of his work in a vaguely obsolete cloud</w:t>
      </w:r>
      <w:r w:rsidR="00A61E2E">
        <w:t>.</w:t>
      </w:r>
      <w:r w:rsidR="00CA1B20">
        <w:t xml:space="preserve"> So are we wrong to think of language in the way we supposedly do, as sentences that refer to things that our listeners can grasp understand simply by such signifiers that cause mental images? There is much resonance in the view that we must be engaged with the world and simultaneously acknowledge that wide ranging and rich combination of words and meanings that vary under different contexts. It can be easily seen as reductive to utilise language down to a theory of reference and yet we might argue this view is more consistent than what Wittgenstein ultimately put forward once we examine the contradictions and obscurities. Perhaps what we need is refined version of a Language Game Theory and yet we need to keep in mind that there in some degree of </w:t>
      </w:r>
      <w:proofErr w:type="spellStart"/>
      <w:r w:rsidR="00CA1B20">
        <w:t>concedence</w:t>
      </w:r>
      <w:proofErr w:type="spellEnd"/>
      <w:r w:rsidR="00CA1B20">
        <w:t xml:space="preserve"> between Augustine and Wit</w:t>
      </w:r>
      <w:r w:rsidR="00C02871">
        <w:t>t</w:t>
      </w:r>
      <w:r w:rsidR="00CA1B20">
        <w:t xml:space="preserve">genstein in the sense that Wittgenstein was not intending to fully destroy the referential theory of language of ostensive definition. </w:t>
      </w:r>
    </w:p>
    <w:p w:rsidR="00A61E2E" w:rsidRDefault="00A61E2E"/>
    <w:p w:rsidR="00E413AC" w:rsidRDefault="00E413AC"/>
    <w:p w:rsidR="00C02871" w:rsidRDefault="00C02871"/>
    <w:p w:rsidR="00C02871" w:rsidRDefault="00C02871"/>
    <w:p w:rsidR="00C02871" w:rsidRDefault="00C02871"/>
    <w:p w:rsidR="00C02871" w:rsidRDefault="00C02871"/>
    <w:p w:rsidR="00C02871" w:rsidRDefault="00C02871"/>
    <w:p w:rsidR="00C02871" w:rsidRDefault="00C02871"/>
    <w:p w:rsidR="00C02871" w:rsidRDefault="00C02871"/>
    <w:p w:rsidR="00C02871" w:rsidRDefault="00C02871"/>
    <w:p w:rsidR="00C02871" w:rsidRDefault="00C02871"/>
    <w:p w:rsidR="00C02871" w:rsidRDefault="00C02871"/>
    <w:p w:rsidR="00C02871" w:rsidRDefault="00C02871"/>
    <w:p w:rsidR="00C02871" w:rsidRDefault="00C02871"/>
    <w:p w:rsidR="00C02871" w:rsidRDefault="00C02871">
      <w:r>
        <w:lastRenderedPageBreak/>
        <w:t>Bibliography</w:t>
      </w:r>
    </w:p>
    <w:p w:rsidR="00C02871" w:rsidRDefault="00C02871"/>
    <w:p w:rsidR="00C02871" w:rsidRDefault="00C02871">
      <w:r>
        <w:t xml:space="preserve">Glock, Hans-Johann Wittgenstein: A Critical Reader </w:t>
      </w:r>
      <w:r>
        <w:t>(</w:t>
      </w:r>
      <w:proofErr w:type="spellStart"/>
      <w:r>
        <w:t>Blackwell:Oxford</w:t>
      </w:r>
      <w:proofErr w:type="spellEnd"/>
      <w:r>
        <w:t>, 2001)</w:t>
      </w:r>
    </w:p>
    <w:p w:rsidR="00C02871" w:rsidRDefault="00C02871">
      <w:proofErr w:type="spellStart"/>
      <w:r>
        <w:t>Haffling</w:t>
      </w:r>
      <w:proofErr w:type="spellEnd"/>
      <w:r>
        <w:t xml:space="preserve">, Oswald Wittgenstein’s Later Philosophy </w:t>
      </w:r>
      <w:r>
        <w:t>(Macmillan Press LTD: Hampshire, 1989)</w:t>
      </w:r>
    </w:p>
    <w:p w:rsidR="00C02871" w:rsidRDefault="00C02871">
      <w:r>
        <w:t xml:space="preserve">Kerr, Fergus Theology After Wittgenstein </w:t>
      </w:r>
      <w:r>
        <w:t xml:space="preserve">(Basil Blackwell </w:t>
      </w:r>
      <w:proofErr w:type="spellStart"/>
      <w:r>
        <w:t>Ltd:Oxford</w:t>
      </w:r>
      <w:proofErr w:type="spellEnd"/>
      <w:r>
        <w:t>, 1986)</w:t>
      </w:r>
    </w:p>
    <w:p w:rsidR="00C02871" w:rsidRDefault="00C02871">
      <w:proofErr w:type="spellStart"/>
      <w:r>
        <w:t>Matar</w:t>
      </w:r>
      <w:proofErr w:type="spellEnd"/>
      <w:r>
        <w:t xml:space="preserve">, </w:t>
      </w:r>
      <w:proofErr w:type="spellStart"/>
      <w:r>
        <w:t>Anat</w:t>
      </w:r>
      <w:proofErr w:type="spellEnd"/>
      <w:r>
        <w:t xml:space="preserve"> Ludwig Wittgenstein (</w:t>
      </w:r>
      <w:r>
        <w:t>Stanford University</w:t>
      </w:r>
      <w:r>
        <w:t xml:space="preserve">: </w:t>
      </w:r>
      <w:r>
        <w:t>3</w:t>
      </w:r>
      <w:r w:rsidRPr="002069CF">
        <w:rPr>
          <w:vertAlign w:val="superscript"/>
        </w:rPr>
        <w:t>rd</w:t>
      </w:r>
      <w:r>
        <w:t xml:space="preserve"> March 2014</w:t>
      </w:r>
      <w:r>
        <w:t>)</w:t>
      </w:r>
    </w:p>
    <w:p w:rsidR="00C02871" w:rsidRDefault="00C02871">
      <w:r>
        <w:t xml:space="preserve">McGinn, Marie, A Routledge Companion Guide to Wittgenstein’s Philosophical Investigations </w:t>
      </w:r>
      <w:r>
        <w:t>(</w:t>
      </w:r>
      <w:proofErr w:type="spellStart"/>
      <w:r>
        <w:t>Routledge:Oxon</w:t>
      </w:r>
      <w:proofErr w:type="spellEnd"/>
      <w:r>
        <w:t>, 1997)</w:t>
      </w:r>
    </w:p>
    <w:sectPr w:rsidR="00C0287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67B3D" w:rsidRDefault="00C67B3D" w:rsidP="00A61E2E">
      <w:pPr>
        <w:spacing w:after="0" w:line="240" w:lineRule="auto"/>
      </w:pPr>
      <w:r>
        <w:separator/>
      </w:r>
    </w:p>
  </w:endnote>
  <w:endnote w:type="continuationSeparator" w:id="0">
    <w:p w:rsidR="00C67B3D" w:rsidRDefault="00C67B3D" w:rsidP="00A61E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67B3D" w:rsidRDefault="00C67B3D" w:rsidP="00A61E2E">
      <w:pPr>
        <w:spacing w:after="0" w:line="240" w:lineRule="auto"/>
      </w:pPr>
      <w:r>
        <w:separator/>
      </w:r>
    </w:p>
  </w:footnote>
  <w:footnote w:type="continuationSeparator" w:id="0">
    <w:p w:rsidR="00C67B3D" w:rsidRDefault="00C67B3D" w:rsidP="00A61E2E">
      <w:pPr>
        <w:spacing w:after="0" w:line="240" w:lineRule="auto"/>
      </w:pPr>
      <w:r>
        <w:continuationSeparator/>
      </w:r>
    </w:p>
  </w:footnote>
  <w:footnote w:id="1">
    <w:p w:rsidR="002069CF" w:rsidRDefault="002069CF">
      <w:pPr>
        <w:pStyle w:val="FootnoteText"/>
      </w:pPr>
      <w:r>
        <w:rPr>
          <w:rStyle w:val="FootnoteReference"/>
        </w:rPr>
        <w:footnoteRef/>
      </w:r>
      <w:r>
        <w:t xml:space="preserve"> Marie McGinn “A Routledge Companion Guidebook to Wittgenstein’s Philosophical Investigations” (</w:t>
      </w:r>
      <w:proofErr w:type="spellStart"/>
      <w:r>
        <w:t>Routledge:Oxon</w:t>
      </w:r>
      <w:proofErr w:type="spellEnd"/>
      <w:r>
        <w:t>, 1997)</w:t>
      </w:r>
    </w:p>
  </w:footnote>
  <w:footnote w:id="2">
    <w:p w:rsidR="002069CF" w:rsidRDefault="002069CF">
      <w:pPr>
        <w:pStyle w:val="FootnoteText"/>
      </w:pPr>
      <w:r>
        <w:rPr>
          <w:rStyle w:val="FootnoteReference"/>
        </w:rPr>
        <w:footnoteRef/>
      </w:r>
      <w:r w:rsidRPr="002069CF">
        <w:t xml:space="preserve"> </w:t>
      </w:r>
      <w:r>
        <w:t>Marie McGinn “A Routledge Companion Guidebook to Wittgenstein’s Philosophical Investigations” (</w:t>
      </w:r>
      <w:proofErr w:type="spellStart"/>
      <w:r>
        <w:t>Routledge:Oxon</w:t>
      </w:r>
      <w:proofErr w:type="spellEnd"/>
      <w:r>
        <w:t>, 1997)</w:t>
      </w:r>
    </w:p>
  </w:footnote>
  <w:footnote w:id="3">
    <w:p w:rsidR="002069CF" w:rsidRDefault="002069CF">
      <w:pPr>
        <w:pStyle w:val="FootnoteText"/>
      </w:pPr>
      <w:r>
        <w:rPr>
          <w:rStyle w:val="FootnoteReference"/>
        </w:rPr>
        <w:footnoteRef/>
      </w:r>
      <w:r>
        <w:t xml:space="preserve"> </w:t>
      </w:r>
      <w:proofErr w:type="spellStart"/>
      <w:r>
        <w:t>Anat</w:t>
      </w:r>
      <w:proofErr w:type="spellEnd"/>
      <w:r>
        <w:t xml:space="preserve"> </w:t>
      </w:r>
      <w:proofErr w:type="spellStart"/>
      <w:r>
        <w:t>Matar</w:t>
      </w:r>
      <w:proofErr w:type="spellEnd"/>
      <w:r>
        <w:t xml:space="preserve">, “Ludwig Wittgenstein”, Stanford </w:t>
      </w:r>
      <w:proofErr w:type="spellStart"/>
      <w:r>
        <w:t>Encylopedia</w:t>
      </w:r>
      <w:proofErr w:type="spellEnd"/>
      <w:r>
        <w:t xml:space="preserve"> of Philosophy”, 8</w:t>
      </w:r>
      <w:r w:rsidRPr="002069CF">
        <w:rPr>
          <w:vertAlign w:val="superscript"/>
        </w:rPr>
        <w:t>th</w:t>
      </w:r>
      <w:r>
        <w:t xml:space="preserve"> Nov 2002. Stanford University </w:t>
      </w:r>
      <w:hyperlink r:id="rId1" w:history="1">
        <w:r w:rsidRPr="00026718">
          <w:rPr>
            <w:rStyle w:val="Hyperlink"/>
          </w:rPr>
          <w:t>https://plato.stanford.edu/entries/wittgenstein/#PhilInve&lt;</w:t>
        </w:r>
      </w:hyperlink>
      <w:r>
        <w:t xml:space="preserve"> Substantive Revision&gt; 3</w:t>
      </w:r>
      <w:r w:rsidRPr="002069CF">
        <w:rPr>
          <w:vertAlign w:val="superscript"/>
        </w:rPr>
        <w:t>rd</w:t>
      </w:r>
      <w:r>
        <w:t xml:space="preserve"> March 2014</w:t>
      </w:r>
    </w:p>
  </w:footnote>
  <w:footnote w:id="4">
    <w:p w:rsidR="002069CF" w:rsidRDefault="002069CF">
      <w:pPr>
        <w:pStyle w:val="FootnoteText"/>
      </w:pPr>
      <w:r>
        <w:rPr>
          <w:rStyle w:val="FootnoteReference"/>
        </w:rPr>
        <w:footnoteRef/>
      </w:r>
      <w:r>
        <w:t xml:space="preserve"> </w:t>
      </w:r>
      <w:bookmarkStart w:id="0" w:name="_Hlk503389412"/>
      <w:r>
        <w:t>Fergus Kerr</w:t>
      </w:r>
      <w:r w:rsidR="00C02871">
        <w:t xml:space="preserve"> “Theology After Wittgenstein” (Basil Blackwell </w:t>
      </w:r>
      <w:proofErr w:type="spellStart"/>
      <w:r w:rsidR="00C02871">
        <w:t>Ltd:Oxford</w:t>
      </w:r>
      <w:proofErr w:type="spellEnd"/>
      <w:r w:rsidR="00C02871">
        <w:t>, 1986)</w:t>
      </w:r>
      <w:bookmarkEnd w:id="0"/>
    </w:p>
  </w:footnote>
  <w:footnote w:id="5">
    <w:p w:rsidR="002069CF" w:rsidRDefault="002069CF">
      <w:pPr>
        <w:pStyle w:val="FootnoteText"/>
      </w:pPr>
      <w:r>
        <w:rPr>
          <w:rStyle w:val="FootnoteReference"/>
        </w:rPr>
        <w:footnoteRef/>
      </w:r>
      <w:r>
        <w:t xml:space="preserve"> </w:t>
      </w:r>
      <w:bookmarkStart w:id="1" w:name="_Hlk503389539"/>
      <w:r>
        <w:t xml:space="preserve">Oswald </w:t>
      </w:r>
      <w:proofErr w:type="spellStart"/>
      <w:r>
        <w:t>Haffling</w:t>
      </w:r>
      <w:proofErr w:type="spellEnd"/>
      <w:r w:rsidR="00C02871">
        <w:t xml:space="preserve"> “Wittgenstein’s Later Philosophy” (Macmillan Press LTD: Hampshire, 1989)</w:t>
      </w:r>
      <w:bookmarkEnd w:id="1"/>
    </w:p>
  </w:footnote>
  <w:footnote w:id="6">
    <w:p w:rsidR="002069CF" w:rsidRDefault="002069CF">
      <w:pPr>
        <w:pStyle w:val="FootnoteText"/>
      </w:pPr>
      <w:r>
        <w:rPr>
          <w:rStyle w:val="FootnoteReference"/>
        </w:rPr>
        <w:footnoteRef/>
      </w:r>
      <w:r>
        <w:t xml:space="preserve"> </w:t>
      </w:r>
      <w:r w:rsidR="00C02871">
        <w:t xml:space="preserve">Oswald </w:t>
      </w:r>
      <w:proofErr w:type="spellStart"/>
      <w:r w:rsidR="00C02871">
        <w:t>Haffling</w:t>
      </w:r>
      <w:proofErr w:type="spellEnd"/>
      <w:r w:rsidR="00C02871">
        <w:t xml:space="preserve"> “Wittgenstein’s Later Philosophy” (Macmillan Press LTD: Hampshire, 1989)</w:t>
      </w:r>
    </w:p>
  </w:footnote>
  <w:footnote w:id="7">
    <w:p w:rsidR="002069CF" w:rsidRDefault="002069CF">
      <w:pPr>
        <w:pStyle w:val="FootnoteText"/>
      </w:pPr>
      <w:r>
        <w:rPr>
          <w:rStyle w:val="FootnoteReference"/>
        </w:rPr>
        <w:footnoteRef/>
      </w:r>
      <w:r>
        <w:t xml:space="preserve"> Marie McGinn “A Routledge Companion Guidebook to Wittgenstein’s Philosophical Investigations” (</w:t>
      </w:r>
      <w:proofErr w:type="spellStart"/>
      <w:r>
        <w:t>Routledge:Oxon</w:t>
      </w:r>
      <w:proofErr w:type="spellEnd"/>
      <w:r>
        <w:t>, 1997)</w:t>
      </w:r>
    </w:p>
  </w:footnote>
  <w:footnote w:id="8">
    <w:p w:rsidR="002069CF" w:rsidRDefault="002069CF">
      <w:pPr>
        <w:pStyle w:val="FootnoteText"/>
      </w:pPr>
      <w:r>
        <w:rPr>
          <w:rStyle w:val="FootnoteReference"/>
        </w:rPr>
        <w:footnoteRef/>
      </w:r>
      <w:r>
        <w:t xml:space="preserve"> Marie McGinn “A Routledge Companion Guidebook to Wittgenstein’s Philosophical Investigations” (</w:t>
      </w:r>
      <w:proofErr w:type="spellStart"/>
      <w:r>
        <w:t>Routledge:Oxon</w:t>
      </w:r>
      <w:proofErr w:type="spellEnd"/>
      <w:r>
        <w:t>, 1997)</w:t>
      </w:r>
    </w:p>
  </w:footnote>
  <w:footnote w:id="9">
    <w:p w:rsidR="002069CF" w:rsidRDefault="002069CF">
      <w:pPr>
        <w:pStyle w:val="FootnoteText"/>
      </w:pPr>
      <w:r>
        <w:rPr>
          <w:rStyle w:val="FootnoteReference"/>
        </w:rPr>
        <w:footnoteRef/>
      </w:r>
      <w:r>
        <w:t xml:space="preserve"> Marie McGinn “A Routledge Companion Guidebook to Wittgenstein’s Philosophical Investigations” (</w:t>
      </w:r>
      <w:proofErr w:type="spellStart"/>
      <w:r>
        <w:t>Routledge:Oxon</w:t>
      </w:r>
      <w:proofErr w:type="spellEnd"/>
      <w:r>
        <w:t>, 1997)</w:t>
      </w:r>
    </w:p>
  </w:footnote>
  <w:footnote w:id="10">
    <w:p w:rsidR="002069CF" w:rsidRDefault="002069CF">
      <w:pPr>
        <w:pStyle w:val="FootnoteText"/>
      </w:pPr>
      <w:bookmarkStart w:id="2" w:name="_Hlk503388919"/>
      <w:r>
        <w:rPr>
          <w:rStyle w:val="FootnoteReference"/>
        </w:rPr>
        <w:footnoteRef/>
      </w:r>
      <w:r>
        <w:t xml:space="preserve"> </w:t>
      </w:r>
      <w:proofErr w:type="spellStart"/>
      <w:r>
        <w:t>Anat</w:t>
      </w:r>
      <w:proofErr w:type="spellEnd"/>
      <w:r>
        <w:t xml:space="preserve"> </w:t>
      </w:r>
      <w:proofErr w:type="spellStart"/>
      <w:r>
        <w:t>Matar</w:t>
      </w:r>
      <w:proofErr w:type="spellEnd"/>
      <w:r>
        <w:t xml:space="preserve">, “Ludwig Wittgenstein”, Stanford </w:t>
      </w:r>
      <w:proofErr w:type="spellStart"/>
      <w:r>
        <w:t>Encylopedia</w:t>
      </w:r>
      <w:proofErr w:type="spellEnd"/>
      <w:r>
        <w:t xml:space="preserve"> of Philosophy”, 8</w:t>
      </w:r>
      <w:r w:rsidRPr="002069CF">
        <w:rPr>
          <w:vertAlign w:val="superscript"/>
        </w:rPr>
        <w:t>th</w:t>
      </w:r>
      <w:r>
        <w:t xml:space="preserve"> Nov 2002. Stanford University </w:t>
      </w:r>
      <w:hyperlink r:id="rId2" w:history="1">
        <w:r w:rsidRPr="00026718">
          <w:rPr>
            <w:rStyle w:val="Hyperlink"/>
          </w:rPr>
          <w:t>https://plato.stanford.edu/entries/wittgenstein/#PhilInve&lt;</w:t>
        </w:r>
      </w:hyperlink>
      <w:r>
        <w:t xml:space="preserve"> Substantive Revision&gt; 3</w:t>
      </w:r>
      <w:r w:rsidRPr="002069CF">
        <w:rPr>
          <w:vertAlign w:val="superscript"/>
        </w:rPr>
        <w:t>rd</w:t>
      </w:r>
      <w:r>
        <w:t xml:space="preserve"> </w:t>
      </w:r>
      <w:bookmarkEnd w:id="2"/>
      <w:r>
        <w:t>March 2015</w:t>
      </w:r>
    </w:p>
  </w:footnote>
  <w:footnote w:id="11">
    <w:p w:rsidR="002069CF" w:rsidRDefault="002069CF">
      <w:pPr>
        <w:pStyle w:val="FootnoteText"/>
      </w:pPr>
      <w:r>
        <w:rPr>
          <w:rStyle w:val="FootnoteReference"/>
        </w:rPr>
        <w:footnoteRef/>
      </w:r>
      <w:r>
        <w:t xml:space="preserve"> </w:t>
      </w:r>
      <w:proofErr w:type="spellStart"/>
      <w:r>
        <w:t>Anat</w:t>
      </w:r>
      <w:proofErr w:type="spellEnd"/>
      <w:r>
        <w:t xml:space="preserve"> </w:t>
      </w:r>
      <w:proofErr w:type="spellStart"/>
      <w:r>
        <w:t>Matar</w:t>
      </w:r>
      <w:proofErr w:type="spellEnd"/>
      <w:r>
        <w:t xml:space="preserve">, “Ludwig Wittgenstein”, Stanford </w:t>
      </w:r>
      <w:proofErr w:type="spellStart"/>
      <w:r>
        <w:t>Encylopedia</w:t>
      </w:r>
      <w:proofErr w:type="spellEnd"/>
      <w:r>
        <w:t xml:space="preserve"> of Philosophy”, 8</w:t>
      </w:r>
      <w:r w:rsidRPr="002069CF">
        <w:rPr>
          <w:vertAlign w:val="superscript"/>
        </w:rPr>
        <w:t>th</w:t>
      </w:r>
      <w:r>
        <w:t xml:space="preserve"> Nov 2002. Stanford University </w:t>
      </w:r>
      <w:hyperlink r:id="rId3" w:history="1">
        <w:r w:rsidRPr="00026718">
          <w:rPr>
            <w:rStyle w:val="Hyperlink"/>
          </w:rPr>
          <w:t>https://plato.stanford.edu/entries/wittgenstein/#PhilInve&lt;</w:t>
        </w:r>
      </w:hyperlink>
      <w:r>
        <w:t xml:space="preserve"> Substantive Revision&gt; 3</w:t>
      </w:r>
      <w:r w:rsidRPr="002069CF">
        <w:rPr>
          <w:vertAlign w:val="superscript"/>
        </w:rPr>
        <w:t>rd</w:t>
      </w:r>
      <w:r>
        <w:t xml:space="preserve"> March 2014</w:t>
      </w:r>
    </w:p>
  </w:footnote>
  <w:footnote w:id="12">
    <w:p w:rsidR="002069CF" w:rsidRDefault="002069CF">
      <w:pPr>
        <w:pStyle w:val="FootnoteText"/>
      </w:pPr>
      <w:r>
        <w:rPr>
          <w:rStyle w:val="FootnoteReference"/>
        </w:rPr>
        <w:footnoteRef/>
      </w:r>
      <w:r>
        <w:t xml:space="preserve"> </w:t>
      </w:r>
      <w:r w:rsidR="00C02871">
        <w:t xml:space="preserve">Oswald </w:t>
      </w:r>
      <w:proofErr w:type="spellStart"/>
      <w:r w:rsidR="00C02871">
        <w:t>Haffling</w:t>
      </w:r>
      <w:proofErr w:type="spellEnd"/>
      <w:r w:rsidR="00C02871">
        <w:t xml:space="preserve"> “Wittgenstein’s Later Philosophy” </w:t>
      </w:r>
      <w:bookmarkStart w:id="3" w:name="_Hlk503390259"/>
      <w:r w:rsidR="00C02871">
        <w:t>(Macmillan Press LTD: Hampshire, 1989)</w:t>
      </w:r>
      <w:bookmarkEnd w:id="3"/>
    </w:p>
  </w:footnote>
  <w:footnote w:id="13">
    <w:p w:rsidR="002069CF" w:rsidRDefault="002069CF">
      <w:pPr>
        <w:pStyle w:val="FootnoteText"/>
      </w:pPr>
      <w:r>
        <w:rPr>
          <w:rStyle w:val="FootnoteReference"/>
        </w:rPr>
        <w:footnoteRef/>
      </w:r>
      <w:r>
        <w:t xml:space="preserve"> </w:t>
      </w:r>
      <w:proofErr w:type="spellStart"/>
      <w:r>
        <w:t>Anat</w:t>
      </w:r>
      <w:proofErr w:type="spellEnd"/>
      <w:r>
        <w:t xml:space="preserve"> </w:t>
      </w:r>
      <w:proofErr w:type="spellStart"/>
      <w:r>
        <w:t>Matar</w:t>
      </w:r>
      <w:proofErr w:type="spellEnd"/>
      <w:r>
        <w:t xml:space="preserve">, “Ludwig Wittgenstein”, Stanford </w:t>
      </w:r>
      <w:proofErr w:type="spellStart"/>
      <w:r>
        <w:t>Encylopedia</w:t>
      </w:r>
      <w:proofErr w:type="spellEnd"/>
      <w:r>
        <w:t xml:space="preserve"> of Philosophy”, 8</w:t>
      </w:r>
      <w:r w:rsidRPr="002069CF">
        <w:rPr>
          <w:vertAlign w:val="superscript"/>
        </w:rPr>
        <w:t>th</w:t>
      </w:r>
      <w:r>
        <w:t xml:space="preserve"> Nov 2002. Stanford University </w:t>
      </w:r>
      <w:hyperlink r:id="rId4" w:history="1">
        <w:r w:rsidRPr="00026718">
          <w:rPr>
            <w:rStyle w:val="Hyperlink"/>
          </w:rPr>
          <w:t>https://plato.stanford.edu/entries/wittgenstein/#PhilInve&lt;</w:t>
        </w:r>
      </w:hyperlink>
      <w:r>
        <w:t xml:space="preserve"> Substantive Revision&gt; 3</w:t>
      </w:r>
      <w:r w:rsidRPr="002069CF">
        <w:rPr>
          <w:vertAlign w:val="superscript"/>
        </w:rPr>
        <w:t>rd</w:t>
      </w:r>
      <w:r>
        <w:t xml:space="preserve"> March 2014</w:t>
      </w:r>
    </w:p>
  </w:footnote>
  <w:footnote w:id="14">
    <w:p w:rsidR="002069CF" w:rsidRDefault="002069CF">
      <w:pPr>
        <w:pStyle w:val="FootnoteText"/>
      </w:pPr>
      <w:r>
        <w:rPr>
          <w:rStyle w:val="FootnoteReference"/>
        </w:rPr>
        <w:footnoteRef/>
      </w:r>
      <w:r>
        <w:t xml:space="preserve"> </w:t>
      </w:r>
      <w:bookmarkStart w:id="4" w:name="_Hlk503388527"/>
      <w:r>
        <w:t xml:space="preserve">Marie McGinn “A Routledge Companion Guidebook to Wittgenstein’s Philosophical Investigations” </w:t>
      </w:r>
      <w:bookmarkStart w:id="5" w:name="_Hlk503390226"/>
      <w:r>
        <w:t>(</w:t>
      </w:r>
      <w:proofErr w:type="spellStart"/>
      <w:r>
        <w:t>Routledge:Oxon</w:t>
      </w:r>
      <w:proofErr w:type="spellEnd"/>
      <w:r>
        <w:t>, 1997)</w:t>
      </w:r>
      <w:bookmarkEnd w:id="4"/>
      <w:bookmarkEnd w:id="5"/>
    </w:p>
  </w:footnote>
  <w:footnote w:id="15">
    <w:p w:rsidR="002069CF" w:rsidRDefault="002069CF" w:rsidP="00D37924">
      <w:pPr>
        <w:pStyle w:val="FootnoteText"/>
      </w:pPr>
      <w:r>
        <w:rPr>
          <w:rStyle w:val="FootnoteReference"/>
        </w:rPr>
        <w:footnoteRef/>
      </w:r>
      <w:r>
        <w:t xml:space="preserve"> Hans-Johann Glock(</w:t>
      </w:r>
      <w:proofErr w:type="spellStart"/>
      <w:r>
        <w:t>ed</w:t>
      </w:r>
      <w:proofErr w:type="spellEnd"/>
      <w:r>
        <w:t>) “Wittgenstein: A Critical Reader” (</w:t>
      </w:r>
      <w:proofErr w:type="spellStart"/>
      <w:r>
        <w:t>Blackwell:Oxford</w:t>
      </w:r>
      <w:proofErr w:type="spellEnd"/>
      <w:r>
        <w:t>, 2001)</w:t>
      </w:r>
    </w:p>
    <w:p w:rsidR="002069CF" w:rsidRDefault="002069CF">
      <w:pPr>
        <w:pStyle w:val="FootnoteText"/>
      </w:pPr>
    </w:p>
  </w:footnote>
  <w:footnote w:id="16">
    <w:p w:rsidR="002069CF" w:rsidRDefault="002069CF">
      <w:pPr>
        <w:pStyle w:val="FootnoteText"/>
      </w:pPr>
      <w:r>
        <w:rPr>
          <w:rStyle w:val="FootnoteReference"/>
        </w:rPr>
        <w:footnoteRef/>
      </w:r>
      <w:r>
        <w:t xml:space="preserve"> </w:t>
      </w:r>
      <w:r w:rsidR="00C02871">
        <w:t xml:space="preserve">Fergus Kerr “Theology After Wittgenstein” (Basil Blackwell </w:t>
      </w:r>
      <w:proofErr w:type="spellStart"/>
      <w:r w:rsidR="00C02871">
        <w:t>Ltd:Oxford</w:t>
      </w:r>
      <w:proofErr w:type="spellEnd"/>
      <w:r w:rsidR="00C02871">
        <w:t>, 1986)</w:t>
      </w:r>
    </w:p>
  </w:footnote>
  <w:footnote w:id="17">
    <w:p w:rsidR="002069CF" w:rsidRDefault="002069CF">
      <w:pPr>
        <w:pStyle w:val="FootnoteText"/>
      </w:pPr>
      <w:r>
        <w:rPr>
          <w:rStyle w:val="FootnoteReference"/>
        </w:rPr>
        <w:footnoteRef/>
      </w:r>
      <w:r>
        <w:t xml:space="preserve"> </w:t>
      </w:r>
      <w:r w:rsidR="00C02871">
        <w:t xml:space="preserve">Fergus Kerr “Theology After Wittgenstein” (Basil Blackwell </w:t>
      </w:r>
      <w:proofErr w:type="spellStart"/>
      <w:r w:rsidR="00C02871">
        <w:t>Ltd:Oxford</w:t>
      </w:r>
      <w:proofErr w:type="spellEnd"/>
      <w:r w:rsidR="00C02871">
        <w:t>, 1986)</w:t>
      </w:r>
    </w:p>
  </w:footnote>
  <w:footnote w:id="18">
    <w:p w:rsidR="002069CF" w:rsidRDefault="002069CF">
      <w:pPr>
        <w:pStyle w:val="FootnoteText"/>
      </w:pPr>
      <w:r>
        <w:rPr>
          <w:rStyle w:val="FootnoteReference"/>
        </w:rPr>
        <w:footnoteRef/>
      </w:r>
      <w:r>
        <w:t xml:space="preserve"> </w:t>
      </w:r>
      <w:bookmarkStart w:id="7" w:name="_Hlk503388034"/>
      <w:r>
        <w:t>Hans-Johann Glock(</w:t>
      </w:r>
      <w:proofErr w:type="spellStart"/>
      <w:r>
        <w:t>ed</w:t>
      </w:r>
      <w:proofErr w:type="spellEnd"/>
      <w:r>
        <w:t>) “Wittgenstein: A Critical Reader”</w:t>
      </w:r>
      <w:proofErr w:type="spellStart"/>
      <w:r>
        <w:t xml:space="preserve"> (Blackwell:Oxford</w:t>
      </w:r>
      <w:proofErr w:type="spellEnd"/>
      <w:r>
        <w:t>, 2001)</w:t>
      </w:r>
    </w:p>
    <w:bookmarkEnd w:id="7"/>
  </w:footnote>
  <w:footnote w:id="19">
    <w:p w:rsidR="002069CF" w:rsidRDefault="002069CF">
      <w:pPr>
        <w:pStyle w:val="FootnoteText"/>
      </w:pPr>
      <w:r>
        <w:rPr>
          <w:rStyle w:val="FootnoteReference"/>
        </w:rPr>
        <w:footnoteRef/>
      </w:r>
      <w:r w:rsidRPr="00D37924">
        <w:t xml:space="preserve"> Hans-Johann Glock(</w:t>
      </w:r>
      <w:proofErr w:type="spellStart"/>
      <w:r w:rsidRPr="00D37924">
        <w:t>ed</w:t>
      </w:r>
      <w:proofErr w:type="spellEnd"/>
      <w:r w:rsidRPr="00D37924">
        <w:t>) “Wittgenstein: A Critical Reader” (</w:t>
      </w:r>
      <w:proofErr w:type="spellStart"/>
      <w:r w:rsidRPr="00D37924">
        <w:t>Blackwell:Oxford</w:t>
      </w:r>
      <w:proofErr w:type="spellEnd"/>
      <w:r w:rsidRPr="00D37924">
        <w:t>, 2001)</w:t>
      </w:r>
    </w:p>
  </w:footnote>
  <w:footnote w:id="20">
    <w:p w:rsidR="002069CF" w:rsidRDefault="002069CF" w:rsidP="00D37924">
      <w:pPr>
        <w:pStyle w:val="FootnoteText"/>
      </w:pPr>
      <w:r>
        <w:rPr>
          <w:rStyle w:val="FootnoteReference"/>
        </w:rPr>
        <w:footnoteRef/>
      </w:r>
      <w:r w:rsidRPr="00D37924">
        <w:t xml:space="preserve"> </w:t>
      </w:r>
      <w:r>
        <w:t>Hans-Johann Glock(</w:t>
      </w:r>
      <w:proofErr w:type="spellStart"/>
      <w:r>
        <w:t>ed</w:t>
      </w:r>
      <w:proofErr w:type="spellEnd"/>
      <w:r>
        <w:t>) “Wittgenstein: A Critical Reader” (</w:t>
      </w:r>
      <w:proofErr w:type="spellStart"/>
      <w:r>
        <w:t>Blackwell:Oxford</w:t>
      </w:r>
      <w:proofErr w:type="spellEnd"/>
      <w:r>
        <w:t>, 2001)</w:t>
      </w:r>
    </w:p>
    <w:p w:rsidR="002069CF" w:rsidRDefault="002069CF">
      <w:pPr>
        <w:pStyle w:val="FootnoteText"/>
      </w:pPr>
    </w:p>
  </w:footnote>
  <w:footnote w:id="21">
    <w:p w:rsidR="002069CF" w:rsidRDefault="002069CF" w:rsidP="00D37924">
      <w:pPr>
        <w:pStyle w:val="FootnoteText"/>
      </w:pPr>
      <w:r>
        <w:rPr>
          <w:rStyle w:val="FootnoteReference"/>
        </w:rPr>
        <w:footnoteRef/>
      </w:r>
      <w:r>
        <w:t xml:space="preserve"> Hans-Johann Glock(</w:t>
      </w:r>
      <w:proofErr w:type="spellStart"/>
      <w:r>
        <w:t>ed</w:t>
      </w:r>
      <w:proofErr w:type="spellEnd"/>
      <w:r>
        <w:t>) “Wittgenstein: A Critical Reader” (</w:t>
      </w:r>
      <w:proofErr w:type="spellStart"/>
      <w:r>
        <w:t>Blackwell:Oxford</w:t>
      </w:r>
      <w:proofErr w:type="spellEnd"/>
      <w:r>
        <w:t>, 2001)</w:t>
      </w:r>
    </w:p>
    <w:p w:rsidR="002069CF" w:rsidRDefault="002069CF">
      <w:pPr>
        <w:pStyle w:val="FootnoteText"/>
      </w:pPr>
    </w:p>
  </w:footnote>
  <w:footnote w:id="22">
    <w:p w:rsidR="002069CF" w:rsidRDefault="002069CF" w:rsidP="00D37924">
      <w:pPr>
        <w:pStyle w:val="FootnoteText"/>
      </w:pPr>
      <w:r>
        <w:rPr>
          <w:rStyle w:val="FootnoteReference"/>
        </w:rPr>
        <w:footnoteRef/>
      </w:r>
      <w:r>
        <w:t xml:space="preserve"> Hans-Johann Glock(</w:t>
      </w:r>
      <w:proofErr w:type="spellStart"/>
      <w:r>
        <w:t>ed</w:t>
      </w:r>
      <w:proofErr w:type="spellEnd"/>
      <w:r>
        <w:t>) “Wittgenstein: A Critical Reader” (</w:t>
      </w:r>
      <w:proofErr w:type="spellStart"/>
      <w:r>
        <w:t>Blackwell:Oxford</w:t>
      </w:r>
      <w:proofErr w:type="spellEnd"/>
      <w:r>
        <w:t>, 2001)</w:t>
      </w:r>
    </w:p>
    <w:p w:rsidR="002069CF" w:rsidRDefault="002069CF">
      <w:pPr>
        <w:pStyle w:val="FootnoteText"/>
      </w:pPr>
    </w:p>
  </w:footnote>
  <w:footnote w:id="23">
    <w:p w:rsidR="002069CF" w:rsidRDefault="002069CF" w:rsidP="00D37924">
      <w:pPr>
        <w:pStyle w:val="FootnoteText"/>
      </w:pPr>
      <w:r>
        <w:rPr>
          <w:rStyle w:val="FootnoteReference"/>
        </w:rPr>
        <w:footnoteRef/>
      </w:r>
      <w:r>
        <w:t xml:space="preserve"> Hans-Johann Glock(</w:t>
      </w:r>
      <w:proofErr w:type="spellStart"/>
      <w:r>
        <w:t>ed</w:t>
      </w:r>
      <w:proofErr w:type="spellEnd"/>
      <w:r>
        <w:t>) “Wittgenstein: A Critical Reader” (</w:t>
      </w:r>
      <w:proofErr w:type="spellStart"/>
      <w:r>
        <w:t>Blackwell:Oxford</w:t>
      </w:r>
      <w:proofErr w:type="spellEnd"/>
      <w:r>
        <w:t>, 2001)</w:t>
      </w:r>
    </w:p>
    <w:p w:rsidR="002069CF" w:rsidRDefault="002069CF">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658A"/>
    <w:rsid w:val="000C5BE6"/>
    <w:rsid w:val="000E77F5"/>
    <w:rsid w:val="001202F4"/>
    <w:rsid w:val="001A06DE"/>
    <w:rsid w:val="001C53BA"/>
    <w:rsid w:val="002069CF"/>
    <w:rsid w:val="002463B9"/>
    <w:rsid w:val="00274AEA"/>
    <w:rsid w:val="00282E50"/>
    <w:rsid w:val="002872CD"/>
    <w:rsid w:val="00357D91"/>
    <w:rsid w:val="003F7F6A"/>
    <w:rsid w:val="0045330B"/>
    <w:rsid w:val="004B4546"/>
    <w:rsid w:val="004B74C9"/>
    <w:rsid w:val="004E3E3E"/>
    <w:rsid w:val="005505D8"/>
    <w:rsid w:val="00565D85"/>
    <w:rsid w:val="00583CF0"/>
    <w:rsid w:val="005B0511"/>
    <w:rsid w:val="00662C0E"/>
    <w:rsid w:val="006E2210"/>
    <w:rsid w:val="0071252C"/>
    <w:rsid w:val="007250E4"/>
    <w:rsid w:val="0073280D"/>
    <w:rsid w:val="007A183E"/>
    <w:rsid w:val="008278F4"/>
    <w:rsid w:val="008A4276"/>
    <w:rsid w:val="008A50AF"/>
    <w:rsid w:val="008E43DE"/>
    <w:rsid w:val="00945D30"/>
    <w:rsid w:val="00977841"/>
    <w:rsid w:val="00991AD2"/>
    <w:rsid w:val="009E75B7"/>
    <w:rsid w:val="009F6241"/>
    <w:rsid w:val="00A11BF6"/>
    <w:rsid w:val="00A13AA8"/>
    <w:rsid w:val="00A2658A"/>
    <w:rsid w:val="00A61E2E"/>
    <w:rsid w:val="00AB5646"/>
    <w:rsid w:val="00AD417D"/>
    <w:rsid w:val="00AE5181"/>
    <w:rsid w:val="00AF448F"/>
    <w:rsid w:val="00B454AD"/>
    <w:rsid w:val="00B46AE1"/>
    <w:rsid w:val="00B629B7"/>
    <w:rsid w:val="00B7369B"/>
    <w:rsid w:val="00B926E6"/>
    <w:rsid w:val="00BA6624"/>
    <w:rsid w:val="00BE445A"/>
    <w:rsid w:val="00BF627E"/>
    <w:rsid w:val="00C02871"/>
    <w:rsid w:val="00C179F6"/>
    <w:rsid w:val="00C67B3D"/>
    <w:rsid w:val="00C80AB3"/>
    <w:rsid w:val="00CA1B20"/>
    <w:rsid w:val="00D22F87"/>
    <w:rsid w:val="00D37924"/>
    <w:rsid w:val="00DD302E"/>
    <w:rsid w:val="00DE33C8"/>
    <w:rsid w:val="00E40859"/>
    <w:rsid w:val="00E413AC"/>
    <w:rsid w:val="00EF0532"/>
    <w:rsid w:val="00F33CFD"/>
    <w:rsid w:val="00FA76FE"/>
    <w:rsid w:val="00FC0A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712FB6"/>
  <w15:chartTrackingRefBased/>
  <w15:docId w15:val="{D71C6E1E-D53A-4BBB-9ECA-E339C38528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A61E2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61E2E"/>
    <w:rPr>
      <w:sz w:val="20"/>
      <w:szCs w:val="20"/>
    </w:rPr>
  </w:style>
  <w:style w:type="character" w:styleId="FootnoteReference">
    <w:name w:val="footnote reference"/>
    <w:basedOn w:val="DefaultParagraphFont"/>
    <w:uiPriority w:val="99"/>
    <w:semiHidden/>
    <w:unhideWhenUsed/>
    <w:rsid w:val="00A61E2E"/>
    <w:rPr>
      <w:vertAlign w:val="superscript"/>
    </w:rPr>
  </w:style>
  <w:style w:type="character" w:styleId="Hyperlink">
    <w:name w:val="Hyperlink"/>
    <w:basedOn w:val="DefaultParagraphFont"/>
    <w:uiPriority w:val="99"/>
    <w:unhideWhenUsed/>
    <w:rsid w:val="002069CF"/>
    <w:rPr>
      <w:color w:val="0563C1" w:themeColor="hyperlink"/>
      <w:u w:val="single"/>
    </w:rPr>
  </w:style>
  <w:style w:type="character" w:styleId="UnresolvedMention">
    <w:name w:val="Unresolved Mention"/>
    <w:basedOn w:val="DefaultParagraphFont"/>
    <w:uiPriority w:val="99"/>
    <w:semiHidden/>
    <w:unhideWhenUsed/>
    <w:rsid w:val="002069CF"/>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footnotes.xml.rels><?xml version="1.0" encoding="UTF-8" standalone="yes"?>
<Relationships xmlns="http://schemas.openxmlformats.org/package/2006/relationships"><Relationship Id="rId3" Type="http://schemas.openxmlformats.org/officeDocument/2006/relationships/hyperlink" Target="https://plato.stanford.edu/entries/wittgenstein/#PhilInve&lt;" TargetMode="External"/><Relationship Id="rId2" Type="http://schemas.openxmlformats.org/officeDocument/2006/relationships/hyperlink" Target="https://plato.stanford.edu/entries/wittgenstein/#PhilInve&lt;" TargetMode="External"/><Relationship Id="rId1" Type="http://schemas.openxmlformats.org/officeDocument/2006/relationships/hyperlink" Target="https://plato.stanford.edu/entries/wittgenstein/#PhilInve&lt;" TargetMode="External"/><Relationship Id="rId4" Type="http://schemas.openxmlformats.org/officeDocument/2006/relationships/hyperlink" Target="https://plato.stanford.edu/entries/wittgenstein/#PhilInve&l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B56C43-B84A-44D5-B7B3-C6DD68C5F2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1857</Words>
  <Characters>10587</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Evans</dc:creator>
  <cp:keywords/>
  <dc:description/>
  <cp:lastModifiedBy>Samuel Evans (1600497)</cp:lastModifiedBy>
  <cp:revision>2</cp:revision>
  <dcterms:created xsi:type="dcterms:W3CDTF">2018-01-10T23:29:00Z</dcterms:created>
  <dcterms:modified xsi:type="dcterms:W3CDTF">2018-01-10T23:29:00Z</dcterms:modified>
</cp:coreProperties>
</file>