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D4567D" w14:textId="0066D3FD" w:rsidR="006E7D06" w:rsidRDefault="00F1726F" w:rsidP="006E7D06">
      <w:pPr>
        <w:rPr>
          <w:rFonts w:ascii="Times New Roman" w:hAnsi="Times New Roman" w:cs="Times New Roman"/>
          <w:b/>
          <w:bCs/>
          <w:sz w:val="28"/>
          <w:szCs w:val="28"/>
        </w:rPr>
      </w:pPr>
      <w:r>
        <w:rPr>
          <w:rFonts w:cstheme="minorHAnsi"/>
          <w:b/>
          <w:bCs/>
          <w:i/>
          <w:iCs/>
          <w:noProof/>
          <w:color w:val="0D0D0D"/>
          <w:bdr w:val="single" w:sz="2" w:space="0" w:color="E3E3E3" w:frame="1"/>
        </w:rPr>
        <w:drawing>
          <wp:anchor distT="0" distB="0" distL="114300" distR="114300" simplePos="0" relativeHeight="251659264" behindDoc="0" locked="0" layoutInCell="1" allowOverlap="1" wp14:anchorId="06AD1B4A" wp14:editId="10EF3BD6">
            <wp:simplePos x="0" y="0"/>
            <wp:positionH relativeFrom="column">
              <wp:posOffset>901700</wp:posOffset>
            </wp:positionH>
            <wp:positionV relativeFrom="paragraph">
              <wp:posOffset>92075</wp:posOffset>
            </wp:positionV>
            <wp:extent cx="3997325" cy="2248535"/>
            <wp:effectExtent l="0" t="0" r="3175" b="0"/>
            <wp:wrapSquare wrapText="bothSides"/>
            <wp:docPr id="11" name="Picture 1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lose-up of a logo&#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997325" cy="2248535"/>
                    </a:xfrm>
                    <a:prstGeom prst="rect">
                      <a:avLst/>
                    </a:prstGeom>
                  </pic:spPr>
                </pic:pic>
              </a:graphicData>
            </a:graphic>
          </wp:anchor>
        </w:drawing>
      </w:r>
    </w:p>
    <w:p w14:paraId="5991A58D" w14:textId="77777777" w:rsidR="006E7D06" w:rsidRDefault="006E7D06" w:rsidP="00F1726F">
      <w:pPr>
        <w:jc w:val="center"/>
        <w:rPr>
          <w:b/>
          <w:bCs/>
          <w:sz w:val="44"/>
          <w:szCs w:val="44"/>
        </w:rPr>
      </w:pPr>
      <w:r w:rsidRPr="00FC0CC0">
        <w:rPr>
          <w:b/>
          <w:bCs/>
          <w:sz w:val="44"/>
          <w:szCs w:val="44"/>
        </w:rPr>
        <w:t>Module name:</w:t>
      </w:r>
    </w:p>
    <w:p w14:paraId="24B8F914" w14:textId="0B6B0A28" w:rsidR="006E7D06" w:rsidRPr="00FC0CC0" w:rsidRDefault="006E7D06" w:rsidP="00F1726F">
      <w:pPr>
        <w:jc w:val="center"/>
        <w:rPr>
          <w:b/>
          <w:bCs/>
          <w:sz w:val="44"/>
          <w:szCs w:val="44"/>
        </w:rPr>
      </w:pPr>
      <w:r>
        <w:rPr>
          <w:b/>
          <w:bCs/>
          <w:sz w:val="44"/>
          <w:szCs w:val="44"/>
        </w:rPr>
        <w:t>Strategic</w:t>
      </w:r>
      <w:r w:rsidRPr="00FC0CC0">
        <w:rPr>
          <w:b/>
          <w:bCs/>
          <w:sz w:val="44"/>
          <w:szCs w:val="44"/>
        </w:rPr>
        <w:t xml:space="preserve"> Management</w:t>
      </w:r>
      <w:r>
        <w:rPr>
          <w:b/>
          <w:bCs/>
          <w:sz w:val="44"/>
          <w:szCs w:val="44"/>
        </w:rPr>
        <w:t xml:space="preserve"> &amp;Sustainability</w:t>
      </w:r>
    </w:p>
    <w:p w14:paraId="67383E38" w14:textId="77777777" w:rsidR="006E7D06" w:rsidRDefault="006E7D06" w:rsidP="00F1726F">
      <w:pPr>
        <w:jc w:val="center"/>
        <w:rPr>
          <w:b/>
          <w:bCs/>
          <w:sz w:val="40"/>
          <w:szCs w:val="40"/>
        </w:rPr>
      </w:pPr>
    </w:p>
    <w:p w14:paraId="73B7CEE5" w14:textId="77777777" w:rsidR="006E7D06" w:rsidRDefault="006E7D06" w:rsidP="00F1726F">
      <w:pPr>
        <w:jc w:val="center"/>
        <w:rPr>
          <w:b/>
          <w:bCs/>
          <w:sz w:val="40"/>
          <w:szCs w:val="40"/>
        </w:rPr>
      </w:pPr>
    </w:p>
    <w:p w14:paraId="59E20544" w14:textId="247169BD" w:rsidR="006E7D06" w:rsidRDefault="006E7D06" w:rsidP="00F1726F">
      <w:pPr>
        <w:jc w:val="center"/>
        <w:rPr>
          <w:rFonts w:ascii="Times New Roman" w:hAnsi="Times New Roman" w:cs="Times New Roman"/>
        </w:rPr>
      </w:pPr>
      <w:proofErr w:type="gramStart"/>
      <w:r w:rsidRPr="00FC0CC0">
        <w:rPr>
          <w:b/>
          <w:bCs/>
          <w:sz w:val="40"/>
          <w:szCs w:val="40"/>
        </w:rPr>
        <w:t xml:space="preserve">Assignment </w:t>
      </w:r>
      <w:r>
        <w:rPr>
          <w:b/>
          <w:bCs/>
          <w:sz w:val="40"/>
          <w:szCs w:val="40"/>
        </w:rPr>
        <w:t>:</w:t>
      </w:r>
      <w:proofErr w:type="gramEnd"/>
    </w:p>
    <w:p w14:paraId="5876866A" w14:textId="73568966" w:rsidR="006E7D06" w:rsidRPr="006E7D06" w:rsidRDefault="006E7D06" w:rsidP="00F1726F">
      <w:pPr>
        <w:jc w:val="center"/>
        <w:rPr>
          <w:rFonts w:ascii="Times New Roman" w:hAnsi="Times New Roman" w:cs="Times New Roman"/>
        </w:rPr>
      </w:pPr>
      <w:r w:rsidRPr="006E7D06">
        <w:rPr>
          <w:rFonts w:cs="Times New Roman"/>
          <w:b/>
          <w:bCs/>
          <w:sz w:val="40"/>
          <w:szCs w:val="40"/>
        </w:rPr>
        <w:t>Strategic Management Report: Lloyds Banking Group</w:t>
      </w:r>
    </w:p>
    <w:p w14:paraId="6D891E40" w14:textId="2980BDB8" w:rsidR="006E7D06" w:rsidRDefault="006E7D06" w:rsidP="006E7D06">
      <w:pPr>
        <w:jc w:val="center"/>
        <w:rPr>
          <w:b/>
          <w:bCs/>
          <w:sz w:val="40"/>
          <w:szCs w:val="40"/>
        </w:rPr>
      </w:pPr>
    </w:p>
    <w:p w14:paraId="405A6F37" w14:textId="77777777" w:rsidR="006E7D06" w:rsidRPr="00FC0CC0" w:rsidRDefault="006E7D06" w:rsidP="00F1726F">
      <w:pPr>
        <w:rPr>
          <w:b/>
          <w:bCs/>
          <w:sz w:val="40"/>
          <w:szCs w:val="40"/>
        </w:rPr>
      </w:pPr>
    </w:p>
    <w:p w14:paraId="68697575" w14:textId="13903613" w:rsidR="006E7D06" w:rsidRDefault="006E7D06" w:rsidP="006E7D06">
      <w:pPr>
        <w:jc w:val="center"/>
        <w:rPr>
          <w:b/>
          <w:bCs/>
          <w:sz w:val="44"/>
          <w:szCs w:val="44"/>
        </w:rPr>
      </w:pPr>
      <w:r w:rsidRPr="00FC0CC0">
        <w:rPr>
          <w:b/>
          <w:bCs/>
          <w:sz w:val="44"/>
          <w:szCs w:val="44"/>
        </w:rPr>
        <w:t>Module Code: LCBB600</w:t>
      </w:r>
      <w:r w:rsidR="002640C5">
        <w:rPr>
          <w:b/>
          <w:bCs/>
          <w:sz w:val="44"/>
          <w:szCs w:val="44"/>
        </w:rPr>
        <w:t>4</w:t>
      </w:r>
    </w:p>
    <w:p w14:paraId="2063F374" w14:textId="77777777" w:rsidR="00D95EBA" w:rsidRDefault="00D95EBA" w:rsidP="00F1726F">
      <w:pPr>
        <w:rPr>
          <w:b/>
          <w:bCs/>
          <w:sz w:val="44"/>
          <w:szCs w:val="44"/>
        </w:rPr>
      </w:pPr>
    </w:p>
    <w:p w14:paraId="697F6014" w14:textId="62B64016" w:rsidR="00D95EBA" w:rsidRDefault="00D95EBA" w:rsidP="006E7D06">
      <w:pPr>
        <w:jc w:val="center"/>
        <w:rPr>
          <w:b/>
          <w:bCs/>
          <w:sz w:val="44"/>
          <w:szCs w:val="44"/>
        </w:rPr>
      </w:pPr>
      <w:r>
        <w:rPr>
          <w:b/>
          <w:bCs/>
          <w:sz w:val="44"/>
          <w:szCs w:val="44"/>
        </w:rPr>
        <w:t xml:space="preserve">University of Wales </w:t>
      </w:r>
    </w:p>
    <w:p w14:paraId="25533D5F" w14:textId="739D9938" w:rsidR="00D95EBA" w:rsidRPr="00FC0CC0" w:rsidRDefault="00D95EBA" w:rsidP="006E7D06">
      <w:pPr>
        <w:jc w:val="center"/>
        <w:rPr>
          <w:b/>
          <w:bCs/>
          <w:sz w:val="44"/>
          <w:szCs w:val="44"/>
        </w:rPr>
      </w:pPr>
      <w:r>
        <w:rPr>
          <w:b/>
          <w:bCs/>
          <w:sz w:val="44"/>
          <w:szCs w:val="44"/>
        </w:rPr>
        <w:t>Trinity Saint David</w:t>
      </w:r>
    </w:p>
    <w:p w14:paraId="30CBF999" w14:textId="77777777" w:rsidR="006E7D06" w:rsidRPr="00566B23" w:rsidRDefault="006E7D06" w:rsidP="006E7D06">
      <w:pPr>
        <w:jc w:val="center"/>
      </w:pPr>
    </w:p>
    <w:p w14:paraId="1C33323C" w14:textId="77777777" w:rsidR="006E7D06" w:rsidRPr="00566B23" w:rsidRDefault="006E7D06" w:rsidP="006E7D06">
      <w:pPr>
        <w:jc w:val="center"/>
      </w:pPr>
    </w:p>
    <w:p w14:paraId="0E85139B" w14:textId="77777777" w:rsidR="006E7D06" w:rsidRDefault="006E7D06" w:rsidP="00F1726F">
      <w:pPr>
        <w:rPr>
          <w:b/>
          <w:bCs/>
          <w:sz w:val="40"/>
          <w:szCs w:val="40"/>
        </w:rPr>
      </w:pPr>
    </w:p>
    <w:p w14:paraId="224DE9FE" w14:textId="70D09369" w:rsidR="006E7D06" w:rsidRPr="00FC0CC0" w:rsidRDefault="006E7D06" w:rsidP="006E7D06">
      <w:pPr>
        <w:jc w:val="right"/>
        <w:rPr>
          <w:b/>
          <w:bCs/>
          <w:sz w:val="40"/>
          <w:szCs w:val="40"/>
        </w:rPr>
      </w:pPr>
      <w:r w:rsidRPr="00FC0CC0">
        <w:rPr>
          <w:b/>
          <w:bCs/>
          <w:sz w:val="40"/>
          <w:szCs w:val="40"/>
        </w:rPr>
        <w:t xml:space="preserve">Name: </w:t>
      </w:r>
      <w:r>
        <w:rPr>
          <w:b/>
          <w:bCs/>
          <w:sz w:val="40"/>
          <w:szCs w:val="40"/>
        </w:rPr>
        <w:t>Constantin Marian Grigoras</w:t>
      </w:r>
    </w:p>
    <w:p w14:paraId="22167018" w14:textId="7FD64FB0" w:rsidR="006E7D06" w:rsidRPr="00FC0CC0" w:rsidRDefault="006E7D06" w:rsidP="006E7D06">
      <w:pPr>
        <w:jc w:val="right"/>
        <w:rPr>
          <w:b/>
          <w:bCs/>
          <w:sz w:val="32"/>
          <w:szCs w:val="32"/>
        </w:rPr>
      </w:pPr>
      <w:r w:rsidRPr="00FC0CC0">
        <w:rPr>
          <w:b/>
          <w:bCs/>
          <w:sz w:val="32"/>
          <w:szCs w:val="32"/>
        </w:rPr>
        <w:t xml:space="preserve">Student ID: </w:t>
      </w:r>
      <w:r>
        <w:rPr>
          <w:b/>
          <w:bCs/>
          <w:sz w:val="32"/>
          <w:szCs w:val="32"/>
        </w:rPr>
        <w:t>2124074</w:t>
      </w:r>
    </w:p>
    <w:p w14:paraId="51D712BF" w14:textId="77777777" w:rsidR="006E7D06" w:rsidRPr="00566B23" w:rsidRDefault="006E7D06" w:rsidP="006E7D06">
      <w:pPr>
        <w:jc w:val="center"/>
      </w:pPr>
    </w:p>
    <w:p w14:paraId="42F714E9" w14:textId="77777777" w:rsidR="006E7D06" w:rsidRPr="00566B23" w:rsidRDefault="006E7D06" w:rsidP="006E7D06">
      <w:pPr>
        <w:jc w:val="center"/>
      </w:pPr>
    </w:p>
    <w:p w14:paraId="1BE9FB39" w14:textId="5612D6A0" w:rsidR="006E7D06" w:rsidRPr="00FC0CC0" w:rsidRDefault="006E7D06" w:rsidP="006E7D06">
      <w:pPr>
        <w:rPr>
          <w:b/>
          <w:bCs/>
          <w:sz w:val="36"/>
          <w:szCs w:val="36"/>
        </w:rPr>
      </w:pPr>
      <w:r w:rsidRPr="00FC0CC0">
        <w:rPr>
          <w:b/>
          <w:bCs/>
          <w:sz w:val="36"/>
          <w:szCs w:val="36"/>
        </w:rPr>
        <w:t>Lecturer:</w:t>
      </w:r>
      <w:r>
        <w:rPr>
          <w:b/>
          <w:bCs/>
          <w:sz w:val="36"/>
          <w:szCs w:val="36"/>
        </w:rPr>
        <w:t xml:space="preserve"> Stephen </w:t>
      </w:r>
      <w:proofErr w:type="spellStart"/>
      <w:r>
        <w:rPr>
          <w:b/>
          <w:bCs/>
          <w:sz w:val="36"/>
          <w:szCs w:val="36"/>
        </w:rPr>
        <w:t>Asafo</w:t>
      </w:r>
      <w:proofErr w:type="spellEnd"/>
      <w:r>
        <w:rPr>
          <w:b/>
          <w:bCs/>
          <w:sz w:val="36"/>
          <w:szCs w:val="36"/>
        </w:rPr>
        <w:t xml:space="preserve"> </w:t>
      </w:r>
    </w:p>
    <w:p w14:paraId="7A57859B" w14:textId="77777777" w:rsidR="006E7D06" w:rsidRPr="00566B23" w:rsidRDefault="006E7D06" w:rsidP="006E7D06"/>
    <w:p w14:paraId="2C438F20" w14:textId="77777777" w:rsidR="006E7D06" w:rsidRDefault="006E7D06" w:rsidP="006E7D06">
      <w:pPr>
        <w:rPr>
          <w:rFonts w:ascii="Times New Roman" w:hAnsi="Times New Roman" w:cs="Times New Roman"/>
          <w:b/>
          <w:bCs/>
          <w:sz w:val="28"/>
          <w:szCs w:val="28"/>
        </w:rPr>
      </w:pPr>
    </w:p>
    <w:sdt>
      <w:sdtPr>
        <w:id w:val="1090744056"/>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178819D3" w14:textId="2106E4BE" w:rsidR="00270D70" w:rsidRDefault="00270D70">
          <w:pPr>
            <w:pStyle w:val="TOCHeading"/>
          </w:pPr>
          <w:r>
            <w:t>Table of Contents</w:t>
          </w:r>
        </w:p>
        <w:p w14:paraId="3F39E499" w14:textId="1FFA34A5" w:rsidR="00270D70" w:rsidRDefault="00270D70">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75218853" w:history="1">
            <w:r w:rsidRPr="002C2E7E">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_Toc175218853 \h </w:instrText>
            </w:r>
            <w:r>
              <w:rPr>
                <w:noProof/>
                <w:webHidden/>
              </w:rPr>
            </w:r>
            <w:r>
              <w:rPr>
                <w:noProof/>
                <w:webHidden/>
              </w:rPr>
              <w:fldChar w:fldCharType="separate"/>
            </w:r>
            <w:r>
              <w:rPr>
                <w:noProof/>
                <w:webHidden/>
              </w:rPr>
              <w:t>2</w:t>
            </w:r>
            <w:r>
              <w:rPr>
                <w:noProof/>
                <w:webHidden/>
              </w:rPr>
              <w:fldChar w:fldCharType="end"/>
            </w:r>
          </w:hyperlink>
        </w:p>
        <w:p w14:paraId="2B0391E8" w14:textId="060B0DD4" w:rsidR="00270D70" w:rsidRDefault="00270D70">
          <w:pPr>
            <w:pStyle w:val="TOC1"/>
            <w:tabs>
              <w:tab w:val="right" w:leader="dot" w:pos="9016"/>
            </w:tabs>
            <w:rPr>
              <w:rFonts w:eastAsiaTheme="minorEastAsia"/>
              <w:b w:val="0"/>
              <w:bCs w:val="0"/>
              <w:i w:val="0"/>
              <w:iCs w:val="0"/>
              <w:noProof/>
              <w:lang w:eastAsia="en-GB"/>
            </w:rPr>
          </w:pPr>
          <w:hyperlink w:anchor="_Toc175218854" w:history="1">
            <w:r w:rsidRPr="002C2E7E">
              <w:rPr>
                <w:rStyle w:val="Hyperlink"/>
                <w:rFonts w:ascii="Times New Roman" w:hAnsi="Times New Roman" w:cs="Times New Roman"/>
                <w:noProof/>
              </w:rPr>
              <w:t>Company Background</w:t>
            </w:r>
            <w:r>
              <w:rPr>
                <w:noProof/>
                <w:webHidden/>
              </w:rPr>
              <w:tab/>
            </w:r>
            <w:r>
              <w:rPr>
                <w:noProof/>
                <w:webHidden/>
              </w:rPr>
              <w:fldChar w:fldCharType="begin"/>
            </w:r>
            <w:r>
              <w:rPr>
                <w:noProof/>
                <w:webHidden/>
              </w:rPr>
              <w:instrText xml:space="preserve"> PAGEREF _Toc175218854 \h </w:instrText>
            </w:r>
            <w:r>
              <w:rPr>
                <w:noProof/>
                <w:webHidden/>
              </w:rPr>
            </w:r>
            <w:r>
              <w:rPr>
                <w:noProof/>
                <w:webHidden/>
              </w:rPr>
              <w:fldChar w:fldCharType="separate"/>
            </w:r>
            <w:r>
              <w:rPr>
                <w:noProof/>
                <w:webHidden/>
              </w:rPr>
              <w:t>3</w:t>
            </w:r>
            <w:r>
              <w:rPr>
                <w:noProof/>
                <w:webHidden/>
              </w:rPr>
              <w:fldChar w:fldCharType="end"/>
            </w:r>
          </w:hyperlink>
        </w:p>
        <w:p w14:paraId="43014055" w14:textId="5DF53A84" w:rsidR="00270D70" w:rsidRDefault="00270D70">
          <w:pPr>
            <w:pStyle w:val="TOC1"/>
            <w:tabs>
              <w:tab w:val="right" w:leader="dot" w:pos="9016"/>
            </w:tabs>
            <w:rPr>
              <w:rFonts w:eastAsiaTheme="minorEastAsia"/>
              <w:b w:val="0"/>
              <w:bCs w:val="0"/>
              <w:i w:val="0"/>
              <w:iCs w:val="0"/>
              <w:noProof/>
              <w:lang w:eastAsia="en-GB"/>
            </w:rPr>
          </w:pPr>
          <w:hyperlink w:anchor="_Toc175218855" w:history="1">
            <w:r w:rsidRPr="002C2E7E">
              <w:rPr>
                <w:rStyle w:val="Hyperlink"/>
                <w:rFonts w:ascii="Times New Roman" w:hAnsi="Times New Roman" w:cs="Times New Roman"/>
                <w:noProof/>
              </w:rPr>
              <w:t>External Environment Analysis</w:t>
            </w:r>
            <w:r>
              <w:rPr>
                <w:noProof/>
                <w:webHidden/>
              </w:rPr>
              <w:tab/>
            </w:r>
            <w:r>
              <w:rPr>
                <w:noProof/>
                <w:webHidden/>
              </w:rPr>
              <w:fldChar w:fldCharType="begin"/>
            </w:r>
            <w:r>
              <w:rPr>
                <w:noProof/>
                <w:webHidden/>
              </w:rPr>
              <w:instrText xml:space="preserve"> PAGEREF _Toc175218855 \h </w:instrText>
            </w:r>
            <w:r>
              <w:rPr>
                <w:noProof/>
                <w:webHidden/>
              </w:rPr>
            </w:r>
            <w:r>
              <w:rPr>
                <w:noProof/>
                <w:webHidden/>
              </w:rPr>
              <w:fldChar w:fldCharType="separate"/>
            </w:r>
            <w:r>
              <w:rPr>
                <w:noProof/>
                <w:webHidden/>
              </w:rPr>
              <w:t>3</w:t>
            </w:r>
            <w:r>
              <w:rPr>
                <w:noProof/>
                <w:webHidden/>
              </w:rPr>
              <w:fldChar w:fldCharType="end"/>
            </w:r>
          </w:hyperlink>
        </w:p>
        <w:p w14:paraId="220DC88F" w14:textId="299AB343" w:rsidR="00270D70" w:rsidRDefault="00270D70">
          <w:pPr>
            <w:pStyle w:val="TOC1"/>
            <w:tabs>
              <w:tab w:val="right" w:leader="dot" w:pos="9016"/>
            </w:tabs>
            <w:rPr>
              <w:rFonts w:eastAsiaTheme="minorEastAsia"/>
              <w:b w:val="0"/>
              <w:bCs w:val="0"/>
              <w:i w:val="0"/>
              <w:iCs w:val="0"/>
              <w:noProof/>
              <w:lang w:eastAsia="en-GB"/>
            </w:rPr>
          </w:pPr>
          <w:hyperlink w:anchor="_Toc175218856" w:history="1">
            <w:r w:rsidRPr="002C2E7E">
              <w:rPr>
                <w:rStyle w:val="Hyperlink"/>
                <w:rFonts w:ascii="Times New Roman" w:hAnsi="Times New Roman" w:cs="Times New Roman"/>
                <w:noProof/>
              </w:rPr>
              <w:t>Internal Environment Analysis</w:t>
            </w:r>
            <w:r>
              <w:rPr>
                <w:noProof/>
                <w:webHidden/>
              </w:rPr>
              <w:tab/>
            </w:r>
            <w:r>
              <w:rPr>
                <w:noProof/>
                <w:webHidden/>
              </w:rPr>
              <w:fldChar w:fldCharType="begin"/>
            </w:r>
            <w:r>
              <w:rPr>
                <w:noProof/>
                <w:webHidden/>
              </w:rPr>
              <w:instrText xml:space="preserve"> PAGEREF _Toc175218856 \h </w:instrText>
            </w:r>
            <w:r>
              <w:rPr>
                <w:noProof/>
                <w:webHidden/>
              </w:rPr>
            </w:r>
            <w:r>
              <w:rPr>
                <w:noProof/>
                <w:webHidden/>
              </w:rPr>
              <w:fldChar w:fldCharType="separate"/>
            </w:r>
            <w:r>
              <w:rPr>
                <w:noProof/>
                <w:webHidden/>
              </w:rPr>
              <w:t>5</w:t>
            </w:r>
            <w:r>
              <w:rPr>
                <w:noProof/>
                <w:webHidden/>
              </w:rPr>
              <w:fldChar w:fldCharType="end"/>
            </w:r>
          </w:hyperlink>
        </w:p>
        <w:p w14:paraId="05D3DAF6" w14:textId="103B7DDB" w:rsidR="00270D70" w:rsidRDefault="00270D70">
          <w:pPr>
            <w:pStyle w:val="TOC2"/>
            <w:tabs>
              <w:tab w:val="right" w:leader="dot" w:pos="9016"/>
            </w:tabs>
            <w:rPr>
              <w:rFonts w:eastAsiaTheme="minorEastAsia"/>
              <w:b w:val="0"/>
              <w:bCs w:val="0"/>
              <w:noProof/>
              <w:sz w:val="24"/>
              <w:szCs w:val="24"/>
              <w:lang w:eastAsia="en-GB"/>
            </w:rPr>
          </w:pPr>
          <w:hyperlink w:anchor="_Toc175218857" w:history="1">
            <w:r w:rsidRPr="002C2E7E">
              <w:rPr>
                <w:rStyle w:val="Hyperlink"/>
                <w:rFonts w:ascii="Times New Roman" w:hAnsi="Times New Roman" w:cs="Times New Roman"/>
                <w:noProof/>
              </w:rPr>
              <w:t>SWOT Analysis</w:t>
            </w:r>
            <w:r>
              <w:rPr>
                <w:noProof/>
                <w:webHidden/>
              </w:rPr>
              <w:tab/>
            </w:r>
            <w:r>
              <w:rPr>
                <w:noProof/>
                <w:webHidden/>
              </w:rPr>
              <w:fldChar w:fldCharType="begin"/>
            </w:r>
            <w:r>
              <w:rPr>
                <w:noProof/>
                <w:webHidden/>
              </w:rPr>
              <w:instrText xml:space="preserve"> PAGEREF _Toc175218857 \h </w:instrText>
            </w:r>
            <w:r>
              <w:rPr>
                <w:noProof/>
                <w:webHidden/>
              </w:rPr>
            </w:r>
            <w:r>
              <w:rPr>
                <w:noProof/>
                <w:webHidden/>
              </w:rPr>
              <w:fldChar w:fldCharType="separate"/>
            </w:r>
            <w:r>
              <w:rPr>
                <w:noProof/>
                <w:webHidden/>
              </w:rPr>
              <w:t>5</w:t>
            </w:r>
            <w:r>
              <w:rPr>
                <w:noProof/>
                <w:webHidden/>
              </w:rPr>
              <w:fldChar w:fldCharType="end"/>
            </w:r>
          </w:hyperlink>
        </w:p>
        <w:p w14:paraId="2B83CE02" w14:textId="03E8BD48" w:rsidR="00270D70" w:rsidRDefault="00270D70">
          <w:pPr>
            <w:pStyle w:val="TOC2"/>
            <w:tabs>
              <w:tab w:val="right" w:leader="dot" w:pos="9016"/>
            </w:tabs>
            <w:rPr>
              <w:rFonts w:eastAsiaTheme="minorEastAsia"/>
              <w:b w:val="0"/>
              <w:bCs w:val="0"/>
              <w:noProof/>
              <w:sz w:val="24"/>
              <w:szCs w:val="24"/>
              <w:lang w:eastAsia="en-GB"/>
            </w:rPr>
          </w:pPr>
          <w:hyperlink w:anchor="_Toc175218858" w:history="1">
            <w:r w:rsidRPr="002C2E7E">
              <w:rPr>
                <w:rStyle w:val="Hyperlink"/>
                <w:rFonts w:ascii="Times New Roman" w:hAnsi="Times New Roman" w:cs="Times New Roman"/>
                <w:noProof/>
              </w:rPr>
              <w:t>ANSOFF MATRIX</w:t>
            </w:r>
            <w:r>
              <w:rPr>
                <w:noProof/>
                <w:webHidden/>
              </w:rPr>
              <w:tab/>
            </w:r>
            <w:r>
              <w:rPr>
                <w:noProof/>
                <w:webHidden/>
              </w:rPr>
              <w:fldChar w:fldCharType="begin"/>
            </w:r>
            <w:r>
              <w:rPr>
                <w:noProof/>
                <w:webHidden/>
              </w:rPr>
              <w:instrText xml:space="preserve"> PAGEREF _Toc175218858 \h </w:instrText>
            </w:r>
            <w:r>
              <w:rPr>
                <w:noProof/>
                <w:webHidden/>
              </w:rPr>
            </w:r>
            <w:r>
              <w:rPr>
                <w:noProof/>
                <w:webHidden/>
              </w:rPr>
              <w:fldChar w:fldCharType="separate"/>
            </w:r>
            <w:r>
              <w:rPr>
                <w:noProof/>
                <w:webHidden/>
              </w:rPr>
              <w:t>6</w:t>
            </w:r>
            <w:r>
              <w:rPr>
                <w:noProof/>
                <w:webHidden/>
              </w:rPr>
              <w:fldChar w:fldCharType="end"/>
            </w:r>
          </w:hyperlink>
        </w:p>
        <w:p w14:paraId="7A82F6DE" w14:textId="12C00EAB" w:rsidR="00270D70" w:rsidRDefault="00270D70">
          <w:pPr>
            <w:pStyle w:val="TOC2"/>
            <w:tabs>
              <w:tab w:val="right" w:leader="dot" w:pos="9016"/>
            </w:tabs>
            <w:rPr>
              <w:rFonts w:eastAsiaTheme="minorEastAsia"/>
              <w:b w:val="0"/>
              <w:bCs w:val="0"/>
              <w:noProof/>
              <w:sz w:val="24"/>
              <w:szCs w:val="24"/>
              <w:lang w:eastAsia="en-GB"/>
            </w:rPr>
          </w:pPr>
          <w:hyperlink w:anchor="_Toc175218859" w:history="1">
            <w:r w:rsidRPr="002C2E7E">
              <w:rPr>
                <w:rStyle w:val="Hyperlink"/>
                <w:rFonts w:ascii="Times New Roman" w:hAnsi="Times New Roman" w:cs="Times New Roman"/>
                <w:noProof/>
              </w:rPr>
              <w:t>Value Chain and Value System and VRIO analysis</w:t>
            </w:r>
            <w:r>
              <w:rPr>
                <w:noProof/>
                <w:webHidden/>
              </w:rPr>
              <w:tab/>
            </w:r>
            <w:r>
              <w:rPr>
                <w:noProof/>
                <w:webHidden/>
              </w:rPr>
              <w:fldChar w:fldCharType="begin"/>
            </w:r>
            <w:r>
              <w:rPr>
                <w:noProof/>
                <w:webHidden/>
              </w:rPr>
              <w:instrText xml:space="preserve"> PAGEREF _Toc175218859 \h </w:instrText>
            </w:r>
            <w:r>
              <w:rPr>
                <w:noProof/>
                <w:webHidden/>
              </w:rPr>
            </w:r>
            <w:r>
              <w:rPr>
                <w:noProof/>
                <w:webHidden/>
              </w:rPr>
              <w:fldChar w:fldCharType="separate"/>
            </w:r>
            <w:r>
              <w:rPr>
                <w:noProof/>
                <w:webHidden/>
              </w:rPr>
              <w:t>6</w:t>
            </w:r>
            <w:r>
              <w:rPr>
                <w:noProof/>
                <w:webHidden/>
              </w:rPr>
              <w:fldChar w:fldCharType="end"/>
            </w:r>
          </w:hyperlink>
        </w:p>
        <w:p w14:paraId="0D45A22E" w14:textId="371F2B03" w:rsidR="00270D70" w:rsidRDefault="00270D70">
          <w:pPr>
            <w:pStyle w:val="TOC1"/>
            <w:tabs>
              <w:tab w:val="right" w:leader="dot" w:pos="9016"/>
            </w:tabs>
            <w:rPr>
              <w:rFonts w:eastAsiaTheme="minorEastAsia"/>
              <w:b w:val="0"/>
              <w:bCs w:val="0"/>
              <w:i w:val="0"/>
              <w:iCs w:val="0"/>
              <w:noProof/>
              <w:lang w:eastAsia="en-GB"/>
            </w:rPr>
          </w:pPr>
          <w:hyperlink w:anchor="_Toc175218860" w:history="1">
            <w:r w:rsidRPr="002C2E7E">
              <w:rPr>
                <w:rStyle w:val="Hyperlink"/>
                <w:rFonts w:ascii="Times New Roman" w:hAnsi="Times New Roman" w:cs="Times New Roman"/>
                <w:noProof/>
              </w:rPr>
              <w:t>Strategic Challenges</w:t>
            </w:r>
            <w:r>
              <w:rPr>
                <w:noProof/>
                <w:webHidden/>
              </w:rPr>
              <w:tab/>
            </w:r>
            <w:r>
              <w:rPr>
                <w:noProof/>
                <w:webHidden/>
              </w:rPr>
              <w:fldChar w:fldCharType="begin"/>
            </w:r>
            <w:r>
              <w:rPr>
                <w:noProof/>
                <w:webHidden/>
              </w:rPr>
              <w:instrText xml:space="preserve"> PAGEREF _Toc175218860 \h </w:instrText>
            </w:r>
            <w:r>
              <w:rPr>
                <w:noProof/>
                <w:webHidden/>
              </w:rPr>
            </w:r>
            <w:r>
              <w:rPr>
                <w:noProof/>
                <w:webHidden/>
              </w:rPr>
              <w:fldChar w:fldCharType="separate"/>
            </w:r>
            <w:r>
              <w:rPr>
                <w:noProof/>
                <w:webHidden/>
              </w:rPr>
              <w:t>7</w:t>
            </w:r>
            <w:r>
              <w:rPr>
                <w:noProof/>
                <w:webHidden/>
              </w:rPr>
              <w:fldChar w:fldCharType="end"/>
            </w:r>
          </w:hyperlink>
        </w:p>
        <w:p w14:paraId="436B782E" w14:textId="3F814320" w:rsidR="00270D70" w:rsidRDefault="00270D70">
          <w:pPr>
            <w:pStyle w:val="TOC1"/>
            <w:tabs>
              <w:tab w:val="right" w:leader="dot" w:pos="9016"/>
            </w:tabs>
            <w:rPr>
              <w:rFonts w:eastAsiaTheme="minorEastAsia"/>
              <w:b w:val="0"/>
              <w:bCs w:val="0"/>
              <w:i w:val="0"/>
              <w:iCs w:val="0"/>
              <w:noProof/>
              <w:lang w:eastAsia="en-GB"/>
            </w:rPr>
          </w:pPr>
          <w:hyperlink w:anchor="_Toc175218861" w:history="1">
            <w:r w:rsidRPr="002C2E7E">
              <w:rPr>
                <w:rStyle w:val="Hyperlink"/>
                <w:rFonts w:ascii="Times New Roman" w:hAnsi="Times New Roman" w:cs="Times New Roman"/>
                <w:noProof/>
              </w:rPr>
              <w:t>Strategic Options</w:t>
            </w:r>
            <w:r>
              <w:rPr>
                <w:noProof/>
                <w:webHidden/>
              </w:rPr>
              <w:tab/>
            </w:r>
            <w:r>
              <w:rPr>
                <w:noProof/>
                <w:webHidden/>
              </w:rPr>
              <w:fldChar w:fldCharType="begin"/>
            </w:r>
            <w:r>
              <w:rPr>
                <w:noProof/>
                <w:webHidden/>
              </w:rPr>
              <w:instrText xml:space="preserve"> PAGEREF _Toc175218861 \h </w:instrText>
            </w:r>
            <w:r>
              <w:rPr>
                <w:noProof/>
                <w:webHidden/>
              </w:rPr>
            </w:r>
            <w:r>
              <w:rPr>
                <w:noProof/>
                <w:webHidden/>
              </w:rPr>
              <w:fldChar w:fldCharType="separate"/>
            </w:r>
            <w:r>
              <w:rPr>
                <w:noProof/>
                <w:webHidden/>
              </w:rPr>
              <w:t>8</w:t>
            </w:r>
            <w:r>
              <w:rPr>
                <w:noProof/>
                <w:webHidden/>
              </w:rPr>
              <w:fldChar w:fldCharType="end"/>
            </w:r>
          </w:hyperlink>
        </w:p>
        <w:p w14:paraId="0CEE62C4" w14:textId="5FD5E034" w:rsidR="00270D70" w:rsidRDefault="00270D70">
          <w:pPr>
            <w:pStyle w:val="TOC1"/>
            <w:tabs>
              <w:tab w:val="right" w:leader="dot" w:pos="9016"/>
            </w:tabs>
            <w:rPr>
              <w:rFonts w:eastAsiaTheme="minorEastAsia"/>
              <w:b w:val="0"/>
              <w:bCs w:val="0"/>
              <w:i w:val="0"/>
              <w:iCs w:val="0"/>
              <w:noProof/>
              <w:lang w:eastAsia="en-GB"/>
            </w:rPr>
          </w:pPr>
          <w:hyperlink w:anchor="_Toc175218862" w:history="1">
            <w:r w:rsidRPr="002C2E7E">
              <w:rPr>
                <w:rStyle w:val="Hyperlink"/>
                <w:rFonts w:ascii="Times New Roman" w:hAnsi="Times New Roman" w:cs="Times New Roman"/>
                <w:noProof/>
              </w:rPr>
              <w:t>SAF framework</w:t>
            </w:r>
            <w:r>
              <w:rPr>
                <w:noProof/>
                <w:webHidden/>
              </w:rPr>
              <w:tab/>
            </w:r>
            <w:r>
              <w:rPr>
                <w:noProof/>
                <w:webHidden/>
              </w:rPr>
              <w:fldChar w:fldCharType="begin"/>
            </w:r>
            <w:r>
              <w:rPr>
                <w:noProof/>
                <w:webHidden/>
              </w:rPr>
              <w:instrText xml:space="preserve"> PAGEREF _Toc175218862 \h </w:instrText>
            </w:r>
            <w:r>
              <w:rPr>
                <w:noProof/>
                <w:webHidden/>
              </w:rPr>
            </w:r>
            <w:r>
              <w:rPr>
                <w:noProof/>
                <w:webHidden/>
              </w:rPr>
              <w:fldChar w:fldCharType="separate"/>
            </w:r>
            <w:r>
              <w:rPr>
                <w:noProof/>
                <w:webHidden/>
              </w:rPr>
              <w:t>8</w:t>
            </w:r>
            <w:r>
              <w:rPr>
                <w:noProof/>
                <w:webHidden/>
              </w:rPr>
              <w:fldChar w:fldCharType="end"/>
            </w:r>
          </w:hyperlink>
        </w:p>
        <w:p w14:paraId="304FBBD1" w14:textId="06E2C831" w:rsidR="00270D70" w:rsidRDefault="00270D70">
          <w:pPr>
            <w:pStyle w:val="TOC1"/>
            <w:tabs>
              <w:tab w:val="right" w:leader="dot" w:pos="9016"/>
            </w:tabs>
            <w:rPr>
              <w:rFonts w:eastAsiaTheme="minorEastAsia"/>
              <w:b w:val="0"/>
              <w:bCs w:val="0"/>
              <w:i w:val="0"/>
              <w:iCs w:val="0"/>
              <w:noProof/>
              <w:lang w:eastAsia="en-GB"/>
            </w:rPr>
          </w:pPr>
          <w:hyperlink w:anchor="_Toc175218863" w:history="1">
            <w:r w:rsidRPr="002C2E7E">
              <w:rPr>
                <w:rStyle w:val="Hyperlink"/>
                <w:rFonts w:ascii="Times New Roman" w:hAnsi="Times New Roman" w:cs="Times New Roman"/>
                <w:noProof/>
              </w:rPr>
              <w:t>Implementation Plan</w:t>
            </w:r>
            <w:r>
              <w:rPr>
                <w:noProof/>
                <w:webHidden/>
              </w:rPr>
              <w:tab/>
            </w:r>
            <w:r>
              <w:rPr>
                <w:noProof/>
                <w:webHidden/>
              </w:rPr>
              <w:fldChar w:fldCharType="begin"/>
            </w:r>
            <w:r>
              <w:rPr>
                <w:noProof/>
                <w:webHidden/>
              </w:rPr>
              <w:instrText xml:space="preserve"> PAGEREF _Toc175218863 \h </w:instrText>
            </w:r>
            <w:r>
              <w:rPr>
                <w:noProof/>
                <w:webHidden/>
              </w:rPr>
            </w:r>
            <w:r>
              <w:rPr>
                <w:noProof/>
                <w:webHidden/>
              </w:rPr>
              <w:fldChar w:fldCharType="separate"/>
            </w:r>
            <w:r>
              <w:rPr>
                <w:noProof/>
                <w:webHidden/>
              </w:rPr>
              <w:t>9</w:t>
            </w:r>
            <w:r>
              <w:rPr>
                <w:noProof/>
                <w:webHidden/>
              </w:rPr>
              <w:fldChar w:fldCharType="end"/>
            </w:r>
          </w:hyperlink>
        </w:p>
        <w:p w14:paraId="7DE506C1" w14:textId="40C02100" w:rsidR="00270D70" w:rsidRDefault="00270D70">
          <w:pPr>
            <w:pStyle w:val="TOC1"/>
            <w:tabs>
              <w:tab w:val="right" w:leader="dot" w:pos="9016"/>
            </w:tabs>
            <w:rPr>
              <w:rFonts w:eastAsiaTheme="minorEastAsia"/>
              <w:b w:val="0"/>
              <w:bCs w:val="0"/>
              <w:i w:val="0"/>
              <w:iCs w:val="0"/>
              <w:noProof/>
              <w:lang w:eastAsia="en-GB"/>
            </w:rPr>
          </w:pPr>
          <w:hyperlink w:anchor="_Toc175218864" w:history="1">
            <w:r w:rsidRPr="002C2E7E">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_Toc175218864 \h </w:instrText>
            </w:r>
            <w:r>
              <w:rPr>
                <w:noProof/>
                <w:webHidden/>
              </w:rPr>
            </w:r>
            <w:r>
              <w:rPr>
                <w:noProof/>
                <w:webHidden/>
              </w:rPr>
              <w:fldChar w:fldCharType="separate"/>
            </w:r>
            <w:r>
              <w:rPr>
                <w:noProof/>
                <w:webHidden/>
              </w:rPr>
              <w:t>10</w:t>
            </w:r>
            <w:r>
              <w:rPr>
                <w:noProof/>
                <w:webHidden/>
              </w:rPr>
              <w:fldChar w:fldCharType="end"/>
            </w:r>
          </w:hyperlink>
        </w:p>
        <w:p w14:paraId="56412567" w14:textId="00877B66" w:rsidR="00270D70" w:rsidRDefault="00270D70">
          <w:pPr>
            <w:pStyle w:val="TOC1"/>
            <w:tabs>
              <w:tab w:val="right" w:leader="dot" w:pos="9016"/>
            </w:tabs>
            <w:rPr>
              <w:rFonts w:eastAsiaTheme="minorEastAsia"/>
              <w:b w:val="0"/>
              <w:bCs w:val="0"/>
              <w:i w:val="0"/>
              <w:iCs w:val="0"/>
              <w:noProof/>
              <w:lang w:eastAsia="en-GB"/>
            </w:rPr>
          </w:pPr>
          <w:hyperlink w:anchor="_Toc175218865" w:history="1">
            <w:r w:rsidRPr="002C2E7E">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_Toc175218865 \h </w:instrText>
            </w:r>
            <w:r>
              <w:rPr>
                <w:noProof/>
                <w:webHidden/>
              </w:rPr>
            </w:r>
            <w:r>
              <w:rPr>
                <w:noProof/>
                <w:webHidden/>
              </w:rPr>
              <w:fldChar w:fldCharType="separate"/>
            </w:r>
            <w:r>
              <w:rPr>
                <w:noProof/>
                <w:webHidden/>
              </w:rPr>
              <w:t>10</w:t>
            </w:r>
            <w:r>
              <w:rPr>
                <w:noProof/>
                <w:webHidden/>
              </w:rPr>
              <w:fldChar w:fldCharType="end"/>
            </w:r>
          </w:hyperlink>
        </w:p>
        <w:p w14:paraId="5B5378E2" w14:textId="1C44D409" w:rsidR="00270D70" w:rsidRDefault="00270D70">
          <w:r>
            <w:rPr>
              <w:b/>
              <w:bCs/>
              <w:noProof/>
            </w:rPr>
            <w:fldChar w:fldCharType="end"/>
          </w:r>
        </w:p>
      </w:sdtContent>
    </w:sdt>
    <w:p w14:paraId="617CD293" w14:textId="77777777" w:rsidR="006E7D06" w:rsidRDefault="006E7D06" w:rsidP="006E7D06">
      <w:pPr>
        <w:rPr>
          <w:rFonts w:ascii="Times New Roman" w:hAnsi="Times New Roman" w:cs="Times New Roman"/>
          <w:b/>
          <w:bCs/>
          <w:sz w:val="28"/>
          <w:szCs w:val="28"/>
        </w:rPr>
      </w:pPr>
    </w:p>
    <w:p w14:paraId="3AE0BECE" w14:textId="77777777" w:rsidR="006E7D06" w:rsidRDefault="006E7D06" w:rsidP="006E7D06">
      <w:pPr>
        <w:rPr>
          <w:rFonts w:ascii="Times New Roman" w:hAnsi="Times New Roman" w:cs="Times New Roman"/>
          <w:b/>
          <w:bCs/>
          <w:sz w:val="28"/>
          <w:szCs w:val="28"/>
        </w:rPr>
      </w:pPr>
    </w:p>
    <w:p w14:paraId="6848E751" w14:textId="77777777" w:rsidR="00270D70" w:rsidRDefault="00270D70" w:rsidP="00270D70">
      <w:pPr>
        <w:pStyle w:val="Heading1"/>
        <w:spacing w:line="360" w:lineRule="auto"/>
        <w:rPr>
          <w:rFonts w:ascii="Times New Roman" w:hAnsi="Times New Roman" w:cs="Times New Roman"/>
        </w:rPr>
      </w:pPr>
      <w:bookmarkStart w:id="0" w:name="_Toc175218853"/>
    </w:p>
    <w:p w14:paraId="372AB73C" w14:textId="77777777" w:rsidR="00270D70" w:rsidRDefault="00270D70" w:rsidP="00270D70">
      <w:pPr>
        <w:pStyle w:val="Heading1"/>
        <w:spacing w:line="360" w:lineRule="auto"/>
        <w:rPr>
          <w:rFonts w:ascii="Times New Roman" w:hAnsi="Times New Roman" w:cs="Times New Roman"/>
        </w:rPr>
      </w:pPr>
    </w:p>
    <w:p w14:paraId="132742F1" w14:textId="77777777" w:rsidR="00270D70" w:rsidRDefault="00270D70" w:rsidP="00270D70">
      <w:pPr>
        <w:pStyle w:val="Heading1"/>
        <w:spacing w:line="360" w:lineRule="auto"/>
        <w:rPr>
          <w:rFonts w:ascii="Times New Roman" w:hAnsi="Times New Roman" w:cs="Times New Roman"/>
        </w:rPr>
      </w:pPr>
    </w:p>
    <w:p w14:paraId="7EA19A1C" w14:textId="77777777" w:rsidR="00270D70" w:rsidRDefault="00270D70" w:rsidP="00270D70">
      <w:pPr>
        <w:pStyle w:val="Heading1"/>
        <w:spacing w:line="360" w:lineRule="auto"/>
        <w:rPr>
          <w:rFonts w:ascii="Times New Roman" w:hAnsi="Times New Roman" w:cs="Times New Roman"/>
        </w:rPr>
      </w:pPr>
    </w:p>
    <w:p w14:paraId="1BF62FAE" w14:textId="77777777" w:rsidR="00270D70" w:rsidRDefault="00270D70" w:rsidP="00270D70">
      <w:pPr>
        <w:pStyle w:val="Heading1"/>
        <w:spacing w:line="360" w:lineRule="auto"/>
        <w:rPr>
          <w:rFonts w:ascii="Times New Roman" w:hAnsi="Times New Roman" w:cs="Times New Roman"/>
        </w:rPr>
      </w:pPr>
    </w:p>
    <w:p w14:paraId="092745A0" w14:textId="77777777" w:rsidR="00270D70" w:rsidRPr="00270D70" w:rsidRDefault="00270D70" w:rsidP="00270D70"/>
    <w:p w14:paraId="0F7C2D02" w14:textId="6EDD9ACE" w:rsidR="00F1726F" w:rsidRPr="00270D70" w:rsidRDefault="006E7D06" w:rsidP="00270D70">
      <w:pPr>
        <w:pStyle w:val="Heading1"/>
        <w:spacing w:line="360" w:lineRule="auto"/>
        <w:rPr>
          <w:rFonts w:ascii="Times New Roman" w:hAnsi="Times New Roman" w:cs="Times New Roman"/>
        </w:rPr>
      </w:pPr>
      <w:r w:rsidRPr="00270D70">
        <w:rPr>
          <w:rFonts w:ascii="Times New Roman" w:hAnsi="Times New Roman" w:cs="Times New Roman"/>
        </w:rPr>
        <w:lastRenderedPageBreak/>
        <w:t>Introduction</w:t>
      </w:r>
      <w:bookmarkEnd w:id="0"/>
      <w:r w:rsidRPr="00270D70">
        <w:rPr>
          <w:rFonts w:ascii="Times New Roman" w:hAnsi="Times New Roman" w:cs="Times New Roman"/>
        </w:rPr>
        <w:t xml:space="preserve"> </w:t>
      </w:r>
    </w:p>
    <w:p w14:paraId="46FE1232" w14:textId="5DF54E7E"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Lloyds Banking Group is a prominent financial institution in the United Kingdom, with a rich history of over 250 years. As one of the country's leading providers of financial services, Lloyds has played a crucial role in shaping the UK's banking landscape. The group's diverse portfolio includes retail and commercial banking, insurance, and wealth management services, making it a key player in the industry (Lloyds Banking Group, 2023).</w:t>
      </w:r>
    </w:p>
    <w:p w14:paraId="1C0CDF29" w14:textId="0CE86DDE"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The current strategic analysis of Lloyds Banking Group reveals both strengths and vulnerabilities. While the bank benefits from strong brand recognition, a broad customer base, and a well-established market share, it also faces significant challenges, including the need for digital transformation, regulatory compliance, and enhancing customer experience (PwC, 2023). This report recommends that Lloyds accelerate its investment in digital banking, strengthen its sustainability initiatives, and focus on customer-centric strategies to ensure long-term competitiveness (McKinsey &amp; Company, 2023).</w:t>
      </w:r>
    </w:p>
    <w:p w14:paraId="011B773C" w14:textId="77777777" w:rsidR="006E7D06" w:rsidRPr="00270D70" w:rsidRDefault="006E7D06" w:rsidP="00270D70">
      <w:pPr>
        <w:spacing w:line="360" w:lineRule="auto"/>
        <w:rPr>
          <w:rFonts w:ascii="Times New Roman" w:hAnsi="Times New Roman" w:cs="Times New Roman"/>
        </w:rPr>
      </w:pPr>
    </w:p>
    <w:p w14:paraId="44975C4C" w14:textId="42A6C5B8" w:rsidR="00F1726F" w:rsidRDefault="006E7D06" w:rsidP="00270D70">
      <w:pPr>
        <w:pStyle w:val="Heading1"/>
        <w:spacing w:line="360" w:lineRule="auto"/>
        <w:rPr>
          <w:rFonts w:ascii="Times New Roman" w:hAnsi="Times New Roman" w:cs="Times New Roman"/>
        </w:rPr>
      </w:pPr>
      <w:bookmarkStart w:id="1" w:name="_Toc175218854"/>
      <w:r w:rsidRPr="00270D70">
        <w:rPr>
          <w:rFonts w:ascii="Times New Roman" w:hAnsi="Times New Roman" w:cs="Times New Roman"/>
        </w:rPr>
        <w:t>Company Background</w:t>
      </w:r>
      <w:bookmarkEnd w:id="1"/>
    </w:p>
    <w:p w14:paraId="687F3166" w14:textId="77777777" w:rsidR="00270D70" w:rsidRPr="00270D70" w:rsidRDefault="00270D70" w:rsidP="00270D70"/>
    <w:p w14:paraId="37FE4CFD"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Lloyds Banking Group was established in 1765, originally founded as a private bank in Birmingham by John Taylor and Sampson Lloyd (Lloyds Banking Group, 2023). Over the centuries, the company expanded significantly through mergers and acquisitions, most notably the merger with Trustee Savings Bank (TSB) in 1995 and the acquisition of Halifax Bank of Scotland (HBOS) during the 2008 financial crisis (The Guardian, 2023). These strategic moves have positioned Lloyds as a major force in the UK banking sector, with a substantial market share and a diverse customer base. Today, Lloyds operates under several well-known brands, including Lloyds Bank, Halifax, Bank of Scotland, and Scottish Widows, offering a wide range of financial products and services tailored to meet the needs of its customers (Lloyds Banking Group, 2023).</w:t>
      </w:r>
    </w:p>
    <w:p w14:paraId="52266479"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 xml:space="preserve">Lloyds operates with a clear vision to be the best bank for customers, reflecting its mission to help Britain prosper (Lloyds Banking Group, 2023). The bank's core values—putting customers first, acting responsibly, and working together—are embedded in its operations and strategic decisions. These values guide Lloyds' commitment to delivering excellent </w:t>
      </w:r>
      <w:r w:rsidRPr="00270D70">
        <w:rPr>
          <w:rFonts w:ascii="Times New Roman" w:hAnsi="Times New Roman" w:cs="Times New Roman"/>
        </w:rPr>
        <w:lastRenderedPageBreak/>
        <w:t>service while maintaining ethical and responsible business practices (Lloyds Banking Group, 2023).</w:t>
      </w:r>
    </w:p>
    <w:p w14:paraId="25E95B69" w14:textId="77777777" w:rsidR="006E7D06" w:rsidRPr="00270D70" w:rsidRDefault="006E7D06" w:rsidP="00270D70">
      <w:pPr>
        <w:pStyle w:val="Heading2"/>
        <w:spacing w:line="360" w:lineRule="auto"/>
        <w:rPr>
          <w:rFonts w:ascii="Times New Roman" w:hAnsi="Times New Roman" w:cs="Times New Roman"/>
        </w:rPr>
      </w:pPr>
    </w:p>
    <w:p w14:paraId="23C3ED1A" w14:textId="29373BDA" w:rsidR="006E7D06" w:rsidRPr="00270D70" w:rsidRDefault="006E7D06" w:rsidP="00270D70">
      <w:pPr>
        <w:pStyle w:val="Heading1"/>
        <w:spacing w:line="360" w:lineRule="auto"/>
        <w:rPr>
          <w:rFonts w:ascii="Times New Roman" w:hAnsi="Times New Roman" w:cs="Times New Roman"/>
        </w:rPr>
      </w:pPr>
      <w:bookmarkStart w:id="2" w:name="_Toc175218855"/>
      <w:r w:rsidRPr="00270D70">
        <w:rPr>
          <w:rFonts w:ascii="Times New Roman" w:hAnsi="Times New Roman" w:cs="Times New Roman"/>
        </w:rPr>
        <w:t>External Environment Analysis</w:t>
      </w:r>
      <w:bookmarkEnd w:id="2"/>
    </w:p>
    <w:p w14:paraId="493098C9" w14:textId="77777777" w:rsidR="00F1726F" w:rsidRPr="00270D70" w:rsidRDefault="00F1726F" w:rsidP="00270D70">
      <w:pPr>
        <w:spacing w:line="360" w:lineRule="auto"/>
        <w:rPr>
          <w:rFonts w:ascii="Times New Roman" w:hAnsi="Times New Roman" w:cs="Times New Roman"/>
          <w:b/>
          <w:bCs/>
          <w:sz w:val="28"/>
          <w:szCs w:val="28"/>
        </w:rPr>
      </w:pPr>
    </w:p>
    <w:p w14:paraId="2E6BBA04"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The external environment in which Lloyds operates is shaped by various factors. A PESTEL analysis provides insights into these influences. Politically, the UK government's policies, particularly post-Brexit regulations, have significant implications for Lloyds (BBC News, 2023). The banking sector is heavily influenced by changes in financial regulation and monetary policy, which directly impact Lloyds' operations (Bank of England, 2023). Economically, the fluctuating interest rates, economic growth rates, and consumer confidence levels in the UK are critical factors that affect Lloyds' profitability (OECD, 2023). The ongoing economic uncertainty, partly due to global events like the COVID-19 pandemic, continues to pose risks (IMF, 2023).</w:t>
      </w:r>
    </w:p>
    <w:p w14:paraId="75CBEE70" w14:textId="77777777" w:rsidR="006E7D06" w:rsidRPr="00270D70" w:rsidRDefault="006E7D06" w:rsidP="00270D70">
      <w:pPr>
        <w:spacing w:line="360" w:lineRule="auto"/>
        <w:rPr>
          <w:rFonts w:ascii="Times New Roman" w:hAnsi="Times New Roman" w:cs="Times New Roman"/>
        </w:rPr>
      </w:pPr>
    </w:p>
    <w:p w14:paraId="2B87275D" w14:textId="157E3EE2"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Socially, there is a shift towards digital banking, with consumers increasingly preferring online and mobile banking services (Deloitte, 2023). Lloyds has responded by investing in digital transformation initiatives, but the challenge remains to keep up with rapidly changing consumer expectations (Financial Times, 2023). Technologically, the rise of fintech companies and innovations in blockchain, artificial intelligence, and cybersecurity presents both opportunities and threats to Lloyds (Accenture, 2023). The bank must continuously innovate to remain competitive.</w:t>
      </w:r>
    </w:p>
    <w:p w14:paraId="7AFDEB2E" w14:textId="77777777" w:rsidR="006E7D06" w:rsidRPr="00270D70" w:rsidRDefault="006E7D06" w:rsidP="00270D70">
      <w:pPr>
        <w:spacing w:line="360" w:lineRule="auto"/>
        <w:rPr>
          <w:rFonts w:ascii="Times New Roman" w:hAnsi="Times New Roman" w:cs="Times New Roman"/>
        </w:rPr>
      </w:pPr>
    </w:p>
    <w:p w14:paraId="7A344017"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From an environmental perspective, there is growing pressure on financial institutions to adopt sustainable practices (World Economic Forum, 2023). Lloyds has made strides in this area, but there is room for further development to meet increasing regulatory and societal expectations regarding environmental sustainability (The Guardian, 2023). Legally, Lloyds faces a complex regulatory landscape, including compliance with Basel III requirements and the General Data Protection Regulation (GDPR). These regulations necessitate ongoing investment in compliance and risk management, which can strain resources and impact profitability (EY, 2023).</w:t>
      </w:r>
    </w:p>
    <w:p w14:paraId="418BA047" w14:textId="77777777" w:rsidR="006E7D06" w:rsidRPr="00270D70" w:rsidRDefault="006E7D06" w:rsidP="00270D70">
      <w:pPr>
        <w:spacing w:line="360" w:lineRule="auto"/>
        <w:rPr>
          <w:rFonts w:ascii="Times New Roman" w:hAnsi="Times New Roman" w:cs="Times New Roman"/>
        </w:rPr>
      </w:pPr>
    </w:p>
    <w:p w14:paraId="24908941"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Porter’s Five Forces analysis further illuminates the competitive pressures faced by Lloyds. The threat of new entrants in the banking industry is relatively low due to high capital requirements and regulatory barriers (Porter, 1979). However, the bargaining power of suppliers, particularly capital providers like depositors and investors, remains a significant consideration (Harvard Business Review, 2023). Customers have gained substantial bargaining power, especially with the rise of digital banking options that allow them to easily switch between service providers (Deloitte, 2023). The threat of substitutes is increasing with the proliferation of fintech companies and alternative financial services, such as peer-to-peer lending platforms (Accenture, 2023). Industry rivalry is intense, with Lloyds competing against both traditional banks and new entrants that leverage innovative technologies to attract customers (McKinsey &amp; Company, 2023).</w:t>
      </w:r>
    </w:p>
    <w:p w14:paraId="772FCC91" w14:textId="77777777" w:rsidR="006E7D06" w:rsidRPr="00270D70" w:rsidRDefault="006E7D06" w:rsidP="00270D70">
      <w:pPr>
        <w:spacing w:line="360" w:lineRule="auto"/>
        <w:rPr>
          <w:rFonts w:ascii="Times New Roman" w:hAnsi="Times New Roman" w:cs="Times New Roman"/>
        </w:rPr>
      </w:pPr>
    </w:p>
    <w:p w14:paraId="57EE44B3" w14:textId="77777777" w:rsidR="006E7D06" w:rsidRPr="00270D70" w:rsidRDefault="006E7D06" w:rsidP="00270D70">
      <w:pPr>
        <w:spacing w:line="360" w:lineRule="auto"/>
        <w:rPr>
          <w:rFonts w:ascii="Times New Roman" w:hAnsi="Times New Roman" w:cs="Times New Roman"/>
        </w:rPr>
      </w:pPr>
    </w:p>
    <w:p w14:paraId="6ACE68CE" w14:textId="273F2720" w:rsidR="006E7D06" w:rsidRPr="00270D70" w:rsidRDefault="006E7D06" w:rsidP="00270D70">
      <w:pPr>
        <w:pStyle w:val="Heading1"/>
        <w:spacing w:line="360" w:lineRule="auto"/>
        <w:rPr>
          <w:rFonts w:ascii="Times New Roman" w:hAnsi="Times New Roman" w:cs="Times New Roman"/>
        </w:rPr>
      </w:pPr>
      <w:bookmarkStart w:id="3" w:name="_Toc175218856"/>
      <w:r w:rsidRPr="00270D70">
        <w:rPr>
          <w:rFonts w:ascii="Times New Roman" w:hAnsi="Times New Roman" w:cs="Times New Roman"/>
        </w:rPr>
        <w:t>Internal Environment Analysis</w:t>
      </w:r>
      <w:bookmarkEnd w:id="3"/>
    </w:p>
    <w:p w14:paraId="5858CA41" w14:textId="77777777" w:rsidR="00F1726F" w:rsidRPr="00270D70" w:rsidRDefault="00F1726F" w:rsidP="00270D70">
      <w:pPr>
        <w:spacing w:line="360" w:lineRule="auto"/>
        <w:rPr>
          <w:rFonts w:ascii="Times New Roman" w:hAnsi="Times New Roman" w:cs="Times New Roman"/>
          <w:b/>
          <w:bCs/>
          <w:sz w:val="32"/>
          <w:szCs w:val="32"/>
        </w:rPr>
      </w:pPr>
    </w:p>
    <w:p w14:paraId="0B97A89E" w14:textId="77777777" w:rsidR="006E7D06" w:rsidRPr="00270D70" w:rsidRDefault="006E7D06" w:rsidP="00270D70">
      <w:pPr>
        <w:spacing w:line="360" w:lineRule="auto"/>
        <w:rPr>
          <w:rFonts w:ascii="Times New Roman" w:hAnsi="Times New Roman" w:cs="Times New Roman"/>
        </w:rPr>
      </w:pPr>
    </w:p>
    <w:p w14:paraId="2F6B4717" w14:textId="2EA287C5" w:rsidR="006E7D06" w:rsidRPr="00270D70" w:rsidRDefault="006E7D06" w:rsidP="00270D70">
      <w:pPr>
        <w:pStyle w:val="Heading2"/>
        <w:spacing w:line="360" w:lineRule="auto"/>
        <w:rPr>
          <w:rFonts w:ascii="Times New Roman" w:hAnsi="Times New Roman" w:cs="Times New Roman"/>
        </w:rPr>
      </w:pPr>
      <w:bookmarkStart w:id="4" w:name="_Toc175218857"/>
      <w:r w:rsidRPr="00270D70">
        <w:rPr>
          <w:rFonts w:ascii="Times New Roman" w:hAnsi="Times New Roman" w:cs="Times New Roman"/>
        </w:rPr>
        <w:t>SWOT A</w:t>
      </w:r>
      <w:r w:rsidR="00A37E11" w:rsidRPr="00270D70">
        <w:rPr>
          <w:rFonts w:ascii="Times New Roman" w:hAnsi="Times New Roman" w:cs="Times New Roman"/>
        </w:rPr>
        <w:t>nalysis</w:t>
      </w:r>
      <w:bookmarkEnd w:id="4"/>
    </w:p>
    <w:p w14:paraId="1B6EE8C9" w14:textId="77777777" w:rsidR="00F1726F" w:rsidRPr="00270D70" w:rsidRDefault="00F1726F" w:rsidP="00270D70">
      <w:pPr>
        <w:spacing w:line="360" w:lineRule="auto"/>
        <w:rPr>
          <w:rFonts w:ascii="Times New Roman" w:hAnsi="Times New Roman" w:cs="Times New Roman"/>
          <w:b/>
          <w:bCs/>
          <w:sz w:val="28"/>
          <w:szCs w:val="28"/>
        </w:rPr>
      </w:pPr>
    </w:p>
    <w:p w14:paraId="542C5997"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A SWOT analysis provides a comprehensive overview of Lloyds' internal environment. One of the bank's key strengths is its strong brand recognition, which is bolstered by a wide-ranging customer base and a significant market share in the UK (Lloyds Banking Group, 2023). However, Lloyds also has weaknesses, such as its reliance on legacy IT systems, which can hinder its ability to innovate quickly and effectively (Bloomberg, 2023). Additionally, the bank’s over-reliance on the UK market exposes it to country-specific economic risks, while past regulatory issues have damaged its reputation (BBC News, 2023).</w:t>
      </w:r>
    </w:p>
    <w:p w14:paraId="4475C56E" w14:textId="77777777" w:rsidR="006E7D06" w:rsidRPr="00270D70" w:rsidRDefault="006E7D06" w:rsidP="00270D70">
      <w:pPr>
        <w:spacing w:line="360" w:lineRule="auto"/>
        <w:rPr>
          <w:rFonts w:ascii="Times New Roman" w:hAnsi="Times New Roman" w:cs="Times New Roman"/>
        </w:rPr>
      </w:pPr>
    </w:p>
    <w:p w14:paraId="7523E30D"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 xml:space="preserve">Opportunities for Lloyds include the potential for expanding its digital banking services, forming strategic partnerships with fintech firms, and exploring international markets (PwC, 2023). These opportunities are crucial for maintaining competitiveness in a rapidly evolving </w:t>
      </w:r>
      <w:r w:rsidRPr="00270D70">
        <w:rPr>
          <w:rFonts w:ascii="Times New Roman" w:hAnsi="Times New Roman" w:cs="Times New Roman"/>
        </w:rPr>
        <w:lastRenderedPageBreak/>
        <w:t>industry. However, the bank also faces several threats, including stringent regulatory requirements, potential economic downturns, and fierce competition from both traditional banks and fintech companies (EY, 2023).</w:t>
      </w:r>
    </w:p>
    <w:p w14:paraId="7CCA5E9B" w14:textId="77777777" w:rsidR="006E7D06" w:rsidRPr="00270D70" w:rsidRDefault="006E7D06" w:rsidP="00270D70">
      <w:pPr>
        <w:spacing w:line="360" w:lineRule="auto"/>
        <w:rPr>
          <w:rFonts w:ascii="Times New Roman" w:hAnsi="Times New Roman" w:cs="Times New Roman"/>
        </w:rPr>
      </w:pPr>
    </w:p>
    <w:p w14:paraId="7A9C6E4B"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A value chain analysis of Lloyds reveals that the bank's operations are generally efficient, particularly in customer acquisition and service delivery. However, there are areas where improvements can be made, such as in the adoption of new technologies to streamline operations and reduce costs (Porter, 1985). Financially, Lloyds has demonstrated solid performance in recent years, with strong profitability and liquidity ratios. However, the bank must remain vigilant in managing its solvency and ensuring that it is well-positioned to weather any economic uncertainties (Lloyds Banking Group, 2023).</w:t>
      </w:r>
    </w:p>
    <w:p w14:paraId="5E403B8A" w14:textId="77777777" w:rsidR="006E7D06" w:rsidRPr="00270D70" w:rsidRDefault="006E7D06" w:rsidP="00270D70">
      <w:pPr>
        <w:spacing w:line="360" w:lineRule="auto"/>
        <w:rPr>
          <w:rFonts w:ascii="Times New Roman" w:hAnsi="Times New Roman" w:cs="Times New Roman"/>
        </w:rPr>
      </w:pPr>
    </w:p>
    <w:p w14:paraId="302B539B" w14:textId="71F3F4FD" w:rsidR="006E7D06" w:rsidRPr="00270D70" w:rsidRDefault="006E7D06" w:rsidP="00270D70">
      <w:pPr>
        <w:pStyle w:val="Heading2"/>
        <w:spacing w:line="360" w:lineRule="auto"/>
        <w:rPr>
          <w:rFonts w:ascii="Times New Roman" w:hAnsi="Times New Roman" w:cs="Times New Roman"/>
        </w:rPr>
      </w:pPr>
      <w:bookmarkStart w:id="5" w:name="_Toc175218858"/>
      <w:r w:rsidRPr="00270D70">
        <w:rPr>
          <w:rFonts w:ascii="Times New Roman" w:hAnsi="Times New Roman" w:cs="Times New Roman"/>
        </w:rPr>
        <w:t>ANSOFF MATRIX</w:t>
      </w:r>
      <w:bookmarkEnd w:id="5"/>
      <w:r w:rsidRPr="00270D70">
        <w:rPr>
          <w:rFonts w:ascii="Times New Roman" w:hAnsi="Times New Roman" w:cs="Times New Roman"/>
        </w:rPr>
        <w:t xml:space="preserve"> </w:t>
      </w:r>
    </w:p>
    <w:p w14:paraId="719ABA83" w14:textId="77777777" w:rsidR="00F1726F" w:rsidRPr="00270D70" w:rsidRDefault="00F1726F" w:rsidP="00270D70">
      <w:pPr>
        <w:spacing w:line="360" w:lineRule="auto"/>
        <w:rPr>
          <w:rFonts w:ascii="Times New Roman" w:hAnsi="Times New Roman" w:cs="Times New Roman"/>
          <w:b/>
          <w:bCs/>
          <w:sz w:val="28"/>
          <w:szCs w:val="28"/>
        </w:rPr>
      </w:pPr>
    </w:p>
    <w:p w14:paraId="1B4DE9F9"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Lloyds Banking Group can apply the Ansoff Matrix to guide its growth strategies effectively. For market penetration, the bank can focus on increasing its market share in the UK by enhancing customer service, offering more competitive rates, and optimizing its digital banking platforms. This strategy aims to deepen its relationship with existing customers while attracting new ones within its primary market (Lloyds Banking Group, 2023).</w:t>
      </w:r>
    </w:p>
    <w:p w14:paraId="1715BBE5" w14:textId="77777777" w:rsidR="006E7D06" w:rsidRPr="00270D70" w:rsidRDefault="006E7D06" w:rsidP="00270D70">
      <w:pPr>
        <w:spacing w:line="360" w:lineRule="auto"/>
        <w:rPr>
          <w:rFonts w:ascii="Times New Roman" w:hAnsi="Times New Roman" w:cs="Times New Roman"/>
        </w:rPr>
      </w:pPr>
    </w:p>
    <w:p w14:paraId="37D600C8"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 xml:space="preserve">In terms of market development, Lloyds </w:t>
      </w:r>
      <w:proofErr w:type="gramStart"/>
      <w:r w:rsidRPr="00270D70">
        <w:rPr>
          <w:rFonts w:ascii="Times New Roman" w:hAnsi="Times New Roman" w:cs="Times New Roman"/>
        </w:rPr>
        <w:t>has the opportunity to</w:t>
      </w:r>
      <w:proofErr w:type="gramEnd"/>
      <w:r w:rsidRPr="00270D70">
        <w:rPr>
          <w:rFonts w:ascii="Times New Roman" w:hAnsi="Times New Roman" w:cs="Times New Roman"/>
        </w:rPr>
        <w:t xml:space="preserve"> expand into international markets, particularly in emerging economies. By offering its existing banking services in these regions, the bank could diversify its revenue streams beyond the UK, reducing reliance on its home market (BCG, 2023).</w:t>
      </w:r>
    </w:p>
    <w:p w14:paraId="27E8C22A" w14:textId="77777777" w:rsidR="006E7D06" w:rsidRPr="00270D70" w:rsidRDefault="006E7D06" w:rsidP="00270D70">
      <w:pPr>
        <w:spacing w:line="360" w:lineRule="auto"/>
        <w:rPr>
          <w:rFonts w:ascii="Times New Roman" w:hAnsi="Times New Roman" w:cs="Times New Roman"/>
        </w:rPr>
      </w:pPr>
    </w:p>
    <w:p w14:paraId="276D8001"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Product development presents another strategic avenue, where Lloyds can respond to the growing demand for digital financial services. The bank could develop new digital products, such as innovative banking apps and personalized financial tools, and expand its insurance and wealth management offerings within the UK (Accenture, 2023).</w:t>
      </w:r>
    </w:p>
    <w:p w14:paraId="2ED4696D" w14:textId="77777777" w:rsidR="006E7D06" w:rsidRPr="00270D70" w:rsidRDefault="006E7D06" w:rsidP="00270D70">
      <w:pPr>
        <w:spacing w:line="360" w:lineRule="auto"/>
        <w:rPr>
          <w:rFonts w:ascii="Times New Roman" w:hAnsi="Times New Roman" w:cs="Times New Roman"/>
        </w:rPr>
      </w:pPr>
    </w:p>
    <w:p w14:paraId="21DB3694" w14:textId="729707DE" w:rsidR="006E7D06" w:rsidRDefault="006E7D06" w:rsidP="00270D70">
      <w:pPr>
        <w:spacing w:line="360" w:lineRule="auto"/>
        <w:rPr>
          <w:rFonts w:ascii="Times New Roman" w:hAnsi="Times New Roman" w:cs="Times New Roman"/>
        </w:rPr>
      </w:pPr>
      <w:r w:rsidRPr="00270D70">
        <w:rPr>
          <w:rFonts w:ascii="Times New Roman" w:hAnsi="Times New Roman" w:cs="Times New Roman"/>
        </w:rPr>
        <w:t xml:space="preserve">Finally, diversification allows Lloyds to explore new business areas outside traditional banking. This could include investments in fintech or even renewable energy sectors. Such </w:t>
      </w:r>
      <w:r w:rsidRPr="00270D70">
        <w:rPr>
          <w:rFonts w:ascii="Times New Roman" w:hAnsi="Times New Roman" w:cs="Times New Roman"/>
        </w:rPr>
        <w:lastRenderedPageBreak/>
        <w:t>diversification would help the bank reduce its reliance on the UK market and take advantage of new growth opportunities (Deloitte, 2023).</w:t>
      </w:r>
    </w:p>
    <w:p w14:paraId="0A5255D7" w14:textId="77777777" w:rsidR="00270D70" w:rsidRPr="00270D70" w:rsidRDefault="00270D70" w:rsidP="00270D70">
      <w:pPr>
        <w:spacing w:line="360" w:lineRule="auto"/>
        <w:rPr>
          <w:rFonts w:ascii="Times New Roman" w:hAnsi="Times New Roman" w:cs="Times New Roman"/>
        </w:rPr>
      </w:pPr>
    </w:p>
    <w:p w14:paraId="5D6D794D" w14:textId="7F07E387" w:rsidR="006E7D06" w:rsidRPr="00270D70" w:rsidRDefault="006E7D06" w:rsidP="00270D70">
      <w:pPr>
        <w:pStyle w:val="Heading2"/>
        <w:spacing w:line="360" w:lineRule="auto"/>
        <w:rPr>
          <w:rFonts w:ascii="Times New Roman" w:hAnsi="Times New Roman" w:cs="Times New Roman"/>
        </w:rPr>
      </w:pPr>
      <w:bookmarkStart w:id="6" w:name="_Toc175218859"/>
      <w:r w:rsidRPr="00270D70">
        <w:rPr>
          <w:rFonts w:ascii="Times New Roman" w:hAnsi="Times New Roman" w:cs="Times New Roman"/>
        </w:rPr>
        <w:t xml:space="preserve">Value Chain and Value </w:t>
      </w:r>
      <w:r w:rsidR="00F1726F" w:rsidRPr="00270D70">
        <w:rPr>
          <w:rFonts w:ascii="Times New Roman" w:hAnsi="Times New Roman" w:cs="Times New Roman"/>
        </w:rPr>
        <w:t>System and</w:t>
      </w:r>
      <w:r w:rsidRPr="00270D70">
        <w:rPr>
          <w:rFonts w:ascii="Times New Roman" w:hAnsi="Times New Roman" w:cs="Times New Roman"/>
        </w:rPr>
        <w:t xml:space="preserve"> VRIO analysis</w:t>
      </w:r>
      <w:bookmarkEnd w:id="6"/>
      <w:r w:rsidRPr="00270D70">
        <w:rPr>
          <w:rFonts w:ascii="Times New Roman" w:hAnsi="Times New Roman" w:cs="Times New Roman"/>
        </w:rPr>
        <w:t xml:space="preserve"> </w:t>
      </w:r>
    </w:p>
    <w:p w14:paraId="24E5FB39" w14:textId="77777777" w:rsidR="006E7D06" w:rsidRPr="00270D70" w:rsidRDefault="006E7D06" w:rsidP="00270D70">
      <w:pPr>
        <w:spacing w:line="360" w:lineRule="auto"/>
        <w:rPr>
          <w:rFonts w:ascii="Times New Roman" w:hAnsi="Times New Roman" w:cs="Times New Roman"/>
        </w:rPr>
      </w:pPr>
    </w:p>
    <w:p w14:paraId="25B47E23" w14:textId="6D13210A"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Lloyds’ advanced IT systems are crucial for data management and regulatory compliance but are easily replicable, limiting their ability to provide a sustained competitive advantage (Porter, 1985). The bank's investment in digital transformation enhances operational efficiency and customer experience. While common in the industry, Lloyds’ specific execution of these initiatives may offer a temporary advantage (Grant, 2016).</w:t>
      </w:r>
    </w:p>
    <w:p w14:paraId="1857D6C4"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 xml:space="preserve">The multi-channel service delivery strategy, combining physical branches with digital platforms, ensures broad service accessibility and supports customer satisfaction (Johnson et al., 2017). Although such strategies are widespread, the quality of execution at Lloyds could yield a competitive edge. Human resource management, including talent development and innovation, is a vital capability that, due to its integration with the firm's culture, could lead to a sustainable advantage (Barney and </w:t>
      </w:r>
      <w:proofErr w:type="spellStart"/>
      <w:r w:rsidRPr="00270D70">
        <w:rPr>
          <w:rFonts w:ascii="Times New Roman" w:hAnsi="Times New Roman" w:cs="Times New Roman"/>
        </w:rPr>
        <w:t>Hesterly</w:t>
      </w:r>
      <w:proofErr w:type="spellEnd"/>
      <w:r w:rsidRPr="00270D70">
        <w:rPr>
          <w:rFonts w:ascii="Times New Roman" w:hAnsi="Times New Roman" w:cs="Times New Roman"/>
        </w:rPr>
        <w:t>, 2019). However, the replicability of recruitment and talent strategies by competitors reduces this advantage.</w:t>
      </w:r>
    </w:p>
    <w:p w14:paraId="0415D86D" w14:textId="23C58F31"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Significant investment in technology development, particularly in fintech and cybersecurity, is another critical resource (Chesbrough, 2003). While new technologies are often imitated by competitors, Lloyds’ ability to effectively integrate these technologies into its operations may provide a temporary competitive edge.</w:t>
      </w:r>
    </w:p>
    <w:p w14:paraId="551C73A9"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Lloyds Banking Group plc has several key resources, particularly in IT, digital transformation, and human resource management, that contribute to its competitive position. However, the sustainability of these advantages depends on continuous innovation and effective resource integration, especially in a highly competitive financial services market.</w:t>
      </w:r>
    </w:p>
    <w:p w14:paraId="63BD653A" w14:textId="77777777" w:rsidR="006E7D06" w:rsidRPr="00270D70" w:rsidRDefault="006E7D06" w:rsidP="00270D70">
      <w:pPr>
        <w:spacing w:line="360" w:lineRule="auto"/>
        <w:rPr>
          <w:rFonts w:ascii="Times New Roman" w:hAnsi="Times New Roman" w:cs="Times New Roman"/>
          <w:b/>
          <w:bCs/>
          <w:sz w:val="28"/>
          <w:szCs w:val="28"/>
        </w:rPr>
      </w:pPr>
    </w:p>
    <w:p w14:paraId="7A77B02B" w14:textId="0C7F2298" w:rsidR="006E7D06" w:rsidRPr="00270D70" w:rsidRDefault="006E7D06" w:rsidP="00270D70">
      <w:pPr>
        <w:pStyle w:val="Heading1"/>
        <w:spacing w:line="360" w:lineRule="auto"/>
        <w:rPr>
          <w:rFonts w:ascii="Times New Roman" w:hAnsi="Times New Roman" w:cs="Times New Roman"/>
        </w:rPr>
      </w:pPr>
      <w:bookmarkStart w:id="7" w:name="_Toc175218860"/>
      <w:r w:rsidRPr="00270D70">
        <w:rPr>
          <w:rFonts w:ascii="Times New Roman" w:hAnsi="Times New Roman" w:cs="Times New Roman"/>
        </w:rPr>
        <w:t>Strategic Challenges</w:t>
      </w:r>
      <w:bookmarkEnd w:id="7"/>
    </w:p>
    <w:p w14:paraId="516B0FF1" w14:textId="77777777" w:rsidR="00F1726F" w:rsidRPr="00270D70" w:rsidRDefault="00F1726F" w:rsidP="00270D70">
      <w:pPr>
        <w:spacing w:line="360" w:lineRule="auto"/>
        <w:rPr>
          <w:rFonts w:ascii="Times New Roman" w:hAnsi="Times New Roman" w:cs="Times New Roman"/>
          <w:b/>
          <w:bCs/>
          <w:sz w:val="28"/>
          <w:szCs w:val="28"/>
        </w:rPr>
      </w:pPr>
    </w:p>
    <w:p w14:paraId="73E154A2"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 xml:space="preserve">Lloyds faces several strategic challenges that require careful management. Digital transformation is perhaps the most pressing issue, as the bank must modernize its IT infrastructure to fully embrace the digital age (Accenture, 2023). This transformation is </w:t>
      </w:r>
      <w:r w:rsidRPr="00270D70">
        <w:rPr>
          <w:rFonts w:ascii="Times New Roman" w:hAnsi="Times New Roman" w:cs="Times New Roman"/>
        </w:rPr>
        <w:lastRenderedPageBreak/>
        <w:t>essential not only for improving customer experience but also for maintaining operational efficiency and staying competitive (Deloitte, 2023). Another significant challenge is regulatory compliance. As a highly regulated entity, Lloyds must navigate a complex web of financial regulations, which requires substantial resources and can impact the bank’s profitability (EY, 2023).</w:t>
      </w:r>
    </w:p>
    <w:p w14:paraId="2678C0A4" w14:textId="77777777" w:rsidR="006E7D06" w:rsidRPr="00270D70" w:rsidRDefault="006E7D06" w:rsidP="00270D70">
      <w:pPr>
        <w:spacing w:line="360" w:lineRule="auto"/>
        <w:rPr>
          <w:rFonts w:ascii="Times New Roman" w:hAnsi="Times New Roman" w:cs="Times New Roman"/>
        </w:rPr>
      </w:pPr>
    </w:p>
    <w:p w14:paraId="01831BBD"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Customer experience is another critical area where Lloyds needs to focus. In a competitive market, enhancing customer satisfaction and loyalty is essential for retaining and growing the customer base (McKinsey &amp; Company, 2023). The bank must leverage data analytics and AI to offer personalized services that meet the evolving needs of its customers (Accenture, 2023). Finally, sustainability is an emerging challenge. Lloyds must balance its profitability goals with the growing demand for environmentally and socially responsible business practices (World Economic Forum, 2023). This requires integrating sustainability into its core strategy and operations (The Guardian, 2023).</w:t>
      </w:r>
    </w:p>
    <w:p w14:paraId="1DCBD211" w14:textId="77777777" w:rsidR="006E7D06" w:rsidRPr="00270D70" w:rsidRDefault="006E7D06" w:rsidP="00270D70">
      <w:pPr>
        <w:spacing w:line="360" w:lineRule="auto"/>
        <w:rPr>
          <w:rFonts w:ascii="Times New Roman" w:hAnsi="Times New Roman" w:cs="Times New Roman"/>
        </w:rPr>
      </w:pPr>
    </w:p>
    <w:p w14:paraId="420FD257" w14:textId="3CAB9594" w:rsidR="006E7D06" w:rsidRPr="00270D70" w:rsidRDefault="006E7D06" w:rsidP="00270D70">
      <w:pPr>
        <w:pStyle w:val="Heading1"/>
        <w:spacing w:line="360" w:lineRule="auto"/>
        <w:rPr>
          <w:rFonts w:ascii="Times New Roman" w:hAnsi="Times New Roman" w:cs="Times New Roman"/>
        </w:rPr>
      </w:pPr>
      <w:bookmarkStart w:id="8" w:name="_Toc175218861"/>
      <w:r w:rsidRPr="00270D70">
        <w:rPr>
          <w:rFonts w:ascii="Times New Roman" w:hAnsi="Times New Roman" w:cs="Times New Roman"/>
        </w:rPr>
        <w:t>Strategic Options</w:t>
      </w:r>
      <w:bookmarkEnd w:id="8"/>
    </w:p>
    <w:p w14:paraId="68EACD69" w14:textId="77777777" w:rsidR="00F1726F" w:rsidRPr="00270D70" w:rsidRDefault="00F1726F" w:rsidP="00270D70">
      <w:pPr>
        <w:spacing w:line="360" w:lineRule="auto"/>
        <w:rPr>
          <w:rFonts w:ascii="Times New Roman" w:hAnsi="Times New Roman" w:cs="Times New Roman"/>
          <w:b/>
          <w:bCs/>
          <w:sz w:val="28"/>
          <w:szCs w:val="28"/>
        </w:rPr>
      </w:pPr>
    </w:p>
    <w:p w14:paraId="7405211E" w14:textId="643AB39B"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To address these challenges and capitali</w:t>
      </w:r>
      <w:r w:rsidR="00F1726F" w:rsidRPr="00270D70">
        <w:rPr>
          <w:rFonts w:ascii="Times New Roman" w:hAnsi="Times New Roman" w:cs="Times New Roman"/>
        </w:rPr>
        <w:t>s</w:t>
      </w:r>
      <w:r w:rsidRPr="00270D70">
        <w:rPr>
          <w:rFonts w:ascii="Times New Roman" w:hAnsi="Times New Roman" w:cs="Times New Roman"/>
        </w:rPr>
        <w:t>e on opportunities, Lloyds has several strategic options. One option is to pursue market penetration strategies that focus on increasing its share of the existing market (Ansoff, 1957). This could involve offering more competitive pricing, enhancing customer service, or expanding its product offerings within the UK (Lloyds Banking Group, 2023). Another option is market development, where Lloyds could explore opportunities in new geographic regions, particularly in emerging markets where banking services are underdeveloped (BCG, 2023).</w:t>
      </w:r>
    </w:p>
    <w:p w14:paraId="03D46567" w14:textId="77777777" w:rsidR="006E7D06" w:rsidRPr="00270D70" w:rsidRDefault="006E7D06" w:rsidP="00270D70">
      <w:pPr>
        <w:spacing w:line="360" w:lineRule="auto"/>
        <w:rPr>
          <w:rFonts w:ascii="Times New Roman" w:hAnsi="Times New Roman" w:cs="Times New Roman"/>
        </w:rPr>
      </w:pPr>
    </w:p>
    <w:p w14:paraId="0642CA4F"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 xml:space="preserve">Product development is also a viable strategy, particularly </w:t>
      </w:r>
      <w:proofErr w:type="gramStart"/>
      <w:r w:rsidRPr="00270D70">
        <w:rPr>
          <w:rFonts w:ascii="Times New Roman" w:hAnsi="Times New Roman" w:cs="Times New Roman"/>
        </w:rPr>
        <w:t>in the area of</w:t>
      </w:r>
      <w:proofErr w:type="gramEnd"/>
      <w:r w:rsidRPr="00270D70">
        <w:rPr>
          <w:rFonts w:ascii="Times New Roman" w:hAnsi="Times New Roman" w:cs="Times New Roman"/>
        </w:rPr>
        <w:t xml:space="preserve"> digital banking. By innovating and offering new digital financial products, Lloyds can attract tech-savvy customers and compete more effectively with fintech firms (Deloitte, 2023). Diversification is another strategic option, where Lloyds could explore new business areas, potentially through acquisitions or partnerships with fintech companies (Accenture, 2023). This would allow the bank to enter new markets and reduce its reliance on traditional banking revenues (BCG, 2023).</w:t>
      </w:r>
    </w:p>
    <w:p w14:paraId="6BF81DB6" w14:textId="77777777" w:rsidR="00F1726F" w:rsidRPr="00270D70" w:rsidRDefault="00F1726F" w:rsidP="00270D70">
      <w:pPr>
        <w:pStyle w:val="Heading1"/>
        <w:spacing w:line="360" w:lineRule="auto"/>
        <w:rPr>
          <w:rFonts w:ascii="Times New Roman" w:hAnsi="Times New Roman" w:cs="Times New Roman"/>
        </w:rPr>
      </w:pPr>
    </w:p>
    <w:p w14:paraId="519958CF" w14:textId="39D04C95" w:rsidR="006E7D06" w:rsidRPr="00270D70" w:rsidRDefault="006E7D06" w:rsidP="00270D70">
      <w:pPr>
        <w:pStyle w:val="Heading1"/>
        <w:spacing w:line="360" w:lineRule="auto"/>
        <w:rPr>
          <w:rFonts w:ascii="Times New Roman" w:hAnsi="Times New Roman" w:cs="Times New Roman"/>
        </w:rPr>
      </w:pPr>
      <w:bookmarkStart w:id="9" w:name="_Toc175218862"/>
      <w:r w:rsidRPr="00270D70">
        <w:rPr>
          <w:rFonts w:ascii="Times New Roman" w:hAnsi="Times New Roman" w:cs="Times New Roman"/>
        </w:rPr>
        <w:t>SAF framework</w:t>
      </w:r>
      <w:bookmarkEnd w:id="9"/>
      <w:r w:rsidRPr="00270D70">
        <w:rPr>
          <w:rFonts w:ascii="Times New Roman" w:hAnsi="Times New Roman" w:cs="Times New Roman"/>
        </w:rPr>
        <w:t xml:space="preserve"> </w:t>
      </w:r>
    </w:p>
    <w:p w14:paraId="04824626" w14:textId="77777777" w:rsidR="00F1726F" w:rsidRPr="00270D70" w:rsidRDefault="00F1726F" w:rsidP="00270D70">
      <w:pPr>
        <w:spacing w:line="360" w:lineRule="auto"/>
        <w:rPr>
          <w:rFonts w:ascii="Times New Roman" w:hAnsi="Times New Roman" w:cs="Times New Roman"/>
          <w:b/>
          <w:bCs/>
          <w:sz w:val="28"/>
          <w:szCs w:val="28"/>
        </w:rPr>
      </w:pPr>
    </w:p>
    <w:p w14:paraId="0206B7B4" w14:textId="76231C52"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 xml:space="preserve">Lloyds Banking Group plc's strategy, </w:t>
      </w:r>
      <w:r w:rsidR="00A37E11" w:rsidRPr="00270D70">
        <w:rPr>
          <w:rFonts w:ascii="Times New Roman" w:hAnsi="Times New Roman" w:cs="Times New Roman"/>
        </w:rPr>
        <w:t>analysed</w:t>
      </w:r>
      <w:r w:rsidRPr="00270D70">
        <w:rPr>
          <w:rFonts w:ascii="Times New Roman" w:hAnsi="Times New Roman" w:cs="Times New Roman"/>
        </w:rPr>
        <w:t xml:space="preserve"> through the SAF framework, is well-aligned with current market trends and its internal capabilities. The focus on digital transformation and multi-channel service delivery is suitable, given the financial sector's digitalization (Grant, 2016). This strategy is acceptable due to its potential to enhance operational efficiency and customer experience, which stakeholders are likely to support, despite associated risks (Johnson et al., 2017). Feasibility is strong, with Lloyds' robust financial resources, advanced IT systems, and human resource capabilities positioned to drive the strategy forward (Chesbrough, 2003; Barney and </w:t>
      </w:r>
      <w:proofErr w:type="spellStart"/>
      <w:r w:rsidRPr="00270D70">
        <w:rPr>
          <w:rFonts w:ascii="Times New Roman" w:hAnsi="Times New Roman" w:cs="Times New Roman"/>
        </w:rPr>
        <w:t>Hesterly</w:t>
      </w:r>
      <w:proofErr w:type="spellEnd"/>
      <w:r w:rsidRPr="00270D70">
        <w:rPr>
          <w:rFonts w:ascii="Times New Roman" w:hAnsi="Times New Roman" w:cs="Times New Roman"/>
        </w:rPr>
        <w:t>, 2019). However, sustaining a competitive advantage will require ongoing innovation and adaptability to regulatory changes (Hill and Jones, 2012).</w:t>
      </w:r>
    </w:p>
    <w:p w14:paraId="467A1220" w14:textId="2B43344E" w:rsidR="006E7D06" w:rsidRPr="00270D70" w:rsidRDefault="006E7D06" w:rsidP="00270D70">
      <w:pPr>
        <w:pStyle w:val="Heading1"/>
        <w:spacing w:line="360" w:lineRule="auto"/>
        <w:rPr>
          <w:rFonts w:ascii="Times New Roman" w:hAnsi="Times New Roman" w:cs="Times New Roman"/>
        </w:rPr>
      </w:pPr>
      <w:bookmarkStart w:id="10" w:name="_Toc175218863"/>
      <w:r w:rsidRPr="00270D70">
        <w:rPr>
          <w:rFonts w:ascii="Times New Roman" w:hAnsi="Times New Roman" w:cs="Times New Roman"/>
        </w:rPr>
        <w:t>Implementation Plan</w:t>
      </w:r>
      <w:bookmarkEnd w:id="10"/>
    </w:p>
    <w:p w14:paraId="1FCF0AE8" w14:textId="77777777" w:rsidR="00F1726F" w:rsidRPr="00270D70" w:rsidRDefault="00F1726F" w:rsidP="00270D70">
      <w:pPr>
        <w:spacing w:line="360" w:lineRule="auto"/>
        <w:rPr>
          <w:rFonts w:ascii="Times New Roman" w:hAnsi="Times New Roman" w:cs="Times New Roman"/>
          <w:b/>
          <w:bCs/>
          <w:sz w:val="28"/>
          <w:szCs w:val="28"/>
        </w:rPr>
      </w:pPr>
    </w:p>
    <w:p w14:paraId="73ABD6D4"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The implementation of these strategic recommendations should be carried out in phases, with a clear timeline and resource allocation (Deloitte, 2023). In the short term, Lloyds should focus on accelerating digital transformation initiatives, including upgrading IT infrastructure and developing new digital products (Accenture, 2023). In the mid-term, the bank should enhance its sustainability efforts and begin exploring new market opportunities (World Economic Forum, 2023). In the long term, Lloyds should continue to refine its customer-centric strategy and explore potential diversification opportunities through partnerships or acquisitions (BCG, 2023).</w:t>
      </w:r>
    </w:p>
    <w:p w14:paraId="225D6AB8" w14:textId="77777777" w:rsidR="006E7D06" w:rsidRPr="00270D70" w:rsidRDefault="006E7D06" w:rsidP="00270D70">
      <w:pPr>
        <w:spacing w:line="360" w:lineRule="auto"/>
        <w:rPr>
          <w:rFonts w:ascii="Times New Roman" w:hAnsi="Times New Roman" w:cs="Times New Roman"/>
        </w:rPr>
      </w:pPr>
    </w:p>
    <w:p w14:paraId="12C722D1" w14:textId="0F22A9D3"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 xml:space="preserve">To ensure successful implementation, Lloyds must allocate the necessary resources, including financial, human, and technological assets (PwC, 2023). Additionally, the bank should establish a robust risk management framework to identify potential risks and develop mitigation strategies (EY, 2023). Regular monitoring and evaluation will be essential to </w:t>
      </w:r>
      <w:r w:rsidRPr="00270D70">
        <w:rPr>
          <w:rFonts w:ascii="Times New Roman" w:hAnsi="Times New Roman" w:cs="Times New Roman"/>
        </w:rPr>
        <w:lastRenderedPageBreak/>
        <w:t>ensure that the strategic initiatives are on track and delivering the desired outcomes (McKinsey &amp; Company, 2023).</w:t>
      </w:r>
    </w:p>
    <w:p w14:paraId="1A0A9D93" w14:textId="1D962F80" w:rsidR="006E7D06" w:rsidRDefault="006E7D06" w:rsidP="00270D70">
      <w:pPr>
        <w:pStyle w:val="Heading1"/>
        <w:spacing w:line="360" w:lineRule="auto"/>
        <w:rPr>
          <w:rFonts w:ascii="Times New Roman" w:hAnsi="Times New Roman" w:cs="Times New Roman"/>
        </w:rPr>
      </w:pPr>
      <w:bookmarkStart w:id="11" w:name="_Toc175218864"/>
      <w:r w:rsidRPr="00270D70">
        <w:rPr>
          <w:rFonts w:ascii="Times New Roman" w:hAnsi="Times New Roman" w:cs="Times New Roman"/>
        </w:rPr>
        <w:t>Conclusion</w:t>
      </w:r>
      <w:bookmarkEnd w:id="11"/>
    </w:p>
    <w:p w14:paraId="20E2A12D" w14:textId="77777777" w:rsidR="00270D70" w:rsidRPr="00270D70" w:rsidRDefault="00270D70" w:rsidP="00270D70"/>
    <w:p w14:paraId="244BCD19"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In conclusion, Lloyds Banking Group is well-positioned to maintain and enhance its competitive position in the UK banking sector. However, to achieve long-term success, the bank must address several strategic challenges, including digital transformation, regulatory compliance, and sustainability (Bloomberg, 2023). By implementing the recommended strategies, Lloyds can capitalize on opportunities, mitigate risks, and continue to thrive in a rapidly changing industry (Deloitte, 2023).</w:t>
      </w:r>
    </w:p>
    <w:p w14:paraId="0B07F082" w14:textId="77777777" w:rsidR="006E7D06" w:rsidRPr="00270D70" w:rsidRDefault="006E7D06" w:rsidP="00270D70">
      <w:pPr>
        <w:spacing w:line="360" w:lineRule="auto"/>
        <w:rPr>
          <w:rFonts w:ascii="Times New Roman" w:hAnsi="Times New Roman" w:cs="Times New Roman"/>
        </w:rPr>
      </w:pPr>
    </w:p>
    <w:p w14:paraId="18163A06" w14:textId="77777777" w:rsidR="006E7D06" w:rsidRPr="00270D70" w:rsidRDefault="006E7D06" w:rsidP="00270D70">
      <w:pPr>
        <w:spacing w:line="360" w:lineRule="auto"/>
        <w:rPr>
          <w:rFonts w:ascii="Times New Roman" w:hAnsi="Times New Roman" w:cs="Times New Roman"/>
        </w:rPr>
      </w:pPr>
    </w:p>
    <w:p w14:paraId="4AA25616" w14:textId="08FE1C0D" w:rsidR="006E7D06" w:rsidRDefault="006E7D06" w:rsidP="00270D70">
      <w:pPr>
        <w:pStyle w:val="Heading1"/>
        <w:spacing w:line="360" w:lineRule="auto"/>
        <w:rPr>
          <w:rFonts w:ascii="Times New Roman" w:hAnsi="Times New Roman" w:cs="Times New Roman"/>
        </w:rPr>
      </w:pPr>
      <w:bookmarkStart w:id="12" w:name="_Toc175218865"/>
      <w:r w:rsidRPr="00270D70">
        <w:rPr>
          <w:rFonts w:ascii="Times New Roman" w:hAnsi="Times New Roman" w:cs="Times New Roman"/>
        </w:rPr>
        <w:t>References</w:t>
      </w:r>
      <w:bookmarkEnd w:id="12"/>
    </w:p>
    <w:p w14:paraId="18AA057A" w14:textId="77777777" w:rsidR="00270D70" w:rsidRPr="00270D70" w:rsidRDefault="00270D70" w:rsidP="00270D70"/>
    <w:p w14:paraId="71E63AC6"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Accenture (2023) *Digital banking trends and strategies for 2023*. Available at: https://www.accenture.com (Accessed: 17 August 2024).</w:t>
      </w:r>
    </w:p>
    <w:p w14:paraId="2869ADCD" w14:textId="77777777" w:rsidR="006E7D06" w:rsidRPr="00270D70" w:rsidRDefault="006E7D06" w:rsidP="00270D70">
      <w:pPr>
        <w:spacing w:line="360" w:lineRule="auto"/>
        <w:rPr>
          <w:rFonts w:ascii="Times New Roman" w:hAnsi="Times New Roman" w:cs="Times New Roman"/>
        </w:rPr>
      </w:pPr>
    </w:p>
    <w:p w14:paraId="793D4C4A"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Ansoff, H. I. (1957) 'Strategies for diversification', *Harvard Business Review*, 35(5), pp. 113-124.</w:t>
      </w:r>
    </w:p>
    <w:p w14:paraId="3FA4A347" w14:textId="77777777" w:rsidR="006E7D06" w:rsidRPr="00270D70" w:rsidRDefault="006E7D06" w:rsidP="00270D70">
      <w:pPr>
        <w:spacing w:line="360" w:lineRule="auto"/>
        <w:rPr>
          <w:rFonts w:ascii="Times New Roman" w:hAnsi="Times New Roman" w:cs="Times New Roman"/>
        </w:rPr>
      </w:pPr>
    </w:p>
    <w:p w14:paraId="2A189FF4"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Bank of England (2023) *Monetary policy report*. Available at: https://www.bankofengland.co.uk (Accessed: 17 August 2024).</w:t>
      </w:r>
    </w:p>
    <w:p w14:paraId="6106DACD" w14:textId="77777777" w:rsidR="006E7D06" w:rsidRPr="00270D70" w:rsidRDefault="006E7D06" w:rsidP="00270D70">
      <w:pPr>
        <w:spacing w:line="360" w:lineRule="auto"/>
        <w:rPr>
          <w:rFonts w:ascii="Times New Roman" w:hAnsi="Times New Roman" w:cs="Times New Roman"/>
        </w:rPr>
      </w:pPr>
    </w:p>
    <w:p w14:paraId="5F04C31C"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BBC News (2023) *</w:t>
      </w:r>
      <w:proofErr w:type="gramStart"/>
      <w:r w:rsidRPr="00270D70">
        <w:rPr>
          <w:rFonts w:ascii="Times New Roman" w:hAnsi="Times New Roman" w:cs="Times New Roman"/>
        </w:rPr>
        <w:t>Post-Brexit</w:t>
      </w:r>
      <w:proofErr w:type="gramEnd"/>
      <w:r w:rsidRPr="00270D70">
        <w:rPr>
          <w:rFonts w:ascii="Times New Roman" w:hAnsi="Times New Roman" w:cs="Times New Roman"/>
        </w:rPr>
        <w:t xml:space="preserve"> regulations impact UK banks*. Available at: https://www.bbc.co.uk/news/business (Accessed: 17 August 2024).</w:t>
      </w:r>
    </w:p>
    <w:p w14:paraId="54BE04CD" w14:textId="77777777" w:rsidR="006E7D06" w:rsidRPr="00270D70" w:rsidRDefault="006E7D06" w:rsidP="00270D70">
      <w:pPr>
        <w:spacing w:line="360" w:lineRule="auto"/>
        <w:rPr>
          <w:rFonts w:ascii="Times New Roman" w:hAnsi="Times New Roman" w:cs="Times New Roman"/>
        </w:rPr>
      </w:pPr>
    </w:p>
    <w:p w14:paraId="18CB2170"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Bloomberg (2023) *Lloyds Banking Group performance analysis*. Available at: https://www.bloomberg.com (Accessed: 17 August 2024).</w:t>
      </w:r>
    </w:p>
    <w:p w14:paraId="43CE8DEB" w14:textId="77777777" w:rsidR="006E7D06" w:rsidRPr="00270D70" w:rsidRDefault="006E7D06" w:rsidP="00270D70">
      <w:pPr>
        <w:spacing w:line="360" w:lineRule="auto"/>
        <w:rPr>
          <w:rFonts w:ascii="Times New Roman" w:hAnsi="Times New Roman" w:cs="Times New Roman"/>
        </w:rPr>
      </w:pPr>
    </w:p>
    <w:p w14:paraId="66274E1B"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Deloitte (2023) *The future of banking: Trends and insights*. Available at: https://www.deloitte.com (Accessed: 17 August 2024).</w:t>
      </w:r>
    </w:p>
    <w:p w14:paraId="0CEC4491" w14:textId="77777777" w:rsidR="006E7D06" w:rsidRPr="00270D70" w:rsidRDefault="006E7D06" w:rsidP="00270D70">
      <w:pPr>
        <w:spacing w:line="360" w:lineRule="auto"/>
        <w:rPr>
          <w:rFonts w:ascii="Times New Roman" w:hAnsi="Times New Roman" w:cs="Times New Roman"/>
        </w:rPr>
      </w:pPr>
    </w:p>
    <w:p w14:paraId="5F0F3196"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EY (2023) *Financial regulation and compliance in the banking sector*. Available at: https://www.ey.com (Accessed: 17 August 2024).</w:t>
      </w:r>
    </w:p>
    <w:p w14:paraId="64EE2932" w14:textId="77777777" w:rsidR="006E7D06" w:rsidRPr="00270D70" w:rsidRDefault="006E7D06" w:rsidP="00270D70">
      <w:pPr>
        <w:spacing w:line="360" w:lineRule="auto"/>
        <w:rPr>
          <w:rFonts w:ascii="Times New Roman" w:hAnsi="Times New Roman" w:cs="Times New Roman"/>
        </w:rPr>
      </w:pPr>
    </w:p>
    <w:p w14:paraId="1FAF5DF9"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Financial Times (2023) *Lloyds Banking Group to boost digital services*. Available at: https://www.ft.com (Accessed: 17 August 2024).</w:t>
      </w:r>
    </w:p>
    <w:p w14:paraId="25B4E822" w14:textId="77777777" w:rsidR="006E7D06" w:rsidRPr="00270D70" w:rsidRDefault="006E7D06" w:rsidP="00270D70">
      <w:pPr>
        <w:spacing w:line="360" w:lineRule="auto"/>
        <w:rPr>
          <w:rFonts w:ascii="Times New Roman" w:hAnsi="Times New Roman" w:cs="Times New Roman"/>
        </w:rPr>
      </w:pPr>
    </w:p>
    <w:p w14:paraId="283A2F8D"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Harvard Business Review (2023) *Porter’s five forces: A comprehensive analysis*. Available at: https://hbr.org (Accessed: 17 August 2024).</w:t>
      </w:r>
    </w:p>
    <w:p w14:paraId="5B3F0DD6" w14:textId="77777777" w:rsidR="006E7D06" w:rsidRPr="00270D70" w:rsidRDefault="006E7D06" w:rsidP="00270D70">
      <w:pPr>
        <w:spacing w:line="360" w:lineRule="auto"/>
        <w:rPr>
          <w:rFonts w:ascii="Times New Roman" w:hAnsi="Times New Roman" w:cs="Times New Roman"/>
        </w:rPr>
      </w:pPr>
    </w:p>
    <w:p w14:paraId="1D02ADE0"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IMF (2023) *Global economic outlook: Risks and recovery*. Available at: https://www.imf.org (Accessed: 17 August 2024).</w:t>
      </w:r>
    </w:p>
    <w:p w14:paraId="0AD529C5" w14:textId="77777777" w:rsidR="006E7D06" w:rsidRPr="00270D70" w:rsidRDefault="006E7D06" w:rsidP="00270D70">
      <w:pPr>
        <w:spacing w:line="360" w:lineRule="auto"/>
        <w:rPr>
          <w:rFonts w:ascii="Times New Roman" w:hAnsi="Times New Roman" w:cs="Times New Roman"/>
        </w:rPr>
      </w:pPr>
    </w:p>
    <w:p w14:paraId="2EB0114E"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Lloyds Banking Group (2023) *About us: Company history*. Available at: https://www.lloydsbankinggroup.com (Accessed: 17 August 2024).</w:t>
      </w:r>
    </w:p>
    <w:p w14:paraId="3394B3A8" w14:textId="77777777" w:rsidR="006E7D06" w:rsidRPr="00270D70" w:rsidRDefault="006E7D06" w:rsidP="00270D70">
      <w:pPr>
        <w:spacing w:line="360" w:lineRule="auto"/>
        <w:rPr>
          <w:rFonts w:ascii="Times New Roman" w:hAnsi="Times New Roman" w:cs="Times New Roman"/>
        </w:rPr>
      </w:pPr>
    </w:p>
    <w:p w14:paraId="6ABCF118"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Lloyds Banking Group (2023) *Annual report 2023*. Available at: https://www.lloydsbankinggroup.com (Accessed: 17 August 2024).</w:t>
      </w:r>
    </w:p>
    <w:p w14:paraId="6D7A2758" w14:textId="77777777" w:rsidR="006E7D06" w:rsidRPr="00270D70" w:rsidRDefault="006E7D06" w:rsidP="00270D70">
      <w:pPr>
        <w:spacing w:line="360" w:lineRule="auto"/>
        <w:rPr>
          <w:rFonts w:ascii="Times New Roman" w:hAnsi="Times New Roman" w:cs="Times New Roman"/>
        </w:rPr>
      </w:pPr>
    </w:p>
    <w:p w14:paraId="02443DF4"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McKinsey &amp; Company (2023) *Strategic priorities for the banking sector*. Available at: https://www.mckinsey.com (Accessed: 17 August 2024).</w:t>
      </w:r>
    </w:p>
    <w:p w14:paraId="0F096B2C" w14:textId="77777777" w:rsidR="006E7D06" w:rsidRPr="00270D70" w:rsidRDefault="006E7D06" w:rsidP="00270D70">
      <w:pPr>
        <w:spacing w:line="360" w:lineRule="auto"/>
        <w:rPr>
          <w:rFonts w:ascii="Times New Roman" w:hAnsi="Times New Roman" w:cs="Times New Roman"/>
        </w:rPr>
      </w:pPr>
    </w:p>
    <w:p w14:paraId="77612CEF"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OECD (2023) *Economic outlook for the United Kingdom*. Available at: https://www.oecd.org (Accessed: 17 August 2024).</w:t>
      </w:r>
    </w:p>
    <w:p w14:paraId="6605B546" w14:textId="77777777" w:rsidR="006E7D06" w:rsidRPr="00270D70" w:rsidRDefault="006E7D06" w:rsidP="00270D70">
      <w:pPr>
        <w:spacing w:line="360" w:lineRule="auto"/>
        <w:rPr>
          <w:rFonts w:ascii="Times New Roman" w:hAnsi="Times New Roman" w:cs="Times New Roman"/>
        </w:rPr>
      </w:pPr>
    </w:p>
    <w:p w14:paraId="0408205D"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Porter, M. E. (1979) 'How competitive forces shape strategy', *Harvard Business Review*, 57(2), pp. 137-145.</w:t>
      </w:r>
    </w:p>
    <w:p w14:paraId="46CE52C5" w14:textId="77777777" w:rsidR="006E7D06" w:rsidRPr="00270D70" w:rsidRDefault="006E7D06" w:rsidP="00270D70">
      <w:pPr>
        <w:spacing w:line="360" w:lineRule="auto"/>
        <w:rPr>
          <w:rFonts w:ascii="Times New Roman" w:hAnsi="Times New Roman" w:cs="Times New Roman"/>
        </w:rPr>
      </w:pPr>
    </w:p>
    <w:p w14:paraId="744A383D"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Porter, M. E. (1985) *Competitive advantage: Creating and sustaining superior performance*. New York: Free Press.</w:t>
      </w:r>
    </w:p>
    <w:p w14:paraId="5E5C72D8" w14:textId="77777777" w:rsidR="006E7D06" w:rsidRPr="00270D70" w:rsidRDefault="006E7D06" w:rsidP="00270D70">
      <w:pPr>
        <w:spacing w:line="360" w:lineRule="auto"/>
        <w:rPr>
          <w:rFonts w:ascii="Times New Roman" w:hAnsi="Times New Roman" w:cs="Times New Roman"/>
        </w:rPr>
      </w:pPr>
    </w:p>
    <w:p w14:paraId="1BAEBDE2"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PwC (2023) *Banking and capital markets trends*. Available at: https://www.pwc.com (Accessed: 17 August 2024).</w:t>
      </w:r>
    </w:p>
    <w:p w14:paraId="19B752C8" w14:textId="77777777" w:rsidR="006E7D06" w:rsidRPr="00270D70" w:rsidRDefault="006E7D06" w:rsidP="00270D70">
      <w:pPr>
        <w:spacing w:line="360" w:lineRule="auto"/>
        <w:rPr>
          <w:rFonts w:ascii="Times New Roman" w:hAnsi="Times New Roman" w:cs="Times New Roman"/>
        </w:rPr>
      </w:pPr>
    </w:p>
    <w:p w14:paraId="28EF87AB"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lastRenderedPageBreak/>
        <w:t>The Guardian (2023) *Lloyds' acquisition of HBOS: A historical perspective*. Available at: https://www.theguardian.com (Accessed: 17 August 2024).</w:t>
      </w:r>
    </w:p>
    <w:p w14:paraId="083469C4" w14:textId="77777777" w:rsidR="006E7D06" w:rsidRPr="00270D70" w:rsidRDefault="006E7D06" w:rsidP="00270D70">
      <w:pPr>
        <w:spacing w:line="360" w:lineRule="auto"/>
        <w:rPr>
          <w:rFonts w:ascii="Times New Roman" w:hAnsi="Times New Roman" w:cs="Times New Roman"/>
        </w:rPr>
      </w:pPr>
    </w:p>
    <w:p w14:paraId="5DCA31FC"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World Economic Forum (2023) *The role of sustainability in the financial sector*. Available at: https://www.weforum.org (Accessed: 17 August 2024).</w:t>
      </w:r>
    </w:p>
    <w:p w14:paraId="7211B1B8" w14:textId="77777777" w:rsidR="006E7D06" w:rsidRPr="00270D70" w:rsidRDefault="006E7D06" w:rsidP="00270D70">
      <w:pPr>
        <w:spacing w:line="360" w:lineRule="auto"/>
        <w:rPr>
          <w:rFonts w:ascii="Times New Roman" w:hAnsi="Times New Roman" w:cs="Times New Roman"/>
        </w:rPr>
      </w:pPr>
    </w:p>
    <w:p w14:paraId="2BDBCD51"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Lloyds Banking Group (2023) *About us: Company history*. Available at: https://www.lloydsbankinggroup.com (Accessed: 18 August 2024).</w:t>
      </w:r>
    </w:p>
    <w:p w14:paraId="2A605E70" w14:textId="77777777" w:rsidR="006E7D06" w:rsidRPr="00270D70" w:rsidRDefault="006E7D06" w:rsidP="00270D70">
      <w:pPr>
        <w:spacing w:line="360" w:lineRule="auto"/>
        <w:rPr>
          <w:rFonts w:ascii="Times New Roman" w:hAnsi="Times New Roman" w:cs="Times New Roman"/>
        </w:rPr>
      </w:pPr>
    </w:p>
    <w:p w14:paraId="4E13C980"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 xml:space="preserve">The Guardian (2023) *Lloyds' acquisition of HBOS: A historical perspective*. Available at: https://www.theguardian.com (Accessed: 18 August 2024). </w:t>
      </w:r>
    </w:p>
    <w:p w14:paraId="68261308" w14:textId="77777777" w:rsidR="006E7D06" w:rsidRPr="00270D70" w:rsidRDefault="006E7D06" w:rsidP="00270D70">
      <w:pPr>
        <w:spacing w:line="360" w:lineRule="auto"/>
        <w:rPr>
          <w:rFonts w:ascii="Times New Roman" w:hAnsi="Times New Roman" w:cs="Times New Roman"/>
        </w:rPr>
      </w:pPr>
    </w:p>
    <w:p w14:paraId="18F51EC1"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 xml:space="preserve">Barney, J.B. and </w:t>
      </w:r>
      <w:proofErr w:type="spellStart"/>
      <w:r w:rsidRPr="00270D70">
        <w:rPr>
          <w:rFonts w:ascii="Times New Roman" w:hAnsi="Times New Roman" w:cs="Times New Roman"/>
        </w:rPr>
        <w:t>Hesterly</w:t>
      </w:r>
      <w:proofErr w:type="spellEnd"/>
      <w:r w:rsidRPr="00270D70">
        <w:rPr>
          <w:rFonts w:ascii="Times New Roman" w:hAnsi="Times New Roman" w:cs="Times New Roman"/>
        </w:rPr>
        <w:t xml:space="preserve">, W.S. (2019) *Strategic Management and Competitive Advantage*. 6th </w:t>
      </w:r>
      <w:proofErr w:type="spellStart"/>
      <w:r w:rsidRPr="00270D70">
        <w:rPr>
          <w:rFonts w:ascii="Times New Roman" w:hAnsi="Times New Roman" w:cs="Times New Roman"/>
        </w:rPr>
        <w:t>edn</w:t>
      </w:r>
      <w:proofErr w:type="spellEnd"/>
      <w:r w:rsidRPr="00270D70">
        <w:rPr>
          <w:rFonts w:ascii="Times New Roman" w:hAnsi="Times New Roman" w:cs="Times New Roman"/>
        </w:rPr>
        <w:t>. London: Pearson.</w:t>
      </w:r>
    </w:p>
    <w:p w14:paraId="0EA9981A" w14:textId="77777777" w:rsidR="006E7D06" w:rsidRPr="00270D70" w:rsidRDefault="006E7D06" w:rsidP="00270D70">
      <w:pPr>
        <w:spacing w:line="360" w:lineRule="auto"/>
        <w:rPr>
          <w:rFonts w:ascii="Times New Roman" w:hAnsi="Times New Roman" w:cs="Times New Roman"/>
        </w:rPr>
      </w:pPr>
    </w:p>
    <w:p w14:paraId="1B3CC396"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Chesbrough, H. (2003) *Open Innovation: The New Imperative for Creating and Profiting from Technology*. Boston: Harvard Business School Press.</w:t>
      </w:r>
    </w:p>
    <w:p w14:paraId="0528166E" w14:textId="77777777" w:rsidR="006E7D06" w:rsidRPr="00270D70" w:rsidRDefault="006E7D06" w:rsidP="00270D70">
      <w:pPr>
        <w:spacing w:line="360" w:lineRule="auto"/>
        <w:rPr>
          <w:rFonts w:ascii="Times New Roman" w:hAnsi="Times New Roman" w:cs="Times New Roman"/>
        </w:rPr>
      </w:pPr>
    </w:p>
    <w:p w14:paraId="6DF131A1"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 xml:space="preserve">Grant, R.M. (2016) *Contemporary Strategy Analysis*. 9th </w:t>
      </w:r>
      <w:proofErr w:type="spellStart"/>
      <w:r w:rsidRPr="00270D70">
        <w:rPr>
          <w:rFonts w:ascii="Times New Roman" w:hAnsi="Times New Roman" w:cs="Times New Roman"/>
        </w:rPr>
        <w:t>edn</w:t>
      </w:r>
      <w:proofErr w:type="spellEnd"/>
      <w:r w:rsidRPr="00270D70">
        <w:rPr>
          <w:rFonts w:ascii="Times New Roman" w:hAnsi="Times New Roman" w:cs="Times New Roman"/>
        </w:rPr>
        <w:t>. Chichester: Wiley.</w:t>
      </w:r>
    </w:p>
    <w:p w14:paraId="5909EC1E" w14:textId="77777777" w:rsidR="006E7D06" w:rsidRPr="00270D70" w:rsidRDefault="006E7D06" w:rsidP="00270D70">
      <w:pPr>
        <w:spacing w:line="360" w:lineRule="auto"/>
        <w:rPr>
          <w:rFonts w:ascii="Times New Roman" w:hAnsi="Times New Roman" w:cs="Times New Roman"/>
        </w:rPr>
      </w:pPr>
    </w:p>
    <w:p w14:paraId="6CB413D6"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 xml:space="preserve">Johnson, G., Whittington, R., Scholes, K., Angwin, D. and </w:t>
      </w:r>
      <w:proofErr w:type="spellStart"/>
      <w:r w:rsidRPr="00270D70">
        <w:rPr>
          <w:rFonts w:ascii="Times New Roman" w:hAnsi="Times New Roman" w:cs="Times New Roman"/>
        </w:rPr>
        <w:t>Regnér</w:t>
      </w:r>
      <w:proofErr w:type="spellEnd"/>
      <w:r w:rsidRPr="00270D70">
        <w:rPr>
          <w:rFonts w:ascii="Times New Roman" w:hAnsi="Times New Roman" w:cs="Times New Roman"/>
        </w:rPr>
        <w:t xml:space="preserve">, P. (2017) *Exploring Strategy: Text and Cases*. 11th </w:t>
      </w:r>
      <w:proofErr w:type="spellStart"/>
      <w:r w:rsidRPr="00270D70">
        <w:rPr>
          <w:rFonts w:ascii="Times New Roman" w:hAnsi="Times New Roman" w:cs="Times New Roman"/>
        </w:rPr>
        <w:t>edn</w:t>
      </w:r>
      <w:proofErr w:type="spellEnd"/>
      <w:r w:rsidRPr="00270D70">
        <w:rPr>
          <w:rFonts w:ascii="Times New Roman" w:hAnsi="Times New Roman" w:cs="Times New Roman"/>
        </w:rPr>
        <w:t>. Harlow: Pearson.</w:t>
      </w:r>
    </w:p>
    <w:p w14:paraId="5369E9E2" w14:textId="77777777" w:rsidR="006E7D06" w:rsidRPr="00270D70" w:rsidRDefault="006E7D06" w:rsidP="00270D70">
      <w:pPr>
        <w:spacing w:line="360" w:lineRule="auto"/>
        <w:rPr>
          <w:rFonts w:ascii="Times New Roman" w:hAnsi="Times New Roman" w:cs="Times New Roman"/>
        </w:rPr>
      </w:pPr>
    </w:p>
    <w:p w14:paraId="213E67BC"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 xml:space="preserve">Kotler, P. and Keller, K.L. (2016) *Marketing Management*. 15th </w:t>
      </w:r>
      <w:proofErr w:type="spellStart"/>
      <w:r w:rsidRPr="00270D70">
        <w:rPr>
          <w:rFonts w:ascii="Times New Roman" w:hAnsi="Times New Roman" w:cs="Times New Roman"/>
        </w:rPr>
        <w:t>edn</w:t>
      </w:r>
      <w:proofErr w:type="spellEnd"/>
      <w:r w:rsidRPr="00270D70">
        <w:rPr>
          <w:rFonts w:ascii="Times New Roman" w:hAnsi="Times New Roman" w:cs="Times New Roman"/>
        </w:rPr>
        <w:t>. Harlow: Pearson.</w:t>
      </w:r>
    </w:p>
    <w:p w14:paraId="721E4899" w14:textId="77777777" w:rsidR="006E7D06" w:rsidRPr="00270D70" w:rsidRDefault="006E7D06" w:rsidP="00270D70">
      <w:pPr>
        <w:spacing w:line="360" w:lineRule="auto"/>
        <w:rPr>
          <w:rFonts w:ascii="Times New Roman" w:hAnsi="Times New Roman" w:cs="Times New Roman"/>
        </w:rPr>
      </w:pPr>
    </w:p>
    <w:p w14:paraId="0ED4035B"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Porter, M.E. (1985) *Competitive Advantage: Creating and Sustaining Superior Performance*. New York: Free Press.</w:t>
      </w:r>
    </w:p>
    <w:p w14:paraId="76917194" w14:textId="77777777" w:rsidR="006E7D06" w:rsidRPr="00270D70" w:rsidRDefault="006E7D06" w:rsidP="00270D70">
      <w:pPr>
        <w:spacing w:line="360" w:lineRule="auto"/>
        <w:rPr>
          <w:rFonts w:ascii="Times New Roman" w:hAnsi="Times New Roman" w:cs="Times New Roman"/>
        </w:rPr>
      </w:pPr>
    </w:p>
    <w:p w14:paraId="44BF2B75"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 xml:space="preserve">Slack, N., Brandon-Jones, A. and Johnston, R. (2013) *Operations Management*. 7th </w:t>
      </w:r>
      <w:proofErr w:type="spellStart"/>
      <w:r w:rsidRPr="00270D70">
        <w:rPr>
          <w:rFonts w:ascii="Times New Roman" w:hAnsi="Times New Roman" w:cs="Times New Roman"/>
        </w:rPr>
        <w:t>edn</w:t>
      </w:r>
      <w:proofErr w:type="spellEnd"/>
      <w:r w:rsidRPr="00270D70">
        <w:rPr>
          <w:rFonts w:ascii="Times New Roman" w:hAnsi="Times New Roman" w:cs="Times New Roman"/>
        </w:rPr>
        <w:t xml:space="preserve">. Harlow: </w:t>
      </w:r>
      <w:proofErr w:type="spellStart"/>
      <w:r w:rsidRPr="00270D70">
        <w:rPr>
          <w:rFonts w:ascii="Times New Roman" w:hAnsi="Times New Roman" w:cs="Times New Roman"/>
        </w:rPr>
        <w:t>Pearson.Strategic</w:t>
      </w:r>
      <w:proofErr w:type="spellEnd"/>
      <w:r w:rsidRPr="00270D70">
        <w:rPr>
          <w:rFonts w:ascii="Times New Roman" w:hAnsi="Times New Roman" w:cs="Times New Roman"/>
        </w:rPr>
        <w:t xml:space="preserve"> Issues and Challenges</w:t>
      </w:r>
    </w:p>
    <w:p w14:paraId="34CA84C4" w14:textId="11E77F76" w:rsidR="006E7D06" w:rsidRPr="00270D70" w:rsidRDefault="006E7D06" w:rsidP="00270D70">
      <w:pPr>
        <w:spacing w:line="360" w:lineRule="auto"/>
        <w:rPr>
          <w:rFonts w:ascii="Times New Roman" w:hAnsi="Times New Roman" w:cs="Times New Roman"/>
        </w:rPr>
      </w:pPr>
    </w:p>
    <w:p w14:paraId="36317B4A"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 xml:space="preserve">Barney, J.B. and </w:t>
      </w:r>
      <w:proofErr w:type="spellStart"/>
      <w:r w:rsidRPr="00270D70">
        <w:rPr>
          <w:rFonts w:ascii="Times New Roman" w:hAnsi="Times New Roman" w:cs="Times New Roman"/>
        </w:rPr>
        <w:t>Hesterly</w:t>
      </w:r>
      <w:proofErr w:type="spellEnd"/>
      <w:r w:rsidRPr="00270D70">
        <w:rPr>
          <w:rFonts w:ascii="Times New Roman" w:hAnsi="Times New Roman" w:cs="Times New Roman"/>
        </w:rPr>
        <w:t xml:space="preserve">, W.S. (2019) *Strategic Management and Competitive Advantage*. 6th </w:t>
      </w:r>
      <w:proofErr w:type="spellStart"/>
      <w:r w:rsidRPr="00270D70">
        <w:rPr>
          <w:rFonts w:ascii="Times New Roman" w:hAnsi="Times New Roman" w:cs="Times New Roman"/>
        </w:rPr>
        <w:t>edn</w:t>
      </w:r>
      <w:proofErr w:type="spellEnd"/>
      <w:r w:rsidRPr="00270D70">
        <w:rPr>
          <w:rFonts w:ascii="Times New Roman" w:hAnsi="Times New Roman" w:cs="Times New Roman"/>
        </w:rPr>
        <w:t>. London: Pearson.</w:t>
      </w:r>
    </w:p>
    <w:p w14:paraId="2353A38C" w14:textId="77777777" w:rsidR="006E7D06" w:rsidRPr="00270D70" w:rsidRDefault="006E7D06" w:rsidP="00270D70">
      <w:pPr>
        <w:spacing w:line="360" w:lineRule="auto"/>
        <w:rPr>
          <w:rFonts w:ascii="Times New Roman" w:hAnsi="Times New Roman" w:cs="Times New Roman"/>
        </w:rPr>
      </w:pPr>
    </w:p>
    <w:p w14:paraId="5AB5E748"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lastRenderedPageBreak/>
        <w:t>Chesbrough, H. (2003) *Open Innovation: The New Imperative for Creating and Profiting from Technology*. Boston: Harvard Business School Press.</w:t>
      </w:r>
    </w:p>
    <w:p w14:paraId="0F76A28E" w14:textId="77777777" w:rsidR="006E7D06" w:rsidRPr="00270D70" w:rsidRDefault="006E7D06" w:rsidP="00270D70">
      <w:pPr>
        <w:spacing w:line="360" w:lineRule="auto"/>
        <w:rPr>
          <w:rFonts w:ascii="Times New Roman" w:hAnsi="Times New Roman" w:cs="Times New Roman"/>
        </w:rPr>
      </w:pPr>
    </w:p>
    <w:p w14:paraId="5546DC8E"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 xml:space="preserve">Grant, R.M. (2016) *Contemporary Strategy Analysis*. 9th </w:t>
      </w:r>
      <w:proofErr w:type="spellStart"/>
      <w:r w:rsidRPr="00270D70">
        <w:rPr>
          <w:rFonts w:ascii="Times New Roman" w:hAnsi="Times New Roman" w:cs="Times New Roman"/>
        </w:rPr>
        <w:t>edn</w:t>
      </w:r>
      <w:proofErr w:type="spellEnd"/>
      <w:r w:rsidRPr="00270D70">
        <w:rPr>
          <w:rFonts w:ascii="Times New Roman" w:hAnsi="Times New Roman" w:cs="Times New Roman"/>
        </w:rPr>
        <w:t>. Chichester: Wiley.</w:t>
      </w:r>
    </w:p>
    <w:p w14:paraId="1A880B8E" w14:textId="77777777" w:rsidR="006E7D06" w:rsidRPr="00270D70" w:rsidRDefault="006E7D06" w:rsidP="00270D70">
      <w:pPr>
        <w:spacing w:line="360" w:lineRule="auto"/>
        <w:rPr>
          <w:rFonts w:ascii="Times New Roman" w:hAnsi="Times New Roman" w:cs="Times New Roman"/>
        </w:rPr>
      </w:pPr>
    </w:p>
    <w:p w14:paraId="70300380"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 xml:space="preserve">Hill, C.W.L. and Jones, G.R. (2012) *Strategic Management: An Integrated Approach*. 10th </w:t>
      </w:r>
      <w:proofErr w:type="spellStart"/>
      <w:r w:rsidRPr="00270D70">
        <w:rPr>
          <w:rFonts w:ascii="Times New Roman" w:hAnsi="Times New Roman" w:cs="Times New Roman"/>
        </w:rPr>
        <w:t>edn</w:t>
      </w:r>
      <w:proofErr w:type="spellEnd"/>
      <w:r w:rsidRPr="00270D70">
        <w:rPr>
          <w:rFonts w:ascii="Times New Roman" w:hAnsi="Times New Roman" w:cs="Times New Roman"/>
        </w:rPr>
        <w:t>. Boston: Cengage Learning.</w:t>
      </w:r>
    </w:p>
    <w:p w14:paraId="7D033930" w14:textId="77777777" w:rsidR="006E7D06" w:rsidRPr="00270D70" w:rsidRDefault="006E7D06" w:rsidP="00270D70">
      <w:pPr>
        <w:spacing w:line="360" w:lineRule="auto"/>
        <w:rPr>
          <w:rFonts w:ascii="Times New Roman" w:hAnsi="Times New Roman" w:cs="Times New Roman"/>
        </w:rPr>
      </w:pPr>
    </w:p>
    <w:p w14:paraId="7FB5D1A8" w14:textId="77777777" w:rsidR="006E7D06" w:rsidRPr="00270D70" w:rsidRDefault="006E7D06" w:rsidP="00270D70">
      <w:pPr>
        <w:spacing w:line="360" w:lineRule="auto"/>
        <w:rPr>
          <w:rFonts w:ascii="Times New Roman" w:hAnsi="Times New Roman" w:cs="Times New Roman"/>
        </w:rPr>
      </w:pPr>
      <w:r w:rsidRPr="00270D70">
        <w:rPr>
          <w:rFonts w:ascii="Times New Roman" w:hAnsi="Times New Roman" w:cs="Times New Roman"/>
        </w:rPr>
        <w:t xml:space="preserve">Johnson, G., Whittington, R., Scholes, K., Angwin, D. and </w:t>
      </w:r>
      <w:proofErr w:type="spellStart"/>
      <w:r w:rsidRPr="00270D70">
        <w:rPr>
          <w:rFonts w:ascii="Times New Roman" w:hAnsi="Times New Roman" w:cs="Times New Roman"/>
        </w:rPr>
        <w:t>Regnér</w:t>
      </w:r>
      <w:proofErr w:type="spellEnd"/>
      <w:r w:rsidRPr="00270D70">
        <w:rPr>
          <w:rFonts w:ascii="Times New Roman" w:hAnsi="Times New Roman" w:cs="Times New Roman"/>
        </w:rPr>
        <w:t xml:space="preserve">, P. (2017) *Exploring Strategy: Text and Cases*. 11th </w:t>
      </w:r>
      <w:proofErr w:type="spellStart"/>
      <w:r w:rsidRPr="00270D70">
        <w:rPr>
          <w:rFonts w:ascii="Times New Roman" w:hAnsi="Times New Roman" w:cs="Times New Roman"/>
        </w:rPr>
        <w:t>edn</w:t>
      </w:r>
      <w:proofErr w:type="spellEnd"/>
      <w:r w:rsidRPr="00270D70">
        <w:rPr>
          <w:rFonts w:ascii="Times New Roman" w:hAnsi="Times New Roman" w:cs="Times New Roman"/>
        </w:rPr>
        <w:t>. Harlow: Pearson.</w:t>
      </w:r>
    </w:p>
    <w:p w14:paraId="42B85F6C" w14:textId="77777777" w:rsidR="006E7D06" w:rsidRPr="006E7D06" w:rsidRDefault="006E7D06" w:rsidP="006E7D06">
      <w:pPr>
        <w:rPr>
          <w:rFonts w:ascii="Times New Roman" w:hAnsi="Times New Roman" w:cs="Times New Roman"/>
        </w:rPr>
      </w:pPr>
    </w:p>
    <w:sectPr w:rsidR="006E7D06" w:rsidRPr="006E7D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7D06"/>
    <w:rsid w:val="0016400B"/>
    <w:rsid w:val="00185EC8"/>
    <w:rsid w:val="002640C5"/>
    <w:rsid w:val="00270D70"/>
    <w:rsid w:val="005C4943"/>
    <w:rsid w:val="006640D2"/>
    <w:rsid w:val="006E7D06"/>
    <w:rsid w:val="00A37E11"/>
    <w:rsid w:val="00B07C16"/>
    <w:rsid w:val="00C320CB"/>
    <w:rsid w:val="00D95EBA"/>
    <w:rsid w:val="00DB24A1"/>
    <w:rsid w:val="00DD4E5A"/>
    <w:rsid w:val="00F172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76E42"/>
  <w15:chartTrackingRefBased/>
  <w15:docId w15:val="{2C0F56E2-2B15-A14C-A865-220BC8D9CA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7D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E7D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7D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7D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7D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7D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7D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7D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7D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7D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E7D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7D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7D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7D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7D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7D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7D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7D06"/>
    <w:rPr>
      <w:rFonts w:eastAsiaTheme="majorEastAsia" w:cstheme="majorBidi"/>
      <w:color w:val="272727" w:themeColor="text1" w:themeTint="D8"/>
    </w:rPr>
  </w:style>
  <w:style w:type="paragraph" w:styleId="Title">
    <w:name w:val="Title"/>
    <w:basedOn w:val="Normal"/>
    <w:next w:val="Normal"/>
    <w:link w:val="TitleChar"/>
    <w:uiPriority w:val="10"/>
    <w:qFormat/>
    <w:rsid w:val="006E7D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7D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7D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7D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7D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E7D06"/>
    <w:rPr>
      <w:i/>
      <w:iCs/>
      <w:color w:val="404040" w:themeColor="text1" w:themeTint="BF"/>
    </w:rPr>
  </w:style>
  <w:style w:type="paragraph" w:styleId="ListParagraph">
    <w:name w:val="List Paragraph"/>
    <w:basedOn w:val="Normal"/>
    <w:uiPriority w:val="34"/>
    <w:qFormat/>
    <w:rsid w:val="006E7D06"/>
    <w:pPr>
      <w:ind w:left="720"/>
      <w:contextualSpacing/>
    </w:pPr>
  </w:style>
  <w:style w:type="character" w:styleId="IntenseEmphasis">
    <w:name w:val="Intense Emphasis"/>
    <w:basedOn w:val="DefaultParagraphFont"/>
    <w:uiPriority w:val="21"/>
    <w:qFormat/>
    <w:rsid w:val="006E7D06"/>
    <w:rPr>
      <w:i/>
      <w:iCs/>
      <w:color w:val="0F4761" w:themeColor="accent1" w:themeShade="BF"/>
    </w:rPr>
  </w:style>
  <w:style w:type="paragraph" w:styleId="IntenseQuote">
    <w:name w:val="Intense Quote"/>
    <w:basedOn w:val="Normal"/>
    <w:next w:val="Normal"/>
    <w:link w:val="IntenseQuoteChar"/>
    <w:uiPriority w:val="30"/>
    <w:qFormat/>
    <w:rsid w:val="006E7D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7D06"/>
    <w:rPr>
      <w:i/>
      <w:iCs/>
      <w:color w:val="0F4761" w:themeColor="accent1" w:themeShade="BF"/>
    </w:rPr>
  </w:style>
  <w:style w:type="character" w:styleId="IntenseReference">
    <w:name w:val="Intense Reference"/>
    <w:basedOn w:val="DefaultParagraphFont"/>
    <w:uiPriority w:val="32"/>
    <w:qFormat/>
    <w:rsid w:val="006E7D06"/>
    <w:rPr>
      <w:b/>
      <w:bCs/>
      <w:smallCaps/>
      <w:color w:val="0F4761" w:themeColor="accent1" w:themeShade="BF"/>
      <w:spacing w:val="5"/>
    </w:rPr>
  </w:style>
  <w:style w:type="paragraph" w:styleId="TOCHeading">
    <w:name w:val="TOC Heading"/>
    <w:basedOn w:val="Heading1"/>
    <w:next w:val="Normal"/>
    <w:uiPriority w:val="39"/>
    <w:unhideWhenUsed/>
    <w:qFormat/>
    <w:rsid w:val="00270D7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70D70"/>
    <w:pPr>
      <w:spacing w:before="120"/>
    </w:pPr>
    <w:rPr>
      <w:b/>
      <w:bCs/>
      <w:i/>
      <w:iCs/>
    </w:rPr>
  </w:style>
  <w:style w:type="paragraph" w:styleId="TOC2">
    <w:name w:val="toc 2"/>
    <w:basedOn w:val="Normal"/>
    <w:next w:val="Normal"/>
    <w:autoRedefine/>
    <w:uiPriority w:val="39"/>
    <w:unhideWhenUsed/>
    <w:rsid w:val="00270D70"/>
    <w:pPr>
      <w:spacing w:before="120"/>
      <w:ind w:left="240"/>
    </w:pPr>
    <w:rPr>
      <w:b/>
      <w:bCs/>
      <w:sz w:val="22"/>
      <w:szCs w:val="22"/>
    </w:rPr>
  </w:style>
  <w:style w:type="paragraph" w:styleId="TOC3">
    <w:name w:val="toc 3"/>
    <w:basedOn w:val="Normal"/>
    <w:next w:val="Normal"/>
    <w:autoRedefine/>
    <w:uiPriority w:val="39"/>
    <w:semiHidden/>
    <w:unhideWhenUsed/>
    <w:rsid w:val="00270D70"/>
    <w:pPr>
      <w:ind w:left="480"/>
    </w:pPr>
    <w:rPr>
      <w:sz w:val="20"/>
      <w:szCs w:val="20"/>
    </w:rPr>
  </w:style>
  <w:style w:type="paragraph" w:styleId="TOC4">
    <w:name w:val="toc 4"/>
    <w:basedOn w:val="Normal"/>
    <w:next w:val="Normal"/>
    <w:autoRedefine/>
    <w:uiPriority w:val="39"/>
    <w:semiHidden/>
    <w:unhideWhenUsed/>
    <w:rsid w:val="00270D70"/>
    <w:pPr>
      <w:ind w:left="720"/>
    </w:pPr>
    <w:rPr>
      <w:sz w:val="20"/>
      <w:szCs w:val="20"/>
    </w:rPr>
  </w:style>
  <w:style w:type="paragraph" w:styleId="TOC5">
    <w:name w:val="toc 5"/>
    <w:basedOn w:val="Normal"/>
    <w:next w:val="Normal"/>
    <w:autoRedefine/>
    <w:uiPriority w:val="39"/>
    <w:semiHidden/>
    <w:unhideWhenUsed/>
    <w:rsid w:val="00270D70"/>
    <w:pPr>
      <w:ind w:left="960"/>
    </w:pPr>
    <w:rPr>
      <w:sz w:val="20"/>
      <w:szCs w:val="20"/>
    </w:rPr>
  </w:style>
  <w:style w:type="paragraph" w:styleId="TOC6">
    <w:name w:val="toc 6"/>
    <w:basedOn w:val="Normal"/>
    <w:next w:val="Normal"/>
    <w:autoRedefine/>
    <w:uiPriority w:val="39"/>
    <w:semiHidden/>
    <w:unhideWhenUsed/>
    <w:rsid w:val="00270D70"/>
    <w:pPr>
      <w:ind w:left="1200"/>
    </w:pPr>
    <w:rPr>
      <w:sz w:val="20"/>
      <w:szCs w:val="20"/>
    </w:rPr>
  </w:style>
  <w:style w:type="paragraph" w:styleId="TOC7">
    <w:name w:val="toc 7"/>
    <w:basedOn w:val="Normal"/>
    <w:next w:val="Normal"/>
    <w:autoRedefine/>
    <w:uiPriority w:val="39"/>
    <w:semiHidden/>
    <w:unhideWhenUsed/>
    <w:rsid w:val="00270D70"/>
    <w:pPr>
      <w:ind w:left="1440"/>
    </w:pPr>
    <w:rPr>
      <w:sz w:val="20"/>
      <w:szCs w:val="20"/>
    </w:rPr>
  </w:style>
  <w:style w:type="paragraph" w:styleId="TOC8">
    <w:name w:val="toc 8"/>
    <w:basedOn w:val="Normal"/>
    <w:next w:val="Normal"/>
    <w:autoRedefine/>
    <w:uiPriority w:val="39"/>
    <w:semiHidden/>
    <w:unhideWhenUsed/>
    <w:rsid w:val="00270D70"/>
    <w:pPr>
      <w:ind w:left="1680"/>
    </w:pPr>
    <w:rPr>
      <w:sz w:val="20"/>
      <w:szCs w:val="20"/>
    </w:rPr>
  </w:style>
  <w:style w:type="paragraph" w:styleId="TOC9">
    <w:name w:val="toc 9"/>
    <w:basedOn w:val="Normal"/>
    <w:next w:val="Normal"/>
    <w:autoRedefine/>
    <w:uiPriority w:val="39"/>
    <w:semiHidden/>
    <w:unhideWhenUsed/>
    <w:rsid w:val="00270D70"/>
    <w:pPr>
      <w:ind w:left="1920"/>
    </w:pPr>
    <w:rPr>
      <w:sz w:val="20"/>
      <w:szCs w:val="20"/>
    </w:rPr>
  </w:style>
  <w:style w:type="character" w:styleId="Hyperlink">
    <w:name w:val="Hyperlink"/>
    <w:basedOn w:val="DefaultParagraphFont"/>
    <w:uiPriority w:val="99"/>
    <w:unhideWhenUsed/>
    <w:rsid w:val="00270D7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CA82F9-626F-224D-BB35-02D65A2D0A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13</Pages>
  <Words>3115</Words>
  <Characters>17759</Characters>
  <Application>Microsoft Office Word</Application>
  <DocSecurity>0</DocSecurity>
  <Lines>147</Lines>
  <Paragraphs>41</Paragraphs>
  <ScaleCrop>false</ScaleCrop>
  <Company/>
  <LinksUpToDate>false</LinksUpToDate>
  <CharactersWithSpaces>20833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Marian Grigoras</dc:creator>
  <cp:keywords/>
  <dc:description/>
  <cp:lastModifiedBy>Constantin Marian Grigoras</cp:lastModifiedBy>
  <cp:revision>6</cp:revision>
  <dcterms:created xsi:type="dcterms:W3CDTF">2024-08-18T13:16:00Z</dcterms:created>
  <dcterms:modified xsi:type="dcterms:W3CDTF">2024-08-22T09:35:00Z</dcterms:modified>
</cp:coreProperties>
</file>