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FF7E5FD" w:rsidR="005E6C44" w:rsidRPr="00A42F82" w:rsidRDefault="00E163B0" w:rsidP="00A91894">
            <w:pPr>
              <w:rPr>
                <w:rFonts w:ascii="Arial" w:hAnsi="Arial" w:cs="Arial"/>
                <w:sz w:val="22"/>
                <w:szCs w:val="22"/>
              </w:rPr>
            </w:pPr>
            <w:r>
              <w:rPr>
                <w:rFonts w:ascii="Arial" w:hAnsi="Arial" w:cs="Arial"/>
                <w:sz w:val="22"/>
                <w:szCs w:val="22"/>
              </w:rPr>
              <w:t>Tinamarie Pena-Smith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9D96E1E" w:rsidR="005E6C44" w:rsidRPr="00A42F82" w:rsidRDefault="00E163B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7C9B36D" w:rsidR="005E6C44" w:rsidRPr="00A42F82" w:rsidRDefault="00E163B0"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1CB15E7" w:rsidR="005E6C44" w:rsidRPr="00A42F82" w:rsidRDefault="00E163B0"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F990C1D" w:rsidR="005E6C44" w:rsidRPr="00A42F82" w:rsidRDefault="00E163B0" w:rsidP="00A91894">
            <w:pPr>
              <w:rPr>
                <w:rFonts w:ascii="Arial" w:hAnsi="Arial" w:cs="Arial"/>
                <w:sz w:val="22"/>
                <w:szCs w:val="22"/>
              </w:rPr>
            </w:pPr>
            <w:r>
              <w:rPr>
                <w:rFonts w:ascii="Arial" w:hAnsi="Arial" w:cs="Arial"/>
                <w:sz w:val="22"/>
                <w:szCs w:val="22"/>
              </w:rPr>
              <w:t>1816447@student.uwtsd.ac.uk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92F857E" w:rsidR="005E6C44" w:rsidRPr="00A42F82" w:rsidRDefault="00E163B0" w:rsidP="00A91894">
            <w:pPr>
              <w:rPr>
                <w:rFonts w:ascii="Arial" w:hAnsi="Arial" w:cs="Arial"/>
                <w:sz w:val="22"/>
                <w:szCs w:val="22"/>
              </w:rPr>
            </w:pPr>
            <w:r>
              <w:rPr>
                <w:rFonts w:ascii="Arial" w:hAnsi="Arial" w:cs="Arial"/>
                <w:sz w:val="22"/>
                <w:szCs w:val="22"/>
              </w:rPr>
              <w:t>07866256572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AE6F54C" w:rsidR="005E6C44" w:rsidRPr="00A42F82" w:rsidRDefault="00E163B0" w:rsidP="00A91894">
            <w:pPr>
              <w:rPr>
                <w:rFonts w:ascii="Arial" w:hAnsi="Arial" w:cs="Arial"/>
                <w:sz w:val="22"/>
                <w:szCs w:val="22"/>
              </w:rPr>
            </w:pPr>
            <w:r>
              <w:rPr>
                <w:rFonts w:ascii="Arial" w:hAnsi="Arial" w:cs="Arial"/>
                <w:sz w:val="22"/>
                <w:szCs w:val="22"/>
              </w:rPr>
              <w:t>1816447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8B5393" w:rsidR="005E6C44" w:rsidRPr="00A42F82" w:rsidRDefault="00E163B0" w:rsidP="00A91894">
            <w:pPr>
              <w:rPr>
                <w:rFonts w:ascii="Arial" w:hAnsi="Arial" w:cs="Arial"/>
                <w:sz w:val="22"/>
                <w:szCs w:val="22"/>
              </w:rPr>
            </w:pPr>
            <w:r>
              <w:rPr>
                <w:rFonts w:ascii="Arial" w:hAnsi="Arial" w:cs="Arial"/>
                <w:sz w:val="22"/>
                <w:szCs w:val="22"/>
              </w:rPr>
              <w:t>MSc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3C4E8D8" w:rsidR="005E6C44" w:rsidRPr="00A42F82" w:rsidRDefault="00E163B0" w:rsidP="00A91894">
            <w:pPr>
              <w:rPr>
                <w:rFonts w:ascii="Arial" w:hAnsi="Arial" w:cs="Arial"/>
                <w:sz w:val="22"/>
                <w:szCs w:val="22"/>
              </w:rPr>
            </w:pPr>
            <w:r>
              <w:rPr>
                <w:rFonts w:ascii="Arial" w:hAnsi="Arial" w:cs="Arial"/>
                <w:sz w:val="22"/>
                <w:szCs w:val="22"/>
              </w:rPr>
              <w:t>Zeno Leung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7601171" w:rsidR="005E6C44" w:rsidRPr="00A42F82" w:rsidRDefault="00E163B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969D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969D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969D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969D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969D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EB47BAF" w:rsidR="004C3D85" w:rsidRPr="00A42F82" w:rsidRDefault="00E163B0" w:rsidP="00A91894">
            <w:pPr>
              <w:rPr>
                <w:rFonts w:ascii="Arial" w:hAnsi="Arial" w:cs="Arial"/>
                <w:sz w:val="22"/>
                <w:szCs w:val="22"/>
              </w:rPr>
            </w:pPr>
            <w:r>
              <w:rPr>
                <w:rFonts w:ascii="Arial" w:hAnsi="Arial" w:cs="Arial"/>
                <w:sz w:val="22"/>
                <w:szCs w:val="22"/>
              </w:rPr>
              <w:t xml:space="preserve">Lifestyle and dietary choices, the contribution to teenage type 2 </w:t>
            </w:r>
            <w:proofErr w:type="spellStart"/>
            <w:r>
              <w:rPr>
                <w:rFonts w:ascii="Arial" w:hAnsi="Arial" w:cs="Arial"/>
                <w:sz w:val="22"/>
                <w:szCs w:val="22"/>
              </w:rPr>
              <w:t>dibetes</w:t>
            </w:r>
            <w:proofErr w:type="spellEnd"/>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708680" w:rsidR="004C3D85" w:rsidRPr="00A42F82" w:rsidRDefault="00E163B0" w:rsidP="00A91894">
            <w:pPr>
              <w:rPr>
                <w:rFonts w:ascii="Arial" w:hAnsi="Arial" w:cs="Arial"/>
                <w:sz w:val="22"/>
                <w:szCs w:val="22"/>
              </w:rPr>
            </w:pPr>
            <w:r>
              <w:rPr>
                <w:rFonts w:ascii="Arial" w:hAnsi="Arial" w:cs="Arial"/>
                <w:sz w:val="22"/>
                <w:szCs w:val="22"/>
              </w:rPr>
              <w:t>09/09/2024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F9BE7D1" w:rsidR="004C3D85" w:rsidRPr="00A42F82" w:rsidRDefault="00E163B0" w:rsidP="00A91894">
            <w:pPr>
              <w:rPr>
                <w:rFonts w:ascii="Arial" w:hAnsi="Arial" w:cs="Arial"/>
                <w:sz w:val="22"/>
                <w:szCs w:val="22"/>
              </w:rPr>
            </w:pPr>
            <w:r>
              <w:rPr>
                <w:rFonts w:ascii="Arial" w:hAnsi="Arial" w:cs="Arial"/>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51A7B78C" w14:textId="0939DE19" w:rsidR="00F96C3F" w:rsidRPr="0065548E" w:rsidRDefault="00F96C3F" w:rsidP="0065548E">
            <w:pPr>
              <w:pStyle w:val="ListParagraph"/>
              <w:numPr>
                <w:ilvl w:val="0"/>
                <w:numId w:val="26"/>
              </w:numPr>
              <w:ind w:left="0"/>
              <w:contextualSpacing w:val="0"/>
              <w:rPr>
                <w:rFonts w:ascii="Arial" w:hAnsi="Arial" w:cs="Arial"/>
                <w:i/>
              </w:rPr>
            </w:pPr>
          </w:p>
          <w:p w14:paraId="65B2AE14" w14:textId="7588FA47" w:rsidR="0065548E" w:rsidRPr="0065548E" w:rsidRDefault="00F96C3F" w:rsidP="0065548E">
            <w:pPr>
              <w:pStyle w:val="ListParagraph"/>
              <w:numPr>
                <w:ilvl w:val="0"/>
                <w:numId w:val="26"/>
              </w:numPr>
              <w:rPr>
                <w:rFonts w:ascii="Arial" w:hAnsi="Arial" w:cs="Arial"/>
                <w:i/>
              </w:rPr>
            </w:pPr>
            <w:r w:rsidRPr="00A42F82">
              <w:rPr>
                <w:rFonts w:ascii="Arial" w:hAnsi="Arial" w:cs="Arial"/>
                <w:i/>
              </w:rPr>
              <w:t>Aims of Research Activity</w:t>
            </w:r>
            <w:r w:rsidR="0065548E">
              <w:t xml:space="preserve"> </w:t>
            </w:r>
            <w:r w:rsidR="0065548E" w:rsidRPr="0065548E">
              <w:rPr>
                <w:rFonts w:ascii="Arial" w:hAnsi="Arial" w:cs="Arial"/>
                <w:i/>
              </w:rPr>
              <w:t>During the previous several decades, there has been an alarming increase in the prevalence of T2D among youth. This rise is caused by a number of variables  such as food preferences, environmental circumstances, and lifestyle modifications. Determining the scope of the issue is essential to creating health and social care plans that work.</w:t>
            </w:r>
          </w:p>
          <w:p w14:paraId="12CD2044" w14:textId="77777777" w:rsidR="0065548E" w:rsidRPr="0065548E" w:rsidRDefault="0065548E" w:rsidP="0065548E">
            <w:pPr>
              <w:pStyle w:val="ListParagraph"/>
              <w:rPr>
                <w:rFonts w:ascii="Arial" w:hAnsi="Arial" w:cs="Arial"/>
                <w:i/>
              </w:rPr>
            </w:pPr>
          </w:p>
          <w:p w14:paraId="625B92DD" w14:textId="77777777" w:rsidR="0065548E" w:rsidRPr="0065548E" w:rsidRDefault="0065548E" w:rsidP="0065548E">
            <w:pPr>
              <w:pStyle w:val="ListParagraph"/>
              <w:numPr>
                <w:ilvl w:val="0"/>
                <w:numId w:val="26"/>
              </w:numPr>
              <w:rPr>
                <w:rFonts w:ascii="Arial" w:hAnsi="Arial" w:cs="Arial"/>
                <w:i/>
              </w:rPr>
            </w:pPr>
            <w:r w:rsidRPr="0065548E">
              <w:rPr>
                <w:rFonts w:ascii="Arial" w:hAnsi="Arial" w:cs="Arial"/>
                <w:i/>
              </w:rPr>
              <w:t>International Diabetes Federation (IDF) reports that there is a notable rise in the incidence of diabetes in children and adolescents worldwide, with a considerable proportion being diagnosed with type 2 diabetes. In the upcoming ten years, the IDF predicts that the number of children and adolescents with T2D may double. It is reported by IDC that over 90% of people with diabetes, have T2D. supporting the evidence that T2D is due to the addition of many external factors (International Diabetes Federation, 2023).</w:t>
            </w:r>
          </w:p>
          <w:p w14:paraId="6E1E1108" w14:textId="77777777" w:rsidR="0065548E" w:rsidRPr="0065548E" w:rsidRDefault="0065548E" w:rsidP="0065548E">
            <w:pPr>
              <w:pStyle w:val="ListParagraph"/>
              <w:numPr>
                <w:ilvl w:val="0"/>
                <w:numId w:val="26"/>
              </w:numPr>
              <w:rPr>
                <w:rFonts w:ascii="Arial" w:hAnsi="Arial" w:cs="Arial"/>
                <w:i/>
              </w:rPr>
            </w:pPr>
          </w:p>
          <w:p w14:paraId="2A394C41" w14:textId="16D1BE64" w:rsidR="00F96C3F" w:rsidRDefault="0065548E" w:rsidP="0065548E">
            <w:pPr>
              <w:pStyle w:val="ListParagraph"/>
              <w:numPr>
                <w:ilvl w:val="0"/>
                <w:numId w:val="26"/>
              </w:numPr>
              <w:contextualSpacing w:val="0"/>
              <w:rPr>
                <w:rFonts w:ascii="Arial" w:hAnsi="Arial" w:cs="Arial"/>
                <w:i/>
              </w:rPr>
            </w:pPr>
            <w:r w:rsidRPr="0065548E">
              <w:rPr>
                <w:rFonts w:ascii="Arial" w:hAnsi="Arial" w:cs="Arial"/>
                <w:i/>
              </w:rPr>
              <w:t>Research indicates that T2D incidence rates among teenagers are on the rise in Europe. According to the European Diabetes Federation, sedentary lifestyles and obesity are major causes of this rise (International Diabetes Federation, 2023b)</w:t>
            </w:r>
          </w:p>
          <w:p w14:paraId="16C68A66" w14:textId="0B349C73" w:rsidR="0065548E" w:rsidRDefault="0065548E" w:rsidP="0065548E">
            <w:pPr>
              <w:pStyle w:val="ListParagraph"/>
              <w:numPr>
                <w:ilvl w:val="0"/>
                <w:numId w:val="26"/>
              </w:numPr>
              <w:contextualSpacing w:val="0"/>
              <w:rPr>
                <w:rFonts w:ascii="Arial" w:hAnsi="Arial" w:cs="Arial"/>
                <w:i/>
              </w:rPr>
            </w:pPr>
            <w:r w:rsidRPr="0065548E">
              <w:rPr>
                <w:rFonts w:ascii="Arial" w:hAnsi="Arial" w:cs="Arial"/>
                <w:i/>
              </w:rPr>
              <w:t>Teenage T2D prevalence is rising, and this has important ramifications for the health and social care systems. Early-stage T2D is linked to an increased risk of sequelae (Bai et al., 2022),  including retinopathy, neuropathy, and cardiovascular disease, all of which can result in long-term impairment and a lower standard of living.</w:t>
            </w:r>
          </w:p>
          <w:p w14:paraId="52DD12FE" w14:textId="1F59DB4F" w:rsidR="0065548E" w:rsidRPr="00A42F82" w:rsidRDefault="0065548E" w:rsidP="0065548E">
            <w:pPr>
              <w:pStyle w:val="ListParagraph"/>
              <w:numPr>
                <w:ilvl w:val="0"/>
                <w:numId w:val="26"/>
              </w:numPr>
              <w:contextualSpacing w:val="0"/>
              <w:rPr>
                <w:rFonts w:ascii="Arial" w:hAnsi="Arial" w:cs="Arial"/>
                <w:i/>
              </w:rPr>
            </w:pPr>
            <w:r w:rsidRPr="0065548E">
              <w:rPr>
                <w:rFonts w:ascii="Arial" w:hAnsi="Arial" w:cs="Arial"/>
                <w:i/>
              </w:rPr>
              <w:t>Research indicates that T2D incidence rates among teenagers are on the rise in Europe. According to the European Diabetes Federation, sedentary lifestyles and obesity are major causes of this rise (International Diabetes Federation, 2023b</w:t>
            </w:r>
          </w:p>
          <w:p w14:paraId="732F1DA5" w14:textId="47297443" w:rsidR="00F96C3F" w:rsidRPr="00A42F82" w:rsidRDefault="00F96C3F" w:rsidP="00A91894">
            <w:pPr>
              <w:pStyle w:val="ListParagraph"/>
              <w:numPr>
                <w:ilvl w:val="0"/>
                <w:numId w:val="26"/>
              </w:numPr>
              <w:spacing w:after="240"/>
              <w:ind w:left="0" w:hanging="357"/>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01DB756" w:rsidR="00F96C3F" w:rsidRPr="00A42F82" w:rsidRDefault="0065548E" w:rsidP="00A91894">
            <w:pPr>
              <w:rPr>
                <w:rFonts w:ascii="Arial" w:hAnsi="Arial" w:cs="Arial"/>
              </w:rPr>
            </w:pPr>
            <w:r w:rsidRPr="0065548E">
              <w:rPr>
                <w:rFonts w:ascii="Arial" w:hAnsi="Arial" w:cs="Arial"/>
              </w:rPr>
              <w:t>How do lifestyle and dietary habits impact the onset of T2D in adolescents?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ACD5244" w14:textId="77777777" w:rsidR="0065548E" w:rsidRPr="0065548E" w:rsidRDefault="0065548E" w:rsidP="0065548E">
            <w:pPr>
              <w:rPr>
                <w:rFonts w:ascii="Arial" w:hAnsi="Arial" w:cs="Arial"/>
              </w:rPr>
            </w:pPr>
          </w:p>
          <w:p w14:paraId="41D9DFA2" w14:textId="4A5220C3" w:rsidR="0065548E" w:rsidRDefault="0065548E" w:rsidP="0065548E">
            <w:pPr>
              <w:pStyle w:val="ListParagraph"/>
              <w:numPr>
                <w:ilvl w:val="0"/>
                <w:numId w:val="26"/>
              </w:numPr>
              <w:rPr>
                <w:rFonts w:ascii="Arial" w:hAnsi="Arial" w:cs="Arial"/>
              </w:rPr>
            </w:pPr>
            <w:r w:rsidRPr="0065548E">
              <w:rPr>
                <w:rFonts w:ascii="Arial" w:hAnsi="Arial" w:cs="Arial"/>
              </w:rPr>
              <w:t>To identify how the numbers of teenagers diagnosed with prediabetes and T2D is rising (Spurr et al., 2020), and what the contributing factors and influences which may be impacting on this.</w:t>
            </w:r>
          </w:p>
          <w:p w14:paraId="5E651707" w14:textId="4A91A42F" w:rsidR="0065548E" w:rsidRDefault="0065548E" w:rsidP="0065548E">
            <w:pPr>
              <w:pStyle w:val="ListParagraph"/>
              <w:numPr>
                <w:ilvl w:val="0"/>
                <w:numId w:val="26"/>
              </w:numPr>
              <w:rPr>
                <w:rFonts w:ascii="Arial" w:hAnsi="Arial" w:cs="Arial"/>
              </w:rPr>
            </w:pPr>
            <w:r w:rsidRPr="0065548E">
              <w:rPr>
                <w:rFonts w:ascii="Arial" w:hAnsi="Arial" w:cs="Arial"/>
              </w:rPr>
              <w:t>Look at how the lifestyle of teenagers differs from that previously (Rao and Jensen, 2020), so that what was previously sometimes referred to as mature onset diabetes is no long influenced by age.</w:t>
            </w:r>
          </w:p>
          <w:p w14:paraId="68975C9B" w14:textId="6B96230A" w:rsidR="00F96C3F" w:rsidRDefault="0065548E" w:rsidP="0065548E">
            <w:pPr>
              <w:pStyle w:val="ListParagraph"/>
              <w:numPr>
                <w:ilvl w:val="0"/>
                <w:numId w:val="26"/>
              </w:numPr>
              <w:rPr>
                <w:rFonts w:ascii="Arial" w:hAnsi="Arial" w:cs="Arial"/>
              </w:rPr>
            </w:pPr>
            <w:r w:rsidRPr="0065548E">
              <w:rPr>
                <w:rFonts w:ascii="Arial" w:hAnsi="Arial" w:cs="Arial"/>
              </w:rPr>
              <w:t>A further aim is to identify if the numbers of teenagers diagnosed can be slowed down by encouraging young people and their care givers, family, health care providers and carers, by encouraging different activities, lifestyle choices and dietary intake, thus eliciting different results (Lin et al., 2021).</w:t>
            </w:r>
          </w:p>
          <w:p w14:paraId="033A4A8C" w14:textId="5D3A7F30" w:rsidR="00D91B45" w:rsidRPr="0065548E" w:rsidRDefault="00D91B45" w:rsidP="0065548E">
            <w:pPr>
              <w:pStyle w:val="ListParagraph"/>
              <w:numPr>
                <w:ilvl w:val="0"/>
                <w:numId w:val="26"/>
              </w:numPr>
              <w:rPr>
                <w:rFonts w:ascii="Arial" w:hAnsi="Arial" w:cs="Arial"/>
              </w:rPr>
            </w:pPr>
            <w:r>
              <w:rPr>
                <w:rFonts w:ascii="Arial" w:hAnsi="Arial" w:cs="Arial"/>
              </w:rPr>
              <w:t>To identify if there are there are other contributing factors which are contributing towards the increase, as already identified in adults who develop type 2 diabetes, such as ethnicity and genetics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88D3FA1" w14:textId="26137706" w:rsidR="00D91B45" w:rsidRDefault="00D91B45" w:rsidP="00D91B45">
            <w:pPr>
              <w:pStyle w:val="ListParagraph"/>
              <w:numPr>
                <w:ilvl w:val="0"/>
                <w:numId w:val="28"/>
              </w:numPr>
              <w:rPr>
                <w:rFonts w:ascii="Arial" w:hAnsi="Arial" w:cs="Arial"/>
              </w:rPr>
            </w:pPr>
            <w:r w:rsidRPr="00D91B45">
              <w:rPr>
                <w:rFonts w:ascii="Arial" w:hAnsi="Arial" w:cs="Arial"/>
              </w:rPr>
              <w:t>To evaluate the influence of dietary and lifestyle choices on the development of type 2 diabetes in teenagers (Toi et al., 2020).</w:t>
            </w:r>
          </w:p>
          <w:p w14:paraId="0DCF00EC" w14:textId="3E26105B" w:rsidR="00D91B45" w:rsidRDefault="00D91B45" w:rsidP="00D91B45">
            <w:pPr>
              <w:pStyle w:val="ListParagraph"/>
              <w:numPr>
                <w:ilvl w:val="0"/>
                <w:numId w:val="28"/>
              </w:numPr>
              <w:rPr>
                <w:rFonts w:ascii="Arial" w:hAnsi="Arial" w:cs="Arial"/>
              </w:rPr>
            </w:pPr>
            <w:r w:rsidRPr="00D91B45">
              <w:rPr>
                <w:rFonts w:ascii="Arial" w:hAnsi="Arial" w:cs="Arial"/>
              </w:rPr>
              <w:t>To detect and evaluate the main risk variables linked to teenage T2D development (Garonzi, Maguolo and Maffeis, 2022).</w:t>
            </w:r>
          </w:p>
          <w:p w14:paraId="596313C2" w14:textId="0D8DB687" w:rsidR="00D91B45" w:rsidRDefault="00D91B45" w:rsidP="00D91B45">
            <w:pPr>
              <w:pStyle w:val="ListParagraph"/>
              <w:numPr>
                <w:ilvl w:val="0"/>
                <w:numId w:val="28"/>
              </w:numPr>
              <w:rPr>
                <w:rFonts w:ascii="Arial" w:hAnsi="Arial" w:cs="Arial"/>
              </w:rPr>
            </w:pPr>
            <w:r w:rsidRPr="00D91B45">
              <w:rPr>
                <w:rFonts w:ascii="Arial" w:hAnsi="Arial" w:cs="Arial"/>
              </w:rPr>
              <w:t>To assess the impact of inherited traits and ethnicity on the development of type 2 diabetes in adolescents .</w:t>
            </w:r>
          </w:p>
          <w:p w14:paraId="48F9D1E4" w14:textId="0A41F715" w:rsidR="00D91B45" w:rsidRDefault="00D91B45" w:rsidP="00D91B45">
            <w:pPr>
              <w:pStyle w:val="ListParagraph"/>
              <w:numPr>
                <w:ilvl w:val="0"/>
                <w:numId w:val="28"/>
              </w:numPr>
              <w:rPr>
                <w:rFonts w:ascii="Arial" w:hAnsi="Arial" w:cs="Arial"/>
              </w:rPr>
            </w:pPr>
            <w:r w:rsidRPr="00D91B45">
              <w:rPr>
                <w:rFonts w:ascii="Arial" w:hAnsi="Arial" w:cs="Arial"/>
              </w:rPr>
              <w:t>Socioeconomic factors such as health disparities, location, and education around health and the prevention of LTHC.</w:t>
            </w:r>
          </w:p>
          <w:p w14:paraId="437171CA" w14:textId="5D9EAF36" w:rsidR="00F96C3F" w:rsidRPr="00D91B45" w:rsidRDefault="00D91B45" w:rsidP="00D91B45">
            <w:pPr>
              <w:pStyle w:val="ListParagraph"/>
              <w:numPr>
                <w:ilvl w:val="0"/>
                <w:numId w:val="28"/>
              </w:numPr>
              <w:rPr>
                <w:rFonts w:ascii="Arial" w:hAnsi="Arial" w:cs="Arial"/>
              </w:rPr>
            </w:pPr>
            <w:r w:rsidRPr="00D91B45">
              <w:rPr>
                <w:rFonts w:ascii="Arial" w:hAnsi="Arial" w:cs="Arial"/>
              </w:rPr>
              <w:t>To develop relevant healthcare strategies that encompass the aims and .objectives and lead to the development of local, and national government as well as globally policies, advice and guidelines which lead to the prevention of T2D, reaching pandemic proportions in the future.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188B4833" w14:textId="77777777" w:rsidR="00F82526" w:rsidRPr="00F82526" w:rsidRDefault="00F82526" w:rsidP="00F82526">
            <w:pPr>
              <w:rPr>
                <w:rFonts w:ascii="Arial" w:hAnsi="Arial" w:cs="Arial"/>
                <w:sz w:val="22"/>
                <w:szCs w:val="22"/>
              </w:rPr>
            </w:pPr>
            <w:r w:rsidRPr="00F82526">
              <w:rPr>
                <w:rFonts w:ascii="Arial" w:hAnsi="Arial" w:cs="Arial"/>
                <w:sz w:val="22"/>
                <w:szCs w:val="22"/>
              </w:rPr>
              <w:t xml:space="preserve">This research design will be conducted using the quantitative methodology (Santos, </w:t>
            </w:r>
            <w:proofErr w:type="spellStart"/>
            <w:r w:rsidRPr="00F82526">
              <w:rPr>
                <w:rFonts w:ascii="Arial" w:hAnsi="Arial" w:cs="Arial"/>
                <w:sz w:val="22"/>
                <w:szCs w:val="22"/>
              </w:rPr>
              <w:t>Tureta</w:t>
            </w:r>
            <w:proofErr w:type="spellEnd"/>
            <w:r w:rsidRPr="00F82526">
              <w:rPr>
                <w:rFonts w:ascii="Arial" w:hAnsi="Arial" w:cs="Arial"/>
                <w:sz w:val="22"/>
                <w:szCs w:val="22"/>
              </w:rPr>
              <w:t xml:space="preserve"> and Felix, 2021),  and will utilise secondary data (Jain, 2021), provided by research which has already been peer reviewed and can be considered to  be accurate, and relevant. This is a systematic review (Booth et al., 2021).</w:t>
            </w:r>
          </w:p>
          <w:p w14:paraId="325D8A58" w14:textId="77777777" w:rsidR="00F82526" w:rsidRPr="00F82526" w:rsidRDefault="00F82526" w:rsidP="00F82526">
            <w:pPr>
              <w:rPr>
                <w:rFonts w:ascii="Arial" w:hAnsi="Arial" w:cs="Arial"/>
                <w:sz w:val="22"/>
                <w:szCs w:val="22"/>
              </w:rPr>
            </w:pPr>
            <w:r w:rsidRPr="00F82526">
              <w:rPr>
                <w:rFonts w:ascii="Arial" w:hAnsi="Arial" w:cs="Arial"/>
                <w:sz w:val="22"/>
                <w:szCs w:val="22"/>
              </w:rPr>
              <w:t>The research will entail studying and comparing what has already been  evidenced, which will enable gaps  to be identified, and themes to emerge. This is a result of meta-analysis, which is a result of combining the results of previous researches.</w:t>
            </w:r>
          </w:p>
          <w:p w14:paraId="49912630" w14:textId="77777777" w:rsidR="00F82526" w:rsidRPr="00F82526" w:rsidRDefault="00F82526" w:rsidP="00F82526">
            <w:pPr>
              <w:rPr>
                <w:rFonts w:ascii="Arial" w:hAnsi="Arial" w:cs="Arial"/>
                <w:sz w:val="22"/>
                <w:szCs w:val="22"/>
              </w:rPr>
            </w:pPr>
            <w:r w:rsidRPr="00F82526">
              <w:rPr>
                <w:rFonts w:ascii="Arial" w:hAnsi="Arial" w:cs="Arial"/>
                <w:sz w:val="22"/>
                <w:szCs w:val="22"/>
              </w:rPr>
              <w:t>This approach will enable a thorough investigation of the variables influencing the onset of Type 2 Diabetes (T2D) in teenagers.</w:t>
            </w:r>
          </w:p>
          <w:p w14:paraId="70BA4304" w14:textId="77777777" w:rsidR="00F96C3F" w:rsidRDefault="00F82526" w:rsidP="00F82526">
            <w:pPr>
              <w:rPr>
                <w:rFonts w:ascii="Arial" w:hAnsi="Arial" w:cs="Arial"/>
                <w:sz w:val="22"/>
                <w:szCs w:val="22"/>
              </w:rPr>
            </w:pPr>
            <w:r w:rsidRPr="00F82526">
              <w:rPr>
                <w:rFonts w:ascii="Arial" w:hAnsi="Arial" w:cs="Arial"/>
                <w:sz w:val="22"/>
                <w:szCs w:val="22"/>
              </w:rPr>
              <w:t>Quantitative methodology involves the use of numerical data, statistical data and objective measurement, which enables the researcher to measure variables and identify relationships and patterns amongst them.</w:t>
            </w:r>
          </w:p>
          <w:p w14:paraId="580C33AD" w14:textId="7FB928E6" w:rsidR="00F82526" w:rsidRPr="00A42F82" w:rsidRDefault="00F82526" w:rsidP="00F82526">
            <w:pPr>
              <w:rPr>
                <w:rFonts w:ascii="Arial" w:hAnsi="Arial" w:cs="Arial"/>
                <w:sz w:val="22"/>
                <w:szCs w:val="22"/>
              </w:rPr>
            </w:pPr>
            <w:r w:rsidRPr="00F82526">
              <w:rPr>
                <w:rFonts w:ascii="Arial" w:hAnsi="Arial" w:cs="Arial"/>
                <w:sz w:val="22"/>
                <w:szCs w:val="22"/>
              </w:rPr>
              <w:t>The search strategy involves identifying quantitative studies, which display the similarities and themes which display the emergence of factors leading to the development of T2D in teenagers.</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D0EF7A8" w:rsidR="00B23BFF" w:rsidRPr="00A42F82" w:rsidRDefault="00F82526" w:rsidP="00A91894">
            <w:pPr>
              <w:rPr>
                <w:rFonts w:ascii="Arial" w:hAnsi="Arial" w:cs="Arial"/>
                <w:sz w:val="22"/>
                <w:szCs w:val="22"/>
              </w:rPr>
            </w:pPr>
            <w:r>
              <w:rPr>
                <w:rFonts w:ascii="Arial" w:hAnsi="Arial" w:cs="Arial"/>
                <w:sz w:val="22"/>
                <w:szCs w:val="22"/>
              </w:rPr>
              <w:t>Birmingham</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6328BEF" w:rsidR="00B23BFF" w:rsidRPr="00A42F82" w:rsidRDefault="00F82526"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7447D1A" w:rsidR="004942B0" w:rsidRPr="00A42F82" w:rsidRDefault="00F825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969D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0D46467B" w:rsidR="004A7DD5" w:rsidRPr="00A42F82" w:rsidRDefault="00F82526"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A357E7F"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EA71EE4"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7F92D45"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076B100"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C8B4CBE"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3162094"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1531884"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979EB90" w:rsidR="00C11423"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CD32F50" w:rsidR="00C11423"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E2603FB"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1CEDCDB"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6C15A33" w:rsidR="00D107AC"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B60876A"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12452D1"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F07A1EC"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1B6BC8E"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FE4DB48"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BE120CC"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1B4780B"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840B1AC"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CAD651E"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12543EA"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1C72870"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219403C" w:rsidR="00770C66"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17F5C88" w:rsidR="00ED0C5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0B2C126"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0D9E779"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2AECD83"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6507447"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3C30FC8"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5265A9A"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F8161EB"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60400866"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17C668B" w:rsidR="00025F69"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45A4771" w:rsidR="00382031"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43DD139" w:rsidR="00382031"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68BCF530" w:rsidR="00382031"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7DC3C4F" w:rsidR="00382031" w:rsidRPr="00A42F82" w:rsidRDefault="00F82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969D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5569E7C" w:rsidR="008C1A38" w:rsidRPr="00A42F82" w:rsidRDefault="00B969D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F66924E" w:rsidR="00003E64" w:rsidRPr="00A42F82" w:rsidRDefault="00B969D6"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5FACA0DE"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 xml:space="preserve">(this box should </w:t>
            </w:r>
            <w:proofErr w:type="spellStart"/>
            <w:r w:rsidRPr="00A42F82">
              <w:rPr>
                <w:rFonts w:ascii="Arial" w:hAnsi="Arial" w:cs="Arial"/>
                <w:i/>
                <w:color w:val="808080"/>
                <w:sz w:val="18"/>
                <w:szCs w:val="18"/>
              </w:rPr>
              <w:t>expa</w:t>
            </w:r>
            <w:r w:rsidR="00B969D6">
              <w:rPr>
                <w:rFonts w:ascii="Arial" w:hAnsi="Arial" w:cs="Arial"/>
                <w:i/>
                <w:color w:val="808080"/>
                <w:sz w:val="18"/>
                <w:szCs w:val="18"/>
              </w:rPr>
              <w:t>N</w:t>
            </w:r>
            <w:proofErr w:type="spellEnd"/>
            <w:r w:rsidR="00B969D6">
              <w:rPr>
                <w:rFonts w:ascii="Arial" w:hAnsi="Arial" w:cs="Arial"/>
                <w:i/>
                <w:color w:val="808080"/>
                <w:sz w:val="18"/>
                <w:szCs w:val="18"/>
              </w:rPr>
              <w:t>/A</w:t>
            </w:r>
            <w:r w:rsidRPr="00A42F82">
              <w:rPr>
                <w:rFonts w:ascii="Arial" w:hAnsi="Arial" w:cs="Arial"/>
                <w:i/>
                <w:color w:val="808080"/>
                <w:sz w:val="18"/>
                <w:szCs w:val="18"/>
              </w:rPr>
              <w:t>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5EE1F472" w:rsidR="00003E64" w:rsidRPr="00A42F82" w:rsidRDefault="00B969D6"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FB47708" w:rsidR="00003E64" w:rsidRPr="00A42F82" w:rsidRDefault="00B969D6"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4771B81" w:rsidR="0094056C" w:rsidRPr="00A42F82" w:rsidRDefault="00B969D6"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9C376A2" w:rsidR="00003E64" w:rsidRPr="00A42F82" w:rsidRDefault="00B969D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969D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969D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8BB0EDB" w:rsidR="006930C2" w:rsidRPr="00A42F82" w:rsidRDefault="00B969D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F8C5298" w:rsidR="006930C2" w:rsidRPr="00A42F82" w:rsidRDefault="00B969D6"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18B335E" w:rsidR="006930C2" w:rsidRPr="00A42F82" w:rsidRDefault="00B969D6"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5DE1080" w:rsidR="006930C2" w:rsidRPr="00A42F82" w:rsidRDefault="00B969D6"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C11729" w:rsidR="006930C2" w:rsidRPr="00A42F82" w:rsidRDefault="00B969D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2F8535C" w:rsidR="006930C2" w:rsidRPr="00A42F82" w:rsidRDefault="00B969D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20A9D7E"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4FDE40C"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3FBF09B"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CFF0897"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D245CAD"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81C0FF9"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0BFEB49"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2992EBA" w:rsidR="004D0161" w:rsidRPr="00A42F82" w:rsidRDefault="00B969D6" w:rsidP="00A91894">
            <w:pPr>
              <w:rPr>
                <w:rFonts w:ascii="Arial" w:hAnsi="Arial" w:cs="Arial"/>
                <w:sz w:val="22"/>
                <w:szCs w:val="22"/>
              </w:rPr>
            </w:pPr>
            <w:r>
              <w:rPr>
                <w:rFonts w:ascii="Arial" w:hAnsi="Arial" w:cs="Arial"/>
                <w:sz w:val="22"/>
                <w:szCs w:val="22"/>
              </w:rPr>
              <w:t>ENCRYPTION AND NO ACCESS BY OTHERS OF EQUIPMENT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4FEC6AB"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7092748"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806C684"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0F323E3"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114F1DD"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CEA232D"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5182D95"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E0F106A" w:rsidR="004D0161" w:rsidRPr="00A42F82" w:rsidRDefault="00B9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758F6E5" w:rsidR="004D0161" w:rsidRPr="00A42F82" w:rsidRDefault="00B969D6" w:rsidP="00A91894">
            <w:pPr>
              <w:autoSpaceDE w:val="0"/>
              <w:autoSpaceDN w:val="0"/>
              <w:adjustRightInd w:val="0"/>
              <w:rPr>
                <w:rFonts w:ascii="Arial" w:hAnsi="Arial" w:cs="Arial"/>
                <w:sz w:val="22"/>
                <w:szCs w:val="22"/>
              </w:rPr>
            </w:pPr>
            <w:r>
              <w:rPr>
                <w:rFonts w:ascii="Arial" w:hAnsi="Arial" w:cs="Arial"/>
                <w:sz w:val="22"/>
                <w:szCs w:val="22"/>
              </w:rPr>
              <w:t xml:space="preserve">Zeno Leung…research </w:t>
            </w:r>
            <w:proofErr w:type="spellStart"/>
            <w:r>
              <w:rPr>
                <w:rFonts w:ascii="Arial" w:hAnsi="Arial" w:cs="Arial"/>
                <w:sz w:val="22"/>
                <w:szCs w:val="22"/>
              </w:rPr>
              <w:t>superviser</w:t>
            </w:r>
            <w:proofErr w:type="spellEnd"/>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4BBFD72B" w:rsidR="004D0161" w:rsidRPr="00A42F82" w:rsidRDefault="00B969D6" w:rsidP="00A91894">
            <w:pPr>
              <w:autoSpaceDE w:val="0"/>
              <w:autoSpaceDN w:val="0"/>
              <w:adjustRightInd w:val="0"/>
              <w:rPr>
                <w:rFonts w:ascii="Arial" w:hAnsi="Arial" w:cs="Arial"/>
                <w:sz w:val="22"/>
                <w:szCs w:val="22"/>
              </w:rPr>
            </w:pPr>
            <w:r>
              <w:rPr>
                <w:rFonts w:ascii="Arial" w:hAnsi="Arial" w:cs="Arial"/>
                <w:sz w:val="22"/>
                <w:szCs w:val="22"/>
              </w:rPr>
              <w:t xml:space="preserve">Tinamarie </w:t>
            </w:r>
            <w:proofErr w:type="spellStart"/>
            <w:r>
              <w:rPr>
                <w:rFonts w:ascii="Arial" w:hAnsi="Arial" w:cs="Arial"/>
                <w:sz w:val="22"/>
                <w:szCs w:val="22"/>
              </w:rPr>
              <w:t>pena</w:t>
            </w:r>
            <w:proofErr w:type="spellEnd"/>
            <w:r>
              <w:rPr>
                <w:rFonts w:ascii="Arial" w:hAnsi="Arial" w:cs="Arial"/>
                <w:sz w:val="22"/>
                <w:szCs w:val="22"/>
              </w:rPr>
              <w:t>-smith</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4F38D08" w:rsidR="00240C32" w:rsidRPr="00A42F82" w:rsidRDefault="00B969D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2920F0E" w:rsidR="00240C32" w:rsidRPr="00A42F82" w:rsidRDefault="00B969D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6276382" w:rsidR="004D0161" w:rsidRPr="00A42F82" w:rsidRDefault="00B969D6" w:rsidP="00A91894">
            <w:pPr>
              <w:spacing w:before="100" w:beforeAutospacing="1" w:after="100" w:afterAutospacing="1"/>
              <w:rPr>
                <w:rFonts w:ascii="Arial" w:hAnsi="Arial" w:cs="Arial"/>
                <w:sz w:val="22"/>
                <w:szCs w:val="22"/>
              </w:rPr>
            </w:pPr>
            <w:r>
              <w:rPr>
                <w:rFonts w:ascii="Arial" w:hAnsi="Arial" w:cs="Arial"/>
                <w:sz w:val="22"/>
                <w:szCs w:val="22"/>
              </w:rPr>
              <w:t>Tinamarie Pena-Smith</w:t>
            </w:r>
          </w:p>
        </w:tc>
        <w:tc>
          <w:tcPr>
            <w:tcW w:w="2139" w:type="dxa"/>
            <w:vAlign w:val="center"/>
          </w:tcPr>
          <w:p w14:paraId="7C2D2CC9" w14:textId="69F50A9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969D6">
              <w:rPr>
                <w:rFonts w:ascii="Arial" w:hAnsi="Arial" w:cs="Arial"/>
                <w:b/>
                <w:bCs/>
                <w:sz w:val="22"/>
                <w:szCs w:val="22"/>
              </w:rPr>
              <w:t>06/08/2024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4CB284" w:rsidR="00AA7E42" w:rsidRPr="00A42F82" w:rsidRDefault="00B969D6" w:rsidP="00A91894">
            <w:pPr>
              <w:pStyle w:val="ListParagraph"/>
              <w:ind w:left="0"/>
              <w:rPr>
                <w:rFonts w:ascii="Arial" w:hAnsi="Arial" w:cs="Arial"/>
              </w:rPr>
            </w:pPr>
            <w:r>
              <w:rPr>
                <w:rFonts w:ascii="Arial" w:hAnsi="Arial" w:cs="Arial"/>
              </w:rPr>
              <w:t>Zeno Leung</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E9E649F" w:rsidR="00CC2661" w:rsidRPr="00A42F82" w:rsidRDefault="00B969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09CF3F3" w:rsidR="00CC2661" w:rsidRPr="00A42F82" w:rsidRDefault="00B969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340B49D" w:rsidR="00CC2661" w:rsidRPr="00A42F82" w:rsidRDefault="00B969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D5C2B47" w:rsidR="00CC2661" w:rsidRPr="00A42F82" w:rsidRDefault="00B969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E91966D" w:rsidR="00743859" w:rsidRPr="00A42F82" w:rsidRDefault="00B969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15980DD" w:rsidR="00743859" w:rsidRPr="00A42F82" w:rsidRDefault="00B969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C9ADD7" w14:textId="77777777" w:rsidR="002505E1" w:rsidRDefault="002505E1" w:rsidP="00390251">
      <w:r>
        <w:separator/>
      </w:r>
    </w:p>
    <w:p w14:paraId="091EEDDF" w14:textId="77777777" w:rsidR="002505E1" w:rsidRDefault="002505E1"/>
  </w:endnote>
  <w:endnote w:type="continuationSeparator" w:id="0">
    <w:p w14:paraId="23D7D09F" w14:textId="77777777" w:rsidR="002505E1" w:rsidRDefault="002505E1" w:rsidP="00390251">
      <w:r>
        <w:continuationSeparator/>
      </w:r>
    </w:p>
    <w:p w14:paraId="296B1A3D" w14:textId="77777777" w:rsidR="002505E1" w:rsidRDefault="002505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80877E" w14:textId="77777777" w:rsidR="002505E1" w:rsidRDefault="002505E1" w:rsidP="00390251">
      <w:r>
        <w:separator/>
      </w:r>
    </w:p>
    <w:p w14:paraId="6FDAC33D" w14:textId="77777777" w:rsidR="002505E1" w:rsidRDefault="002505E1"/>
  </w:footnote>
  <w:footnote w:type="continuationSeparator" w:id="0">
    <w:p w14:paraId="0AFECA24" w14:textId="77777777" w:rsidR="002505E1" w:rsidRDefault="002505E1" w:rsidP="00390251">
      <w:r>
        <w:continuationSeparator/>
      </w:r>
    </w:p>
    <w:p w14:paraId="6B9D8B69" w14:textId="77777777" w:rsidR="002505E1" w:rsidRDefault="002505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577219"/>
    <w:multiLevelType w:val="hybridMultilevel"/>
    <w:tmpl w:val="FD0EB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7B784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3126382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3F7"/>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97CA5"/>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48E"/>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9D6"/>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B45"/>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3B0"/>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526"/>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4257</Words>
  <Characters>24077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Peter Bould</cp:lastModifiedBy>
  <cp:revision>2</cp:revision>
  <cp:lastPrinted>2016-10-24T12:21:00Z</cp:lastPrinted>
  <dcterms:created xsi:type="dcterms:W3CDTF">2024-08-07T11:38:00Z</dcterms:created>
  <dcterms:modified xsi:type="dcterms:W3CDTF">2024-08-07T11:38:00Z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