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kern w:val="2"/>
          <w:sz w:val="24"/>
          <w:szCs w:val="24"/>
          <w:lang w:val="en-GB" w:eastAsia="zh-CN"/>
          <w14:ligatures w14:val="standardContextual"/>
        </w:rPr>
        <w:id w:val="-223150713"/>
        <w:docPartObj>
          <w:docPartGallery w:val="Cover Pages"/>
          <w:docPartUnique/>
        </w:docPartObj>
      </w:sdtPr>
      <w:sdtEndPr>
        <w:rPr>
          <w:b/>
          <w:bCs/>
          <w:color w:val="auto"/>
        </w:rPr>
      </w:sdtEndPr>
      <w:sdtContent>
        <w:p w14:paraId="46793319" w14:textId="6AEBF66D" w:rsidR="001F2EBB" w:rsidRDefault="001F2EBB">
          <w:pPr>
            <w:pStyle w:val="NoSpacing"/>
            <w:spacing w:before="1540" w:after="240"/>
            <w:jc w:val="center"/>
            <w:rPr>
              <w:color w:val="156082" w:themeColor="accent1"/>
            </w:rPr>
          </w:pPr>
          <w:r>
            <w:rPr>
              <w:noProof/>
              <w:color w:val="156082" w:themeColor="accent1"/>
            </w:rPr>
            <w:drawing>
              <wp:inline distT="0" distB="0" distL="0" distR="0" wp14:anchorId="2D120422" wp14:editId="2735569B">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962800C102214CB89C6BD23993C1D8C9"/>
            </w:placeholder>
            <w:dataBinding w:prefixMappings="xmlns:ns0='http://purl.org/dc/elements/1.1/' xmlns:ns1='http://schemas.openxmlformats.org/package/2006/metadata/core-properties' " w:xpath="/ns1:coreProperties[1]/ns0:title[1]" w:storeItemID="{6C3C8BC8-F283-45AE-878A-BAB7291924A1}"/>
            <w:text/>
          </w:sdtPr>
          <w:sdtEndPr/>
          <w:sdtContent>
            <w:p w14:paraId="32AA2338" w14:textId="5FD66090" w:rsidR="001F2EBB" w:rsidRDefault="00BC1BB7">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BC1BB7">
                <w:rPr>
                  <w:rFonts w:asciiTheme="majorHAnsi" w:eastAsiaTheme="majorEastAsia" w:hAnsiTheme="majorHAnsi" w:cstheme="majorBidi"/>
                  <w:caps/>
                  <w:color w:val="156082" w:themeColor="accent1"/>
                  <w:sz w:val="72"/>
                  <w:szCs w:val="72"/>
                </w:rPr>
                <w:t>Action Research Project - Adapting Pedagogical Approaches for Industry Professionals in Higher Education</w:t>
              </w:r>
            </w:p>
          </w:sdtContent>
        </w:sdt>
        <w:sdt>
          <w:sdtPr>
            <w:rPr>
              <w:color w:val="156082" w:themeColor="accent1"/>
              <w:sz w:val="28"/>
              <w:szCs w:val="28"/>
            </w:rPr>
            <w:alias w:val="Subtitle"/>
            <w:tag w:val=""/>
            <w:id w:val="328029620"/>
            <w:placeholder>
              <w:docPart w:val="65DEC37F1AD247D5AD6702AFFB9D4BE1"/>
            </w:placeholder>
            <w:dataBinding w:prefixMappings="xmlns:ns0='http://purl.org/dc/elements/1.1/' xmlns:ns1='http://schemas.openxmlformats.org/package/2006/metadata/core-properties' " w:xpath="/ns1:coreProperties[1]/ns0:subject[1]" w:storeItemID="{6C3C8BC8-F283-45AE-878A-BAB7291924A1}"/>
            <w:text/>
          </w:sdtPr>
          <w:sdtEndPr/>
          <w:sdtContent>
            <w:p w14:paraId="4415ECB7" w14:textId="47109999" w:rsidR="001F2EBB" w:rsidRDefault="00A26FFA">
              <w:pPr>
                <w:pStyle w:val="NoSpacing"/>
                <w:jc w:val="center"/>
                <w:rPr>
                  <w:color w:val="156082" w:themeColor="accent1"/>
                  <w:sz w:val="28"/>
                  <w:szCs w:val="28"/>
                </w:rPr>
              </w:pPr>
              <w:r>
                <w:rPr>
                  <w:color w:val="156082" w:themeColor="accent1"/>
                  <w:sz w:val="28"/>
                  <w:szCs w:val="28"/>
                </w:rPr>
                <w:t>Daniel Payne - 1803525</w:t>
              </w:r>
            </w:p>
          </w:sdtContent>
        </w:sdt>
        <w:p w14:paraId="18270C5D" w14:textId="77777777" w:rsidR="001F2EBB" w:rsidRDefault="001F2EBB">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4448525F" wp14:editId="258CED1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3-28T00:00:00Z">
                                    <w:dateFormat w:val="MMMM d, yyyy"/>
                                    <w:lid w:val="en-US"/>
                                    <w:storeMappedDataAs w:val="dateTime"/>
                                    <w:calendar w:val="gregorian"/>
                                  </w:date>
                                </w:sdtPr>
                                <w:sdtEndPr/>
                                <w:sdtContent>
                                  <w:p w14:paraId="1B79F957" w14:textId="589565A1" w:rsidR="001F2EBB" w:rsidRDefault="00BC1BB7">
                                    <w:pPr>
                                      <w:pStyle w:val="NoSpacing"/>
                                      <w:spacing w:after="40"/>
                                      <w:jc w:val="center"/>
                                      <w:rPr>
                                        <w:caps/>
                                        <w:color w:val="156082" w:themeColor="accent1"/>
                                        <w:sz w:val="28"/>
                                        <w:szCs w:val="28"/>
                                      </w:rPr>
                                    </w:pPr>
                                    <w:r>
                                      <w:rPr>
                                        <w:caps/>
                                        <w:color w:val="156082" w:themeColor="accent1"/>
                                        <w:sz w:val="28"/>
                                        <w:szCs w:val="28"/>
                                      </w:rPr>
                                      <w:t>March 28, 2025</w:t>
                                    </w:r>
                                  </w:p>
                                </w:sdtContent>
                              </w:sdt>
                              <w:p w14:paraId="315F39E0" w14:textId="15AEC236" w:rsidR="001F2EBB" w:rsidRDefault="0091014C">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F2EBB">
                                      <w:rPr>
                                        <w:caps/>
                                        <w:color w:val="156082" w:themeColor="accent1"/>
                                      </w:rPr>
                                      <w:t>University of Wales Trinity Saint David</w:t>
                                    </w:r>
                                  </w:sdtContent>
                                </w:sdt>
                              </w:p>
                              <w:p w14:paraId="2D3C13DA" w14:textId="2B6445F4" w:rsidR="001F2EBB" w:rsidRDefault="0091014C">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C1BB7">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448525F"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3-28T00:00:00Z">
                              <w:dateFormat w:val="MMMM d, yyyy"/>
                              <w:lid w:val="en-US"/>
                              <w:storeMappedDataAs w:val="dateTime"/>
                              <w:calendar w:val="gregorian"/>
                            </w:date>
                          </w:sdtPr>
                          <w:sdtEndPr/>
                          <w:sdtContent>
                            <w:p w14:paraId="1B79F957" w14:textId="589565A1" w:rsidR="001F2EBB" w:rsidRDefault="00BC1BB7">
                              <w:pPr>
                                <w:pStyle w:val="NoSpacing"/>
                                <w:spacing w:after="40"/>
                                <w:jc w:val="center"/>
                                <w:rPr>
                                  <w:caps/>
                                  <w:color w:val="156082" w:themeColor="accent1"/>
                                  <w:sz w:val="28"/>
                                  <w:szCs w:val="28"/>
                                </w:rPr>
                              </w:pPr>
                              <w:r>
                                <w:rPr>
                                  <w:caps/>
                                  <w:color w:val="156082" w:themeColor="accent1"/>
                                  <w:sz w:val="28"/>
                                  <w:szCs w:val="28"/>
                                </w:rPr>
                                <w:t>March 28, 2025</w:t>
                              </w:r>
                            </w:p>
                          </w:sdtContent>
                        </w:sdt>
                        <w:p w14:paraId="315F39E0" w14:textId="15AEC236" w:rsidR="001F2EBB" w:rsidRDefault="0091014C">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F2EBB">
                                <w:rPr>
                                  <w:caps/>
                                  <w:color w:val="156082" w:themeColor="accent1"/>
                                </w:rPr>
                                <w:t>University of Wales Trinity Saint David</w:t>
                              </w:r>
                            </w:sdtContent>
                          </w:sdt>
                        </w:p>
                        <w:p w14:paraId="2D3C13DA" w14:textId="2B6445F4" w:rsidR="001F2EBB" w:rsidRDefault="0091014C">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C1BB7">
                                <w:rPr>
                                  <w:color w:val="156082" w:themeColor="accent1"/>
                                </w:rPr>
                                <w:t xml:space="preserve">     </w:t>
                              </w:r>
                            </w:sdtContent>
                          </w:sdt>
                        </w:p>
                      </w:txbxContent>
                    </v:textbox>
                    <w10:wrap anchorx="margin" anchory="page"/>
                  </v:shape>
                </w:pict>
              </mc:Fallback>
            </mc:AlternateContent>
          </w:r>
          <w:r>
            <w:rPr>
              <w:noProof/>
              <w:color w:val="156082" w:themeColor="accent1"/>
            </w:rPr>
            <w:drawing>
              <wp:inline distT="0" distB="0" distL="0" distR="0" wp14:anchorId="2A705862" wp14:editId="32FB76F4">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FE030FF" w14:textId="77777777" w:rsidR="00724987" w:rsidRDefault="001F2EBB" w:rsidP="00BC1BB7">
          <w:pPr>
            <w:rPr>
              <w:b/>
              <w:bCs/>
            </w:rPr>
          </w:pPr>
          <w:r>
            <w:rPr>
              <w:b/>
              <w:bCs/>
            </w:rPr>
            <w:br w:type="page"/>
          </w:r>
        </w:p>
        <w:p w14:paraId="1522A338" w14:textId="77777777" w:rsidR="00E07769" w:rsidRPr="0091014C" w:rsidRDefault="00D03523" w:rsidP="00D03523">
          <w:r w:rsidRPr="0091014C">
            <w:lastRenderedPageBreak/>
            <w:t xml:space="preserve">I acknowledge the use of ChatGPT (https://www.chatgpt.com/) on </w:t>
          </w:r>
          <w:r w:rsidR="00E07769" w:rsidRPr="0091014C">
            <w:t>10</w:t>
          </w:r>
          <w:r w:rsidRPr="0091014C">
            <w:t xml:space="preserve"> </w:t>
          </w:r>
          <w:r w:rsidR="00E07769" w:rsidRPr="0091014C">
            <w:t>March</w:t>
          </w:r>
          <w:r w:rsidRPr="0091014C">
            <w:t xml:space="preserve"> 2024 to check my work using the prompt(s): </w:t>
          </w:r>
        </w:p>
        <w:p w14:paraId="04729B27" w14:textId="3BB6C7EA" w:rsidR="00E07769" w:rsidRPr="0091014C" w:rsidRDefault="00D03523" w:rsidP="00E07769">
          <w:pPr>
            <w:pStyle w:val="ListParagraph"/>
            <w:numPr>
              <w:ilvl w:val="0"/>
              <w:numId w:val="5"/>
            </w:numPr>
          </w:pPr>
          <w:r w:rsidRPr="0091014C">
            <w:t xml:space="preserve">Please check the following text for readability, grammar and syntax. </w:t>
          </w:r>
        </w:p>
        <w:p w14:paraId="722D14CD" w14:textId="5DA38879" w:rsidR="00724987" w:rsidRPr="0091014C" w:rsidRDefault="00D03523" w:rsidP="00E07769">
          <w:r w:rsidRPr="0091014C">
            <w:t>I confirm that I have not presented any AI generated text as my own work. I confirm I have copies of my drafts, notes, and other resources I used before, and after the use of AI tools which I may be asked to provide in evidence.</w:t>
          </w:r>
        </w:p>
        <w:p w14:paraId="4CCCB546" w14:textId="77777777" w:rsidR="00724987" w:rsidRDefault="00724987" w:rsidP="00BC1BB7">
          <w:pPr>
            <w:rPr>
              <w:b/>
              <w:bCs/>
            </w:rPr>
          </w:pPr>
        </w:p>
        <w:p w14:paraId="60A659F5" w14:textId="77777777" w:rsidR="00724987" w:rsidRDefault="00724987" w:rsidP="00BC1BB7">
          <w:pPr>
            <w:rPr>
              <w:b/>
              <w:bCs/>
            </w:rPr>
          </w:pPr>
        </w:p>
        <w:p w14:paraId="373F28B9" w14:textId="645309A8" w:rsidR="001F2EBB" w:rsidRDefault="0091014C" w:rsidP="00BC1BB7">
          <w:pPr>
            <w:rPr>
              <w:b/>
              <w:bCs/>
            </w:rPr>
          </w:pPr>
        </w:p>
      </w:sdtContent>
    </w:sdt>
    <w:sdt>
      <w:sdtPr>
        <w:rPr>
          <w:rFonts w:asciiTheme="minorHAnsi" w:eastAsiaTheme="minorEastAsia" w:hAnsiTheme="minorHAnsi" w:cstheme="minorBidi"/>
          <w:color w:val="auto"/>
          <w:kern w:val="2"/>
          <w:sz w:val="24"/>
          <w:szCs w:val="24"/>
          <w:lang w:val="en-GB" w:eastAsia="zh-CN"/>
          <w14:ligatures w14:val="standardContextual"/>
        </w:rPr>
        <w:id w:val="-1749794657"/>
        <w:docPartObj>
          <w:docPartGallery w:val="Table of Contents"/>
          <w:docPartUnique/>
        </w:docPartObj>
      </w:sdtPr>
      <w:sdtEndPr>
        <w:rPr>
          <w:b/>
          <w:bCs/>
          <w:noProof/>
        </w:rPr>
      </w:sdtEndPr>
      <w:sdtContent>
        <w:p w14:paraId="10AE0C3A" w14:textId="47C78233" w:rsidR="00041FFC" w:rsidRDefault="00041FFC">
          <w:pPr>
            <w:pStyle w:val="TOCHeading"/>
          </w:pPr>
          <w:r>
            <w:t>Contents</w:t>
          </w:r>
        </w:p>
        <w:p w14:paraId="3B258B1E" w14:textId="7A6D57FA" w:rsidR="00754B4C" w:rsidRDefault="00041FFC">
          <w:pPr>
            <w:pStyle w:val="TOC1"/>
            <w:tabs>
              <w:tab w:val="right" w:leader="dot" w:pos="9016"/>
            </w:tabs>
            <w:rPr>
              <w:noProof/>
            </w:rPr>
          </w:pPr>
          <w:r>
            <w:fldChar w:fldCharType="begin"/>
          </w:r>
          <w:r>
            <w:instrText xml:space="preserve"> TOC \o "1-3" \h \z \u </w:instrText>
          </w:r>
          <w:r>
            <w:fldChar w:fldCharType="separate"/>
          </w:r>
          <w:hyperlink w:anchor="_Toc191900752" w:history="1">
            <w:r w:rsidR="00754B4C" w:rsidRPr="00D31363">
              <w:rPr>
                <w:rStyle w:val="Hyperlink"/>
                <w:noProof/>
              </w:rPr>
              <w:t>1. Introduction and Justification of the Study Area</w:t>
            </w:r>
            <w:r w:rsidR="00754B4C">
              <w:rPr>
                <w:noProof/>
                <w:webHidden/>
              </w:rPr>
              <w:tab/>
            </w:r>
            <w:r w:rsidR="00754B4C">
              <w:rPr>
                <w:noProof/>
                <w:webHidden/>
              </w:rPr>
              <w:fldChar w:fldCharType="begin"/>
            </w:r>
            <w:r w:rsidR="00754B4C">
              <w:rPr>
                <w:noProof/>
                <w:webHidden/>
              </w:rPr>
              <w:instrText xml:space="preserve"> PAGEREF _Toc191900752 \h </w:instrText>
            </w:r>
            <w:r w:rsidR="00754B4C">
              <w:rPr>
                <w:noProof/>
                <w:webHidden/>
              </w:rPr>
            </w:r>
            <w:r w:rsidR="00754B4C">
              <w:rPr>
                <w:noProof/>
                <w:webHidden/>
              </w:rPr>
              <w:fldChar w:fldCharType="separate"/>
            </w:r>
            <w:r w:rsidR="00754B4C">
              <w:rPr>
                <w:noProof/>
                <w:webHidden/>
              </w:rPr>
              <w:t>1</w:t>
            </w:r>
            <w:r w:rsidR="00754B4C">
              <w:rPr>
                <w:noProof/>
                <w:webHidden/>
              </w:rPr>
              <w:fldChar w:fldCharType="end"/>
            </w:r>
          </w:hyperlink>
        </w:p>
        <w:p w14:paraId="2A56D5B7" w14:textId="4B4164D0" w:rsidR="00754B4C" w:rsidRDefault="00754B4C">
          <w:pPr>
            <w:pStyle w:val="TOC2"/>
            <w:tabs>
              <w:tab w:val="right" w:leader="dot" w:pos="9016"/>
            </w:tabs>
            <w:rPr>
              <w:noProof/>
            </w:rPr>
          </w:pPr>
          <w:hyperlink w:anchor="_Toc191900753" w:history="1">
            <w:r w:rsidRPr="00D31363">
              <w:rPr>
                <w:rStyle w:val="Hyperlink"/>
                <w:noProof/>
              </w:rPr>
              <w:t>Research Questions:</w:t>
            </w:r>
            <w:r>
              <w:rPr>
                <w:noProof/>
                <w:webHidden/>
              </w:rPr>
              <w:tab/>
            </w:r>
            <w:r>
              <w:rPr>
                <w:noProof/>
                <w:webHidden/>
              </w:rPr>
              <w:fldChar w:fldCharType="begin"/>
            </w:r>
            <w:r>
              <w:rPr>
                <w:noProof/>
                <w:webHidden/>
              </w:rPr>
              <w:instrText xml:space="preserve"> PAGEREF _Toc191900753 \h </w:instrText>
            </w:r>
            <w:r>
              <w:rPr>
                <w:noProof/>
                <w:webHidden/>
              </w:rPr>
            </w:r>
            <w:r>
              <w:rPr>
                <w:noProof/>
                <w:webHidden/>
              </w:rPr>
              <w:fldChar w:fldCharType="separate"/>
            </w:r>
            <w:r>
              <w:rPr>
                <w:noProof/>
                <w:webHidden/>
              </w:rPr>
              <w:t>3</w:t>
            </w:r>
            <w:r>
              <w:rPr>
                <w:noProof/>
                <w:webHidden/>
              </w:rPr>
              <w:fldChar w:fldCharType="end"/>
            </w:r>
          </w:hyperlink>
        </w:p>
        <w:p w14:paraId="6051A2D2" w14:textId="135FBE26" w:rsidR="00754B4C" w:rsidRDefault="00754B4C">
          <w:pPr>
            <w:pStyle w:val="TOC1"/>
            <w:tabs>
              <w:tab w:val="right" w:leader="dot" w:pos="9016"/>
            </w:tabs>
            <w:rPr>
              <w:noProof/>
            </w:rPr>
          </w:pPr>
          <w:hyperlink w:anchor="_Toc191900754" w:history="1">
            <w:r w:rsidRPr="00D31363">
              <w:rPr>
                <w:rStyle w:val="Hyperlink"/>
                <w:noProof/>
              </w:rPr>
              <w:t>2. Literature Review</w:t>
            </w:r>
            <w:r>
              <w:rPr>
                <w:noProof/>
                <w:webHidden/>
              </w:rPr>
              <w:tab/>
            </w:r>
            <w:r>
              <w:rPr>
                <w:noProof/>
                <w:webHidden/>
              </w:rPr>
              <w:fldChar w:fldCharType="begin"/>
            </w:r>
            <w:r>
              <w:rPr>
                <w:noProof/>
                <w:webHidden/>
              </w:rPr>
              <w:instrText xml:space="preserve"> PAGEREF _Toc191900754 \h </w:instrText>
            </w:r>
            <w:r>
              <w:rPr>
                <w:noProof/>
                <w:webHidden/>
              </w:rPr>
            </w:r>
            <w:r>
              <w:rPr>
                <w:noProof/>
                <w:webHidden/>
              </w:rPr>
              <w:fldChar w:fldCharType="separate"/>
            </w:r>
            <w:r>
              <w:rPr>
                <w:noProof/>
                <w:webHidden/>
              </w:rPr>
              <w:t>4</w:t>
            </w:r>
            <w:r>
              <w:rPr>
                <w:noProof/>
                <w:webHidden/>
              </w:rPr>
              <w:fldChar w:fldCharType="end"/>
            </w:r>
          </w:hyperlink>
        </w:p>
        <w:p w14:paraId="36E04E39" w14:textId="1D14934A" w:rsidR="00754B4C" w:rsidRDefault="00754B4C">
          <w:pPr>
            <w:pStyle w:val="TOC2"/>
            <w:tabs>
              <w:tab w:val="right" w:leader="dot" w:pos="9016"/>
            </w:tabs>
            <w:rPr>
              <w:noProof/>
            </w:rPr>
          </w:pPr>
          <w:hyperlink w:anchor="_Toc191900755" w:history="1">
            <w:r w:rsidRPr="00D31363">
              <w:rPr>
                <w:rStyle w:val="Hyperlink"/>
                <w:noProof/>
              </w:rPr>
              <w:t>2.1 Adult Learning Theories and Andragogy</w:t>
            </w:r>
            <w:r>
              <w:rPr>
                <w:noProof/>
                <w:webHidden/>
              </w:rPr>
              <w:tab/>
            </w:r>
            <w:r>
              <w:rPr>
                <w:noProof/>
                <w:webHidden/>
              </w:rPr>
              <w:fldChar w:fldCharType="begin"/>
            </w:r>
            <w:r>
              <w:rPr>
                <w:noProof/>
                <w:webHidden/>
              </w:rPr>
              <w:instrText xml:space="preserve"> PAGEREF _Toc191900755 \h </w:instrText>
            </w:r>
            <w:r>
              <w:rPr>
                <w:noProof/>
                <w:webHidden/>
              </w:rPr>
            </w:r>
            <w:r>
              <w:rPr>
                <w:noProof/>
                <w:webHidden/>
              </w:rPr>
              <w:fldChar w:fldCharType="separate"/>
            </w:r>
            <w:r>
              <w:rPr>
                <w:noProof/>
                <w:webHidden/>
              </w:rPr>
              <w:t>4</w:t>
            </w:r>
            <w:r>
              <w:rPr>
                <w:noProof/>
                <w:webHidden/>
              </w:rPr>
              <w:fldChar w:fldCharType="end"/>
            </w:r>
          </w:hyperlink>
        </w:p>
        <w:p w14:paraId="5625A4D1" w14:textId="635D836F" w:rsidR="00754B4C" w:rsidRDefault="00754B4C">
          <w:pPr>
            <w:pStyle w:val="TOC2"/>
            <w:tabs>
              <w:tab w:val="right" w:leader="dot" w:pos="9016"/>
            </w:tabs>
            <w:rPr>
              <w:noProof/>
            </w:rPr>
          </w:pPr>
          <w:hyperlink w:anchor="_Toc191900756" w:history="1">
            <w:r w:rsidRPr="00D31363">
              <w:rPr>
                <w:rStyle w:val="Hyperlink"/>
                <w:noProof/>
              </w:rPr>
              <w:t>2.2 Work-Based Learning (WBL)</w:t>
            </w:r>
            <w:r>
              <w:rPr>
                <w:noProof/>
                <w:webHidden/>
              </w:rPr>
              <w:tab/>
            </w:r>
            <w:r>
              <w:rPr>
                <w:noProof/>
                <w:webHidden/>
              </w:rPr>
              <w:fldChar w:fldCharType="begin"/>
            </w:r>
            <w:r>
              <w:rPr>
                <w:noProof/>
                <w:webHidden/>
              </w:rPr>
              <w:instrText xml:space="preserve"> PAGEREF _Toc191900756 \h </w:instrText>
            </w:r>
            <w:r>
              <w:rPr>
                <w:noProof/>
                <w:webHidden/>
              </w:rPr>
            </w:r>
            <w:r>
              <w:rPr>
                <w:noProof/>
                <w:webHidden/>
              </w:rPr>
              <w:fldChar w:fldCharType="separate"/>
            </w:r>
            <w:r>
              <w:rPr>
                <w:noProof/>
                <w:webHidden/>
              </w:rPr>
              <w:t>5</w:t>
            </w:r>
            <w:r>
              <w:rPr>
                <w:noProof/>
                <w:webHidden/>
              </w:rPr>
              <w:fldChar w:fldCharType="end"/>
            </w:r>
          </w:hyperlink>
        </w:p>
        <w:p w14:paraId="7D30C408" w14:textId="4C34B472" w:rsidR="00754B4C" w:rsidRDefault="00754B4C">
          <w:pPr>
            <w:pStyle w:val="TOC2"/>
            <w:tabs>
              <w:tab w:val="right" w:leader="dot" w:pos="9016"/>
            </w:tabs>
            <w:rPr>
              <w:noProof/>
            </w:rPr>
          </w:pPr>
          <w:hyperlink w:anchor="_Toc191900757" w:history="1">
            <w:r w:rsidRPr="00D31363">
              <w:rPr>
                <w:rStyle w:val="Hyperlink"/>
                <w:noProof/>
              </w:rPr>
              <w:t>2.3 Experiential Learning</w:t>
            </w:r>
            <w:r>
              <w:rPr>
                <w:noProof/>
                <w:webHidden/>
              </w:rPr>
              <w:tab/>
            </w:r>
            <w:r>
              <w:rPr>
                <w:noProof/>
                <w:webHidden/>
              </w:rPr>
              <w:fldChar w:fldCharType="begin"/>
            </w:r>
            <w:r>
              <w:rPr>
                <w:noProof/>
                <w:webHidden/>
              </w:rPr>
              <w:instrText xml:space="preserve"> PAGEREF _Toc191900757 \h </w:instrText>
            </w:r>
            <w:r>
              <w:rPr>
                <w:noProof/>
                <w:webHidden/>
              </w:rPr>
            </w:r>
            <w:r>
              <w:rPr>
                <w:noProof/>
                <w:webHidden/>
              </w:rPr>
              <w:fldChar w:fldCharType="separate"/>
            </w:r>
            <w:r>
              <w:rPr>
                <w:noProof/>
                <w:webHidden/>
              </w:rPr>
              <w:t>6</w:t>
            </w:r>
            <w:r>
              <w:rPr>
                <w:noProof/>
                <w:webHidden/>
              </w:rPr>
              <w:fldChar w:fldCharType="end"/>
            </w:r>
          </w:hyperlink>
        </w:p>
        <w:p w14:paraId="52DD6C81" w14:textId="23BE4AD5" w:rsidR="00754B4C" w:rsidRDefault="00754B4C">
          <w:pPr>
            <w:pStyle w:val="TOC2"/>
            <w:tabs>
              <w:tab w:val="right" w:leader="dot" w:pos="9016"/>
            </w:tabs>
            <w:rPr>
              <w:noProof/>
            </w:rPr>
          </w:pPr>
          <w:hyperlink w:anchor="_Toc191900758" w:history="1">
            <w:r w:rsidRPr="00D31363">
              <w:rPr>
                <w:rStyle w:val="Hyperlink"/>
                <w:noProof/>
              </w:rPr>
              <w:t>2.4 Challenges Faced by Industry Professionals in Traditional HE</w:t>
            </w:r>
            <w:r>
              <w:rPr>
                <w:noProof/>
                <w:webHidden/>
              </w:rPr>
              <w:tab/>
            </w:r>
            <w:r>
              <w:rPr>
                <w:noProof/>
                <w:webHidden/>
              </w:rPr>
              <w:fldChar w:fldCharType="begin"/>
            </w:r>
            <w:r>
              <w:rPr>
                <w:noProof/>
                <w:webHidden/>
              </w:rPr>
              <w:instrText xml:space="preserve"> PAGEREF _Toc191900758 \h </w:instrText>
            </w:r>
            <w:r>
              <w:rPr>
                <w:noProof/>
                <w:webHidden/>
              </w:rPr>
            </w:r>
            <w:r>
              <w:rPr>
                <w:noProof/>
                <w:webHidden/>
              </w:rPr>
              <w:fldChar w:fldCharType="separate"/>
            </w:r>
            <w:r>
              <w:rPr>
                <w:noProof/>
                <w:webHidden/>
              </w:rPr>
              <w:t>7</w:t>
            </w:r>
            <w:r>
              <w:rPr>
                <w:noProof/>
                <w:webHidden/>
              </w:rPr>
              <w:fldChar w:fldCharType="end"/>
            </w:r>
          </w:hyperlink>
        </w:p>
        <w:p w14:paraId="1398659C" w14:textId="20600165" w:rsidR="00754B4C" w:rsidRDefault="00754B4C">
          <w:pPr>
            <w:pStyle w:val="TOC1"/>
            <w:tabs>
              <w:tab w:val="right" w:leader="dot" w:pos="9016"/>
            </w:tabs>
            <w:rPr>
              <w:noProof/>
            </w:rPr>
          </w:pPr>
          <w:hyperlink w:anchor="_Toc191900759" w:history="1">
            <w:r w:rsidRPr="00D31363">
              <w:rPr>
                <w:rStyle w:val="Hyperlink"/>
                <w:noProof/>
              </w:rPr>
              <w:t>3. Methodology</w:t>
            </w:r>
            <w:r>
              <w:rPr>
                <w:noProof/>
                <w:webHidden/>
              </w:rPr>
              <w:tab/>
            </w:r>
            <w:r>
              <w:rPr>
                <w:noProof/>
                <w:webHidden/>
              </w:rPr>
              <w:fldChar w:fldCharType="begin"/>
            </w:r>
            <w:r>
              <w:rPr>
                <w:noProof/>
                <w:webHidden/>
              </w:rPr>
              <w:instrText xml:space="preserve"> PAGEREF _Toc191900759 \h </w:instrText>
            </w:r>
            <w:r>
              <w:rPr>
                <w:noProof/>
                <w:webHidden/>
              </w:rPr>
            </w:r>
            <w:r>
              <w:rPr>
                <w:noProof/>
                <w:webHidden/>
              </w:rPr>
              <w:fldChar w:fldCharType="separate"/>
            </w:r>
            <w:r>
              <w:rPr>
                <w:noProof/>
                <w:webHidden/>
              </w:rPr>
              <w:t>8</w:t>
            </w:r>
            <w:r>
              <w:rPr>
                <w:noProof/>
                <w:webHidden/>
              </w:rPr>
              <w:fldChar w:fldCharType="end"/>
            </w:r>
          </w:hyperlink>
        </w:p>
        <w:p w14:paraId="587ED5DB" w14:textId="3E9D9367" w:rsidR="00754B4C" w:rsidRDefault="00754B4C">
          <w:pPr>
            <w:pStyle w:val="TOC1"/>
            <w:tabs>
              <w:tab w:val="right" w:leader="dot" w:pos="9016"/>
            </w:tabs>
            <w:rPr>
              <w:noProof/>
            </w:rPr>
          </w:pPr>
          <w:hyperlink w:anchor="_Toc191900760" w:history="1">
            <w:r w:rsidRPr="00D31363">
              <w:rPr>
                <w:rStyle w:val="Hyperlink"/>
                <w:noProof/>
              </w:rPr>
              <w:t>4. Results and Discussion</w:t>
            </w:r>
            <w:r>
              <w:rPr>
                <w:noProof/>
                <w:webHidden/>
              </w:rPr>
              <w:tab/>
            </w:r>
            <w:r>
              <w:rPr>
                <w:noProof/>
                <w:webHidden/>
              </w:rPr>
              <w:fldChar w:fldCharType="begin"/>
            </w:r>
            <w:r>
              <w:rPr>
                <w:noProof/>
                <w:webHidden/>
              </w:rPr>
              <w:instrText xml:space="preserve"> PAGEREF _Toc191900760 \h </w:instrText>
            </w:r>
            <w:r>
              <w:rPr>
                <w:noProof/>
                <w:webHidden/>
              </w:rPr>
            </w:r>
            <w:r>
              <w:rPr>
                <w:noProof/>
                <w:webHidden/>
              </w:rPr>
              <w:fldChar w:fldCharType="separate"/>
            </w:r>
            <w:r>
              <w:rPr>
                <w:noProof/>
                <w:webHidden/>
              </w:rPr>
              <w:t>8</w:t>
            </w:r>
            <w:r>
              <w:rPr>
                <w:noProof/>
                <w:webHidden/>
              </w:rPr>
              <w:fldChar w:fldCharType="end"/>
            </w:r>
          </w:hyperlink>
        </w:p>
        <w:p w14:paraId="14DF17A4" w14:textId="18071379" w:rsidR="00754B4C" w:rsidRDefault="00754B4C">
          <w:pPr>
            <w:pStyle w:val="TOC2"/>
            <w:tabs>
              <w:tab w:val="right" w:leader="dot" w:pos="9016"/>
            </w:tabs>
            <w:rPr>
              <w:noProof/>
            </w:rPr>
          </w:pPr>
          <w:hyperlink w:anchor="_Toc191900761" w:history="1">
            <w:r w:rsidRPr="00D31363">
              <w:rPr>
                <w:rStyle w:val="Hyperlink"/>
                <w:noProof/>
              </w:rPr>
              <w:t>4.1 Key Findings from the Literature</w:t>
            </w:r>
            <w:r>
              <w:rPr>
                <w:noProof/>
                <w:webHidden/>
              </w:rPr>
              <w:tab/>
            </w:r>
            <w:r>
              <w:rPr>
                <w:noProof/>
                <w:webHidden/>
              </w:rPr>
              <w:fldChar w:fldCharType="begin"/>
            </w:r>
            <w:r>
              <w:rPr>
                <w:noProof/>
                <w:webHidden/>
              </w:rPr>
              <w:instrText xml:space="preserve"> PAGEREF _Toc191900761 \h </w:instrText>
            </w:r>
            <w:r>
              <w:rPr>
                <w:noProof/>
                <w:webHidden/>
              </w:rPr>
            </w:r>
            <w:r>
              <w:rPr>
                <w:noProof/>
                <w:webHidden/>
              </w:rPr>
              <w:fldChar w:fldCharType="separate"/>
            </w:r>
            <w:r>
              <w:rPr>
                <w:noProof/>
                <w:webHidden/>
              </w:rPr>
              <w:t>8</w:t>
            </w:r>
            <w:r>
              <w:rPr>
                <w:noProof/>
                <w:webHidden/>
              </w:rPr>
              <w:fldChar w:fldCharType="end"/>
            </w:r>
          </w:hyperlink>
        </w:p>
        <w:p w14:paraId="4D9AA354" w14:textId="1121F1E3" w:rsidR="00754B4C" w:rsidRDefault="00754B4C">
          <w:pPr>
            <w:pStyle w:val="TOC2"/>
            <w:tabs>
              <w:tab w:val="right" w:leader="dot" w:pos="9016"/>
            </w:tabs>
            <w:rPr>
              <w:noProof/>
            </w:rPr>
          </w:pPr>
          <w:hyperlink w:anchor="_Toc191900762" w:history="1">
            <w:r w:rsidRPr="00D31363">
              <w:rPr>
                <w:rStyle w:val="Hyperlink"/>
                <w:noProof/>
              </w:rPr>
              <w:t>4.2 The Role of Work-Based and Experiential Learning</w:t>
            </w:r>
            <w:r>
              <w:rPr>
                <w:noProof/>
                <w:webHidden/>
              </w:rPr>
              <w:tab/>
            </w:r>
            <w:r>
              <w:rPr>
                <w:noProof/>
                <w:webHidden/>
              </w:rPr>
              <w:fldChar w:fldCharType="begin"/>
            </w:r>
            <w:r>
              <w:rPr>
                <w:noProof/>
                <w:webHidden/>
              </w:rPr>
              <w:instrText xml:space="preserve"> PAGEREF _Toc191900762 \h </w:instrText>
            </w:r>
            <w:r>
              <w:rPr>
                <w:noProof/>
                <w:webHidden/>
              </w:rPr>
            </w:r>
            <w:r>
              <w:rPr>
                <w:noProof/>
                <w:webHidden/>
              </w:rPr>
              <w:fldChar w:fldCharType="separate"/>
            </w:r>
            <w:r>
              <w:rPr>
                <w:noProof/>
                <w:webHidden/>
              </w:rPr>
              <w:t>9</w:t>
            </w:r>
            <w:r>
              <w:rPr>
                <w:noProof/>
                <w:webHidden/>
              </w:rPr>
              <w:fldChar w:fldCharType="end"/>
            </w:r>
          </w:hyperlink>
        </w:p>
        <w:p w14:paraId="4078A28F" w14:textId="6CDCC058" w:rsidR="00754B4C" w:rsidRDefault="00754B4C">
          <w:pPr>
            <w:pStyle w:val="TOC2"/>
            <w:tabs>
              <w:tab w:val="right" w:leader="dot" w:pos="9016"/>
            </w:tabs>
            <w:rPr>
              <w:noProof/>
            </w:rPr>
          </w:pPr>
          <w:hyperlink w:anchor="_Toc191900763" w:history="1">
            <w:r w:rsidRPr="00D31363">
              <w:rPr>
                <w:rStyle w:val="Hyperlink"/>
                <w:noProof/>
              </w:rPr>
              <w:t>4.3 Challenges in Curriculum and Assessment</w:t>
            </w:r>
            <w:r>
              <w:rPr>
                <w:noProof/>
                <w:webHidden/>
              </w:rPr>
              <w:tab/>
            </w:r>
            <w:r>
              <w:rPr>
                <w:noProof/>
                <w:webHidden/>
              </w:rPr>
              <w:fldChar w:fldCharType="begin"/>
            </w:r>
            <w:r>
              <w:rPr>
                <w:noProof/>
                <w:webHidden/>
              </w:rPr>
              <w:instrText xml:space="preserve"> PAGEREF _Toc191900763 \h </w:instrText>
            </w:r>
            <w:r>
              <w:rPr>
                <w:noProof/>
                <w:webHidden/>
              </w:rPr>
            </w:r>
            <w:r>
              <w:rPr>
                <w:noProof/>
                <w:webHidden/>
              </w:rPr>
              <w:fldChar w:fldCharType="separate"/>
            </w:r>
            <w:r>
              <w:rPr>
                <w:noProof/>
                <w:webHidden/>
              </w:rPr>
              <w:t>9</w:t>
            </w:r>
            <w:r>
              <w:rPr>
                <w:noProof/>
                <w:webHidden/>
              </w:rPr>
              <w:fldChar w:fldCharType="end"/>
            </w:r>
          </w:hyperlink>
        </w:p>
        <w:p w14:paraId="6F012801" w14:textId="6F7338AE" w:rsidR="00754B4C" w:rsidRDefault="00754B4C">
          <w:pPr>
            <w:pStyle w:val="TOC2"/>
            <w:tabs>
              <w:tab w:val="right" w:leader="dot" w:pos="9016"/>
            </w:tabs>
            <w:rPr>
              <w:noProof/>
            </w:rPr>
          </w:pPr>
          <w:hyperlink w:anchor="_Toc191900764" w:history="1">
            <w:r w:rsidRPr="00D31363">
              <w:rPr>
                <w:rStyle w:val="Hyperlink"/>
                <w:noProof/>
              </w:rPr>
              <w:t>4.4 Opportunities for Enhancing Learning Experiences</w:t>
            </w:r>
            <w:r>
              <w:rPr>
                <w:noProof/>
                <w:webHidden/>
              </w:rPr>
              <w:tab/>
            </w:r>
            <w:r>
              <w:rPr>
                <w:noProof/>
                <w:webHidden/>
              </w:rPr>
              <w:fldChar w:fldCharType="begin"/>
            </w:r>
            <w:r>
              <w:rPr>
                <w:noProof/>
                <w:webHidden/>
              </w:rPr>
              <w:instrText xml:space="preserve"> PAGEREF _Toc191900764 \h </w:instrText>
            </w:r>
            <w:r>
              <w:rPr>
                <w:noProof/>
                <w:webHidden/>
              </w:rPr>
            </w:r>
            <w:r>
              <w:rPr>
                <w:noProof/>
                <w:webHidden/>
              </w:rPr>
              <w:fldChar w:fldCharType="separate"/>
            </w:r>
            <w:r>
              <w:rPr>
                <w:noProof/>
                <w:webHidden/>
              </w:rPr>
              <w:t>10</w:t>
            </w:r>
            <w:r>
              <w:rPr>
                <w:noProof/>
                <w:webHidden/>
              </w:rPr>
              <w:fldChar w:fldCharType="end"/>
            </w:r>
          </w:hyperlink>
        </w:p>
        <w:p w14:paraId="1A68A953" w14:textId="24FA71A4" w:rsidR="00754B4C" w:rsidRDefault="00754B4C">
          <w:pPr>
            <w:pStyle w:val="TOC1"/>
            <w:tabs>
              <w:tab w:val="right" w:leader="dot" w:pos="9016"/>
            </w:tabs>
            <w:rPr>
              <w:noProof/>
            </w:rPr>
          </w:pPr>
          <w:hyperlink w:anchor="_Toc191900765" w:history="1">
            <w:r w:rsidRPr="00D31363">
              <w:rPr>
                <w:rStyle w:val="Hyperlink"/>
                <w:noProof/>
              </w:rPr>
              <w:t>5. Conclusion</w:t>
            </w:r>
            <w:r>
              <w:rPr>
                <w:noProof/>
                <w:webHidden/>
              </w:rPr>
              <w:tab/>
            </w:r>
            <w:r>
              <w:rPr>
                <w:noProof/>
                <w:webHidden/>
              </w:rPr>
              <w:fldChar w:fldCharType="begin"/>
            </w:r>
            <w:r>
              <w:rPr>
                <w:noProof/>
                <w:webHidden/>
              </w:rPr>
              <w:instrText xml:space="preserve"> PAGEREF _Toc191900765 \h </w:instrText>
            </w:r>
            <w:r>
              <w:rPr>
                <w:noProof/>
                <w:webHidden/>
              </w:rPr>
            </w:r>
            <w:r>
              <w:rPr>
                <w:noProof/>
                <w:webHidden/>
              </w:rPr>
              <w:fldChar w:fldCharType="separate"/>
            </w:r>
            <w:r>
              <w:rPr>
                <w:noProof/>
                <w:webHidden/>
              </w:rPr>
              <w:t>10</w:t>
            </w:r>
            <w:r>
              <w:rPr>
                <w:noProof/>
                <w:webHidden/>
              </w:rPr>
              <w:fldChar w:fldCharType="end"/>
            </w:r>
          </w:hyperlink>
        </w:p>
        <w:p w14:paraId="3C348B7A" w14:textId="103DCCD9" w:rsidR="00754B4C" w:rsidRDefault="00754B4C">
          <w:pPr>
            <w:pStyle w:val="TOC1"/>
            <w:tabs>
              <w:tab w:val="right" w:leader="dot" w:pos="9016"/>
            </w:tabs>
            <w:rPr>
              <w:noProof/>
            </w:rPr>
          </w:pPr>
          <w:hyperlink w:anchor="_Toc191900766" w:history="1">
            <w:r w:rsidRPr="00D31363">
              <w:rPr>
                <w:rStyle w:val="Hyperlink"/>
                <w:noProof/>
              </w:rPr>
              <w:t>6. SMART Recommendations (Specific, Measurable, Achievable, Relevant, Time-bound)</w:t>
            </w:r>
            <w:r>
              <w:rPr>
                <w:noProof/>
                <w:webHidden/>
              </w:rPr>
              <w:tab/>
            </w:r>
            <w:r>
              <w:rPr>
                <w:noProof/>
                <w:webHidden/>
              </w:rPr>
              <w:fldChar w:fldCharType="begin"/>
            </w:r>
            <w:r>
              <w:rPr>
                <w:noProof/>
                <w:webHidden/>
              </w:rPr>
              <w:instrText xml:space="preserve"> PAGEREF _Toc191900766 \h </w:instrText>
            </w:r>
            <w:r>
              <w:rPr>
                <w:noProof/>
                <w:webHidden/>
              </w:rPr>
            </w:r>
            <w:r>
              <w:rPr>
                <w:noProof/>
                <w:webHidden/>
              </w:rPr>
              <w:fldChar w:fldCharType="separate"/>
            </w:r>
            <w:r>
              <w:rPr>
                <w:noProof/>
                <w:webHidden/>
              </w:rPr>
              <w:t>11</w:t>
            </w:r>
            <w:r>
              <w:rPr>
                <w:noProof/>
                <w:webHidden/>
              </w:rPr>
              <w:fldChar w:fldCharType="end"/>
            </w:r>
          </w:hyperlink>
        </w:p>
        <w:p w14:paraId="46D7953F" w14:textId="6E78FBB5" w:rsidR="00754B4C" w:rsidRDefault="00754B4C">
          <w:pPr>
            <w:pStyle w:val="TOC1"/>
            <w:tabs>
              <w:tab w:val="right" w:leader="dot" w:pos="9016"/>
            </w:tabs>
            <w:rPr>
              <w:noProof/>
            </w:rPr>
          </w:pPr>
          <w:hyperlink w:anchor="_Toc191900767" w:history="1">
            <w:r w:rsidRPr="00D31363">
              <w:rPr>
                <w:rStyle w:val="Hyperlink"/>
                <w:noProof/>
              </w:rPr>
              <w:t>Primary Research Recommendation</w:t>
            </w:r>
            <w:r>
              <w:rPr>
                <w:noProof/>
                <w:webHidden/>
              </w:rPr>
              <w:tab/>
            </w:r>
            <w:r>
              <w:rPr>
                <w:noProof/>
                <w:webHidden/>
              </w:rPr>
              <w:fldChar w:fldCharType="begin"/>
            </w:r>
            <w:r>
              <w:rPr>
                <w:noProof/>
                <w:webHidden/>
              </w:rPr>
              <w:instrText xml:space="preserve"> PAGEREF _Toc191900767 \h </w:instrText>
            </w:r>
            <w:r>
              <w:rPr>
                <w:noProof/>
                <w:webHidden/>
              </w:rPr>
            </w:r>
            <w:r>
              <w:rPr>
                <w:noProof/>
                <w:webHidden/>
              </w:rPr>
              <w:fldChar w:fldCharType="separate"/>
            </w:r>
            <w:r>
              <w:rPr>
                <w:noProof/>
                <w:webHidden/>
              </w:rPr>
              <w:t>12</w:t>
            </w:r>
            <w:r>
              <w:rPr>
                <w:noProof/>
                <w:webHidden/>
              </w:rPr>
              <w:fldChar w:fldCharType="end"/>
            </w:r>
          </w:hyperlink>
        </w:p>
        <w:p w14:paraId="57856821" w14:textId="7449680B" w:rsidR="00754B4C" w:rsidRDefault="00754B4C">
          <w:pPr>
            <w:pStyle w:val="TOC1"/>
            <w:tabs>
              <w:tab w:val="right" w:leader="dot" w:pos="9016"/>
            </w:tabs>
            <w:rPr>
              <w:noProof/>
            </w:rPr>
          </w:pPr>
          <w:hyperlink w:anchor="_Toc191900768" w:history="1">
            <w:r w:rsidRPr="00D31363">
              <w:rPr>
                <w:rStyle w:val="Hyperlink"/>
                <w:noProof/>
                <w:lang w:val="da-DK"/>
              </w:rPr>
              <w:t>Reference List</w:t>
            </w:r>
            <w:r>
              <w:rPr>
                <w:noProof/>
                <w:webHidden/>
              </w:rPr>
              <w:tab/>
            </w:r>
            <w:r>
              <w:rPr>
                <w:noProof/>
                <w:webHidden/>
              </w:rPr>
              <w:fldChar w:fldCharType="begin"/>
            </w:r>
            <w:r>
              <w:rPr>
                <w:noProof/>
                <w:webHidden/>
              </w:rPr>
              <w:instrText xml:space="preserve"> PAGEREF _Toc191900768 \h </w:instrText>
            </w:r>
            <w:r>
              <w:rPr>
                <w:noProof/>
                <w:webHidden/>
              </w:rPr>
            </w:r>
            <w:r>
              <w:rPr>
                <w:noProof/>
                <w:webHidden/>
              </w:rPr>
              <w:fldChar w:fldCharType="separate"/>
            </w:r>
            <w:r>
              <w:rPr>
                <w:noProof/>
                <w:webHidden/>
              </w:rPr>
              <w:t>13</w:t>
            </w:r>
            <w:r>
              <w:rPr>
                <w:noProof/>
                <w:webHidden/>
              </w:rPr>
              <w:fldChar w:fldCharType="end"/>
            </w:r>
          </w:hyperlink>
        </w:p>
        <w:p w14:paraId="0017CBDE" w14:textId="33F89673" w:rsidR="00041FFC" w:rsidRDefault="00041FFC">
          <w:r>
            <w:rPr>
              <w:b/>
              <w:bCs/>
              <w:noProof/>
            </w:rPr>
            <w:fldChar w:fldCharType="end"/>
          </w:r>
        </w:p>
      </w:sdtContent>
    </w:sdt>
    <w:p w14:paraId="6E8CDF31" w14:textId="771EFDD1" w:rsidR="00B55AA8" w:rsidRDefault="00B55AA8" w:rsidP="00B55AA8"/>
    <w:p w14:paraId="6A0E9B4C" w14:textId="77777777" w:rsidR="00041FFC" w:rsidRDefault="00041FFC" w:rsidP="00B55AA8"/>
    <w:p w14:paraId="2D5B4DE4" w14:textId="77777777" w:rsidR="00B55AA8" w:rsidRPr="00B55AA8" w:rsidRDefault="00B55AA8" w:rsidP="00EA7C81">
      <w:pPr>
        <w:pStyle w:val="Heading1"/>
        <w:spacing w:line="360" w:lineRule="auto"/>
      </w:pPr>
      <w:bookmarkStart w:id="0" w:name="_Toc191900752"/>
      <w:r w:rsidRPr="00B55AA8">
        <w:t>1. Introduction and Justification of the Study Area</w:t>
      </w:r>
      <w:bookmarkEnd w:id="0"/>
    </w:p>
    <w:p w14:paraId="2CB78DEF" w14:textId="76392975" w:rsidR="00F120D6" w:rsidRDefault="00B55AA8" w:rsidP="00EA7C81">
      <w:pPr>
        <w:spacing w:line="360" w:lineRule="auto"/>
      </w:pPr>
      <w:r w:rsidRPr="00B55AA8">
        <w:t>Higher education institutions (HEIs) in the United Kingdom, particularly in Wales, have experienced a growing demand for academic qualifications from industry professionals</w:t>
      </w:r>
      <w:r w:rsidR="00F120D6">
        <w:t>,</w:t>
      </w:r>
      <w:r w:rsidR="000B094E" w:rsidRPr="00F24AD4">
        <w:rPr>
          <w:highlight w:val="yellow"/>
        </w:rPr>
        <w:t xml:space="preserve"> </w:t>
      </w:r>
      <w:r w:rsidR="000B094E" w:rsidRPr="00F120D6">
        <w:t>a phenomenon that highlights shifts in both epistemological and ontological considerations within higher education</w:t>
      </w:r>
      <w:r w:rsidR="000B094E">
        <w:t xml:space="preserve"> </w:t>
      </w:r>
      <w:r w:rsidR="000B094E" w:rsidRPr="00B55AA8">
        <w:t>(James &amp; Brookfield, 2014).</w:t>
      </w:r>
      <w:r w:rsidR="000B094E" w:rsidRPr="00F120D6">
        <w:t xml:space="preserve"> Epistemologically, this demand reflects a move towards valuing applied knowledge that supports professional growth over traditional theoretical frameworks, indicating a paradigm shift in what is considered valuable knowledge within HEIs (James &amp; Brookfield, 2014).</w:t>
      </w:r>
    </w:p>
    <w:p w14:paraId="12E9B2B3" w14:textId="3F03D514" w:rsidR="00F24AD4" w:rsidRDefault="001A5CF9" w:rsidP="00EA7C81">
      <w:pPr>
        <w:spacing w:line="360" w:lineRule="auto"/>
      </w:pPr>
      <w:r>
        <w:t>Individuals affected</w:t>
      </w:r>
      <w:r w:rsidR="00B55AA8" w:rsidRPr="00B55AA8">
        <w:t xml:space="preserve"> who are often mid-career professionals seeking career advancement or skill development, present distinctive learning needs compared to traditional students</w:t>
      </w:r>
      <w:r w:rsidR="004531A3">
        <w:t xml:space="preserve"> (</w:t>
      </w:r>
      <w:proofErr w:type="spellStart"/>
      <w:r w:rsidR="00BF52A2" w:rsidRPr="00BF52A2">
        <w:t>Tusting</w:t>
      </w:r>
      <w:proofErr w:type="spellEnd"/>
      <w:r w:rsidR="00BF52A2" w:rsidRPr="00BF52A2">
        <w:t xml:space="preserve"> &amp; Barton, 2006</w:t>
      </w:r>
      <w:r w:rsidR="004531A3">
        <w:t>)</w:t>
      </w:r>
      <w:r w:rsidR="00B55AA8" w:rsidRPr="00B55AA8">
        <w:t xml:space="preserve">. They possess significant practical experience and seek educational experiences that are directly applicable to their professional contexts (Illeris, 2018). </w:t>
      </w:r>
      <w:r w:rsidR="0032320C" w:rsidRPr="0032320C">
        <w:t>This highlights an objectivist perspective that values concrete, pragmatic outcomes and recognises the reality of professional experience as essential in shaping their educational needs</w:t>
      </w:r>
      <w:r w:rsidR="00E01170">
        <w:t xml:space="preserve"> </w:t>
      </w:r>
      <w:r w:rsidR="00E01170" w:rsidRPr="00B55AA8">
        <w:t>(Merriam &amp; Bierema, 2013).</w:t>
      </w:r>
    </w:p>
    <w:p w14:paraId="5A4F195E" w14:textId="77777777" w:rsidR="008E7840" w:rsidRDefault="001C2B57" w:rsidP="00EA7C81">
      <w:pPr>
        <w:spacing w:line="360" w:lineRule="auto"/>
      </w:pPr>
      <w:r>
        <w:t>T</w:t>
      </w:r>
      <w:r w:rsidRPr="001C2B57">
        <w:t>raditional pedagogical approaches within HEIs have largely been crafted to support younger, more theoretically oriented students</w:t>
      </w:r>
      <w:r w:rsidR="00E32032">
        <w:t xml:space="preserve"> (</w:t>
      </w:r>
      <w:r w:rsidR="00335407" w:rsidRPr="00335407">
        <w:t>Tait, 2000</w:t>
      </w:r>
      <w:r w:rsidR="00E32032">
        <w:t>)</w:t>
      </w:r>
      <w:r w:rsidRPr="001C2B57">
        <w:t xml:space="preserve">. Yet, these approaches are often </w:t>
      </w:r>
      <w:r w:rsidR="001A5CF9">
        <w:t>incompatible</w:t>
      </w:r>
      <w:r w:rsidR="001A5CF9" w:rsidRPr="001C2B57">
        <w:t xml:space="preserve"> </w:t>
      </w:r>
      <w:r w:rsidRPr="001C2B57">
        <w:t xml:space="preserve">with industry professionals' expectations, who perceive education through a subjectivist lens, prioritising its relevance to their existing professional contexts (Boud &amp; Garrick, 2002). This divergence illustrates a key phenomenological issue in HEIs today: the lived experiences of industry professionals require pedagogies that foster immediate applicability rather than abstract theoretical knowledge (Merriam &amp; Bierema, 2013). </w:t>
      </w:r>
      <w:r w:rsidR="004920B7">
        <w:t>Thi</w:t>
      </w:r>
      <w:r w:rsidR="005E55B3">
        <w:t>s</w:t>
      </w:r>
      <w:r w:rsidR="004920B7">
        <w:t xml:space="preserve"> notion is backed up by </w:t>
      </w:r>
      <w:r w:rsidR="004920B7" w:rsidRPr="00B55AA8">
        <w:t>Knowles (1980)</w:t>
      </w:r>
      <w:r w:rsidR="004920B7">
        <w:t>, who</w:t>
      </w:r>
      <w:r w:rsidR="004920B7" w:rsidRPr="00B55AA8">
        <w:t xml:space="preserve"> argued that adult learners, being intrinsically self-directed and goal-oriented, require educational environments that connect learning directly to their professional contexts. </w:t>
      </w:r>
    </w:p>
    <w:p w14:paraId="6D5B5ACA" w14:textId="13BFA648" w:rsidR="00B55AA8" w:rsidRPr="00B55AA8" w:rsidRDefault="004920B7" w:rsidP="00EA7C81">
      <w:pPr>
        <w:spacing w:line="360" w:lineRule="auto"/>
      </w:pPr>
      <w:r w:rsidRPr="00B55AA8">
        <w:t>Hence, adapting pedagogical frameworks to better meet the preferences and expectations of industry professionals is of paramount importance</w:t>
      </w:r>
      <w:r>
        <w:t xml:space="preserve">. </w:t>
      </w:r>
      <w:r w:rsidR="001C2B57" w:rsidRPr="001C2B57">
        <w:t>To adapt effectively, HEIs must consider this shift towards knowledge as a dynamic phenomenon that both encompasses and transcends traditional theoretical constructs</w:t>
      </w:r>
    </w:p>
    <w:p w14:paraId="64B6F722" w14:textId="19B3D0E9" w:rsidR="00B55AA8" w:rsidRPr="00B55AA8" w:rsidRDefault="00B55AA8" w:rsidP="00EA7C81">
      <w:pPr>
        <w:spacing w:line="360" w:lineRule="auto"/>
      </w:pPr>
      <w:r w:rsidRPr="00B55AA8">
        <w:t>Moreover, this transformation in pedagogical approaches is crucial in addressing the discrepancies between the skills developed through traditional academic instruction and those demanded in modern workplaces. As industries evolve and the pace of technological advancement accelerates, there is an urgent need for HEIs to cultivate educational models that are dynamic and responsive to these changes (Illeris, 2018). Industry professionals are often engaged in sectors characteri</w:t>
      </w:r>
      <w:r w:rsidR="00887388">
        <w:t>s</w:t>
      </w:r>
      <w:r w:rsidRPr="00B55AA8">
        <w:t>ed by rapid innovation, necessitating a curriculum that evolves in tandem with their professional requirements</w:t>
      </w:r>
      <w:r w:rsidR="0020350E">
        <w:t xml:space="preserve"> (</w:t>
      </w:r>
      <w:r w:rsidR="00335407" w:rsidRPr="00335407">
        <w:t>Eraut, 2004</w:t>
      </w:r>
      <w:r w:rsidR="0020350E">
        <w:t>)</w:t>
      </w:r>
      <w:r w:rsidRPr="00B55AA8">
        <w:t>.</w:t>
      </w:r>
    </w:p>
    <w:p w14:paraId="5A33C803" w14:textId="2EC508A6" w:rsidR="00B55AA8" w:rsidRPr="00B55AA8" w:rsidRDefault="00B55AA8" w:rsidP="00EA7C81">
      <w:pPr>
        <w:spacing w:line="360" w:lineRule="auto"/>
      </w:pPr>
      <w:r w:rsidRPr="00B55AA8">
        <w:t>Additionally, there is a clear need for HEIs to develop deeper collaborations with industry stakeholders to ensure that the curriculum remains aligned with emerging sector demands</w:t>
      </w:r>
      <w:r w:rsidR="000C495C">
        <w:t xml:space="preserve"> (</w:t>
      </w:r>
      <w:r w:rsidR="00056C6D">
        <w:t>Ali</w:t>
      </w:r>
      <w:r w:rsidR="009F3793">
        <w:t xml:space="preserve"> et al.</w:t>
      </w:r>
      <w:r w:rsidR="00A608B4" w:rsidRPr="00A608B4">
        <w:t>, 202</w:t>
      </w:r>
      <w:r w:rsidR="009F3793">
        <w:t>0</w:t>
      </w:r>
      <w:r w:rsidR="000C495C">
        <w:t>)</w:t>
      </w:r>
      <w:r w:rsidRPr="00B55AA8">
        <w:t>. Such collaborations can facilitate the co-creation of learning experiences that are both academically rigorous and professionally relevant, providing learners with the competencies required to excel in their respective fields. The integration of industry-relevant case studies, practitioner-led seminars, and problem-solving workshops can further enhance the applicability of learning and help bridge the gap between theory and practice (Gibbs &amp; Simpson, 2004).</w:t>
      </w:r>
    </w:p>
    <w:p w14:paraId="0F8D142D" w14:textId="5D73E30C" w:rsidR="00B55AA8" w:rsidRPr="00B55AA8" w:rsidRDefault="00B55AA8" w:rsidP="00EA7C81">
      <w:pPr>
        <w:spacing w:line="360" w:lineRule="auto"/>
      </w:pPr>
      <w:r w:rsidRPr="00B55AA8">
        <w:t>This</w:t>
      </w:r>
      <w:r w:rsidR="008E7840">
        <w:t xml:space="preserve"> review</w:t>
      </w:r>
      <w:r w:rsidRPr="00B55AA8">
        <w:t xml:space="preserve"> aims to explore how HEIs can enhance their pedagogical offerings for industry professionals by integrating work-based learning (WBL) and experiential learning models. Both approaches have been recogni</w:t>
      </w:r>
      <w:r w:rsidR="001A5CF9">
        <w:t>s</w:t>
      </w:r>
      <w:r w:rsidRPr="00B55AA8">
        <w:t xml:space="preserve">ed for their efficacy in bridging the gap between academic theory and practical application (Boud &amp; Solomon, 2001). In alignment with the Welsh Government's emphasis on enhancing employability and professional competencies in higher education (Welsh Government, 2013), this research seeks to </w:t>
      </w:r>
      <w:r w:rsidR="00A40EF7" w:rsidRPr="00B55AA8">
        <w:t>clarify</w:t>
      </w:r>
      <w:r w:rsidRPr="00B55AA8">
        <w:t xml:space="preserve"> effective strategies for implementing these approaches more systematically. Furthermore, the potential impact of these models on enhancing learner engagement, academic success, and overall educational quality will also be evaluated, with an emphasis on understanding how these approaches can foster lifelong learning and career resilience.</w:t>
      </w:r>
    </w:p>
    <w:p w14:paraId="324BCA34" w14:textId="2898987F" w:rsidR="00B55AA8" w:rsidRPr="00B55AA8" w:rsidRDefault="00B55AA8" w:rsidP="00F462BA">
      <w:pPr>
        <w:spacing w:line="360" w:lineRule="auto"/>
      </w:pPr>
      <w:r w:rsidRPr="00B55AA8">
        <w:t>A significant factor driving the need for pedagogical adaptation is the diversification of learner demographics in higher education</w:t>
      </w:r>
      <w:r w:rsidR="00A40EF7">
        <w:t xml:space="preserve"> (</w:t>
      </w:r>
      <w:r w:rsidR="00F462BA" w:rsidRPr="00F462BA">
        <w:t>Office for Students, 2021</w:t>
      </w:r>
      <w:r w:rsidR="00A40EF7">
        <w:t>)</w:t>
      </w:r>
      <w:r w:rsidRPr="00B55AA8">
        <w:t>. The typical student profile has expanded beyond recent secondary school graduates to include a diverse group of adult learners who bring with them a wide range of experiences, professional backgrounds, and expectations (Schuetze &amp; Slowey, 2002). The increasing participation of industry professionals in HEIs underscores the importance of developing flexible and differentiated learning pathways that can cater to the varying needs and aspirations of these learners. By designing programs that are modular, self-paced, and accessible through various formats</w:t>
      </w:r>
      <w:r w:rsidR="00A40EF7">
        <w:t xml:space="preserve">, </w:t>
      </w:r>
      <w:r w:rsidRPr="00B55AA8">
        <w:t>such as online and blended learning</w:t>
      </w:r>
      <w:r w:rsidR="00A40EF7">
        <w:t xml:space="preserve">. </w:t>
      </w:r>
      <w:r w:rsidRPr="00B55AA8">
        <w:t>HEIs can make learning more inclusive and tailored to individual learner profiles (Tait, 2000).</w:t>
      </w:r>
    </w:p>
    <w:p w14:paraId="20990E26" w14:textId="77777777" w:rsidR="00B55AA8" w:rsidRPr="00B55AA8" w:rsidRDefault="00B55AA8" w:rsidP="00EA7C81">
      <w:pPr>
        <w:spacing w:line="360" w:lineRule="auto"/>
      </w:pPr>
      <w:r w:rsidRPr="00B55AA8">
        <w:t>The potential benefits of implementing WBL and experiential learning extend beyond the individual learner. At the institutional level, integrating such models can enhance the reputation of HEIs by positioning them as leaders in delivering relevant, high-quality education that meets the evolving needs of the workforce. Moreover, these pedagogical approaches align with governmental priorities aimed at enhancing workforce employability and economic development, making them particularly pertinent in the current policy landscape (Welsh Government, 2019). By aligning educational outcomes with broader societal needs, HEIs can contribute to national goals for innovation, productivity, and social inclusion.</w:t>
      </w:r>
    </w:p>
    <w:p w14:paraId="2AC098CE" w14:textId="77777777" w:rsidR="00B55AA8" w:rsidRPr="00B55AA8" w:rsidRDefault="00B55AA8" w:rsidP="00EA7C81">
      <w:pPr>
        <w:pStyle w:val="Heading2"/>
        <w:spacing w:line="360" w:lineRule="auto"/>
      </w:pPr>
      <w:bookmarkStart w:id="1" w:name="_Toc191900753"/>
      <w:r w:rsidRPr="00B55AA8">
        <w:t>Research Questions:</w:t>
      </w:r>
      <w:bookmarkEnd w:id="1"/>
    </w:p>
    <w:p w14:paraId="39B2D7E0" w14:textId="2B93327E" w:rsidR="00B55AA8" w:rsidRPr="00B55AA8" w:rsidRDefault="004E7CAB" w:rsidP="00EA7C81">
      <w:pPr>
        <w:numPr>
          <w:ilvl w:val="0"/>
          <w:numId w:val="1"/>
        </w:numPr>
        <w:spacing w:line="360" w:lineRule="auto"/>
      </w:pPr>
      <w:r w:rsidRPr="004E7CAB">
        <w:t>The epistemological question of</w:t>
      </w:r>
      <w:r>
        <w:t xml:space="preserve"> “</w:t>
      </w:r>
      <w:r w:rsidR="00B55AA8" w:rsidRPr="00B55AA8">
        <w:t xml:space="preserve">How can work-based and experiential learning frameworks be effectively implemented to support industry professionals </w:t>
      </w:r>
      <w:r w:rsidR="00A40EF7">
        <w:t xml:space="preserve">to </w:t>
      </w:r>
      <w:r w:rsidR="00BB13A4">
        <w:t xml:space="preserve">gain experiential knowledge </w:t>
      </w:r>
      <w:r w:rsidR="00B55AA8" w:rsidRPr="00B55AA8">
        <w:t>in higher education?</w:t>
      </w:r>
      <w:r>
        <w:t>”</w:t>
      </w:r>
      <w:r w:rsidR="00C35207">
        <w:t xml:space="preserve"> </w:t>
      </w:r>
    </w:p>
    <w:p w14:paraId="1D107954" w14:textId="66634BD0" w:rsidR="00B55AA8" w:rsidRPr="00B55AA8" w:rsidRDefault="008154F4" w:rsidP="00EA7C81">
      <w:pPr>
        <w:numPr>
          <w:ilvl w:val="0"/>
          <w:numId w:val="1"/>
        </w:numPr>
        <w:spacing w:line="360" w:lineRule="auto"/>
      </w:pPr>
      <w:r>
        <w:t>T</w:t>
      </w:r>
      <w:r w:rsidRPr="008154F4">
        <w:t>he ontological consideration of</w:t>
      </w:r>
      <w:r>
        <w:t xml:space="preserve"> “</w:t>
      </w:r>
      <w:r w:rsidR="00B55AA8" w:rsidRPr="00B55AA8">
        <w:t>What are the specific challenges</w:t>
      </w:r>
      <w:r w:rsidR="00E20A7F">
        <w:t xml:space="preserve"> </w:t>
      </w:r>
      <w:r w:rsidR="00B55AA8" w:rsidRPr="00B55AA8">
        <w:t xml:space="preserve">that industry professionals encounter in </w:t>
      </w:r>
      <w:r w:rsidR="00DE5ABA">
        <w:t xml:space="preserve">their perceptions of </w:t>
      </w:r>
      <w:r w:rsidR="00B55AA8" w:rsidRPr="00B55AA8">
        <w:t>traditional higher education environments, and how can these challenges be mitigated?</w:t>
      </w:r>
      <w:r>
        <w:t>”</w:t>
      </w:r>
    </w:p>
    <w:p w14:paraId="1C0B53E6" w14:textId="77777777" w:rsidR="00B55AA8" w:rsidRPr="00B55AA8" w:rsidRDefault="00B55AA8" w:rsidP="00EA7C81">
      <w:pPr>
        <w:numPr>
          <w:ilvl w:val="0"/>
          <w:numId w:val="1"/>
        </w:numPr>
        <w:spacing w:line="360" w:lineRule="auto"/>
      </w:pPr>
      <w:r w:rsidRPr="00B55AA8">
        <w:t>In what ways can collaborations between HEIs and industry stakeholders be leveraged to enhance the quality and relevance of educational offerings for industry professionals?</w:t>
      </w:r>
    </w:p>
    <w:p w14:paraId="799E63DC" w14:textId="7F80AA8C" w:rsidR="00B55AA8" w:rsidRPr="00B55AA8" w:rsidRDefault="008154F4" w:rsidP="00EA7C81">
      <w:pPr>
        <w:numPr>
          <w:ilvl w:val="0"/>
          <w:numId w:val="1"/>
        </w:numPr>
        <w:spacing w:line="360" w:lineRule="auto"/>
      </w:pPr>
      <w:r w:rsidRPr="008154F4">
        <w:t>The subjective inquiry into</w:t>
      </w:r>
      <w:r>
        <w:t xml:space="preserve"> “</w:t>
      </w:r>
      <w:r w:rsidR="00B55AA8" w:rsidRPr="00B55AA8">
        <w:t>How can the adoption of flexible and differentiated learning pathways contribute to the inclusivity and effectiveness of HEI programs for diverse learner groups?</w:t>
      </w:r>
      <w:r w:rsidR="000F2081">
        <w:t>”</w:t>
      </w:r>
    </w:p>
    <w:p w14:paraId="2D538A7D" w14:textId="0B5924A1" w:rsidR="00B55AA8" w:rsidRPr="00B55AA8" w:rsidRDefault="00B55AA8" w:rsidP="00186B12">
      <w:pPr>
        <w:spacing w:line="360" w:lineRule="auto"/>
      </w:pPr>
      <w:r w:rsidRPr="00B55AA8">
        <w:t>The research critically evaluates the existing literature to generate actionable recommendations for HEIs to better align with the educational needs of industry professionals. By synthesi</w:t>
      </w:r>
      <w:r w:rsidR="00A40EF7">
        <w:t>s</w:t>
      </w:r>
      <w:r w:rsidRPr="00B55AA8">
        <w:t>ing findings across multiple studies, this research aims to provide a comprehensive understanding of the barriers faced by industry professionals in traditional HE environments and the strategies that can be employed to create more supportive, responsive, and effective learning ecosystems.</w:t>
      </w:r>
    </w:p>
    <w:p w14:paraId="78F4A02B" w14:textId="77777777" w:rsidR="00B55AA8" w:rsidRPr="00B55AA8" w:rsidRDefault="00B55AA8" w:rsidP="00EA7C81">
      <w:pPr>
        <w:pStyle w:val="Heading1"/>
        <w:spacing w:line="360" w:lineRule="auto"/>
      </w:pPr>
      <w:bookmarkStart w:id="2" w:name="_Toc191900754"/>
      <w:r w:rsidRPr="00B55AA8">
        <w:t>2. Literature Review</w:t>
      </w:r>
      <w:bookmarkEnd w:id="2"/>
    </w:p>
    <w:p w14:paraId="5BB18BC1" w14:textId="77777777" w:rsidR="00B55AA8" w:rsidRPr="00B55AA8" w:rsidRDefault="00B55AA8" w:rsidP="00EA7C81">
      <w:pPr>
        <w:pStyle w:val="Heading2"/>
        <w:spacing w:line="360" w:lineRule="auto"/>
      </w:pPr>
      <w:bookmarkStart w:id="3" w:name="_Toc191900755"/>
      <w:r w:rsidRPr="00B55AA8">
        <w:t>2.1 Adult Learning Theories and Andragogy</w:t>
      </w:r>
      <w:bookmarkEnd w:id="3"/>
    </w:p>
    <w:p w14:paraId="454B47F3" w14:textId="321FEBCA" w:rsidR="00B55AA8" w:rsidRPr="00B55AA8" w:rsidRDefault="00B55AA8" w:rsidP="00EA7C81">
      <w:pPr>
        <w:spacing w:line="360" w:lineRule="auto"/>
      </w:pPr>
      <w:r w:rsidRPr="00B55AA8">
        <w:t>The foundational concept of andragogy, developed by Malcolm Knowles (1980), is instrumental in understanding the educational needs of adult learners, particularly those engaged in professional fields. Knowles' principles emphasi</w:t>
      </w:r>
      <w:r w:rsidR="00A40EF7">
        <w:t>s</w:t>
      </w:r>
      <w:r w:rsidRPr="00B55AA8">
        <w:t>e the self-directed nature of adult learners and the importance of leveraging prior professional experiences as critical learning resources (Merriam &amp; Bierema, 2013). Industry professionals, who bring significant on-the-job expertise, often find traditional pedagogical methods that rely on passive learning, such as lectures, to be inadequate (Boud &amp; Garrick, 2002). Instead, they thrive in environments that facilitate the integration of theoretical frameworks with practical, context-specific applications (Illeris, 2018).</w:t>
      </w:r>
    </w:p>
    <w:p w14:paraId="74141123" w14:textId="77777777" w:rsidR="00B55AA8" w:rsidRPr="00B55AA8" w:rsidRDefault="00B55AA8" w:rsidP="00EA7C81">
      <w:pPr>
        <w:spacing w:line="360" w:lineRule="auto"/>
      </w:pPr>
      <w:r w:rsidRPr="00B55AA8">
        <w:t>Critiques of Knowles' model suggest that it may be overly rigid, failing to account for the diverse cultural and professional backgrounds of adult learners (</w:t>
      </w:r>
      <w:proofErr w:type="spellStart"/>
      <w:r w:rsidRPr="00B55AA8">
        <w:t>Tusting</w:t>
      </w:r>
      <w:proofErr w:type="spellEnd"/>
      <w:r w:rsidRPr="00B55AA8">
        <w:t xml:space="preserve"> &amp; Barton, 2006). While Knowles provides a foundational understanding, there is a growing recognition of the need for nuanced pedagogical frameworks that address socio-cultural variations in adult learning (Fenwick, 2001). Industry professionals working in globally diverse environments may face unique challenges that necessitate more tailored and context-sensitive pedagogical approaches.</w:t>
      </w:r>
    </w:p>
    <w:p w14:paraId="40E26014" w14:textId="77777777" w:rsidR="00B55AA8" w:rsidRPr="00B55AA8" w:rsidRDefault="00B55AA8" w:rsidP="00EA7C81">
      <w:pPr>
        <w:spacing w:line="360" w:lineRule="auto"/>
      </w:pPr>
      <w:r w:rsidRPr="00B55AA8">
        <w:t>For example, industry professionals in technology sectors often require rapid upskilling in emerging tools and methodologies, while those in managerial positions may benefit more from reflective learning practices to enhance leadership abilities. Consequently, HEIs must consider adaptive pedagogies that respond to the particular needs of different professional domains rather than adopting a generic, one-size-fits-all approach (Eraut, 2000). A more granular approach to the application of andragogical principles will involve diversifying pedagogical strategies to account for sector-specific demands, thus ensuring that learning outcomes are closely aligned with industry expectations.</w:t>
      </w:r>
    </w:p>
    <w:p w14:paraId="478CBC8D" w14:textId="1909800A" w:rsidR="00B55AA8" w:rsidRPr="00B55AA8" w:rsidRDefault="00B55AA8" w:rsidP="007406BA">
      <w:pPr>
        <w:spacing w:line="360" w:lineRule="auto"/>
      </w:pPr>
      <w:r w:rsidRPr="00B55AA8">
        <w:t>Furthermore, recent advancements in the understanding of adult learning underscore the importance of emotional and motivational factors in driving effective education (Illeris, 2018). Emotional engagement and the intrinsic motivation to connect learning to professional practice are paramount in fostering deep learning experiences</w:t>
      </w:r>
      <w:r w:rsidR="00A40EF7">
        <w:t xml:space="preserve"> (</w:t>
      </w:r>
      <w:r w:rsidR="007406BA" w:rsidRPr="007406BA">
        <w:t>Thompson, 2024</w:t>
      </w:r>
      <w:r w:rsidR="00A40EF7">
        <w:t>)</w:t>
      </w:r>
      <w:r w:rsidRPr="00B55AA8">
        <w:t>. This highlights the need for HEIs to design educational environments that not only cater to the cognitive needs of adult learners but also support their emotional and motivational dynamics.</w:t>
      </w:r>
    </w:p>
    <w:p w14:paraId="7D2A4C87" w14:textId="77777777" w:rsidR="00B55AA8" w:rsidRPr="00B55AA8" w:rsidRDefault="00B55AA8" w:rsidP="00EA7C81">
      <w:pPr>
        <w:pStyle w:val="Heading2"/>
        <w:spacing w:line="360" w:lineRule="auto"/>
      </w:pPr>
      <w:bookmarkStart w:id="4" w:name="_Toc191900756"/>
      <w:r w:rsidRPr="00B55AA8">
        <w:t>2.2 Work-Based Learning (WBL)</w:t>
      </w:r>
      <w:bookmarkEnd w:id="4"/>
    </w:p>
    <w:p w14:paraId="5AC6D90B" w14:textId="357A96F9" w:rsidR="00B55AA8" w:rsidRPr="00B55AA8" w:rsidRDefault="00B55AA8" w:rsidP="00EA7C81">
      <w:pPr>
        <w:spacing w:line="360" w:lineRule="auto"/>
      </w:pPr>
      <w:r w:rsidRPr="00B55AA8">
        <w:t>Work-based learning (WBL) offers a pedagogical response to bridging the gap between theoretical academic knowledge and the practical demands of the workplace. Boud and Solomon (2001) describe WBL as an educational strategy that integrates professional experiences into the academic curriculum, enabling learners to apply theoretical constructs directly to their professional environments. WBL aligns closely with the situated learning theory proposed by Lave and Wenger (1991), which posits that knowledge is constructed most effectively when embedded within authentic, real-world contexts.</w:t>
      </w:r>
    </w:p>
    <w:p w14:paraId="19815A88" w14:textId="0B719F11" w:rsidR="00B55AA8" w:rsidRPr="00B55AA8" w:rsidRDefault="00B55AA8" w:rsidP="00EA7C81">
      <w:pPr>
        <w:spacing w:line="360" w:lineRule="auto"/>
      </w:pPr>
      <w:r w:rsidRPr="00B55AA8">
        <w:t>In Wales, the promotion of WBL as a mechanism for enhancing employability has gained traction in recent years. The Welsh Government’s Higher Education Strategy (2013) underscores the significance of embedding work-based competencies within academic programs to better prepare graduates for professional challenges.</w:t>
      </w:r>
      <w:r w:rsidR="00A40EF7">
        <w:t xml:space="preserve"> The University of Wales Trinity St Davids</w:t>
      </w:r>
      <w:r w:rsidRPr="00B55AA8">
        <w:t xml:space="preserve"> </w:t>
      </w:r>
      <w:r w:rsidR="00A40EF7">
        <w:t>(</w:t>
      </w:r>
      <w:r w:rsidRPr="00B55AA8">
        <w:t>UWTSD</w:t>
      </w:r>
      <w:r w:rsidR="00A40EF7">
        <w:t>)</w:t>
      </w:r>
      <w:r w:rsidRPr="00B55AA8">
        <w:t xml:space="preserve"> has been a leader in this regard, offering diverse WBL programs that integrate academic content with professional relevance, thereby creating value for industry professionals (UWTSD, 2021).</w:t>
      </w:r>
    </w:p>
    <w:p w14:paraId="127ADD97" w14:textId="77777777" w:rsidR="00B55AA8" w:rsidRPr="00B55AA8" w:rsidRDefault="00B55AA8" w:rsidP="00EA7C81">
      <w:pPr>
        <w:spacing w:line="360" w:lineRule="auto"/>
      </w:pPr>
      <w:r w:rsidRPr="00B55AA8">
        <w:t>However, the WBL model is not without its limitations. Raelin (2010) cautions that overemphasis on workplace learning can detract from a deeper engagement with theoretical perspectives. Industry professionals may, consequently, miss opportunities to cultivate broader critical thinking and reflective problem-solving capabilities that are crucial for sustained career advancement. Therefore, HEIs must ensure that WBL programs are balanced, incorporating both practical applicability and rigorous theoretical inquiry to foster holistic professional development.</w:t>
      </w:r>
    </w:p>
    <w:p w14:paraId="0E939697" w14:textId="1E6D4C69" w:rsidR="00B55AA8" w:rsidRPr="00B55AA8" w:rsidRDefault="00B55AA8" w:rsidP="00EA7C81">
      <w:pPr>
        <w:spacing w:line="360" w:lineRule="auto"/>
      </w:pPr>
      <w:r w:rsidRPr="00B55AA8">
        <w:t>Additionally, there is a need to establish structured reflective practices within WBL to maximi</w:t>
      </w:r>
      <w:r w:rsidR="00A40EF7">
        <w:t>s</w:t>
      </w:r>
      <w:r w:rsidRPr="00B55AA8">
        <w:t>e its impact. Schön (1983) argues that reflective practice is essential for transforming experience into learning. Through structured reflection, learners can critically evaluate their workplace experiences, draw meaningful insights, and synthesi</w:t>
      </w:r>
      <w:r w:rsidR="0098148D">
        <w:t>s</w:t>
      </w:r>
      <w:r w:rsidRPr="00B55AA8">
        <w:t>e theoretical knowledge with practical realities. This reflective aspect is key to ensuring that WBL does not become a mere extension of workplace tasks but serves as a transformative educational experience.</w:t>
      </w:r>
    </w:p>
    <w:p w14:paraId="4F04E331" w14:textId="43C48200" w:rsidR="00B55AA8" w:rsidRPr="00B55AA8" w:rsidRDefault="00B55AA8" w:rsidP="00EA7C81">
      <w:pPr>
        <w:spacing w:line="360" w:lineRule="auto"/>
      </w:pPr>
      <w:r w:rsidRPr="00B55AA8">
        <w:t>The potential for WBL to foster organi</w:t>
      </w:r>
      <w:r w:rsidR="00A40EF7">
        <w:t>s</w:t>
      </w:r>
      <w:r w:rsidRPr="00B55AA8">
        <w:t>ational as well as individual growth is another crucial aspect. Wenger (1998) emphasi</w:t>
      </w:r>
      <w:r w:rsidR="00A40EF7">
        <w:t>s</w:t>
      </w:r>
      <w:r w:rsidRPr="00B55AA8">
        <w:t>es the role of learning as a social process, wherein communities of practice contribute to the collective learning of both individuals and organi</w:t>
      </w:r>
      <w:r w:rsidR="00A40EF7">
        <w:t>s</w:t>
      </w:r>
      <w:r w:rsidRPr="00B55AA8">
        <w:t>ations. Thus, WBL not only benefits industry professionals but also supports the broader development of the organi</w:t>
      </w:r>
      <w:r w:rsidR="00A40EF7">
        <w:t>s</w:t>
      </w:r>
      <w:r w:rsidRPr="00B55AA8">
        <w:t>ations in which they work by promoting knowledge transfer and collaborative innovation.</w:t>
      </w:r>
    </w:p>
    <w:p w14:paraId="098C9B75" w14:textId="77777777" w:rsidR="00B55AA8" w:rsidRPr="00B55AA8" w:rsidRDefault="00B55AA8" w:rsidP="00EA7C81">
      <w:pPr>
        <w:pStyle w:val="Heading2"/>
        <w:spacing w:line="360" w:lineRule="auto"/>
      </w:pPr>
      <w:bookmarkStart w:id="5" w:name="_Toc191900757"/>
      <w:r w:rsidRPr="00B55AA8">
        <w:t>2.3 Experiential Learning</w:t>
      </w:r>
      <w:bookmarkEnd w:id="5"/>
    </w:p>
    <w:p w14:paraId="72348402" w14:textId="4B89AB3A" w:rsidR="00B55AA8" w:rsidRPr="00B55AA8" w:rsidRDefault="00B55AA8" w:rsidP="00EA7C81">
      <w:pPr>
        <w:spacing w:line="360" w:lineRule="auto"/>
      </w:pPr>
      <w:r w:rsidRPr="00B55AA8">
        <w:t xml:space="preserve">Kolb's (1984) </w:t>
      </w:r>
      <w:r w:rsidR="00EA56EB">
        <w:t>E</w:t>
      </w:r>
      <w:r w:rsidRPr="00B55AA8">
        <w:t xml:space="preserve">xperiential </w:t>
      </w:r>
      <w:r w:rsidR="00EA56EB">
        <w:t>L</w:t>
      </w:r>
      <w:r w:rsidRPr="00B55AA8">
        <w:t xml:space="preserve">earning </w:t>
      </w:r>
      <w:r w:rsidR="00EA56EB">
        <w:t>T</w:t>
      </w:r>
      <w:r w:rsidRPr="00B55AA8">
        <w:t>heory (ELT) is another critical pedagogical framework that has demonstrated considerable efficacy in adult education, particularly for industry professionals. ELT conceptuali</w:t>
      </w:r>
      <w:r w:rsidR="006E3D3D">
        <w:t>s</w:t>
      </w:r>
      <w:r w:rsidRPr="00B55AA8">
        <w:t>es learning as an iterative cycle comprising four stages: concrete experience, reflective observation, abstract conceptuali</w:t>
      </w:r>
      <w:r w:rsidR="006E3D3D">
        <w:t>s</w:t>
      </w:r>
      <w:r w:rsidRPr="00B55AA8">
        <w:t>ation, and active experimentation. This cyclical process enables industry professionals to apply newly acquired academic knowledge in their workplaces, reflect on outcomes, and adapt strategies for improved efficacy (Kolb &amp; Kolb, 2017).</w:t>
      </w:r>
    </w:p>
    <w:p w14:paraId="63B93CE2" w14:textId="77777777" w:rsidR="00B55AA8" w:rsidRPr="00B55AA8" w:rsidRDefault="00B55AA8" w:rsidP="00EA7C81">
      <w:pPr>
        <w:spacing w:line="360" w:lineRule="auto"/>
      </w:pPr>
      <w:r w:rsidRPr="00B55AA8">
        <w:t>The adoption of project-based learning at UWTSD serves as a practical example of how experiential learning can be embedded within higher education curricula. Project-based assessments challenge learners to address real-world problems, thereby encouraging the application of theoretical knowledge in practice (UWTSD, 2021). Such experiences not only deepen theoretical understanding but also enhance problem-solving skills, critical reflection, and adaptive learning capabilities.</w:t>
      </w:r>
    </w:p>
    <w:p w14:paraId="54618331" w14:textId="77777777" w:rsidR="00B55AA8" w:rsidRPr="00B55AA8" w:rsidRDefault="00B55AA8" w:rsidP="00EA7C81">
      <w:pPr>
        <w:spacing w:line="360" w:lineRule="auto"/>
      </w:pPr>
      <w:r w:rsidRPr="00B55AA8">
        <w:t>Despite its strengths, Kolb's model has faced criticism for its perceived rigidity. Miettinen (2000) argues that the linear progression of the ELT cycle does not adequately capture the non-linear and often context-dependent nature of adult learning. Industry professionals may engage in fragmented and situation-specific learning processes that do not align neatly with Kolb’s cyclical model. Thus, while experiential learning provides valuable insights, it must be complemented by flexible pedagogies that account for the complexity and variability of adult learning trajectories.</w:t>
      </w:r>
    </w:p>
    <w:p w14:paraId="3BF2C784" w14:textId="396143AA" w:rsidR="00B55AA8" w:rsidRPr="00B55AA8" w:rsidRDefault="00B55AA8" w:rsidP="00EA7C81">
      <w:pPr>
        <w:spacing w:line="360" w:lineRule="auto"/>
      </w:pPr>
      <w:r w:rsidRPr="00B55AA8">
        <w:t xml:space="preserve">Moreover, experiential learning should be embedded in a broader framework of </w:t>
      </w:r>
      <w:r w:rsidRPr="00375045">
        <w:t>reflective practice and action learning</w:t>
      </w:r>
      <w:r w:rsidRPr="00B55AA8">
        <w:t xml:space="preserve">. Pedler (2011) </w:t>
      </w:r>
      <w:r w:rsidR="008E7840">
        <w:t>claims</w:t>
      </w:r>
      <w:r w:rsidR="0098148D" w:rsidRPr="00B55AA8">
        <w:t xml:space="preserve"> </w:t>
      </w:r>
      <w:r w:rsidRPr="00B55AA8">
        <w:t>that experiential learning reaches its fullest potential when learners engage in continuous cycles of action and reflection, ultimately fostering transformative learning. This perspective aligns with Mezirow’s (1991) transformative learning theory, which suggests that adult learning should be about challenging assumptions and facilitating profound shifts in perspective. Embedding these elements into experiential learning can enhance its efficacy for industry professionals who are seeking both personal and professional growth.</w:t>
      </w:r>
    </w:p>
    <w:p w14:paraId="6BDCEF30" w14:textId="3AFDDEF2" w:rsidR="00B55AA8" w:rsidRPr="00B55AA8" w:rsidRDefault="00B55AA8" w:rsidP="00EA7C81">
      <w:pPr>
        <w:pStyle w:val="Heading2"/>
        <w:spacing w:line="360" w:lineRule="auto"/>
      </w:pPr>
      <w:bookmarkStart w:id="6" w:name="_Toc191900758"/>
      <w:r w:rsidRPr="00B55AA8">
        <w:t xml:space="preserve">2.4 Challenges Faced by Industry Professionals in Traditional </w:t>
      </w:r>
      <w:bookmarkEnd w:id="6"/>
      <w:r w:rsidR="0098148D">
        <w:t>Higher Education (HE)</w:t>
      </w:r>
    </w:p>
    <w:p w14:paraId="15D0F548" w14:textId="7D7DC8CD" w:rsidR="00B55AA8" w:rsidRPr="00B55AA8" w:rsidRDefault="00B55AA8" w:rsidP="00EA7C81">
      <w:pPr>
        <w:spacing w:line="360" w:lineRule="auto"/>
      </w:pPr>
      <w:r w:rsidRPr="00B55AA8">
        <w:t>Despite the recogni</w:t>
      </w:r>
      <w:r w:rsidR="006E3D3D">
        <w:t>s</w:t>
      </w:r>
      <w:r w:rsidRPr="00B55AA8">
        <w:t xml:space="preserve">ed benefits of WBL and experiential learning, industry professionals continue to encounter significant barriers in traditional HE settings. One prevalent issue is the </w:t>
      </w:r>
      <w:r w:rsidRPr="00375045">
        <w:t xml:space="preserve">overemphasis on theoretical content </w:t>
      </w:r>
      <w:r w:rsidRPr="00B55AA8">
        <w:t>within many academic programs (James &amp; Brookfield, 2014). Although theoretical understanding is critical, industry professionals often struggle to connect abstract academic constructs with their practical experiences, leading to disengagement (Boud &amp; Garrick, 2002). This gap underscores the need for curricula that integrate theory with practical application to enhance relevance.</w:t>
      </w:r>
    </w:p>
    <w:p w14:paraId="0C5E93EA" w14:textId="77777777" w:rsidR="00B55AA8" w:rsidRPr="00B55AA8" w:rsidRDefault="00B55AA8" w:rsidP="00EA7C81">
      <w:pPr>
        <w:spacing w:line="360" w:lineRule="auto"/>
      </w:pPr>
      <w:r w:rsidRPr="00375045">
        <w:t>Time constraints</w:t>
      </w:r>
      <w:r w:rsidRPr="00B55AA8">
        <w:t xml:space="preserve"> also represent a substantial challenge for industry professionals. Balancing full-time employment, family obligations, and academic responsibilities is often overwhelming (Merrill, 2001). In response, many HEIs, including UWTSD, have begun offering more flexible learning options, such as blended and online learning formats, to accommodate these needs (Welsh Government, 2021). Nevertheless, further efforts are required to enhance the flexibility of course delivery, assessments, and program pacing to better accommodate the complex lives of adult learners.</w:t>
      </w:r>
    </w:p>
    <w:p w14:paraId="235D39CC" w14:textId="6F1D991C" w:rsidR="00B55AA8" w:rsidRPr="00B55AA8" w:rsidRDefault="00B55AA8" w:rsidP="007406BA">
      <w:pPr>
        <w:spacing w:line="360" w:lineRule="auto"/>
      </w:pPr>
      <w:r w:rsidRPr="00B55AA8">
        <w:t xml:space="preserve">The issue </w:t>
      </w:r>
      <w:r w:rsidRPr="00375045">
        <w:t>of assessment also</w:t>
      </w:r>
      <w:r w:rsidRPr="00B55AA8">
        <w:t xml:space="preserve"> persists as a significant barrier. Traditional assessments, such as essays and exams, tend to focus on theoretical knowledge rather than practical competencies, making them ill-suited for evaluating the skills of industry professionals (Boud &amp; </w:t>
      </w:r>
      <w:proofErr w:type="spellStart"/>
      <w:r w:rsidRPr="00B55AA8">
        <w:t>Falchikov</w:t>
      </w:r>
      <w:proofErr w:type="spellEnd"/>
      <w:r w:rsidRPr="00B55AA8">
        <w:t>, 2007). Instead</w:t>
      </w:r>
      <w:r w:rsidRPr="00375045">
        <w:t>, authentic assessments</w:t>
      </w:r>
      <w:r w:rsidR="002610D2">
        <w:t xml:space="preserve"> </w:t>
      </w:r>
      <w:r w:rsidRPr="00B55AA8">
        <w:t>that mirror real-world professional challenges</w:t>
      </w:r>
      <w:r w:rsidR="002610D2">
        <w:t xml:space="preserve"> </w:t>
      </w:r>
      <w:r w:rsidRPr="00B55AA8">
        <w:t>are more appropriate for measuring the competencies of these learners</w:t>
      </w:r>
      <w:r w:rsidR="00D61A73">
        <w:t xml:space="preserve"> (</w:t>
      </w:r>
      <w:r w:rsidR="007406BA" w:rsidRPr="007406BA">
        <w:t>Advance HE, 2023</w:t>
      </w:r>
      <w:r w:rsidR="00D61A73">
        <w:t>)</w:t>
      </w:r>
      <w:r w:rsidRPr="00B55AA8">
        <w:t>. UWTSD’s emphasis on competency-based assessments exemplifies an approach that better aligns with the practical skillsets of professional learners (UWTSD, 2021).</w:t>
      </w:r>
    </w:p>
    <w:p w14:paraId="4A7F0D04" w14:textId="77777777" w:rsidR="00B55AA8" w:rsidRPr="00B55AA8" w:rsidRDefault="00B55AA8" w:rsidP="00EA7C81">
      <w:pPr>
        <w:spacing w:line="360" w:lineRule="auto"/>
      </w:pPr>
      <w:r w:rsidRPr="00B55AA8">
        <w:t xml:space="preserve">Moreover, there is a pressing need for the development </w:t>
      </w:r>
      <w:r w:rsidRPr="00375045">
        <w:t>of assessment literacy</w:t>
      </w:r>
      <w:r w:rsidRPr="00B55AA8">
        <w:t xml:space="preserve"> among educators involved in the teaching of industry professionals. According to Carless (2015), assessment literacy involves understanding how to design, implement, and interpret assessments that align with learning outcomes. Enhancing the assessment literacy of educators can help ensure that assessment practices are not only fair but also foster learning and skill development. This is particularly critical for industry professionals who require assessments that are directly applicable to their career contexts and provide meaningful feedback that can inform their professional practices.</w:t>
      </w:r>
    </w:p>
    <w:p w14:paraId="6E1BCBBF" w14:textId="47F428B6" w:rsidR="00B55AA8" w:rsidRPr="00B55AA8" w:rsidRDefault="00B55AA8" w:rsidP="001D183D">
      <w:pPr>
        <w:spacing w:line="360" w:lineRule="auto"/>
      </w:pPr>
      <w:r w:rsidRPr="00B55AA8">
        <w:t xml:space="preserve">The </w:t>
      </w:r>
      <w:r w:rsidRPr="00375045">
        <w:t>support infrastructure</w:t>
      </w:r>
      <w:r w:rsidRPr="00B55AA8">
        <w:t xml:space="preserve"> within HEIs is another challenge that industry professionals frequently face. The demands of juggling work, family, and education mean that these learners often require additional support in navigating academic processes and accessing resources. HEIs need to strengthen their support services, such as academic advising, career coaching, and mental health support, to provide a conducive learning environment for industry professionals. The importance of a supportive learning environment cannot be overstated, as it plays a crucial role in fostering learner persistence and success (Tinto, 2017).</w:t>
      </w:r>
    </w:p>
    <w:p w14:paraId="58959A44" w14:textId="42F6892D" w:rsidR="00961755" w:rsidRPr="005C72C6" w:rsidRDefault="00B55AA8" w:rsidP="005C72C6">
      <w:pPr>
        <w:pStyle w:val="Heading1"/>
        <w:spacing w:line="360" w:lineRule="auto"/>
      </w:pPr>
      <w:bookmarkStart w:id="7" w:name="_Toc191900759"/>
      <w:r w:rsidRPr="00B55AA8">
        <w:t>3. Methodology</w:t>
      </w:r>
      <w:bookmarkEnd w:id="7"/>
    </w:p>
    <w:p w14:paraId="52219A8E" w14:textId="77777777" w:rsidR="0092097F" w:rsidRPr="005C72C6" w:rsidRDefault="0092097F" w:rsidP="0092097F">
      <w:pPr>
        <w:spacing w:line="360" w:lineRule="auto"/>
      </w:pPr>
      <w:r w:rsidRPr="005C72C6">
        <w:t>This research adopts a secondary evidence-based approach, leveraging an extensive literature review to examine the pedagogical models that effectively address the educational needs of industry professionals within higher education. By combining insights from existing academic research, this literature review identifies key themes, challenges, and potential strategies that HEIs can implement to optimise learning outcomes for this demographic.</w:t>
      </w:r>
    </w:p>
    <w:p w14:paraId="6E330809" w14:textId="77777777" w:rsidR="0092097F" w:rsidRPr="005C72C6" w:rsidRDefault="0092097F" w:rsidP="005C72C6">
      <w:pPr>
        <w:pStyle w:val="Heading2"/>
      </w:pPr>
      <w:r w:rsidRPr="005C72C6">
        <w:t>Action Research</w:t>
      </w:r>
    </w:p>
    <w:p w14:paraId="36C821EE" w14:textId="77777777" w:rsidR="0092097F" w:rsidRPr="005C72C6" w:rsidRDefault="0092097F" w:rsidP="0092097F">
      <w:pPr>
        <w:spacing w:line="360" w:lineRule="auto"/>
      </w:pPr>
      <w:r w:rsidRPr="005C72C6">
        <w:t>To further strengthen the methodological framework, this research incorporates principles of Action Research, a reflective process of progressive problem-solving that integrates inquiry with practical action. Action Research is particularly well-suited for educational contexts as it promotes continuous reflection, adjustment, and improvement throughout the research process (Carr &amp; Kemmis, 1986).</w:t>
      </w:r>
    </w:p>
    <w:p w14:paraId="36CA673A" w14:textId="77777777" w:rsidR="0092097F" w:rsidRPr="005C72C6" w:rsidRDefault="0092097F" w:rsidP="0092097F">
      <w:pPr>
        <w:spacing w:line="360" w:lineRule="auto"/>
      </w:pPr>
      <w:r w:rsidRPr="005C72C6">
        <w:t>The key characteristics of Action Research include:</w:t>
      </w:r>
    </w:p>
    <w:p w14:paraId="0DE6E5A7" w14:textId="77777777" w:rsidR="0092097F" w:rsidRPr="005C72C6" w:rsidRDefault="0092097F" w:rsidP="0092097F">
      <w:pPr>
        <w:numPr>
          <w:ilvl w:val="0"/>
          <w:numId w:val="4"/>
        </w:numPr>
        <w:spacing w:line="360" w:lineRule="auto"/>
      </w:pPr>
      <w:r w:rsidRPr="005C72C6">
        <w:rPr>
          <w:b/>
          <w:bCs/>
        </w:rPr>
        <w:t>Spiral Process:</w:t>
      </w:r>
      <w:r w:rsidRPr="005C72C6">
        <w:t xml:space="preserve"> Action Research follows a cyclical pattern involving planning, acting, observing, and reflecting. This iterative nature ensures that insights gained during one phase inform the subsequent steps, fostering continuous improvement and adaptation.</w:t>
      </w:r>
    </w:p>
    <w:p w14:paraId="6E04F961" w14:textId="77777777" w:rsidR="0092097F" w:rsidRPr="005C72C6" w:rsidRDefault="0092097F" w:rsidP="0092097F">
      <w:pPr>
        <w:numPr>
          <w:ilvl w:val="0"/>
          <w:numId w:val="4"/>
        </w:numPr>
        <w:spacing w:line="360" w:lineRule="auto"/>
      </w:pPr>
      <w:r w:rsidRPr="005C72C6">
        <w:rPr>
          <w:b/>
          <w:bCs/>
        </w:rPr>
        <w:t>Insider Inquiry:</w:t>
      </w:r>
      <w:r w:rsidRPr="005C72C6">
        <w:t xml:space="preserve"> In Action Research, the researcher often participates actively in the context being studied. This "insider" role allows for deeper engagement with participants, encouraging collaboration and co-construction of knowledge.</w:t>
      </w:r>
    </w:p>
    <w:p w14:paraId="4FDFE38A" w14:textId="77777777" w:rsidR="0092097F" w:rsidRPr="005C72C6" w:rsidRDefault="0092097F" w:rsidP="0092097F">
      <w:pPr>
        <w:numPr>
          <w:ilvl w:val="0"/>
          <w:numId w:val="4"/>
        </w:numPr>
        <w:spacing w:line="360" w:lineRule="auto"/>
      </w:pPr>
      <w:r w:rsidRPr="005C72C6">
        <w:rPr>
          <w:b/>
          <w:bCs/>
        </w:rPr>
        <w:t>Combination of Qualitative and Quantitative Data:</w:t>
      </w:r>
      <w:r w:rsidRPr="005C72C6">
        <w:t xml:space="preserve"> Action Research values both qualitative and quantitative data, enabling a comprehensive understanding of the research problem. Qualitative data provides insights into lived experiences, while quantitative data helps measure progress and outcomes.</w:t>
      </w:r>
    </w:p>
    <w:p w14:paraId="5B291526" w14:textId="77777777" w:rsidR="0092097F" w:rsidRPr="005C72C6" w:rsidRDefault="0092097F" w:rsidP="0092097F">
      <w:pPr>
        <w:numPr>
          <w:ilvl w:val="0"/>
          <w:numId w:val="4"/>
        </w:numPr>
        <w:spacing w:line="360" w:lineRule="auto"/>
      </w:pPr>
      <w:r w:rsidRPr="005C72C6">
        <w:rPr>
          <w:b/>
          <w:bCs/>
        </w:rPr>
        <w:t>Focus on Change and Improvement:</w:t>
      </w:r>
      <w:r w:rsidRPr="005C72C6">
        <w:t xml:space="preserve"> The ultimate aim of Action Research is to implement meaningful change, ensuring research outcomes have practical relevance and applicability.</w:t>
      </w:r>
    </w:p>
    <w:p w14:paraId="521D41D9" w14:textId="77777777" w:rsidR="0092097F" w:rsidRPr="005C72C6" w:rsidRDefault="0092097F" w:rsidP="0092097F">
      <w:pPr>
        <w:spacing w:line="360" w:lineRule="auto"/>
      </w:pPr>
      <w:r w:rsidRPr="005C72C6">
        <w:t>In the context of this study, integrating Action Research principles aligns with the broader aim of identifying strategies that enhance the educational experiences of industry professionals. By embedding reflective practice and ensuring a dynamic response to emerging findings, this methodology facilitates a deeper understanding of effective pedagogical approaches.</w:t>
      </w:r>
    </w:p>
    <w:p w14:paraId="47740304" w14:textId="77777777" w:rsidR="0092097F" w:rsidRPr="005C72C6" w:rsidRDefault="0092097F" w:rsidP="00E9578A">
      <w:pPr>
        <w:pStyle w:val="Heading2"/>
      </w:pPr>
      <w:r w:rsidRPr="005C72C6">
        <w:t>Literature Review and Thematic Analysis</w:t>
      </w:r>
    </w:p>
    <w:p w14:paraId="48A47A7B" w14:textId="77777777" w:rsidR="0092097F" w:rsidRPr="005C72C6" w:rsidRDefault="0092097F" w:rsidP="0092097F">
      <w:pPr>
        <w:spacing w:line="360" w:lineRule="auto"/>
      </w:pPr>
      <w:r w:rsidRPr="005C72C6">
        <w:t>The literature reviewed includes peer-reviewed journal articles, government publications, and case studies, specifically focusing on Welsh institutions like UWTSD. A thematic analysis was employed to extract and categorise key findings related to the efficacy of WBL and experiential learning models, as well as the barriers industry professionals face in traditional HE environments. This analytical approach facilitates a comprehensive evaluation of current pedagogical practices and informs evidence-based recommendations.</w:t>
      </w:r>
    </w:p>
    <w:p w14:paraId="68FBAC34" w14:textId="77777777" w:rsidR="0092097F" w:rsidRPr="005C72C6" w:rsidRDefault="0092097F" w:rsidP="0092097F">
      <w:pPr>
        <w:spacing w:line="360" w:lineRule="auto"/>
      </w:pPr>
      <w:r w:rsidRPr="005C72C6">
        <w:t>While the study relies primarily on secondary data, future research could incorporate primary data collection, such as interviews or surveys with industry professionals actively engaged in HE programs. Such data would provide richer insights into the experiential realities and specific challenges faced by these learners, thereby supplementing the findings derived from the existing literature. Moreover, a mixed-methods approach combining qualitative and quantitative data could offer a more holistic understanding of the impact of pedagogical interventions on industry professionals' learning outcomes.</w:t>
      </w:r>
    </w:p>
    <w:p w14:paraId="4737CEBC" w14:textId="77777777" w:rsidR="00961755" w:rsidRPr="00B55AA8" w:rsidRDefault="00961755" w:rsidP="00C22F61">
      <w:pPr>
        <w:spacing w:line="360" w:lineRule="auto"/>
      </w:pPr>
    </w:p>
    <w:p w14:paraId="2A016DC4" w14:textId="77777777" w:rsidR="00B55AA8" w:rsidRPr="00B55AA8" w:rsidRDefault="00B55AA8" w:rsidP="00EA7C81">
      <w:pPr>
        <w:pStyle w:val="Heading1"/>
        <w:spacing w:line="360" w:lineRule="auto"/>
      </w:pPr>
      <w:bookmarkStart w:id="8" w:name="_Toc191900760"/>
      <w:r w:rsidRPr="00B55AA8">
        <w:t>4. Results and Discussion</w:t>
      </w:r>
      <w:bookmarkEnd w:id="8"/>
    </w:p>
    <w:p w14:paraId="13DCC2AF" w14:textId="77777777" w:rsidR="00B55AA8" w:rsidRPr="00B55AA8" w:rsidRDefault="00B55AA8" w:rsidP="00EA7C81">
      <w:pPr>
        <w:pStyle w:val="Heading2"/>
        <w:spacing w:line="360" w:lineRule="auto"/>
      </w:pPr>
      <w:bookmarkStart w:id="9" w:name="_Toc191900761"/>
      <w:r w:rsidRPr="00B55AA8">
        <w:t>4.1 Key Findings from the Literature</w:t>
      </w:r>
      <w:bookmarkEnd w:id="9"/>
    </w:p>
    <w:p w14:paraId="17257C2F" w14:textId="3396B077" w:rsidR="00B55AA8" w:rsidRPr="00B55AA8" w:rsidRDefault="00B55AA8" w:rsidP="00EA7C81">
      <w:pPr>
        <w:spacing w:line="360" w:lineRule="auto"/>
      </w:pPr>
      <w:r w:rsidRPr="00B55AA8">
        <w:t xml:space="preserve">The literature reveals several pivotal factors that influence the success of pedagogical approaches for industry professionals in higher education. A recurring theme is </w:t>
      </w:r>
      <w:r w:rsidRPr="00375045">
        <w:t>relevance and applicability</w:t>
      </w:r>
      <w:r w:rsidRPr="00B55AA8">
        <w:t xml:space="preserve">. Multiple studies indicate that industry professionals derive the most value from educational experiences that allow them to apply theoretical concepts directly to real-world contexts (Boud &amp; Solomon, 2001). This aligns with the situated learning </w:t>
      </w:r>
      <w:r w:rsidRPr="00D85647">
        <w:t>theory (Lave &amp; Wenger, 1991</w:t>
      </w:r>
      <w:r w:rsidR="00AC7B04" w:rsidRPr="00D85647">
        <w:t>)</w:t>
      </w:r>
      <w:r w:rsidR="00FE08D6" w:rsidRPr="00D85647">
        <w:t xml:space="preserve"> </w:t>
      </w:r>
      <w:r w:rsidR="00D64198" w:rsidRPr="00D85647">
        <w:t xml:space="preserve"> which emphasises the effectiveness of context-specific learning</w:t>
      </w:r>
      <w:r w:rsidR="008C5C78" w:rsidRPr="00D85647">
        <w:t xml:space="preserve"> and </w:t>
      </w:r>
      <w:r w:rsidR="00C270D3">
        <w:t>is also aligned</w:t>
      </w:r>
      <w:r w:rsidR="00FE08D6" w:rsidRPr="00D85647">
        <w:t xml:space="preserve"> with the updated </w:t>
      </w:r>
      <w:r w:rsidR="00E60D32" w:rsidRPr="00D85647">
        <w:t xml:space="preserve">value and learning </w:t>
      </w:r>
      <w:r w:rsidR="00FE08D6" w:rsidRPr="00D85647">
        <w:t>theory</w:t>
      </w:r>
      <w:r w:rsidR="009463C4" w:rsidRPr="00D85647">
        <w:t xml:space="preserve"> (</w:t>
      </w:r>
      <w:r w:rsidR="00690EE9" w:rsidRPr="00D85647">
        <w:t>Wenger-Trayner, 2022)</w:t>
      </w:r>
      <w:r w:rsidR="00D85647" w:rsidRPr="00D85647">
        <w:t>. The later text, u</w:t>
      </w:r>
      <w:r w:rsidR="004E50D5" w:rsidRPr="00D85647">
        <w:t xml:space="preserve">pdating the </w:t>
      </w:r>
      <w:r w:rsidR="007C3D30" w:rsidRPr="00D85647">
        <w:t xml:space="preserve">concepts </w:t>
      </w:r>
      <w:r w:rsidR="0031141C" w:rsidRPr="00D85647">
        <w:t>to value creation</w:t>
      </w:r>
      <w:r w:rsidR="004E50D5" w:rsidRPr="00D85647">
        <w:t xml:space="preserve"> and including s</w:t>
      </w:r>
      <w:r w:rsidR="000528B8" w:rsidRPr="00D85647">
        <w:t xml:space="preserve">ocial learning </w:t>
      </w:r>
      <w:r w:rsidR="004E50D5" w:rsidRPr="00D85647">
        <w:t>sp</w:t>
      </w:r>
      <w:r w:rsidR="000528B8" w:rsidRPr="00D85647">
        <w:t xml:space="preserve">aces. </w:t>
      </w:r>
    </w:p>
    <w:p w14:paraId="1419CAED" w14:textId="77777777" w:rsidR="00B55AA8" w:rsidRPr="00B55AA8" w:rsidRDefault="00B55AA8" w:rsidP="00EA7C81">
      <w:pPr>
        <w:spacing w:line="360" w:lineRule="auto"/>
      </w:pPr>
      <w:r w:rsidRPr="00375045">
        <w:t>Time flexibility</w:t>
      </w:r>
      <w:r w:rsidRPr="00B55AA8">
        <w:t xml:space="preserve"> also emerged as a critical factor. Research by Merrill (2001) and Garrison &amp; Kanuka (2004) suggests that adult learners, particularly those balancing professional obligations, benefit from flexible learning modalities such as blended and online courses. The ability to engage with academic content asynchronously is essential for ensuring sustained learner engagement and academic success.</w:t>
      </w:r>
    </w:p>
    <w:p w14:paraId="3C8AB440" w14:textId="77777777" w:rsidR="00B55AA8" w:rsidRPr="00B55AA8" w:rsidRDefault="00B55AA8" w:rsidP="00EA7C81">
      <w:pPr>
        <w:pStyle w:val="Heading2"/>
        <w:spacing w:line="360" w:lineRule="auto"/>
      </w:pPr>
      <w:bookmarkStart w:id="10" w:name="_Toc191900762"/>
      <w:r w:rsidRPr="00B55AA8">
        <w:t>4.2 The Role of Work-Based and Experiential Learning</w:t>
      </w:r>
      <w:bookmarkEnd w:id="10"/>
    </w:p>
    <w:p w14:paraId="3031C009" w14:textId="138F114D" w:rsidR="00B55AA8" w:rsidRPr="00B55AA8" w:rsidRDefault="00B55AA8" w:rsidP="00EA7C81">
      <w:pPr>
        <w:spacing w:line="360" w:lineRule="auto"/>
      </w:pPr>
      <w:r w:rsidRPr="00B55AA8">
        <w:t>Work-based and experiential learning have consistently proven effective in meeting the educational needs of industry professionals. Studies by Boud &amp; Solomon (2001) and Kolb &amp; Kolb (2017) emphasi</w:t>
      </w:r>
      <w:r w:rsidR="00C270D3">
        <w:t>s</w:t>
      </w:r>
      <w:r w:rsidRPr="00B55AA8">
        <w:t>e that these approaches not only reinforce theoretical understanding but also enhance professional competence through reflective practices and experimentation. UWTSD's effective implementation of WBL highlights the importance of aligning academic learning with the practical demands of professional environments (UWTSD, 2021).</w:t>
      </w:r>
    </w:p>
    <w:p w14:paraId="7FA0E95D" w14:textId="77777777" w:rsidR="00B55AA8" w:rsidRPr="00B55AA8" w:rsidRDefault="00B55AA8" w:rsidP="00EA7C81">
      <w:pPr>
        <w:spacing w:line="360" w:lineRule="auto"/>
      </w:pPr>
      <w:r w:rsidRPr="00B55AA8">
        <w:t>Nonetheless, certain critiques persist. Raelin (2010) notes that WBL programs may sometimes lack critical engagement with academic theory, leading to an overemphasis on the workplace context at the expense of deeper theoretical exploration. Therefore, HEIs must ensure that reflective components are integrated into WBL curricula to foster critical analysis and connect practical experience with broader theoretical constructs.</w:t>
      </w:r>
    </w:p>
    <w:p w14:paraId="5B259BA8" w14:textId="77777777" w:rsidR="00B55AA8" w:rsidRPr="00B55AA8" w:rsidRDefault="00B55AA8" w:rsidP="00EA7C81">
      <w:pPr>
        <w:pStyle w:val="Heading2"/>
        <w:spacing w:line="360" w:lineRule="auto"/>
      </w:pPr>
      <w:bookmarkStart w:id="11" w:name="_Toc191900763"/>
      <w:r w:rsidRPr="00B55AA8">
        <w:t>4.3 Challenges in Curriculum and Assessment</w:t>
      </w:r>
      <w:bookmarkEnd w:id="11"/>
    </w:p>
    <w:p w14:paraId="4CD15412" w14:textId="77777777" w:rsidR="00B55AA8" w:rsidRPr="00B55AA8" w:rsidRDefault="00B55AA8" w:rsidP="00EA7C81">
      <w:pPr>
        <w:spacing w:line="360" w:lineRule="auto"/>
      </w:pPr>
      <w:r w:rsidRPr="00B55AA8">
        <w:t xml:space="preserve">Assessment methods remain a key challenge for industry professionals within traditional HE frameworks. Boud &amp; </w:t>
      </w:r>
      <w:proofErr w:type="spellStart"/>
      <w:r w:rsidRPr="00B55AA8">
        <w:t>Falchikov</w:t>
      </w:r>
      <w:proofErr w:type="spellEnd"/>
      <w:r w:rsidRPr="00B55AA8">
        <w:t xml:space="preserve"> (2007) argue that conventional assessments, such as exams and essays, are inadequate for evaluating the competencies of adult learners, who benefit more from assessments that mirror real-world professional challenges. UWTSD's success with implementing project-based assessments is indicative of a shift towards more suitable evaluation methods for this demographic (UWTSD, 2021).</w:t>
      </w:r>
    </w:p>
    <w:p w14:paraId="159320CA" w14:textId="37F7F723" w:rsidR="00B55AA8" w:rsidRPr="00B55AA8" w:rsidRDefault="00B55AA8" w:rsidP="00EA7C81">
      <w:pPr>
        <w:spacing w:line="360" w:lineRule="auto"/>
      </w:pPr>
      <w:r w:rsidRPr="00B55AA8">
        <w:t>Further</w:t>
      </w:r>
      <w:r w:rsidRPr="00375045">
        <w:t>, learner autonomy</w:t>
      </w:r>
      <w:r w:rsidRPr="00B55AA8">
        <w:t xml:space="preserve"> is an essential consideration in the assessment of industry professionals. Brookfield (2006) emphasi</w:t>
      </w:r>
      <w:r w:rsidR="00C270D3">
        <w:t>s</w:t>
      </w:r>
      <w:r w:rsidRPr="00B55AA8">
        <w:t>es the importance of empowering adult learners to take ownership of their assessment processes through methods such as self-assessment and peer assessment. Incorporating these approaches into HE curricula can enhance the learner's engagement and ensure that assessments are aligned with their personal and professional development goals.</w:t>
      </w:r>
    </w:p>
    <w:p w14:paraId="485DAE96" w14:textId="77777777" w:rsidR="00B55AA8" w:rsidRPr="00B55AA8" w:rsidRDefault="00B55AA8" w:rsidP="00EA7C81">
      <w:pPr>
        <w:pStyle w:val="Heading2"/>
        <w:spacing w:line="360" w:lineRule="auto"/>
      </w:pPr>
      <w:bookmarkStart w:id="12" w:name="_Toc191900764"/>
      <w:r w:rsidRPr="00B55AA8">
        <w:t>4.4 Opportunities for Enhancing Learning Experiences</w:t>
      </w:r>
      <w:bookmarkEnd w:id="12"/>
    </w:p>
    <w:p w14:paraId="4CFF9C17" w14:textId="6B25CDB5" w:rsidR="00B55AA8" w:rsidRPr="00B55AA8" w:rsidRDefault="00B55AA8" w:rsidP="00EA7C81">
      <w:pPr>
        <w:spacing w:line="360" w:lineRule="auto"/>
      </w:pPr>
      <w:r w:rsidRPr="00B55AA8">
        <w:t>The integration of Technology-Enhanced Learning (TEL) presents significant opportunities for enhancing the educational experience of industry professionals. TEL, encompassing online learning platforms and digital tools for collaboration, has been recogni</w:t>
      </w:r>
      <w:r w:rsidR="00C270D3">
        <w:t>s</w:t>
      </w:r>
      <w:r w:rsidRPr="00B55AA8">
        <w:t>ed as a key enabler of flexible learning (Garrison &amp; Kanuka, 2004). Such technologies facilitate asynchronous engagement, enabling learners to balance professional duties with academic responsibilities.</w:t>
      </w:r>
    </w:p>
    <w:p w14:paraId="0513F1E8" w14:textId="77777777" w:rsidR="00B55AA8" w:rsidRPr="00B55AA8" w:rsidRDefault="00B55AA8" w:rsidP="00EA7C81">
      <w:pPr>
        <w:spacing w:line="360" w:lineRule="auto"/>
      </w:pPr>
      <w:r w:rsidRPr="00B55AA8">
        <w:t>Moreover, TEL fosters peer collaboration and learning through online discussion forums, virtual group projects, and webinars. Garrison (2011) highlights the transformative potential of digital communities in fostering meaningful social learning experiences. By embedding TEL within WBL and experiential learning models, HEIs can cultivate more dynamic and engaging learning environments tailored to the needs of industry professionals.</w:t>
      </w:r>
    </w:p>
    <w:p w14:paraId="08F29752" w14:textId="09AB79E4" w:rsidR="00B55AA8" w:rsidRPr="00B55AA8" w:rsidRDefault="00B55AA8" w:rsidP="00724987">
      <w:pPr>
        <w:spacing w:line="360" w:lineRule="auto"/>
      </w:pPr>
      <w:r w:rsidRPr="00B55AA8">
        <w:t xml:space="preserve">Another significant opportunity lies in the integration of </w:t>
      </w:r>
      <w:r w:rsidRPr="00375045">
        <w:t>micro-credentialing</w:t>
      </w:r>
      <w:r w:rsidRPr="00B55AA8">
        <w:t xml:space="preserve"> and </w:t>
      </w:r>
      <w:r w:rsidRPr="00375045">
        <w:t>digital badging</w:t>
      </w:r>
      <w:r w:rsidRPr="00B55AA8">
        <w:t xml:space="preserve"> within TEL frameworks. Micro-credentials allow industry professionals to gain recognition for specific skills or competencies without committing to full degree programs (Oliver, 2019). This modular approach to learning provides greater flexibility and enables professionals to upskill in targeted areas relevant to their career progression. By embedding micro-credentials within existing programs, HEIs can offer industry professionals more opportunities to engage in focused, skill-based learning.</w:t>
      </w:r>
    </w:p>
    <w:p w14:paraId="5DA3D38B" w14:textId="77777777" w:rsidR="00B55AA8" w:rsidRPr="00B55AA8" w:rsidRDefault="00B55AA8" w:rsidP="00EA7C81">
      <w:pPr>
        <w:pStyle w:val="Heading1"/>
        <w:spacing w:line="360" w:lineRule="auto"/>
      </w:pPr>
      <w:bookmarkStart w:id="13" w:name="_Toc191900765"/>
      <w:r w:rsidRPr="00B55AA8">
        <w:t>5. Conclusion</w:t>
      </w:r>
      <w:bookmarkEnd w:id="13"/>
    </w:p>
    <w:p w14:paraId="3EBF010B" w14:textId="41B8F261" w:rsidR="00B55AA8" w:rsidRPr="00B55AA8" w:rsidRDefault="00B55AA8" w:rsidP="00EA7C81">
      <w:pPr>
        <w:spacing w:line="360" w:lineRule="auto"/>
      </w:pPr>
      <w:r w:rsidRPr="00B55AA8">
        <w:t>This study concludes that higher education institutions must adopt more flexible, applied pedagogical models to effectively address the needs of industry professionals. Work-based learning and experiential learning have emerged as particularly effective strategies, providing opportunities for immediate application of academic concepts in professional settings. Additionally, the research underscores the necessity for flexible learning options, such as blended and online formats, to accommodate the diverse time constraints faced by</w:t>
      </w:r>
      <w:r w:rsidRPr="00B55AA8">
        <w:rPr>
          <w:rFonts w:ascii="Times New Roman" w:eastAsia="Times New Roman" w:hAnsi="Times New Roman" w:cs="Times New Roman"/>
          <w:kern w:val="0"/>
          <w14:ligatures w14:val="none"/>
        </w:rPr>
        <w:t xml:space="preserve"> </w:t>
      </w:r>
      <w:r w:rsidRPr="00B55AA8">
        <w:t>industry professionals. Moreover, HEIs must focus on establishing deeper collaborations with industry stakeholders to ensure that curricula remain relevant, practical, and aligned with evolving sectoral needs.</w:t>
      </w:r>
    </w:p>
    <w:p w14:paraId="4097E18E" w14:textId="77777777" w:rsidR="00B55AA8" w:rsidRPr="00B55AA8" w:rsidRDefault="00B55AA8" w:rsidP="00EA7C81">
      <w:pPr>
        <w:spacing w:line="360" w:lineRule="auto"/>
      </w:pPr>
      <w:r w:rsidRPr="00B55AA8">
        <w:t>While these approaches present numerous benefits, they also necessitate careful consideration in their implementation. HEIs must balance the practical, hands-on learning experiences with critical theoretical engagement to foster well-rounded development. By incorporating structured reflective practices, leveraging the benefits of technology-enhanced learning, and providing flexible and differentiated learning pathways, HEIs can better support the needs of industry professionals.</w:t>
      </w:r>
    </w:p>
    <w:p w14:paraId="1DB4E745" w14:textId="77777777" w:rsidR="00B55AA8" w:rsidRPr="00B55AA8" w:rsidRDefault="00B55AA8" w:rsidP="00EA7C81">
      <w:pPr>
        <w:spacing w:line="360" w:lineRule="auto"/>
      </w:pPr>
      <w:r w:rsidRPr="00B55AA8">
        <w:t>Furthermore, a supportive learning environment, including mentorship opportunities and career coaching, is essential to help industry professionals navigate the challenges of balancing work, life, and academic responsibilities. Addressing these challenges comprehensively will ensure that HEIs can provide meaningful, impactful education that fosters both personal growth and professional advancement for industry professionals.</w:t>
      </w:r>
    </w:p>
    <w:p w14:paraId="19D5788F" w14:textId="77777777" w:rsidR="00B55AA8" w:rsidRDefault="00B55AA8" w:rsidP="00EA7C81">
      <w:pPr>
        <w:pStyle w:val="Heading1"/>
        <w:spacing w:line="360" w:lineRule="auto"/>
      </w:pPr>
      <w:bookmarkStart w:id="14" w:name="_Toc191900766"/>
      <w:r w:rsidRPr="00B55AA8">
        <w:t>6. SMART Recommendations (Specific, Measurable, Achievable, Relevant, Time-bound)</w:t>
      </w:r>
      <w:bookmarkEnd w:id="14"/>
    </w:p>
    <w:p w14:paraId="5675F920" w14:textId="6DBD7DA7" w:rsidR="00C80541" w:rsidRPr="00C80541" w:rsidRDefault="00C80541" w:rsidP="00EA7C81">
      <w:pPr>
        <w:spacing w:line="360" w:lineRule="auto"/>
      </w:pPr>
      <w:r w:rsidRPr="00C80541">
        <w:t xml:space="preserve">To sustain innovation and relevance in education, it's essential to focus on implementing strategies that address learners' needs while keeping up with industry standards. One such strategy is to implement flexible curriculum design. This approach involves developing modular curricula, enabling learners to select courses that cater to their specific professional needs. Success can be measured by increasing industry professional </w:t>
      </w:r>
      <w:r w:rsidR="00A548B3" w:rsidRPr="00C80541">
        <w:t>enrolment</w:t>
      </w:r>
      <w:r w:rsidRPr="00C80541">
        <w:t xml:space="preserve"> in these flexible programs by 20% within two academic years. This goal is achievable by utili</w:t>
      </w:r>
      <w:r w:rsidR="00767D7F">
        <w:t>s</w:t>
      </w:r>
      <w:r w:rsidRPr="00C80541">
        <w:t xml:space="preserve">ing existing online platforms to expand modular course offerings. By addressing the professional development needs of mid-career professionals, such an initiative ensures relevance and practicality. The timeline for this implementation </w:t>
      </w:r>
      <w:r w:rsidR="008E7840">
        <w:t xml:space="preserve">should be adopted quickly and be completed </w:t>
      </w:r>
      <w:r w:rsidRPr="00C80541">
        <w:t>within two years.</w:t>
      </w:r>
    </w:p>
    <w:p w14:paraId="06E3246F" w14:textId="63B3BF68" w:rsidR="00C80541" w:rsidRPr="00C80541" w:rsidRDefault="00C80541" w:rsidP="00EA7C81">
      <w:pPr>
        <w:spacing w:line="360" w:lineRule="auto"/>
      </w:pPr>
      <w:r w:rsidRPr="00C80541">
        <w:t xml:space="preserve">Another key focus is to increase the use of authentic assessment methods. Introducing competency-based assessments that mirror real-world challenges provides a meaningful way to evaluate learners. The aim is to adopt such methods in 75% of programs within five years. To achieve this, faculty members can be trained in designing authentic assessments, ensuring the process is both feasible and impactful. These assessments enhance the value of learning for industry professionals by demonstrating practical applications. A pilot program </w:t>
      </w:r>
      <w:r w:rsidR="008E7840">
        <w:t>could</w:t>
      </w:r>
      <w:r w:rsidRPr="00C80541">
        <w:t xml:space="preserve"> begin</w:t>
      </w:r>
      <w:r w:rsidR="008E7840">
        <w:t xml:space="preserve"> within the</w:t>
      </w:r>
      <w:r w:rsidRPr="00C80541">
        <w:t xml:space="preserve"> next academic year, leading to broader adoption in subsequent years.</w:t>
      </w:r>
    </w:p>
    <w:p w14:paraId="52F967B3" w14:textId="0FBC220D" w:rsidR="00C80541" w:rsidRPr="00C80541" w:rsidRDefault="00C80541" w:rsidP="00EA7C81">
      <w:pPr>
        <w:spacing w:line="360" w:lineRule="auto"/>
      </w:pPr>
      <w:r w:rsidRPr="00C80541">
        <w:t xml:space="preserve">Mentorship programs offer another avenue for sustaining engagement and success. By establishing formal mentorship initiatives, learners can be paired with experienced industry mentors, fostering practical guidance and networking opportunities. The goal is to increase participation in mentorship programs by 30% within three years. Leveraging alumni networks to recruit mentors makes this effort achievable. This initiative aligns closely with the needs of adult learners and </w:t>
      </w:r>
      <w:r w:rsidR="008E7840">
        <w:t xml:space="preserve">could </w:t>
      </w:r>
      <w:r w:rsidRPr="00C80541">
        <w:t>launch as a pilot program in the upcoming academic year, with full implementation planned within three years.</w:t>
      </w:r>
    </w:p>
    <w:p w14:paraId="450C32C4" w14:textId="2889BB62" w:rsidR="00C80541" w:rsidRPr="00C80541" w:rsidRDefault="00C80541" w:rsidP="00EA7C81">
      <w:pPr>
        <w:spacing w:line="360" w:lineRule="auto"/>
      </w:pPr>
      <w:r w:rsidRPr="00C80541">
        <w:t xml:space="preserve">Technology also plays a crucial role in expanding learning opportunities. Expanding the use of technology-enhanced learning (TEL) platforms can provide asynchronous learning options that cater to busy professionals. The target is to incorporate TEL components in at least 50% of professional development programs within three years. Achieving this requires securing funding for digital infrastructure and faculty training. TEL supports the flexibility industry professionals need to balance their education with work commitments, and its tools </w:t>
      </w:r>
      <w:r w:rsidR="008E7840">
        <w:t>can be</w:t>
      </w:r>
      <w:r w:rsidRPr="00C80541">
        <w:t xml:space="preserve"> developed and implemented over the next three academic years.</w:t>
      </w:r>
    </w:p>
    <w:p w14:paraId="000462E6" w14:textId="4B36BF4B" w:rsidR="00C80541" w:rsidRPr="00C80541" w:rsidRDefault="00C80541" w:rsidP="00EA7C81">
      <w:pPr>
        <w:spacing w:line="360" w:lineRule="auto"/>
      </w:pPr>
      <w:r w:rsidRPr="00C80541">
        <w:t xml:space="preserve">Finally, industry collaboration within courses ensures programs remain relevant and aligned with current trends. This involves creating partnerships with key industry stakeholders to co-develop course content and case studies. Success can be tracked by establishing five new industry partnerships annually over the next three years. A dedicated team within higher education institutions can facilitate these collaborations, ensuring content stays aligned with industry standards. Initial partnerships </w:t>
      </w:r>
      <w:r w:rsidR="008E7840">
        <w:t>could</w:t>
      </w:r>
      <w:r w:rsidRPr="00C80541">
        <w:t xml:space="preserve"> be in place by the end of the current academic year, with continuous expansion over three years.</w:t>
      </w:r>
    </w:p>
    <w:p w14:paraId="5DEC2B4A" w14:textId="24B060E9" w:rsidR="00186B12" w:rsidRDefault="00C80541" w:rsidP="00724987">
      <w:pPr>
        <w:spacing w:line="360" w:lineRule="auto"/>
      </w:pPr>
      <w:r w:rsidRPr="00C80541">
        <w:t>Through these sustained efforts, the educational ecosystem can remain dynamic, flexible, and closely aligned with the evolving needs of learners and industries alike.</w:t>
      </w:r>
    </w:p>
    <w:p w14:paraId="52B66DFA" w14:textId="77777777" w:rsidR="00B55AA8" w:rsidRPr="00B55AA8" w:rsidRDefault="00B55AA8" w:rsidP="00EA7C81">
      <w:pPr>
        <w:pStyle w:val="Heading1"/>
        <w:spacing w:line="360" w:lineRule="auto"/>
      </w:pPr>
      <w:bookmarkStart w:id="15" w:name="_Toc191900767"/>
      <w:r w:rsidRPr="00B55AA8">
        <w:t>Primary Research Recommendation</w:t>
      </w:r>
      <w:bookmarkEnd w:id="15"/>
    </w:p>
    <w:p w14:paraId="3BE4ABBD" w14:textId="5ADE3D10" w:rsidR="00990A98" w:rsidRPr="00990A98" w:rsidRDefault="00990A98" w:rsidP="00EA7C81">
      <w:pPr>
        <w:spacing w:line="360" w:lineRule="auto"/>
      </w:pPr>
      <w:r w:rsidRPr="00990A98">
        <w:t>To sustain continuous improvement and innovation, future research will play a critical role in feeding back into the educational cycle. As a next step, higher education institutions (HEIs) should consider conducting primary research to identify and address the specific challenges faced by industry professionals. By employing methods such as interviews and surveys, institutions can collect valuable data on the lived experiences of these learners. It is essential to adhere to ethical guidelines during this process, ensuring informed consent, confidentiality, and respect for participants' rights.</w:t>
      </w:r>
    </w:p>
    <w:p w14:paraId="4E9D3E63" w14:textId="77777777" w:rsidR="00990A98" w:rsidRPr="00990A98" w:rsidRDefault="00990A98" w:rsidP="00EA7C81">
      <w:pPr>
        <w:spacing w:line="360" w:lineRule="auto"/>
      </w:pPr>
      <w:r w:rsidRPr="00990A98">
        <w:t>Additionally, future research could focus on evaluating the long-term effects of integrating work-based learning (WBL), experiential learning, and technology-enhanced learning (TEL) into educational programs. These studies should aim to assess their impact on learner satisfaction, skill acquisition, and career progression. Insights gained from such research will enable HEIs to refine their offerings continually, ensuring programs remain effective, relevant, and closely aligned with the evolving demands of industry professionals. By fostering this iterative cycle of development and feedback, the educational ecosystem can maintain its dynamic and innovative edge.</w:t>
      </w:r>
    </w:p>
    <w:p w14:paraId="0F23F2F8" w14:textId="77777777" w:rsidR="007F4831" w:rsidRDefault="007F4831" w:rsidP="00845B87">
      <w:pPr>
        <w:rPr>
          <w:color w:val="FF0000"/>
        </w:rPr>
      </w:pPr>
    </w:p>
    <w:p w14:paraId="5D64F0A2" w14:textId="77777777" w:rsidR="00754B4C" w:rsidRDefault="00754B4C" w:rsidP="00845B87">
      <w:pPr>
        <w:rPr>
          <w:color w:val="FF0000"/>
        </w:rPr>
      </w:pPr>
    </w:p>
    <w:p w14:paraId="7A4E495F" w14:textId="45C1194E" w:rsidR="00B55AA8" w:rsidRDefault="00B55AA8" w:rsidP="00041FFC">
      <w:pPr>
        <w:pStyle w:val="Heading1"/>
      </w:pPr>
      <w:bookmarkStart w:id="16" w:name="_Toc191900768"/>
      <w:r w:rsidRPr="00C270D3">
        <w:t>Reference</w:t>
      </w:r>
      <w:r w:rsidR="00041FFC" w:rsidRPr="00C270D3">
        <w:t xml:space="preserve"> List</w:t>
      </w:r>
      <w:bookmarkEnd w:id="16"/>
    </w:p>
    <w:p w14:paraId="0B853068" w14:textId="77777777" w:rsidR="00186B12" w:rsidRPr="00A966BC" w:rsidRDefault="00186B12" w:rsidP="00A966BC">
      <w:r w:rsidRPr="00A966BC">
        <w:t xml:space="preserve">Advance HE (2023) 'Evidencing the impact of authentic assessment in graduate employability', Advance HE. Available at: </w:t>
      </w:r>
      <w:hyperlink r:id="rId11" w:history="1">
        <w:r w:rsidRPr="007F0570">
          <w:rPr>
            <w:rStyle w:val="Hyperlink"/>
          </w:rPr>
          <w:t>https://www.advance-he.ac.uk/news-and-views/evidencing-impact-authentic-assessment-graduate-employability</w:t>
        </w:r>
      </w:hyperlink>
      <w:r>
        <w:t xml:space="preserve"> </w:t>
      </w:r>
      <w:r w:rsidRPr="00A966BC">
        <w:t>(Accessed: 3 March 2025).</w:t>
      </w:r>
    </w:p>
    <w:p w14:paraId="0F9EC82C" w14:textId="77777777" w:rsidR="00186B12" w:rsidRPr="00142740" w:rsidRDefault="00186B12" w:rsidP="00FB0EDF">
      <w:r w:rsidRPr="0008643F">
        <w:t xml:space="preserve">Ali, A., Egan, D., Haynes, N., Holland, C. and Martin, E. 2020. </w:t>
      </w:r>
      <w:r w:rsidRPr="00FB0EDF">
        <w:rPr>
          <w:i/>
          <w:iCs/>
        </w:rPr>
        <w:t>The Future of Hospitality Management Education</w:t>
      </w:r>
      <w:r w:rsidRPr="00FB0EDF">
        <w:t>. Available at</w:t>
      </w:r>
      <w:r>
        <w:t xml:space="preserve"> </w:t>
      </w:r>
      <w:hyperlink r:id="rId12" w:history="1">
        <w:r w:rsidRPr="00D7275F">
          <w:rPr>
            <w:rStyle w:val="Hyperlink"/>
          </w:rPr>
          <w:t>https://www.instituteofhospitality.org/wp-content/uploads/2022/07/June-2020Update-Future-of-Hospitalty-Management-Education-CHME-Report1.pdf</w:t>
        </w:r>
      </w:hyperlink>
      <w:r>
        <w:t>.</w:t>
      </w:r>
      <w:r w:rsidRPr="00FB0EDF">
        <w:t xml:space="preserve"> Accessed on: 28 October 2024.</w:t>
      </w:r>
    </w:p>
    <w:p w14:paraId="5971F0E9" w14:textId="77777777" w:rsidR="00186B12" w:rsidRPr="00142740" w:rsidRDefault="00186B12" w:rsidP="00142740">
      <w:r w:rsidRPr="008E7840">
        <w:t xml:space="preserve">Boud, D. &amp; </w:t>
      </w:r>
      <w:proofErr w:type="spellStart"/>
      <w:r w:rsidRPr="008E7840">
        <w:t>Falchikov</w:t>
      </w:r>
      <w:proofErr w:type="spellEnd"/>
      <w:r w:rsidRPr="008E7840">
        <w:t xml:space="preserve">, N., 2007. </w:t>
      </w:r>
      <w:r w:rsidRPr="00142740">
        <w:rPr>
          <w:i/>
          <w:iCs/>
        </w:rPr>
        <w:t>Rethinking Assessment in Higher Education: Learning for the Longer Term.</w:t>
      </w:r>
      <w:r w:rsidRPr="00142740">
        <w:t xml:space="preserve"> London: Routledge.</w:t>
      </w:r>
    </w:p>
    <w:p w14:paraId="03340BF1" w14:textId="77777777" w:rsidR="00186B12" w:rsidRPr="00142740" w:rsidRDefault="00186B12" w:rsidP="00142740">
      <w:r w:rsidRPr="00142740">
        <w:t xml:space="preserve">Boud, D. &amp; Garrick, J., 2002. </w:t>
      </w:r>
      <w:r w:rsidRPr="00142740">
        <w:rPr>
          <w:i/>
          <w:iCs/>
        </w:rPr>
        <w:t>Understanding Learning at Work.</w:t>
      </w:r>
      <w:r w:rsidRPr="00142740">
        <w:t xml:space="preserve"> London: Routledge.</w:t>
      </w:r>
    </w:p>
    <w:p w14:paraId="7EBAC23C" w14:textId="77777777" w:rsidR="00186B12" w:rsidRPr="00142740" w:rsidRDefault="00186B12" w:rsidP="00142740">
      <w:r w:rsidRPr="00142740">
        <w:t xml:space="preserve">Boud, D. &amp; Solomon, N., 2001. </w:t>
      </w:r>
      <w:r w:rsidRPr="00142740">
        <w:rPr>
          <w:i/>
          <w:iCs/>
        </w:rPr>
        <w:t>Work-Based Learning: A New Higher Education?</w:t>
      </w:r>
      <w:r w:rsidRPr="00142740">
        <w:t xml:space="preserve"> Buckingham: Society for Research into Higher Education and Open University Press.</w:t>
      </w:r>
    </w:p>
    <w:p w14:paraId="5DBA8603" w14:textId="77777777" w:rsidR="00186B12" w:rsidRPr="00142740" w:rsidRDefault="00186B12" w:rsidP="00142740">
      <w:r w:rsidRPr="00142740">
        <w:t xml:space="preserve">Carless, D., 2015. </w:t>
      </w:r>
      <w:r w:rsidRPr="00142740">
        <w:rPr>
          <w:i/>
          <w:iCs/>
        </w:rPr>
        <w:t>Excellence in University Assessment: Learning from Award-winning Practice.</w:t>
      </w:r>
      <w:r w:rsidRPr="00142740">
        <w:t xml:space="preserve"> London: Routledge.</w:t>
      </w:r>
    </w:p>
    <w:p w14:paraId="57B40891" w14:textId="77777777" w:rsidR="00186B12" w:rsidRDefault="00186B12" w:rsidP="00142740">
      <w:r w:rsidRPr="00142740">
        <w:t xml:space="preserve">Eraut, M., 2000. Non-formal learning and tacit knowledge in professional work. </w:t>
      </w:r>
      <w:r w:rsidRPr="00142740">
        <w:rPr>
          <w:i/>
          <w:iCs/>
        </w:rPr>
        <w:t>British Journal of Educational Psychology</w:t>
      </w:r>
      <w:r w:rsidRPr="00142740">
        <w:t>, 70(1), pp. 113-136.</w:t>
      </w:r>
    </w:p>
    <w:p w14:paraId="30B97699" w14:textId="77777777" w:rsidR="00186B12" w:rsidRPr="00142740" w:rsidRDefault="00186B12" w:rsidP="00E36BDB">
      <w:r w:rsidRPr="00E36BDB">
        <w:t xml:space="preserve">Eraut, M., 2004. Informal Learning in the Workplace. </w:t>
      </w:r>
      <w:r w:rsidRPr="00E36BDB">
        <w:rPr>
          <w:i/>
          <w:iCs/>
        </w:rPr>
        <w:t>Studies in Continuing Education</w:t>
      </w:r>
      <w:r w:rsidRPr="00E36BDB">
        <w:t>, 26(2), pp. 247–273</w:t>
      </w:r>
    </w:p>
    <w:p w14:paraId="56078FD7" w14:textId="77777777" w:rsidR="00186B12" w:rsidRPr="00142740" w:rsidRDefault="00186B12" w:rsidP="00142740">
      <w:r w:rsidRPr="00142740">
        <w:t xml:space="preserve">Fenwick, T., 2001. </w:t>
      </w:r>
      <w:r w:rsidRPr="00142740">
        <w:rPr>
          <w:i/>
          <w:iCs/>
        </w:rPr>
        <w:t>Experiential Learning: A Theoretical Critique from Five Perspectives.</w:t>
      </w:r>
      <w:r w:rsidRPr="00142740">
        <w:t xml:space="preserve"> Columbus, OH: ERIC Clearinghouse on Adult, Career, and Vocational Education.</w:t>
      </w:r>
    </w:p>
    <w:p w14:paraId="7B261726" w14:textId="77777777" w:rsidR="00186B12" w:rsidRPr="00142740" w:rsidRDefault="00186B12" w:rsidP="00142740">
      <w:r w:rsidRPr="00142740">
        <w:t xml:space="preserve">Garrison, D.R. &amp; Kanuka, H., 2004. Blended learning: Uncovering its transformative potential in higher education. </w:t>
      </w:r>
      <w:r w:rsidRPr="00142740">
        <w:rPr>
          <w:i/>
          <w:iCs/>
        </w:rPr>
        <w:t>The Internet and Higher Education</w:t>
      </w:r>
      <w:r w:rsidRPr="00142740">
        <w:t>, 7(2), pp. 95-105.</w:t>
      </w:r>
    </w:p>
    <w:p w14:paraId="7F530A28" w14:textId="77777777" w:rsidR="00186B12" w:rsidRPr="00142740" w:rsidRDefault="00186B12" w:rsidP="00142740">
      <w:r w:rsidRPr="00142740">
        <w:t xml:space="preserve">Garrison, D.R., 2011. </w:t>
      </w:r>
      <w:r w:rsidRPr="00142740">
        <w:rPr>
          <w:i/>
          <w:iCs/>
        </w:rPr>
        <w:t>E-learning in the 21st Century: A Framework for Research and Practice.</w:t>
      </w:r>
      <w:r w:rsidRPr="00142740">
        <w:t xml:space="preserve"> 2nd ed. New York: Routledge.</w:t>
      </w:r>
    </w:p>
    <w:p w14:paraId="2FB99C64" w14:textId="77777777" w:rsidR="00186B12" w:rsidRDefault="00186B12" w:rsidP="00142740">
      <w:r w:rsidRPr="00142740">
        <w:t xml:space="preserve">Illeris, K., 2018. </w:t>
      </w:r>
      <w:r w:rsidRPr="00142740">
        <w:rPr>
          <w:i/>
          <w:iCs/>
        </w:rPr>
        <w:t>Contemporary Theories of Learning: Learning Theorists in Their Own Words.</w:t>
      </w:r>
      <w:r w:rsidRPr="00142740">
        <w:t xml:space="preserve"> 2nd ed. New York: Routledge.</w:t>
      </w:r>
    </w:p>
    <w:p w14:paraId="7EB1658B" w14:textId="77777777" w:rsidR="00186B12" w:rsidRPr="00142740" w:rsidRDefault="00186B12" w:rsidP="00142740">
      <w:r w:rsidRPr="00142740">
        <w:t xml:space="preserve">James, N. &amp; Brookfield, S.D., 2014. </w:t>
      </w:r>
      <w:r w:rsidRPr="00142740">
        <w:rPr>
          <w:i/>
          <w:iCs/>
        </w:rPr>
        <w:t>Engaging Imagination: Helping Students Become Creative and Reflective Thinkers.</w:t>
      </w:r>
      <w:r w:rsidRPr="00142740">
        <w:t xml:space="preserve"> San Francisco: Jossey-Bass.</w:t>
      </w:r>
    </w:p>
    <w:p w14:paraId="76916EB1" w14:textId="77777777" w:rsidR="00186B12" w:rsidRPr="00142740" w:rsidRDefault="00186B12" w:rsidP="00142740">
      <w:r w:rsidRPr="00142740">
        <w:t xml:space="preserve">Knowles, M.S., 1980. </w:t>
      </w:r>
      <w:r w:rsidRPr="00142740">
        <w:rPr>
          <w:i/>
          <w:iCs/>
        </w:rPr>
        <w:t>The Modern Practice of Adult Education: From Pedagogy to Andragogy.</w:t>
      </w:r>
      <w:r w:rsidRPr="00142740">
        <w:t xml:space="preserve"> Englewood Cliffs, NJ: Prentice Hall.</w:t>
      </w:r>
    </w:p>
    <w:p w14:paraId="44507D67" w14:textId="77777777" w:rsidR="00186B12" w:rsidRPr="00142740" w:rsidRDefault="00186B12" w:rsidP="00142740">
      <w:r w:rsidRPr="00142740">
        <w:t xml:space="preserve">Kolb, D.A. &amp; Kolb, A.Y., 2017. </w:t>
      </w:r>
      <w:r w:rsidRPr="00142740">
        <w:rPr>
          <w:i/>
          <w:iCs/>
        </w:rPr>
        <w:t>The Experiential Educator: Principles and Practices of Experiential Learning.</w:t>
      </w:r>
      <w:r w:rsidRPr="00142740">
        <w:t xml:space="preserve"> Louisville, CO: Kaizen Publications.</w:t>
      </w:r>
    </w:p>
    <w:p w14:paraId="5EE7B10E" w14:textId="77777777" w:rsidR="00186B12" w:rsidRPr="00142740" w:rsidRDefault="00186B12" w:rsidP="00142740">
      <w:r w:rsidRPr="00142740">
        <w:t xml:space="preserve">Lave, J. &amp; Wenger, E., 1991. </w:t>
      </w:r>
      <w:r w:rsidRPr="00142740">
        <w:rPr>
          <w:i/>
          <w:iCs/>
        </w:rPr>
        <w:t>Situated Learning: Legitimate Peripheral Participation.</w:t>
      </w:r>
      <w:r w:rsidRPr="00142740">
        <w:t xml:space="preserve"> Cambridge: Cambridge University Press.</w:t>
      </w:r>
    </w:p>
    <w:p w14:paraId="798061B7" w14:textId="77777777" w:rsidR="00186B12" w:rsidRPr="00142740" w:rsidRDefault="00186B12" w:rsidP="00142740">
      <w:r w:rsidRPr="008E7840">
        <w:t xml:space="preserve">Merriam, S.B. &amp; Bierema, L.L., 2013. </w:t>
      </w:r>
      <w:r w:rsidRPr="00142740">
        <w:rPr>
          <w:i/>
          <w:iCs/>
        </w:rPr>
        <w:t>Adult Learning: Linking Theory and Practice.</w:t>
      </w:r>
      <w:r w:rsidRPr="00142740">
        <w:t xml:space="preserve"> San Francisco: Jossey-Bass.</w:t>
      </w:r>
    </w:p>
    <w:p w14:paraId="4D319E71" w14:textId="77777777" w:rsidR="00186B12" w:rsidRPr="00142740" w:rsidRDefault="00186B12" w:rsidP="00142740">
      <w:r w:rsidRPr="00142740">
        <w:t xml:space="preserve">Mezirow, J., 1991. </w:t>
      </w:r>
      <w:r w:rsidRPr="00142740">
        <w:rPr>
          <w:i/>
          <w:iCs/>
        </w:rPr>
        <w:t>Transformative Dimensions of Adult Learning.</w:t>
      </w:r>
      <w:r w:rsidRPr="00142740">
        <w:t xml:space="preserve"> San Francisco: Jossey-Bass.</w:t>
      </w:r>
    </w:p>
    <w:p w14:paraId="039843B9" w14:textId="77777777" w:rsidR="00186B12" w:rsidRDefault="00186B12" w:rsidP="00186B12">
      <w:r w:rsidRPr="00186B12">
        <w:t xml:space="preserve">Office for Students (2021) 'Equality, diversity and student characteristics data', Office for Students. Available at: </w:t>
      </w:r>
      <w:hyperlink r:id="rId13" w:tgtFrame="_new" w:history="1">
        <w:r w:rsidRPr="00186B12">
          <w:rPr>
            <w:rStyle w:val="Hyperlink"/>
          </w:rPr>
          <w:t>https://www.officeforstudents.org.uk/publications/equality-diversity-and-student-characteristics-data/</w:t>
        </w:r>
      </w:hyperlink>
      <w:r w:rsidRPr="00186B12">
        <w:t xml:space="preserve"> (Accessed: 3 March 2025).</w:t>
      </w:r>
    </w:p>
    <w:p w14:paraId="036ACE8D" w14:textId="77777777" w:rsidR="00186B12" w:rsidRPr="00142740" w:rsidRDefault="00186B12" w:rsidP="00142740">
      <w:r w:rsidRPr="00142740">
        <w:t xml:space="preserve">Oliver, B., 2019. Making micro-credentials work for learners, employers and providers. </w:t>
      </w:r>
      <w:r w:rsidRPr="00142740">
        <w:rPr>
          <w:i/>
          <w:iCs/>
        </w:rPr>
        <w:t>Australian Journal of Adult Learning</w:t>
      </w:r>
      <w:r w:rsidRPr="00142740">
        <w:t>, 59(3), pp. 426-439.</w:t>
      </w:r>
    </w:p>
    <w:p w14:paraId="3382AF7F" w14:textId="77777777" w:rsidR="00186B12" w:rsidRPr="00142740" w:rsidRDefault="00186B12" w:rsidP="00142740">
      <w:r w:rsidRPr="00142740">
        <w:t xml:space="preserve">Pedler, M., 2011. </w:t>
      </w:r>
      <w:r w:rsidRPr="00142740">
        <w:rPr>
          <w:i/>
          <w:iCs/>
        </w:rPr>
        <w:t>Action Learning in Practice.</w:t>
      </w:r>
      <w:r w:rsidRPr="00142740">
        <w:t xml:space="preserve"> 4th ed. Farnham: Gower Publishing.</w:t>
      </w:r>
    </w:p>
    <w:p w14:paraId="37935E6C" w14:textId="77777777" w:rsidR="00186B12" w:rsidRPr="00142740" w:rsidRDefault="00186B12" w:rsidP="00142740">
      <w:r w:rsidRPr="00142740">
        <w:t xml:space="preserve">Raelin, J.A., 2010. </w:t>
      </w:r>
      <w:r w:rsidRPr="00142740">
        <w:rPr>
          <w:i/>
          <w:iCs/>
        </w:rPr>
        <w:t>Work-Based Learning: Bridging Knowledge and Action in the Workplace.</w:t>
      </w:r>
      <w:r w:rsidRPr="00142740">
        <w:t xml:space="preserve"> San Francisco: Jossey-Bass.</w:t>
      </w:r>
    </w:p>
    <w:p w14:paraId="2B9A336C" w14:textId="77777777" w:rsidR="00186B12" w:rsidRDefault="00186B12" w:rsidP="00142740">
      <w:r w:rsidRPr="00142740">
        <w:t xml:space="preserve">Schön, D.A., 1983. </w:t>
      </w:r>
      <w:r w:rsidRPr="00142740">
        <w:rPr>
          <w:i/>
          <w:iCs/>
        </w:rPr>
        <w:t>The Reflective Practitioner: How Professionals Think in Action.</w:t>
      </w:r>
      <w:r w:rsidRPr="00142740">
        <w:t xml:space="preserve"> London: Basic Books.</w:t>
      </w:r>
    </w:p>
    <w:p w14:paraId="55B37613" w14:textId="77777777" w:rsidR="00186B12" w:rsidRPr="00142740" w:rsidRDefault="00186B12" w:rsidP="00E36BDB">
      <w:r>
        <w:t>T</w:t>
      </w:r>
      <w:r w:rsidRPr="00E36BDB">
        <w:t xml:space="preserve">ait, A., 2000. Planning Student Support for Open and Distance Learning. </w:t>
      </w:r>
      <w:r w:rsidRPr="00E36BDB">
        <w:rPr>
          <w:i/>
          <w:iCs/>
        </w:rPr>
        <w:t>Open Learning: The Journal of Open, Distance and e-Learning</w:t>
      </w:r>
      <w:r w:rsidRPr="00E36BDB">
        <w:t>, 15(3), pp. 287–299.</w:t>
      </w:r>
    </w:p>
    <w:p w14:paraId="60C58773" w14:textId="77777777" w:rsidR="00186B12" w:rsidRDefault="00186B12" w:rsidP="00186B12">
      <w:r w:rsidRPr="00A966BC">
        <w:t xml:space="preserve">Thompson, H. (2024) 'Community is the key to better learning outcomes', </w:t>
      </w:r>
      <w:r w:rsidRPr="00A966BC">
        <w:rPr>
          <w:i/>
          <w:iCs/>
        </w:rPr>
        <w:t>The Guardian</w:t>
      </w:r>
      <w:r w:rsidRPr="00A966BC">
        <w:t xml:space="preserve">, 2 December. Available at: </w:t>
      </w:r>
      <w:hyperlink r:id="rId14" w:tgtFrame="_new" w:history="1">
        <w:r w:rsidRPr="00A966BC">
          <w:rPr>
            <w:rStyle w:val="Hyperlink"/>
          </w:rPr>
          <w:t>https://www.theguardian.com/murdoch-university-a-brighter-future-is-here/2024/dec/02/community-is-the-key-to-better-learning-outcomes</w:t>
        </w:r>
      </w:hyperlink>
      <w:r w:rsidRPr="00A966BC">
        <w:t xml:space="preserve"> (Accessed: 3 March 2025).</w:t>
      </w:r>
    </w:p>
    <w:p w14:paraId="14EA2ABC" w14:textId="77777777" w:rsidR="00186B12" w:rsidRDefault="00186B12" w:rsidP="00142740">
      <w:r w:rsidRPr="00142740">
        <w:t xml:space="preserve">Tinto, V., 2017. </w:t>
      </w:r>
      <w:r w:rsidRPr="00142740">
        <w:rPr>
          <w:i/>
          <w:iCs/>
        </w:rPr>
        <w:t>Through the Eyes of Students.</w:t>
      </w:r>
      <w:r w:rsidRPr="00142740">
        <w:t xml:space="preserve"> Journal of College Student Retention: Research, Theory &amp; Practice, 19(3), pp. 254-269.</w:t>
      </w:r>
    </w:p>
    <w:p w14:paraId="76762D9C" w14:textId="77777777" w:rsidR="00186B12" w:rsidRPr="00142740" w:rsidRDefault="00186B12" w:rsidP="001442F7">
      <w:proofErr w:type="spellStart"/>
      <w:r w:rsidRPr="001442F7">
        <w:t>Tusting</w:t>
      </w:r>
      <w:proofErr w:type="spellEnd"/>
      <w:r w:rsidRPr="001442F7">
        <w:t xml:space="preserve">, K. &amp; Barton, D., 2006. Models of Adult Learning: A Literature Review. </w:t>
      </w:r>
      <w:r w:rsidRPr="001442F7">
        <w:rPr>
          <w:i/>
          <w:iCs/>
        </w:rPr>
        <w:t>National Research and Development Centre for Adult Literacy and Numeracy</w:t>
      </w:r>
      <w:r w:rsidRPr="001442F7">
        <w:t>, pp. 1–38.</w:t>
      </w:r>
    </w:p>
    <w:p w14:paraId="2EC0A62B" w14:textId="77777777" w:rsidR="00186B12" w:rsidRPr="00142740" w:rsidRDefault="00186B12" w:rsidP="00142740">
      <w:r w:rsidRPr="00142740">
        <w:t xml:space="preserve">Welsh Government, 2013. </w:t>
      </w:r>
      <w:r w:rsidRPr="00142740">
        <w:rPr>
          <w:i/>
          <w:iCs/>
        </w:rPr>
        <w:t>Policy Statement on Skills.</w:t>
      </w:r>
      <w:r w:rsidRPr="00142740">
        <w:t xml:space="preserve"> Cardiff: Welsh Government.</w:t>
      </w:r>
    </w:p>
    <w:p w14:paraId="2FB39A10" w14:textId="77777777" w:rsidR="00186B12" w:rsidRPr="00142740" w:rsidRDefault="00186B12" w:rsidP="00142740">
      <w:r w:rsidRPr="00142740">
        <w:t xml:space="preserve">Welsh Government, 2019. </w:t>
      </w:r>
      <w:r w:rsidRPr="00142740">
        <w:rPr>
          <w:i/>
          <w:iCs/>
        </w:rPr>
        <w:t>Post-16 Education and Training in Wales.</w:t>
      </w:r>
      <w:r w:rsidRPr="00142740">
        <w:t xml:space="preserve"> Cardiff: Welsh Government.</w:t>
      </w:r>
    </w:p>
    <w:p w14:paraId="182A1482" w14:textId="77777777" w:rsidR="00186B12" w:rsidRPr="00142740" w:rsidRDefault="00186B12" w:rsidP="00142740">
      <w:r w:rsidRPr="00142740">
        <w:t xml:space="preserve">Wenger, E., 1998. </w:t>
      </w:r>
      <w:r w:rsidRPr="00142740">
        <w:rPr>
          <w:i/>
          <w:iCs/>
        </w:rPr>
        <w:t>Communities of Practice: Learning, Meaning, and Identity.</w:t>
      </w:r>
      <w:r w:rsidRPr="00142740">
        <w:t xml:space="preserve"> Cambridge: Cambridge University Press.</w:t>
      </w:r>
    </w:p>
    <w:p w14:paraId="216177A6" w14:textId="77777777" w:rsidR="00186B12" w:rsidRPr="00B55AA8" w:rsidRDefault="00186B12" w:rsidP="00EA7C81">
      <w:r w:rsidRPr="00EA7C81">
        <w:t xml:space="preserve">Wenger-Trayner, E., &amp; Wenger-Trayner, B. (2020). </w:t>
      </w:r>
      <w:r w:rsidRPr="00EA7C81">
        <w:rPr>
          <w:i/>
          <w:iCs/>
        </w:rPr>
        <w:t>Learning to make a difference: Value creation in social learning spaces</w:t>
      </w:r>
      <w:r w:rsidRPr="00EA7C81">
        <w:t>. Cambridge University Press.</w:t>
      </w:r>
    </w:p>
    <w:sectPr w:rsidR="00186B12" w:rsidRPr="00B55AA8" w:rsidSect="001F2EBB">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38CC4B" w14:textId="77777777" w:rsidR="008E5990" w:rsidRDefault="008E5990" w:rsidP="001F2EBB">
      <w:pPr>
        <w:spacing w:after="0" w:line="240" w:lineRule="auto"/>
      </w:pPr>
      <w:r>
        <w:separator/>
      </w:r>
    </w:p>
  </w:endnote>
  <w:endnote w:type="continuationSeparator" w:id="0">
    <w:p w14:paraId="49BECA06" w14:textId="77777777" w:rsidR="008E5990" w:rsidRDefault="008E5990" w:rsidP="001F2E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1417455"/>
      <w:docPartObj>
        <w:docPartGallery w:val="Page Numbers (Bottom of Page)"/>
        <w:docPartUnique/>
      </w:docPartObj>
    </w:sdtPr>
    <w:sdtEndPr>
      <w:rPr>
        <w:noProof/>
      </w:rPr>
    </w:sdtEndPr>
    <w:sdtContent>
      <w:p w14:paraId="21ABD446" w14:textId="2C165791" w:rsidR="00BC1BB7" w:rsidRDefault="00BC1B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683852" w14:textId="77777777" w:rsidR="00BC1BB7" w:rsidRDefault="00BC1B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872A99" w14:textId="77777777" w:rsidR="008E5990" w:rsidRDefault="008E5990" w:rsidP="001F2EBB">
      <w:pPr>
        <w:spacing w:after="0" w:line="240" w:lineRule="auto"/>
      </w:pPr>
      <w:r>
        <w:separator/>
      </w:r>
    </w:p>
  </w:footnote>
  <w:footnote w:type="continuationSeparator" w:id="0">
    <w:p w14:paraId="4819194E" w14:textId="77777777" w:rsidR="008E5990" w:rsidRDefault="008E5990" w:rsidP="001F2E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B74D3D"/>
    <w:multiLevelType w:val="multilevel"/>
    <w:tmpl w:val="ACC0B3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F0A4919"/>
    <w:multiLevelType w:val="multilevel"/>
    <w:tmpl w:val="155CC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6B039C2"/>
    <w:multiLevelType w:val="multilevel"/>
    <w:tmpl w:val="EA544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5C60DA7"/>
    <w:multiLevelType w:val="multilevel"/>
    <w:tmpl w:val="C8502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C812256"/>
    <w:multiLevelType w:val="hybridMultilevel"/>
    <w:tmpl w:val="A0E4CD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65149063">
    <w:abstractNumId w:val="2"/>
  </w:num>
  <w:num w:numId="2" w16cid:durableId="1072966770">
    <w:abstractNumId w:val="3"/>
  </w:num>
  <w:num w:numId="3" w16cid:durableId="1223637576">
    <w:abstractNumId w:val="0"/>
  </w:num>
  <w:num w:numId="4" w16cid:durableId="959341460">
    <w:abstractNumId w:val="1"/>
  </w:num>
  <w:num w:numId="5" w16cid:durableId="94426620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AA8"/>
    <w:rsid w:val="00002FCB"/>
    <w:rsid w:val="0003389E"/>
    <w:rsid w:val="00041FFC"/>
    <w:rsid w:val="000528B8"/>
    <w:rsid w:val="00056C6D"/>
    <w:rsid w:val="000741E1"/>
    <w:rsid w:val="0008643F"/>
    <w:rsid w:val="000B094E"/>
    <w:rsid w:val="000C495C"/>
    <w:rsid w:val="000C5475"/>
    <w:rsid w:val="000F2081"/>
    <w:rsid w:val="00117215"/>
    <w:rsid w:val="001266F2"/>
    <w:rsid w:val="00142740"/>
    <w:rsid w:val="001442F7"/>
    <w:rsid w:val="00186B12"/>
    <w:rsid w:val="001A5CF9"/>
    <w:rsid w:val="001C2B57"/>
    <w:rsid w:val="001D183D"/>
    <w:rsid w:val="001E7192"/>
    <w:rsid w:val="001F2EBB"/>
    <w:rsid w:val="001F5C18"/>
    <w:rsid w:val="001F765D"/>
    <w:rsid w:val="0020350E"/>
    <w:rsid w:val="00206510"/>
    <w:rsid w:val="002501B7"/>
    <w:rsid w:val="002610D2"/>
    <w:rsid w:val="0031141C"/>
    <w:rsid w:val="0032320C"/>
    <w:rsid w:val="00335407"/>
    <w:rsid w:val="00335B1D"/>
    <w:rsid w:val="00375045"/>
    <w:rsid w:val="003C0620"/>
    <w:rsid w:val="003C2A84"/>
    <w:rsid w:val="0040461F"/>
    <w:rsid w:val="00423167"/>
    <w:rsid w:val="00431BCE"/>
    <w:rsid w:val="0043373B"/>
    <w:rsid w:val="004531A3"/>
    <w:rsid w:val="004622EC"/>
    <w:rsid w:val="00477F64"/>
    <w:rsid w:val="004841CA"/>
    <w:rsid w:val="004920B7"/>
    <w:rsid w:val="004A5A29"/>
    <w:rsid w:val="004B236F"/>
    <w:rsid w:val="004C2459"/>
    <w:rsid w:val="004D0792"/>
    <w:rsid w:val="004E50D5"/>
    <w:rsid w:val="004E7CAB"/>
    <w:rsid w:val="00514B77"/>
    <w:rsid w:val="00522FC3"/>
    <w:rsid w:val="005316DD"/>
    <w:rsid w:val="005411C0"/>
    <w:rsid w:val="00580EC4"/>
    <w:rsid w:val="005B078A"/>
    <w:rsid w:val="005C0859"/>
    <w:rsid w:val="005C72C6"/>
    <w:rsid w:val="005C7539"/>
    <w:rsid w:val="005E55B3"/>
    <w:rsid w:val="005F71F0"/>
    <w:rsid w:val="00607DC6"/>
    <w:rsid w:val="00630A8A"/>
    <w:rsid w:val="00670E1D"/>
    <w:rsid w:val="00690EE9"/>
    <w:rsid w:val="006E3D3D"/>
    <w:rsid w:val="006E41A1"/>
    <w:rsid w:val="00724987"/>
    <w:rsid w:val="007406BA"/>
    <w:rsid w:val="00754B4C"/>
    <w:rsid w:val="00767D7F"/>
    <w:rsid w:val="007756C7"/>
    <w:rsid w:val="007C3D30"/>
    <w:rsid w:val="007F4831"/>
    <w:rsid w:val="00800492"/>
    <w:rsid w:val="0080275B"/>
    <w:rsid w:val="00806A7E"/>
    <w:rsid w:val="00812485"/>
    <w:rsid w:val="008154F4"/>
    <w:rsid w:val="00821CA0"/>
    <w:rsid w:val="00845B87"/>
    <w:rsid w:val="00887388"/>
    <w:rsid w:val="008C41CE"/>
    <w:rsid w:val="008C5C78"/>
    <w:rsid w:val="008E5990"/>
    <w:rsid w:val="008E7840"/>
    <w:rsid w:val="0091014C"/>
    <w:rsid w:val="0091631C"/>
    <w:rsid w:val="0092097F"/>
    <w:rsid w:val="00937761"/>
    <w:rsid w:val="009463C4"/>
    <w:rsid w:val="00955811"/>
    <w:rsid w:val="00961755"/>
    <w:rsid w:val="0098148D"/>
    <w:rsid w:val="00990A98"/>
    <w:rsid w:val="009F3793"/>
    <w:rsid w:val="009F6777"/>
    <w:rsid w:val="00A23637"/>
    <w:rsid w:val="00A26FFA"/>
    <w:rsid w:val="00A40EF7"/>
    <w:rsid w:val="00A548B3"/>
    <w:rsid w:val="00A608B4"/>
    <w:rsid w:val="00A966BC"/>
    <w:rsid w:val="00AC3E78"/>
    <w:rsid w:val="00AC7B04"/>
    <w:rsid w:val="00B00D3B"/>
    <w:rsid w:val="00B55AA8"/>
    <w:rsid w:val="00B6057A"/>
    <w:rsid w:val="00B94BB2"/>
    <w:rsid w:val="00BA0047"/>
    <w:rsid w:val="00BB13A4"/>
    <w:rsid w:val="00BB68A9"/>
    <w:rsid w:val="00BB79F4"/>
    <w:rsid w:val="00BC1BB7"/>
    <w:rsid w:val="00BF52A2"/>
    <w:rsid w:val="00C02F13"/>
    <w:rsid w:val="00C22F61"/>
    <w:rsid w:val="00C270D3"/>
    <w:rsid w:val="00C34BD0"/>
    <w:rsid w:val="00C35207"/>
    <w:rsid w:val="00C80541"/>
    <w:rsid w:val="00C94408"/>
    <w:rsid w:val="00CE7807"/>
    <w:rsid w:val="00D03523"/>
    <w:rsid w:val="00D61A73"/>
    <w:rsid w:val="00D64198"/>
    <w:rsid w:val="00D70D7F"/>
    <w:rsid w:val="00D71F3B"/>
    <w:rsid w:val="00D85647"/>
    <w:rsid w:val="00D87BB5"/>
    <w:rsid w:val="00DE5ABA"/>
    <w:rsid w:val="00E01170"/>
    <w:rsid w:val="00E05409"/>
    <w:rsid w:val="00E07769"/>
    <w:rsid w:val="00E13A35"/>
    <w:rsid w:val="00E20A7F"/>
    <w:rsid w:val="00E22D95"/>
    <w:rsid w:val="00E27654"/>
    <w:rsid w:val="00E32032"/>
    <w:rsid w:val="00E36BDB"/>
    <w:rsid w:val="00E60D32"/>
    <w:rsid w:val="00E9578A"/>
    <w:rsid w:val="00EA56EB"/>
    <w:rsid w:val="00EA7C81"/>
    <w:rsid w:val="00F03CF2"/>
    <w:rsid w:val="00F120D6"/>
    <w:rsid w:val="00F24AD4"/>
    <w:rsid w:val="00F462BA"/>
    <w:rsid w:val="00FB0EDF"/>
    <w:rsid w:val="00FB6865"/>
    <w:rsid w:val="00FE08D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4B84B3"/>
  <w15:chartTrackingRefBased/>
  <w15:docId w15:val="{EB2E9CC0-EEA6-4868-9DC3-4972F627F1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5A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55A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5A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5A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5A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5A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5A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5A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5A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5A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55A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5A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5A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5A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5A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5A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5A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5AA8"/>
    <w:rPr>
      <w:rFonts w:eastAsiaTheme="majorEastAsia" w:cstheme="majorBidi"/>
      <w:color w:val="272727" w:themeColor="text1" w:themeTint="D8"/>
    </w:rPr>
  </w:style>
  <w:style w:type="paragraph" w:styleId="Title">
    <w:name w:val="Title"/>
    <w:basedOn w:val="Normal"/>
    <w:next w:val="Normal"/>
    <w:link w:val="TitleChar"/>
    <w:uiPriority w:val="10"/>
    <w:qFormat/>
    <w:rsid w:val="00B55A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5A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5A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5A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5AA8"/>
    <w:pPr>
      <w:spacing w:before="160"/>
      <w:jc w:val="center"/>
    </w:pPr>
    <w:rPr>
      <w:i/>
      <w:iCs/>
      <w:color w:val="404040" w:themeColor="text1" w:themeTint="BF"/>
    </w:rPr>
  </w:style>
  <w:style w:type="character" w:customStyle="1" w:styleId="QuoteChar">
    <w:name w:val="Quote Char"/>
    <w:basedOn w:val="DefaultParagraphFont"/>
    <w:link w:val="Quote"/>
    <w:uiPriority w:val="29"/>
    <w:rsid w:val="00B55AA8"/>
    <w:rPr>
      <w:i/>
      <w:iCs/>
      <w:color w:val="404040" w:themeColor="text1" w:themeTint="BF"/>
    </w:rPr>
  </w:style>
  <w:style w:type="paragraph" w:styleId="ListParagraph">
    <w:name w:val="List Paragraph"/>
    <w:basedOn w:val="Normal"/>
    <w:uiPriority w:val="34"/>
    <w:qFormat/>
    <w:rsid w:val="00B55AA8"/>
    <w:pPr>
      <w:ind w:left="720"/>
      <w:contextualSpacing/>
    </w:pPr>
  </w:style>
  <w:style w:type="character" w:styleId="IntenseEmphasis">
    <w:name w:val="Intense Emphasis"/>
    <w:basedOn w:val="DefaultParagraphFont"/>
    <w:uiPriority w:val="21"/>
    <w:qFormat/>
    <w:rsid w:val="00B55AA8"/>
    <w:rPr>
      <w:i/>
      <w:iCs/>
      <w:color w:val="0F4761" w:themeColor="accent1" w:themeShade="BF"/>
    </w:rPr>
  </w:style>
  <w:style w:type="paragraph" w:styleId="IntenseQuote">
    <w:name w:val="Intense Quote"/>
    <w:basedOn w:val="Normal"/>
    <w:next w:val="Normal"/>
    <w:link w:val="IntenseQuoteChar"/>
    <w:uiPriority w:val="30"/>
    <w:qFormat/>
    <w:rsid w:val="00B55A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5AA8"/>
    <w:rPr>
      <w:i/>
      <w:iCs/>
      <w:color w:val="0F4761" w:themeColor="accent1" w:themeShade="BF"/>
    </w:rPr>
  </w:style>
  <w:style w:type="character" w:styleId="IntenseReference">
    <w:name w:val="Intense Reference"/>
    <w:basedOn w:val="DefaultParagraphFont"/>
    <w:uiPriority w:val="32"/>
    <w:qFormat/>
    <w:rsid w:val="00B55AA8"/>
    <w:rPr>
      <w:b/>
      <w:bCs/>
      <w:smallCaps/>
      <w:color w:val="0F4761" w:themeColor="accent1" w:themeShade="BF"/>
      <w:spacing w:val="5"/>
    </w:rPr>
  </w:style>
  <w:style w:type="paragraph" w:styleId="NormalWeb">
    <w:name w:val="Normal (Web)"/>
    <w:basedOn w:val="Normal"/>
    <w:uiPriority w:val="99"/>
    <w:semiHidden/>
    <w:unhideWhenUsed/>
    <w:rsid w:val="00B55AA8"/>
    <w:rPr>
      <w:rFonts w:ascii="Times New Roman" w:hAnsi="Times New Roman" w:cs="Times New Roman"/>
    </w:rPr>
  </w:style>
  <w:style w:type="paragraph" w:styleId="Header">
    <w:name w:val="header"/>
    <w:basedOn w:val="Normal"/>
    <w:link w:val="HeaderChar"/>
    <w:uiPriority w:val="99"/>
    <w:unhideWhenUsed/>
    <w:rsid w:val="001F2E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2EBB"/>
  </w:style>
  <w:style w:type="paragraph" w:styleId="Footer">
    <w:name w:val="footer"/>
    <w:basedOn w:val="Normal"/>
    <w:link w:val="FooterChar"/>
    <w:uiPriority w:val="99"/>
    <w:unhideWhenUsed/>
    <w:rsid w:val="001F2E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2EBB"/>
  </w:style>
  <w:style w:type="paragraph" w:styleId="NoSpacing">
    <w:name w:val="No Spacing"/>
    <w:link w:val="NoSpacingChar"/>
    <w:uiPriority w:val="1"/>
    <w:qFormat/>
    <w:rsid w:val="001F2EBB"/>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2EBB"/>
    <w:rPr>
      <w:kern w:val="0"/>
      <w:sz w:val="22"/>
      <w:szCs w:val="22"/>
      <w:lang w:val="en-US" w:eastAsia="en-US"/>
      <w14:ligatures w14:val="none"/>
    </w:rPr>
  </w:style>
  <w:style w:type="paragraph" w:styleId="TOCHeading">
    <w:name w:val="TOC Heading"/>
    <w:basedOn w:val="Heading1"/>
    <w:next w:val="Normal"/>
    <w:uiPriority w:val="39"/>
    <w:unhideWhenUsed/>
    <w:qFormat/>
    <w:rsid w:val="00041FFC"/>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041FFC"/>
    <w:pPr>
      <w:spacing w:after="100"/>
    </w:pPr>
  </w:style>
  <w:style w:type="paragraph" w:styleId="TOC2">
    <w:name w:val="toc 2"/>
    <w:basedOn w:val="Normal"/>
    <w:next w:val="Normal"/>
    <w:autoRedefine/>
    <w:uiPriority w:val="39"/>
    <w:unhideWhenUsed/>
    <w:rsid w:val="00041FFC"/>
    <w:pPr>
      <w:spacing w:after="100"/>
      <w:ind w:left="240"/>
    </w:pPr>
  </w:style>
  <w:style w:type="character" w:styleId="Hyperlink">
    <w:name w:val="Hyperlink"/>
    <w:basedOn w:val="DefaultParagraphFont"/>
    <w:uiPriority w:val="99"/>
    <w:unhideWhenUsed/>
    <w:rsid w:val="00041FFC"/>
    <w:rPr>
      <w:color w:val="467886" w:themeColor="hyperlink"/>
      <w:u w:val="single"/>
    </w:rPr>
  </w:style>
  <w:style w:type="character" w:styleId="UnresolvedMention">
    <w:name w:val="Unresolved Mention"/>
    <w:basedOn w:val="DefaultParagraphFont"/>
    <w:uiPriority w:val="99"/>
    <w:semiHidden/>
    <w:unhideWhenUsed/>
    <w:rsid w:val="00FB0EDF"/>
    <w:rPr>
      <w:color w:val="605E5C"/>
      <w:shd w:val="clear" w:color="auto" w:fill="E1DFDD"/>
    </w:rPr>
  </w:style>
  <w:style w:type="paragraph" w:styleId="Revision">
    <w:name w:val="Revision"/>
    <w:hidden/>
    <w:uiPriority w:val="99"/>
    <w:semiHidden/>
    <w:rsid w:val="001A5CF9"/>
    <w:pPr>
      <w:spacing w:after="0" w:line="240" w:lineRule="auto"/>
    </w:pPr>
  </w:style>
  <w:style w:type="character" w:styleId="CommentReference">
    <w:name w:val="annotation reference"/>
    <w:basedOn w:val="DefaultParagraphFont"/>
    <w:uiPriority w:val="99"/>
    <w:semiHidden/>
    <w:unhideWhenUsed/>
    <w:rsid w:val="001A5CF9"/>
    <w:rPr>
      <w:sz w:val="16"/>
      <w:szCs w:val="16"/>
    </w:rPr>
  </w:style>
  <w:style w:type="paragraph" w:styleId="CommentText">
    <w:name w:val="annotation text"/>
    <w:basedOn w:val="Normal"/>
    <w:link w:val="CommentTextChar"/>
    <w:uiPriority w:val="99"/>
    <w:unhideWhenUsed/>
    <w:rsid w:val="001A5CF9"/>
    <w:pPr>
      <w:spacing w:line="240" w:lineRule="auto"/>
    </w:pPr>
    <w:rPr>
      <w:sz w:val="20"/>
      <w:szCs w:val="20"/>
    </w:rPr>
  </w:style>
  <w:style w:type="character" w:customStyle="1" w:styleId="CommentTextChar">
    <w:name w:val="Comment Text Char"/>
    <w:basedOn w:val="DefaultParagraphFont"/>
    <w:link w:val="CommentText"/>
    <w:uiPriority w:val="99"/>
    <w:rsid w:val="001A5CF9"/>
    <w:rPr>
      <w:sz w:val="20"/>
      <w:szCs w:val="20"/>
    </w:rPr>
  </w:style>
  <w:style w:type="paragraph" w:styleId="CommentSubject">
    <w:name w:val="annotation subject"/>
    <w:basedOn w:val="CommentText"/>
    <w:next w:val="CommentText"/>
    <w:link w:val="CommentSubjectChar"/>
    <w:uiPriority w:val="99"/>
    <w:semiHidden/>
    <w:unhideWhenUsed/>
    <w:rsid w:val="001A5CF9"/>
    <w:rPr>
      <w:b/>
      <w:bCs/>
    </w:rPr>
  </w:style>
  <w:style w:type="character" w:customStyle="1" w:styleId="CommentSubjectChar">
    <w:name w:val="Comment Subject Char"/>
    <w:basedOn w:val="CommentTextChar"/>
    <w:link w:val="CommentSubject"/>
    <w:uiPriority w:val="99"/>
    <w:semiHidden/>
    <w:rsid w:val="001A5CF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6702811">
      <w:bodyDiv w:val="1"/>
      <w:marLeft w:val="0"/>
      <w:marRight w:val="0"/>
      <w:marTop w:val="0"/>
      <w:marBottom w:val="0"/>
      <w:divBdr>
        <w:top w:val="none" w:sz="0" w:space="0" w:color="auto"/>
        <w:left w:val="none" w:sz="0" w:space="0" w:color="auto"/>
        <w:bottom w:val="none" w:sz="0" w:space="0" w:color="auto"/>
        <w:right w:val="none" w:sz="0" w:space="0" w:color="auto"/>
      </w:divBdr>
    </w:div>
    <w:div w:id="388267279">
      <w:bodyDiv w:val="1"/>
      <w:marLeft w:val="0"/>
      <w:marRight w:val="0"/>
      <w:marTop w:val="0"/>
      <w:marBottom w:val="0"/>
      <w:divBdr>
        <w:top w:val="none" w:sz="0" w:space="0" w:color="auto"/>
        <w:left w:val="none" w:sz="0" w:space="0" w:color="auto"/>
        <w:bottom w:val="none" w:sz="0" w:space="0" w:color="auto"/>
        <w:right w:val="none" w:sz="0" w:space="0" w:color="auto"/>
      </w:divBdr>
      <w:divsChild>
        <w:div w:id="1341275343">
          <w:marLeft w:val="0"/>
          <w:marRight w:val="0"/>
          <w:marTop w:val="0"/>
          <w:marBottom w:val="0"/>
          <w:divBdr>
            <w:top w:val="none" w:sz="0" w:space="0" w:color="auto"/>
            <w:left w:val="none" w:sz="0" w:space="0" w:color="auto"/>
            <w:bottom w:val="none" w:sz="0" w:space="0" w:color="auto"/>
            <w:right w:val="none" w:sz="0" w:space="0" w:color="auto"/>
          </w:divBdr>
        </w:div>
        <w:div w:id="1201241661">
          <w:marLeft w:val="0"/>
          <w:marRight w:val="0"/>
          <w:marTop w:val="0"/>
          <w:marBottom w:val="0"/>
          <w:divBdr>
            <w:top w:val="none" w:sz="0" w:space="0" w:color="auto"/>
            <w:left w:val="none" w:sz="0" w:space="0" w:color="auto"/>
            <w:bottom w:val="none" w:sz="0" w:space="0" w:color="auto"/>
            <w:right w:val="none" w:sz="0" w:space="0" w:color="auto"/>
          </w:divBdr>
        </w:div>
        <w:div w:id="526674156">
          <w:marLeft w:val="0"/>
          <w:marRight w:val="0"/>
          <w:marTop w:val="0"/>
          <w:marBottom w:val="0"/>
          <w:divBdr>
            <w:top w:val="none" w:sz="0" w:space="0" w:color="auto"/>
            <w:left w:val="none" w:sz="0" w:space="0" w:color="auto"/>
            <w:bottom w:val="none" w:sz="0" w:space="0" w:color="auto"/>
            <w:right w:val="none" w:sz="0" w:space="0" w:color="auto"/>
          </w:divBdr>
        </w:div>
        <w:div w:id="982778271">
          <w:marLeft w:val="0"/>
          <w:marRight w:val="0"/>
          <w:marTop w:val="0"/>
          <w:marBottom w:val="0"/>
          <w:divBdr>
            <w:top w:val="none" w:sz="0" w:space="0" w:color="auto"/>
            <w:left w:val="none" w:sz="0" w:space="0" w:color="auto"/>
            <w:bottom w:val="none" w:sz="0" w:space="0" w:color="auto"/>
            <w:right w:val="none" w:sz="0" w:space="0" w:color="auto"/>
          </w:divBdr>
        </w:div>
        <w:div w:id="691806117">
          <w:marLeft w:val="0"/>
          <w:marRight w:val="0"/>
          <w:marTop w:val="0"/>
          <w:marBottom w:val="0"/>
          <w:divBdr>
            <w:top w:val="none" w:sz="0" w:space="0" w:color="auto"/>
            <w:left w:val="none" w:sz="0" w:space="0" w:color="auto"/>
            <w:bottom w:val="none" w:sz="0" w:space="0" w:color="auto"/>
            <w:right w:val="none" w:sz="0" w:space="0" w:color="auto"/>
          </w:divBdr>
        </w:div>
      </w:divsChild>
    </w:div>
    <w:div w:id="393891501">
      <w:bodyDiv w:val="1"/>
      <w:marLeft w:val="0"/>
      <w:marRight w:val="0"/>
      <w:marTop w:val="0"/>
      <w:marBottom w:val="0"/>
      <w:divBdr>
        <w:top w:val="none" w:sz="0" w:space="0" w:color="auto"/>
        <w:left w:val="none" w:sz="0" w:space="0" w:color="auto"/>
        <w:bottom w:val="none" w:sz="0" w:space="0" w:color="auto"/>
        <w:right w:val="none" w:sz="0" w:space="0" w:color="auto"/>
      </w:divBdr>
    </w:div>
    <w:div w:id="715546534">
      <w:bodyDiv w:val="1"/>
      <w:marLeft w:val="0"/>
      <w:marRight w:val="0"/>
      <w:marTop w:val="0"/>
      <w:marBottom w:val="0"/>
      <w:divBdr>
        <w:top w:val="none" w:sz="0" w:space="0" w:color="auto"/>
        <w:left w:val="none" w:sz="0" w:space="0" w:color="auto"/>
        <w:bottom w:val="none" w:sz="0" w:space="0" w:color="auto"/>
        <w:right w:val="none" w:sz="0" w:space="0" w:color="auto"/>
      </w:divBdr>
    </w:div>
    <w:div w:id="748120138">
      <w:bodyDiv w:val="1"/>
      <w:marLeft w:val="0"/>
      <w:marRight w:val="0"/>
      <w:marTop w:val="0"/>
      <w:marBottom w:val="0"/>
      <w:divBdr>
        <w:top w:val="none" w:sz="0" w:space="0" w:color="auto"/>
        <w:left w:val="none" w:sz="0" w:space="0" w:color="auto"/>
        <w:bottom w:val="none" w:sz="0" w:space="0" w:color="auto"/>
        <w:right w:val="none" w:sz="0" w:space="0" w:color="auto"/>
      </w:divBdr>
    </w:div>
    <w:div w:id="878586918">
      <w:bodyDiv w:val="1"/>
      <w:marLeft w:val="0"/>
      <w:marRight w:val="0"/>
      <w:marTop w:val="0"/>
      <w:marBottom w:val="0"/>
      <w:divBdr>
        <w:top w:val="none" w:sz="0" w:space="0" w:color="auto"/>
        <w:left w:val="none" w:sz="0" w:space="0" w:color="auto"/>
        <w:bottom w:val="none" w:sz="0" w:space="0" w:color="auto"/>
        <w:right w:val="none" w:sz="0" w:space="0" w:color="auto"/>
      </w:divBdr>
    </w:div>
    <w:div w:id="921988414">
      <w:bodyDiv w:val="1"/>
      <w:marLeft w:val="0"/>
      <w:marRight w:val="0"/>
      <w:marTop w:val="0"/>
      <w:marBottom w:val="0"/>
      <w:divBdr>
        <w:top w:val="none" w:sz="0" w:space="0" w:color="auto"/>
        <w:left w:val="none" w:sz="0" w:space="0" w:color="auto"/>
        <w:bottom w:val="none" w:sz="0" w:space="0" w:color="auto"/>
        <w:right w:val="none" w:sz="0" w:space="0" w:color="auto"/>
      </w:divBdr>
      <w:divsChild>
        <w:div w:id="1732464173">
          <w:marLeft w:val="0"/>
          <w:marRight w:val="0"/>
          <w:marTop w:val="0"/>
          <w:marBottom w:val="0"/>
          <w:divBdr>
            <w:top w:val="none" w:sz="0" w:space="0" w:color="auto"/>
            <w:left w:val="none" w:sz="0" w:space="0" w:color="auto"/>
            <w:bottom w:val="none" w:sz="0" w:space="0" w:color="auto"/>
            <w:right w:val="none" w:sz="0" w:space="0" w:color="auto"/>
          </w:divBdr>
        </w:div>
        <w:div w:id="1062750052">
          <w:marLeft w:val="0"/>
          <w:marRight w:val="0"/>
          <w:marTop w:val="0"/>
          <w:marBottom w:val="0"/>
          <w:divBdr>
            <w:top w:val="none" w:sz="0" w:space="0" w:color="auto"/>
            <w:left w:val="none" w:sz="0" w:space="0" w:color="auto"/>
            <w:bottom w:val="none" w:sz="0" w:space="0" w:color="auto"/>
            <w:right w:val="none" w:sz="0" w:space="0" w:color="auto"/>
          </w:divBdr>
        </w:div>
        <w:div w:id="1876579430">
          <w:marLeft w:val="0"/>
          <w:marRight w:val="0"/>
          <w:marTop w:val="0"/>
          <w:marBottom w:val="0"/>
          <w:divBdr>
            <w:top w:val="none" w:sz="0" w:space="0" w:color="auto"/>
            <w:left w:val="none" w:sz="0" w:space="0" w:color="auto"/>
            <w:bottom w:val="none" w:sz="0" w:space="0" w:color="auto"/>
            <w:right w:val="none" w:sz="0" w:space="0" w:color="auto"/>
          </w:divBdr>
        </w:div>
        <w:div w:id="1742485402">
          <w:marLeft w:val="0"/>
          <w:marRight w:val="0"/>
          <w:marTop w:val="0"/>
          <w:marBottom w:val="0"/>
          <w:divBdr>
            <w:top w:val="none" w:sz="0" w:space="0" w:color="auto"/>
            <w:left w:val="none" w:sz="0" w:space="0" w:color="auto"/>
            <w:bottom w:val="none" w:sz="0" w:space="0" w:color="auto"/>
            <w:right w:val="none" w:sz="0" w:space="0" w:color="auto"/>
          </w:divBdr>
        </w:div>
        <w:div w:id="870455909">
          <w:marLeft w:val="0"/>
          <w:marRight w:val="0"/>
          <w:marTop w:val="0"/>
          <w:marBottom w:val="0"/>
          <w:divBdr>
            <w:top w:val="none" w:sz="0" w:space="0" w:color="auto"/>
            <w:left w:val="none" w:sz="0" w:space="0" w:color="auto"/>
            <w:bottom w:val="none" w:sz="0" w:space="0" w:color="auto"/>
            <w:right w:val="none" w:sz="0" w:space="0" w:color="auto"/>
          </w:divBdr>
        </w:div>
      </w:divsChild>
    </w:div>
    <w:div w:id="1026177807">
      <w:bodyDiv w:val="1"/>
      <w:marLeft w:val="0"/>
      <w:marRight w:val="0"/>
      <w:marTop w:val="0"/>
      <w:marBottom w:val="0"/>
      <w:divBdr>
        <w:top w:val="none" w:sz="0" w:space="0" w:color="auto"/>
        <w:left w:val="none" w:sz="0" w:space="0" w:color="auto"/>
        <w:bottom w:val="none" w:sz="0" w:space="0" w:color="auto"/>
        <w:right w:val="none" w:sz="0" w:space="0" w:color="auto"/>
      </w:divBdr>
    </w:div>
    <w:div w:id="1238129530">
      <w:bodyDiv w:val="1"/>
      <w:marLeft w:val="0"/>
      <w:marRight w:val="0"/>
      <w:marTop w:val="0"/>
      <w:marBottom w:val="0"/>
      <w:divBdr>
        <w:top w:val="none" w:sz="0" w:space="0" w:color="auto"/>
        <w:left w:val="none" w:sz="0" w:space="0" w:color="auto"/>
        <w:bottom w:val="none" w:sz="0" w:space="0" w:color="auto"/>
        <w:right w:val="none" w:sz="0" w:space="0" w:color="auto"/>
      </w:divBdr>
    </w:div>
    <w:div w:id="1413889879">
      <w:bodyDiv w:val="1"/>
      <w:marLeft w:val="0"/>
      <w:marRight w:val="0"/>
      <w:marTop w:val="0"/>
      <w:marBottom w:val="0"/>
      <w:divBdr>
        <w:top w:val="none" w:sz="0" w:space="0" w:color="auto"/>
        <w:left w:val="none" w:sz="0" w:space="0" w:color="auto"/>
        <w:bottom w:val="none" w:sz="0" w:space="0" w:color="auto"/>
        <w:right w:val="none" w:sz="0" w:space="0" w:color="auto"/>
      </w:divBdr>
    </w:div>
    <w:div w:id="1563250329">
      <w:bodyDiv w:val="1"/>
      <w:marLeft w:val="0"/>
      <w:marRight w:val="0"/>
      <w:marTop w:val="0"/>
      <w:marBottom w:val="0"/>
      <w:divBdr>
        <w:top w:val="none" w:sz="0" w:space="0" w:color="auto"/>
        <w:left w:val="none" w:sz="0" w:space="0" w:color="auto"/>
        <w:bottom w:val="none" w:sz="0" w:space="0" w:color="auto"/>
        <w:right w:val="none" w:sz="0" w:space="0" w:color="auto"/>
      </w:divBdr>
    </w:div>
    <w:div w:id="1594702168">
      <w:bodyDiv w:val="1"/>
      <w:marLeft w:val="0"/>
      <w:marRight w:val="0"/>
      <w:marTop w:val="0"/>
      <w:marBottom w:val="0"/>
      <w:divBdr>
        <w:top w:val="none" w:sz="0" w:space="0" w:color="auto"/>
        <w:left w:val="none" w:sz="0" w:space="0" w:color="auto"/>
        <w:bottom w:val="none" w:sz="0" w:space="0" w:color="auto"/>
        <w:right w:val="none" w:sz="0" w:space="0" w:color="auto"/>
      </w:divBdr>
    </w:div>
    <w:div w:id="1599174056">
      <w:bodyDiv w:val="1"/>
      <w:marLeft w:val="0"/>
      <w:marRight w:val="0"/>
      <w:marTop w:val="0"/>
      <w:marBottom w:val="0"/>
      <w:divBdr>
        <w:top w:val="none" w:sz="0" w:space="0" w:color="auto"/>
        <w:left w:val="none" w:sz="0" w:space="0" w:color="auto"/>
        <w:bottom w:val="none" w:sz="0" w:space="0" w:color="auto"/>
        <w:right w:val="none" w:sz="0" w:space="0" w:color="auto"/>
      </w:divBdr>
    </w:div>
    <w:div w:id="1693871896">
      <w:bodyDiv w:val="1"/>
      <w:marLeft w:val="0"/>
      <w:marRight w:val="0"/>
      <w:marTop w:val="0"/>
      <w:marBottom w:val="0"/>
      <w:divBdr>
        <w:top w:val="none" w:sz="0" w:space="0" w:color="auto"/>
        <w:left w:val="none" w:sz="0" w:space="0" w:color="auto"/>
        <w:bottom w:val="none" w:sz="0" w:space="0" w:color="auto"/>
        <w:right w:val="none" w:sz="0" w:space="0" w:color="auto"/>
      </w:divBdr>
    </w:div>
    <w:div w:id="1776559727">
      <w:bodyDiv w:val="1"/>
      <w:marLeft w:val="0"/>
      <w:marRight w:val="0"/>
      <w:marTop w:val="0"/>
      <w:marBottom w:val="0"/>
      <w:divBdr>
        <w:top w:val="none" w:sz="0" w:space="0" w:color="auto"/>
        <w:left w:val="none" w:sz="0" w:space="0" w:color="auto"/>
        <w:bottom w:val="none" w:sz="0" w:space="0" w:color="auto"/>
        <w:right w:val="none" w:sz="0" w:space="0" w:color="auto"/>
      </w:divBdr>
    </w:div>
    <w:div w:id="1900897572">
      <w:bodyDiv w:val="1"/>
      <w:marLeft w:val="0"/>
      <w:marRight w:val="0"/>
      <w:marTop w:val="0"/>
      <w:marBottom w:val="0"/>
      <w:divBdr>
        <w:top w:val="none" w:sz="0" w:space="0" w:color="auto"/>
        <w:left w:val="none" w:sz="0" w:space="0" w:color="auto"/>
        <w:bottom w:val="none" w:sz="0" w:space="0" w:color="auto"/>
        <w:right w:val="none" w:sz="0" w:space="0" w:color="auto"/>
      </w:divBdr>
    </w:div>
    <w:div w:id="2101176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officeforstudents.org.uk/publications/equality-diversity-and-student-characteristics-data/"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instituteofhospitality.org/wp-content/uploads/2022/07/June-2020Update-Future-of-Hospitalty-Management-Education-CHME-Report1.pdf"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dvance-he.ac.uk/news-and-views/evidencing-impact-authentic-assessment-graduate-employability"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theguardian.com/murdoch-university-a-brighter-future-is-here/2024/dec/02/community-is-the-key-to-better-learning-outcome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62800C102214CB89C6BD23993C1D8C9"/>
        <w:category>
          <w:name w:val="General"/>
          <w:gallery w:val="placeholder"/>
        </w:category>
        <w:types>
          <w:type w:val="bbPlcHdr"/>
        </w:types>
        <w:behaviors>
          <w:behavior w:val="content"/>
        </w:behaviors>
        <w:guid w:val="{5B9D8029-1EBA-4EC3-B60E-F4E2D55CE751}"/>
      </w:docPartPr>
      <w:docPartBody>
        <w:p w:rsidR="00AC36E5" w:rsidRDefault="00C84064" w:rsidP="00C84064">
          <w:pPr>
            <w:pStyle w:val="962800C102214CB89C6BD23993C1D8C9"/>
          </w:pPr>
          <w:r>
            <w:rPr>
              <w:rFonts w:asciiTheme="majorHAnsi" w:eastAsiaTheme="majorEastAsia" w:hAnsiTheme="majorHAnsi" w:cstheme="majorBidi"/>
              <w:caps/>
              <w:color w:val="156082" w:themeColor="accent1"/>
              <w:sz w:val="80"/>
              <w:szCs w:val="80"/>
            </w:rPr>
            <w:t>[Document title]</w:t>
          </w:r>
        </w:p>
      </w:docPartBody>
    </w:docPart>
    <w:docPart>
      <w:docPartPr>
        <w:name w:val="65DEC37F1AD247D5AD6702AFFB9D4BE1"/>
        <w:category>
          <w:name w:val="General"/>
          <w:gallery w:val="placeholder"/>
        </w:category>
        <w:types>
          <w:type w:val="bbPlcHdr"/>
        </w:types>
        <w:behaviors>
          <w:behavior w:val="content"/>
        </w:behaviors>
        <w:guid w:val="{8D95CA87-608D-4A12-9C6D-007B24685906}"/>
      </w:docPartPr>
      <w:docPartBody>
        <w:p w:rsidR="00AC36E5" w:rsidRDefault="00C84064" w:rsidP="00C84064">
          <w:pPr>
            <w:pStyle w:val="65DEC37F1AD247D5AD6702AFFB9D4BE1"/>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064"/>
    <w:rsid w:val="00002FCB"/>
    <w:rsid w:val="00195019"/>
    <w:rsid w:val="001C7395"/>
    <w:rsid w:val="001E7192"/>
    <w:rsid w:val="00335B15"/>
    <w:rsid w:val="0040461F"/>
    <w:rsid w:val="004635BF"/>
    <w:rsid w:val="004A5A29"/>
    <w:rsid w:val="005C7539"/>
    <w:rsid w:val="005D30A1"/>
    <w:rsid w:val="0080275B"/>
    <w:rsid w:val="00806A7E"/>
    <w:rsid w:val="008C41CE"/>
    <w:rsid w:val="0099486E"/>
    <w:rsid w:val="00AC36E5"/>
    <w:rsid w:val="00C34BD0"/>
    <w:rsid w:val="00C84064"/>
    <w:rsid w:val="00DB6626"/>
    <w:rsid w:val="00E44763"/>
    <w:rsid w:val="00F35A8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62800C102214CB89C6BD23993C1D8C9">
    <w:name w:val="962800C102214CB89C6BD23993C1D8C9"/>
    <w:rsid w:val="00C84064"/>
  </w:style>
  <w:style w:type="paragraph" w:customStyle="1" w:styleId="65DEC37F1AD247D5AD6702AFFB9D4BE1">
    <w:name w:val="65DEC37F1AD247D5AD6702AFFB9D4BE1"/>
    <w:rsid w:val="00C8406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3FF0E8F-9D60-462C-804F-498572719E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6004</Words>
  <Characters>34229</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Action Research Project - Adapting Pedagogical Approaches for Industry Professionals in Higher Education</vt:lpstr>
    </vt:vector>
  </TitlesOfParts>
  <Company>University of Wales Trinity Saint David</Company>
  <LinksUpToDate>false</LinksUpToDate>
  <CharactersWithSpaces>40153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Action Research Project - Adapting Pedagogical Approaches for Industry Professionals in Higher Education</dc:title>
  <dc:subject>Daniel Payne - 1803525</dc:subject>
  <dc:creator>Daniel Payne</dc:creator>
  <cp:keywords/>
  <dc:description/>
  <cp:lastModifiedBy>Daniel Payne</cp:lastModifiedBy>
  <cp:revision>6</cp:revision>
  <dcterms:created xsi:type="dcterms:W3CDTF">2025-03-27T18:44:00Z</dcterms:created>
  <dcterms:modified xsi:type="dcterms:W3CDTF">2025-03-27T19:07:00Z</dcterms:modified>
</cp:coreProperties>
</file>