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10B3A5C" w14:textId="77777777" w:rsidR="00662373" w:rsidRDefault="00662373" w:rsidP="00662373">
      <w:pPr>
        <w:pStyle w:val="NormalWeb"/>
        <w:spacing w:before="0" w:beforeAutospacing="0" w:after="0" w:afterAutospacing="0"/>
        <w:ind w:left="-180" w:right="-334"/>
      </w:pPr>
      <w:r>
        <w:rPr>
          <w:noProof/>
          <w:lang w:val="en-US" w:eastAsia="en-US"/>
        </w:rPr>
        <w:drawing>
          <wp:inline distT="0" distB="0" distL="0" distR="0" wp14:anchorId="581039EF" wp14:editId="018B6117">
            <wp:extent cx="1905000" cy="631190"/>
            <wp:effectExtent l="25400" t="25400" r="25400" b="2921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000" cy="631190"/>
                    </a:xfrm>
                    <a:prstGeom prst="rect">
                      <a:avLst/>
                    </a:prstGeom>
                    <a:noFill/>
                    <a:ln w="19050" cmpd="sng">
                      <a:solidFill>
                        <a:srgbClr val="000000"/>
                      </a:solidFill>
                      <a:miter lim="800000"/>
                      <a:headEnd/>
                      <a:tailEnd/>
                    </a:ln>
                    <a:effectLst/>
                  </pic:spPr>
                </pic:pic>
              </a:graphicData>
            </a:graphic>
          </wp:inline>
        </w:drawing>
      </w:r>
    </w:p>
    <w:p w14:paraId="16CABC28" w14:textId="77777777" w:rsidR="00662373" w:rsidRDefault="00662373" w:rsidP="00662373">
      <w:pPr>
        <w:pStyle w:val="NormalWeb"/>
        <w:spacing w:before="0" w:beforeAutospacing="0" w:after="0" w:afterAutospacing="0"/>
        <w:ind w:left="-180" w:right="-334"/>
      </w:pPr>
    </w:p>
    <w:p w14:paraId="7AA1111C" w14:textId="77777777" w:rsidR="00662373" w:rsidRDefault="00662373" w:rsidP="00662373">
      <w:pPr>
        <w:pStyle w:val="NormalWeb"/>
        <w:spacing w:before="0" w:beforeAutospacing="0" w:after="0" w:afterAutospacing="0"/>
        <w:ind w:left="-180" w:right="-334"/>
      </w:pPr>
    </w:p>
    <w:p w14:paraId="101A636C" w14:textId="77777777" w:rsidR="00662373" w:rsidRDefault="00662373" w:rsidP="0066237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F64F0A3" w14:textId="77777777" w:rsidR="00662373" w:rsidRPr="00230F35" w:rsidRDefault="00662373" w:rsidP="0066237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E708537" w14:textId="77777777" w:rsidR="00662373" w:rsidRPr="00230F35" w:rsidRDefault="00662373" w:rsidP="00662373">
      <w:pPr>
        <w:rPr>
          <w:rFonts w:ascii="Arial" w:hAnsi="Arial" w:cs="Arial"/>
          <w:sz w:val="28"/>
          <w:szCs w:val="28"/>
          <w:lang w:val="cy-GB"/>
        </w:rPr>
      </w:pPr>
    </w:p>
    <w:p w14:paraId="7DB36D50" w14:textId="77777777" w:rsidR="00662373" w:rsidRPr="00365D8F" w:rsidRDefault="00662373" w:rsidP="00662373">
      <w:pPr>
        <w:pStyle w:val="Heading3"/>
        <w:jc w:val="center"/>
        <w:rPr>
          <w:rFonts w:ascii="Times New Roman" w:hAnsi="Times New Roman" w:cs="Times New Roman"/>
          <w:color w:val="auto"/>
          <w:sz w:val="27"/>
          <w:szCs w:val="27"/>
          <w:lang w:val="cy-GB"/>
        </w:rPr>
      </w:pPr>
      <w:r w:rsidRPr="00365D8F">
        <w:rPr>
          <w:rFonts w:ascii="Times New Roman" w:hAnsi="Times New Roman" w:cs="Times New Roman"/>
          <w:color w:val="auto"/>
          <w:sz w:val="27"/>
          <w:szCs w:val="27"/>
          <w:lang w:val="cy-GB"/>
        </w:rPr>
        <w:t>THIS SHEET MUST BE THE FIRST PAGE OF THE ASSIGNMENT YOU ARE SUBMITTING  (DO NOT SEND AS A SEPARATE FILE)</w:t>
      </w:r>
    </w:p>
    <w:p w14:paraId="67758A33" w14:textId="77777777" w:rsidR="00662373" w:rsidRDefault="00662373" w:rsidP="0066237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62373" w:rsidRPr="00230F35" w14:paraId="7790E39B" w14:textId="77777777" w:rsidTr="00662373">
        <w:trPr>
          <w:trHeight w:val="614"/>
        </w:trPr>
        <w:tc>
          <w:tcPr>
            <w:tcW w:w="8856" w:type="dxa"/>
            <w:gridSpan w:val="5"/>
          </w:tcPr>
          <w:p w14:paraId="2343B559"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662373" w:rsidRPr="00230F35" w14:paraId="6ABE7CA1" w14:textId="77777777" w:rsidTr="00662373">
        <w:trPr>
          <w:trHeight w:val="718"/>
        </w:trPr>
        <w:tc>
          <w:tcPr>
            <w:tcW w:w="8856" w:type="dxa"/>
            <w:gridSpan w:val="5"/>
          </w:tcPr>
          <w:p w14:paraId="0C78AE11"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Christian Nathan Kendall-Daw</w:t>
            </w:r>
          </w:p>
          <w:p w14:paraId="0CBA864A" w14:textId="77777777" w:rsidR="00662373" w:rsidRPr="00230F35" w:rsidRDefault="00662373" w:rsidP="00662373">
            <w:pPr>
              <w:pStyle w:val="NormalWeb"/>
              <w:spacing w:before="0" w:beforeAutospacing="0" w:after="0" w:afterAutospacing="0"/>
              <w:ind w:right="34"/>
              <w:rPr>
                <w:rFonts w:ascii="Arial" w:hAnsi="Arial" w:cs="Arial"/>
                <w:sz w:val="22"/>
                <w:szCs w:val="22"/>
              </w:rPr>
            </w:pPr>
          </w:p>
        </w:tc>
      </w:tr>
      <w:tr w:rsidR="00662373" w:rsidRPr="00230F35" w14:paraId="312B2008" w14:textId="77777777" w:rsidTr="00662373">
        <w:trPr>
          <w:trHeight w:val="849"/>
        </w:trPr>
        <w:tc>
          <w:tcPr>
            <w:tcW w:w="4788" w:type="dxa"/>
          </w:tcPr>
          <w:p w14:paraId="28C00BB9"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2D33F8">
              <w:rPr>
                <w:rFonts w:ascii="Arial" w:hAnsi="Arial" w:cs="Arial"/>
                <w:sz w:val="22"/>
                <w:szCs w:val="22"/>
              </w:rPr>
              <w:t>CSEN7028</w:t>
            </w:r>
          </w:p>
          <w:p w14:paraId="6A8E8CE0" w14:textId="77777777" w:rsidR="00662373" w:rsidRDefault="00662373" w:rsidP="00662373">
            <w:pPr>
              <w:pStyle w:val="NormalWeb"/>
              <w:spacing w:before="0" w:beforeAutospacing="0" w:after="0" w:afterAutospacing="0"/>
              <w:ind w:right="34"/>
              <w:rPr>
                <w:rFonts w:ascii="Arial" w:hAnsi="Arial" w:cs="Arial"/>
                <w:sz w:val="22"/>
                <w:szCs w:val="22"/>
              </w:rPr>
            </w:pPr>
          </w:p>
          <w:p w14:paraId="79BF50F4"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33F8">
              <w:rPr>
                <w:rFonts w:ascii="Arial" w:hAnsi="Arial" w:cs="Arial"/>
                <w:sz w:val="22"/>
                <w:szCs w:val="22"/>
              </w:rPr>
              <w:t xml:space="preserve"> Beowulf and the </w:t>
            </w:r>
            <w:r w:rsidR="00306867">
              <w:rPr>
                <w:rFonts w:ascii="Arial" w:hAnsi="Arial" w:cs="Arial"/>
                <w:sz w:val="22"/>
                <w:szCs w:val="22"/>
              </w:rPr>
              <w:t>Anglo-Saxon Heroic</w:t>
            </w:r>
          </w:p>
          <w:p w14:paraId="3B9189D7" w14:textId="77777777" w:rsidR="00662373" w:rsidRDefault="00662373" w:rsidP="00662373">
            <w:pPr>
              <w:pStyle w:val="NormalWeb"/>
              <w:spacing w:before="0" w:beforeAutospacing="0" w:after="0" w:afterAutospacing="0"/>
              <w:ind w:right="34"/>
              <w:rPr>
                <w:rFonts w:ascii="Arial" w:hAnsi="Arial" w:cs="Arial"/>
                <w:sz w:val="22"/>
                <w:szCs w:val="22"/>
              </w:rPr>
            </w:pPr>
          </w:p>
          <w:p w14:paraId="5961D7D8" w14:textId="77777777" w:rsidR="00662373" w:rsidRDefault="00662373" w:rsidP="00662373">
            <w:pPr>
              <w:pStyle w:val="NormalWeb"/>
              <w:spacing w:before="0" w:beforeAutospacing="0" w:after="0" w:afterAutospacing="0"/>
              <w:ind w:right="34"/>
              <w:rPr>
                <w:rFonts w:ascii="Arial" w:hAnsi="Arial" w:cs="Arial"/>
                <w:sz w:val="22"/>
                <w:szCs w:val="22"/>
              </w:rPr>
            </w:pPr>
          </w:p>
          <w:p w14:paraId="19A25209" w14:textId="77777777" w:rsidR="00662373" w:rsidRPr="00230F35" w:rsidRDefault="00662373" w:rsidP="00662373">
            <w:pPr>
              <w:pStyle w:val="NormalWeb"/>
              <w:spacing w:before="0" w:beforeAutospacing="0" w:after="0" w:afterAutospacing="0"/>
              <w:ind w:right="34"/>
              <w:rPr>
                <w:rFonts w:ascii="Arial" w:hAnsi="Arial" w:cs="Arial"/>
                <w:sz w:val="22"/>
                <w:szCs w:val="22"/>
              </w:rPr>
            </w:pPr>
          </w:p>
        </w:tc>
        <w:tc>
          <w:tcPr>
            <w:tcW w:w="2266" w:type="dxa"/>
            <w:gridSpan w:val="3"/>
          </w:tcPr>
          <w:p w14:paraId="0331F193"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0D40C3"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Arial" w:hAnsi="Arial" w:cs="Arial"/>
                <w:sz w:val="22"/>
                <w:szCs w:val="22"/>
              </w:rPr>
              <w:t>1603669</w:t>
            </w:r>
          </w:p>
        </w:tc>
        <w:tc>
          <w:tcPr>
            <w:tcW w:w="1802" w:type="dxa"/>
          </w:tcPr>
          <w:p w14:paraId="4D7A40B3"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610E4EC"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662373" w:rsidRPr="00230F35" w14:paraId="64ACF98D" w14:textId="77777777" w:rsidTr="00662373">
        <w:trPr>
          <w:trHeight w:val="1139"/>
        </w:trPr>
        <w:tc>
          <w:tcPr>
            <w:tcW w:w="8856" w:type="dxa"/>
            <w:gridSpan w:val="5"/>
          </w:tcPr>
          <w:p w14:paraId="5E7894C4"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Pr="00EC02F3">
              <w:rPr>
                <w:rFonts w:ascii="Arial" w:hAnsi="Arial" w:cs="Arial"/>
                <w:sz w:val="22"/>
                <w:szCs w:val="22"/>
              </w:rPr>
              <w:t xml:space="preserve">Dr </w:t>
            </w:r>
            <w:r w:rsidR="00306867">
              <w:rPr>
                <w:rFonts w:ascii="Arial" w:hAnsi="Arial" w:cs="Arial"/>
                <w:sz w:val="22"/>
                <w:szCs w:val="22"/>
              </w:rPr>
              <w:t>William Marx</w:t>
            </w:r>
          </w:p>
          <w:p w14:paraId="52F01671" w14:textId="77777777" w:rsidR="00662373" w:rsidRPr="00230F35" w:rsidRDefault="00662373" w:rsidP="00662373">
            <w:pPr>
              <w:pStyle w:val="NormalWeb"/>
              <w:spacing w:before="0" w:beforeAutospacing="0" w:after="0" w:afterAutospacing="0"/>
              <w:ind w:right="34"/>
              <w:rPr>
                <w:rFonts w:ascii="Arial" w:hAnsi="Arial" w:cs="Arial"/>
                <w:sz w:val="22"/>
                <w:szCs w:val="22"/>
              </w:rPr>
            </w:pPr>
          </w:p>
          <w:p w14:paraId="5F99D4D3" w14:textId="77777777" w:rsidR="00662373" w:rsidRDefault="00662373" w:rsidP="00662373">
            <w:pPr>
              <w:pStyle w:val="NormalWeb"/>
              <w:spacing w:before="0" w:beforeAutospacing="0" w:after="0" w:afterAutospacing="0"/>
              <w:ind w:right="34"/>
              <w:rPr>
                <w:rFonts w:ascii="Arial" w:hAnsi="Arial" w:cs="Arial"/>
                <w:sz w:val="22"/>
                <w:szCs w:val="22"/>
              </w:rPr>
            </w:pPr>
          </w:p>
          <w:p w14:paraId="2B869272"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C972CC">
              <w:rPr>
                <w:rFonts w:ascii="Arial" w:hAnsi="Arial" w:cs="Arial"/>
                <w:sz w:val="22"/>
                <w:szCs w:val="22"/>
              </w:rPr>
              <w:t xml:space="preserve"> 31 August</w:t>
            </w:r>
            <w:r>
              <w:rPr>
                <w:rFonts w:ascii="Arial" w:hAnsi="Arial" w:cs="Arial"/>
                <w:sz w:val="22"/>
                <w:szCs w:val="22"/>
              </w:rPr>
              <w:t xml:space="preserve"> 2018</w:t>
            </w:r>
          </w:p>
        </w:tc>
      </w:tr>
      <w:tr w:rsidR="00662373" w:rsidRPr="00230F35" w14:paraId="64F8513D" w14:textId="77777777" w:rsidTr="00662373">
        <w:trPr>
          <w:trHeight w:val="978"/>
        </w:trPr>
        <w:tc>
          <w:tcPr>
            <w:tcW w:w="8856" w:type="dxa"/>
            <w:gridSpan w:val="5"/>
            <w:tcBorders>
              <w:bottom w:val="single" w:sz="4" w:space="0" w:color="000000"/>
            </w:tcBorders>
          </w:tcPr>
          <w:p w14:paraId="5AEE83C4" w14:textId="77777777" w:rsidR="00662373" w:rsidRDefault="00662373" w:rsidP="00662373">
            <w:pPr>
              <w:rPr>
                <w:rFonts w:ascii="Arial" w:hAnsi="Arial" w:cs="Arial"/>
              </w:rPr>
            </w:pPr>
            <w:r>
              <w:rPr>
                <w:rFonts w:ascii="Arial" w:hAnsi="Arial" w:cs="Arial"/>
              </w:rPr>
              <w:t>If your module has multiple submissions please indicate which piece of work this is.</w:t>
            </w:r>
          </w:p>
          <w:p w14:paraId="0B41E57A" w14:textId="77777777" w:rsidR="00662373" w:rsidRDefault="00662373" w:rsidP="00662373">
            <w:pPr>
              <w:rPr>
                <w:rFonts w:ascii="Arial" w:hAnsi="Arial" w:cs="Arial"/>
              </w:rPr>
            </w:pPr>
          </w:p>
          <w:p w14:paraId="7A0D22AD" w14:textId="77777777" w:rsidR="00662373" w:rsidRPr="00230F35" w:rsidRDefault="00662373" w:rsidP="00535817">
            <w:pPr>
              <w:rPr>
                <w:rFonts w:ascii="Arial" w:hAnsi="Arial" w:cs="Arial"/>
              </w:rPr>
            </w:pPr>
            <w:r w:rsidRPr="00230F35">
              <w:rPr>
                <w:rFonts w:ascii="Arial" w:hAnsi="Arial" w:cs="Arial"/>
              </w:rPr>
              <w:t>1</w:t>
            </w:r>
            <w:r w:rsidRPr="00230F35">
              <w:rPr>
                <w:rFonts w:ascii="Arial" w:hAnsi="Arial" w:cs="Arial"/>
                <w:vertAlign w:val="superscript"/>
              </w:rPr>
              <w:t xml:space="preserve">st </w:t>
            </w:r>
            <w:r w:rsidR="00535817">
              <w:rPr>
                <w:rFonts w:ascii="Arial" w:hAnsi="Arial" w:cs="Arial"/>
              </w:rPr>
              <w:fldChar w:fldCharType="begin">
                <w:ffData>
                  <w:name w:val="Check13"/>
                  <w:enabled/>
                  <w:calcOnExit w:val="0"/>
                  <w:checkBox>
                    <w:size w:val="20"/>
                    <w:default w:val="1"/>
                  </w:checkBox>
                </w:ffData>
              </w:fldChar>
            </w:r>
            <w:bookmarkStart w:id="0" w:name="Check13"/>
            <w:r w:rsidR="00535817">
              <w:rPr>
                <w:rFonts w:ascii="Arial" w:hAnsi="Arial" w:cs="Arial"/>
              </w:rPr>
              <w:instrText xml:space="preserve"> FORMCHECKBOX </w:instrText>
            </w:r>
            <w:r w:rsidR="00535817">
              <w:rPr>
                <w:rFonts w:ascii="Arial" w:hAnsi="Arial" w:cs="Arial"/>
              </w:rPr>
            </w:r>
            <w:r w:rsidR="00535817">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535817">
              <w:rPr>
                <w:rFonts w:ascii="Arial" w:hAnsi="Arial" w:cs="Arial"/>
              </w:rPr>
              <w:fldChar w:fldCharType="begin">
                <w:ffData>
                  <w:name w:val="Check14"/>
                  <w:enabled/>
                  <w:calcOnExit w:val="0"/>
                  <w:checkBox>
                    <w:sizeAuto/>
                    <w:default w:val="0"/>
                  </w:checkBox>
                </w:ffData>
              </w:fldChar>
            </w:r>
            <w:bookmarkStart w:id="1" w:name="Check14"/>
            <w:r w:rsidR="00535817">
              <w:rPr>
                <w:rFonts w:ascii="Arial" w:hAnsi="Arial" w:cs="Arial"/>
              </w:rPr>
              <w:instrText xml:space="preserve"> FORMCHECKBOX </w:instrText>
            </w:r>
            <w:r w:rsidR="00535817">
              <w:rPr>
                <w:rFonts w:ascii="Arial" w:hAnsi="Arial" w:cs="Arial"/>
              </w:rPr>
            </w:r>
            <w:r w:rsidR="00535817">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Pr>
                <w:rFonts w:ascii="Arial" w:hAnsi="Arial" w:cs="Arial"/>
              </w:rPr>
              <w:fldChar w:fldCharType="begin">
                <w:ffData>
                  <w:name w:val="Check15"/>
                  <w:enabled/>
                  <w:calcOnExit w:val="0"/>
                  <w:checkBox>
                    <w:size w:val="20"/>
                    <w:default w:val="0"/>
                  </w:checkBox>
                </w:ffData>
              </w:fldChar>
            </w:r>
            <w:bookmarkStart w:id="2" w:name="Check15"/>
            <w:r>
              <w:rPr>
                <w:rFonts w:ascii="Arial" w:hAnsi="Arial" w:cs="Arial"/>
              </w:rPr>
              <w:instrText xml:space="preserve"> FORMCHECKBOX </w:instrText>
            </w:r>
            <w:r>
              <w:rPr>
                <w:rFonts w:ascii="Arial" w:hAnsi="Arial" w:cs="Arial"/>
              </w:rPr>
            </w:r>
            <w:r>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662373" w:rsidRPr="00230F35" w14:paraId="402DAAAF" w14:textId="77777777" w:rsidTr="00662373">
        <w:trPr>
          <w:trHeight w:val="978"/>
        </w:trPr>
        <w:tc>
          <w:tcPr>
            <w:tcW w:w="8856" w:type="dxa"/>
            <w:gridSpan w:val="5"/>
            <w:shd w:val="clear" w:color="auto" w:fill="D9D9D9"/>
          </w:tcPr>
          <w:p w14:paraId="25517DE2" w14:textId="77777777" w:rsidR="00662373" w:rsidRPr="00230F35"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2571015" w14:textId="77777777" w:rsidR="00662373" w:rsidRDefault="00662373" w:rsidP="0066237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N Kendall-Daw</w:t>
            </w:r>
            <w:r w:rsidRPr="00230F35">
              <w:rPr>
                <w:rFonts w:ascii="Arial" w:hAnsi="Arial" w:cs="Arial"/>
                <w:sz w:val="22"/>
                <w:szCs w:val="22"/>
              </w:rPr>
              <w:t>……………………………………………………</w:t>
            </w:r>
          </w:p>
          <w:p w14:paraId="2110CC53" w14:textId="77777777" w:rsidR="00662373" w:rsidRDefault="00662373" w:rsidP="00662373">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5979EE">
              <w:rPr>
                <w:rFonts w:ascii="Calibri" w:hAnsi="Calibri" w:cs="Calibri"/>
                <w:b/>
                <w:sz w:val="44"/>
                <w:szCs w:val="44"/>
              </w:rPr>
              <w:t>□</w:t>
            </w:r>
          </w:p>
          <w:p w14:paraId="1C7B45B3" w14:textId="77777777" w:rsidR="00662373" w:rsidRPr="00230F35" w:rsidRDefault="00662373" w:rsidP="00662373">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662373" w:rsidRPr="00230F35" w14:paraId="3885DDED" w14:textId="77777777" w:rsidTr="00662373">
        <w:trPr>
          <w:trHeight w:val="3972"/>
        </w:trPr>
        <w:tc>
          <w:tcPr>
            <w:tcW w:w="8856" w:type="dxa"/>
            <w:gridSpan w:val="5"/>
          </w:tcPr>
          <w:p w14:paraId="32F9E06E" w14:textId="77777777" w:rsidR="00662373" w:rsidRDefault="00662373" w:rsidP="00662373">
            <w:pPr>
              <w:rPr>
                <w:rFonts w:ascii="Arial" w:hAnsi="Arial"/>
                <w:b/>
              </w:rPr>
            </w:pPr>
          </w:p>
          <w:p w14:paraId="3723A22B" w14:textId="77777777" w:rsidR="00662373" w:rsidRPr="00116CE6" w:rsidRDefault="00662373" w:rsidP="0066237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62373" w:rsidRPr="00116CE6" w14:paraId="1227AB42" w14:textId="77777777" w:rsidTr="00662373">
              <w:tc>
                <w:tcPr>
                  <w:tcW w:w="6970" w:type="dxa"/>
                </w:tcPr>
                <w:p w14:paraId="6D112D07" w14:textId="77777777" w:rsidR="00662373" w:rsidRPr="00116CE6" w:rsidRDefault="00662373" w:rsidP="00662373">
                  <w:pPr>
                    <w:rPr>
                      <w:rFonts w:ascii="Arial" w:hAnsi="Arial"/>
                      <w:sz w:val="20"/>
                      <w:szCs w:val="20"/>
                    </w:rPr>
                  </w:pPr>
                </w:p>
                <w:p w14:paraId="46F9447A" w14:textId="77777777" w:rsidR="00662373" w:rsidRPr="00116CE6" w:rsidRDefault="00662373" w:rsidP="0066237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3C4DB8D" w14:textId="77777777" w:rsidR="00662373" w:rsidRPr="00116CE6" w:rsidRDefault="00662373" w:rsidP="00662373">
                  <w:pPr>
                    <w:rPr>
                      <w:rFonts w:ascii="Arial" w:hAnsi="Arial"/>
                      <w:sz w:val="20"/>
                      <w:szCs w:val="20"/>
                    </w:rPr>
                  </w:pPr>
                </w:p>
              </w:tc>
            </w:tr>
            <w:tr w:rsidR="00662373" w:rsidRPr="00116CE6" w14:paraId="1D7D264E" w14:textId="77777777" w:rsidTr="00662373">
              <w:tc>
                <w:tcPr>
                  <w:tcW w:w="6970" w:type="dxa"/>
                </w:tcPr>
                <w:p w14:paraId="16E1C032" w14:textId="77777777" w:rsidR="00662373" w:rsidRPr="00116CE6" w:rsidRDefault="00662373" w:rsidP="00662373">
                  <w:pPr>
                    <w:rPr>
                      <w:rFonts w:ascii="Arial" w:hAnsi="Arial"/>
                      <w:sz w:val="20"/>
                      <w:szCs w:val="20"/>
                    </w:rPr>
                  </w:pPr>
                </w:p>
                <w:p w14:paraId="6D9700FF" w14:textId="77777777" w:rsidR="00662373" w:rsidRPr="00116CE6" w:rsidRDefault="00662373" w:rsidP="0066237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50E37BD" w14:textId="77777777" w:rsidR="00662373" w:rsidRPr="00116CE6" w:rsidRDefault="00662373" w:rsidP="00662373">
                  <w:pPr>
                    <w:rPr>
                      <w:rFonts w:ascii="Arial" w:hAnsi="Arial"/>
                      <w:sz w:val="20"/>
                      <w:szCs w:val="20"/>
                    </w:rPr>
                  </w:pPr>
                </w:p>
              </w:tc>
            </w:tr>
            <w:tr w:rsidR="00662373" w:rsidRPr="00116CE6" w14:paraId="5458984B" w14:textId="77777777" w:rsidTr="00662373">
              <w:tc>
                <w:tcPr>
                  <w:tcW w:w="6970" w:type="dxa"/>
                </w:tcPr>
                <w:p w14:paraId="65332D3D" w14:textId="77777777" w:rsidR="00662373" w:rsidRPr="00116CE6" w:rsidRDefault="00662373" w:rsidP="00662373">
                  <w:pPr>
                    <w:rPr>
                      <w:rFonts w:ascii="Arial" w:hAnsi="Arial"/>
                      <w:sz w:val="20"/>
                      <w:szCs w:val="20"/>
                    </w:rPr>
                  </w:pPr>
                </w:p>
                <w:p w14:paraId="775B721F" w14:textId="77777777" w:rsidR="00662373" w:rsidRPr="00116CE6" w:rsidRDefault="00662373" w:rsidP="0066237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A35FDDC" w14:textId="77777777" w:rsidR="00662373" w:rsidRPr="00116CE6" w:rsidRDefault="00662373" w:rsidP="00662373">
                  <w:pPr>
                    <w:rPr>
                      <w:rFonts w:ascii="Arial" w:hAnsi="Arial"/>
                      <w:sz w:val="20"/>
                      <w:szCs w:val="20"/>
                    </w:rPr>
                  </w:pPr>
                </w:p>
              </w:tc>
            </w:tr>
            <w:tr w:rsidR="00662373" w:rsidRPr="00116CE6" w14:paraId="7871D6A4" w14:textId="77777777" w:rsidTr="00662373">
              <w:tc>
                <w:tcPr>
                  <w:tcW w:w="6970" w:type="dxa"/>
                </w:tcPr>
                <w:p w14:paraId="65D75800" w14:textId="77777777" w:rsidR="00662373" w:rsidRDefault="00662373" w:rsidP="00662373">
                  <w:pPr>
                    <w:rPr>
                      <w:rFonts w:ascii="Arial" w:hAnsi="Arial"/>
                      <w:sz w:val="20"/>
                      <w:szCs w:val="20"/>
                    </w:rPr>
                  </w:pPr>
                </w:p>
                <w:p w14:paraId="1157E147" w14:textId="77777777" w:rsidR="00662373" w:rsidRPr="00022345" w:rsidRDefault="00662373" w:rsidP="00662373">
                  <w:pPr>
                    <w:rPr>
                      <w:rFonts w:ascii="Arial" w:hAnsi="Arial"/>
                      <w:b/>
                      <w:sz w:val="20"/>
                      <w:szCs w:val="20"/>
                    </w:rPr>
                  </w:pPr>
                  <w:r w:rsidRPr="00022345">
                    <w:rPr>
                      <w:rFonts w:ascii="Arial" w:hAnsi="Arial"/>
                      <w:b/>
                      <w:sz w:val="20"/>
                      <w:szCs w:val="20"/>
                    </w:rPr>
                    <w:t>Final Mark</w:t>
                  </w:r>
                </w:p>
                <w:p w14:paraId="736A1C22" w14:textId="77777777" w:rsidR="00662373" w:rsidRPr="00116CE6" w:rsidRDefault="00662373" w:rsidP="00662373">
                  <w:pPr>
                    <w:rPr>
                      <w:rFonts w:ascii="Arial" w:hAnsi="Arial"/>
                      <w:sz w:val="20"/>
                      <w:szCs w:val="20"/>
                    </w:rPr>
                  </w:pPr>
                </w:p>
              </w:tc>
              <w:tc>
                <w:tcPr>
                  <w:tcW w:w="1660" w:type="dxa"/>
                </w:tcPr>
                <w:p w14:paraId="48C63F29" w14:textId="77777777" w:rsidR="00662373" w:rsidRPr="00116CE6" w:rsidRDefault="00662373" w:rsidP="00662373">
                  <w:pPr>
                    <w:rPr>
                      <w:rFonts w:ascii="Arial" w:hAnsi="Arial"/>
                      <w:sz w:val="20"/>
                      <w:szCs w:val="20"/>
                    </w:rPr>
                  </w:pPr>
                </w:p>
              </w:tc>
            </w:tr>
          </w:tbl>
          <w:p w14:paraId="42444E1C" w14:textId="77777777" w:rsidR="00662373" w:rsidRDefault="00662373" w:rsidP="00662373">
            <w:pPr>
              <w:pStyle w:val="NormalWeb"/>
              <w:spacing w:before="0" w:beforeAutospacing="0" w:after="0" w:afterAutospacing="0"/>
              <w:ind w:left="142" w:right="34"/>
              <w:rPr>
                <w:rFonts w:ascii="Arial" w:hAnsi="Arial" w:cs="Arial"/>
                <w:b/>
                <w:sz w:val="22"/>
                <w:szCs w:val="22"/>
              </w:rPr>
            </w:pPr>
          </w:p>
          <w:p w14:paraId="51755DD0" w14:textId="77777777" w:rsidR="00662373" w:rsidRPr="00230F35" w:rsidRDefault="00662373" w:rsidP="0066237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E9CE602" w14:textId="77777777" w:rsidR="00662373" w:rsidRDefault="00662373" w:rsidP="00662373">
            <w:pPr>
              <w:pStyle w:val="NormalWeb"/>
              <w:spacing w:before="0" w:beforeAutospacing="0" w:after="0" w:afterAutospacing="0"/>
              <w:rPr>
                <w:rFonts w:ascii="Arial" w:hAnsi="Arial" w:cs="Arial"/>
                <w:b/>
                <w:sz w:val="22"/>
                <w:szCs w:val="22"/>
              </w:rPr>
            </w:pPr>
          </w:p>
          <w:p w14:paraId="04308E5B" w14:textId="77777777" w:rsidR="00662373" w:rsidRDefault="00662373" w:rsidP="00662373">
            <w:pPr>
              <w:pStyle w:val="NormalWeb"/>
              <w:spacing w:before="0" w:beforeAutospacing="0" w:after="0" w:afterAutospacing="0"/>
              <w:rPr>
                <w:rFonts w:ascii="Arial" w:hAnsi="Arial" w:cs="Arial"/>
                <w:b/>
                <w:sz w:val="22"/>
                <w:szCs w:val="22"/>
              </w:rPr>
            </w:pPr>
          </w:p>
          <w:p w14:paraId="55D1F24E" w14:textId="77777777" w:rsidR="00662373" w:rsidRDefault="00662373" w:rsidP="00662373">
            <w:pPr>
              <w:pStyle w:val="NormalWeb"/>
              <w:spacing w:before="0" w:beforeAutospacing="0" w:after="0" w:afterAutospacing="0"/>
              <w:rPr>
                <w:rFonts w:ascii="Arial" w:hAnsi="Arial" w:cs="Arial"/>
                <w:b/>
                <w:sz w:val="22"/>
                <w:szCs w:val="22"/>
              </w:rPr>
            </w:pPr>
          </w:p>
          <w:p w14:paraId="72496B7B" w14:textId="77777777" w:rsidR="00662373" w:rsidRDefault="00662373" w:rsidP="00662373">
            <w:pPr>
              <w:pStyle w:val="NormalWeb"/>
              <w:spacing w:before="0" w:beforeAutospacing="0" w:after="0" w:afterAutospacing="0"/>
              <w:rPr>
                <w:rFonts w:ascii="Arial" w:hAnsi="Arial" w:cs="Arial"/>
                <w:b/>
                <w:sz w:val="22"/>
                <w:szCs w:val="22"/>
              </w:rPr>
            </w:pPr>
          </w:p>
          <w:p w14:paraId="05AD4306" w14:textId="77777777" w:rsidR="00662373" w:rsidRDefault="00662373" w:rsidP="00662373">
            <w:pPr>
              <w:pStyle w:val="NormalWeb"/>
              <w:spacing w:before="0" w:beforeAutospacing="0" w:after="0" w:afterAutospacing="0"/>
              <w:rPr>
                <w:rFonts w:ascii="Arial" w:hAnsi="Arial" w:cs="Arial"/>
                <w:b/>
                <w:sz w:val="22"/>
                <w:szCs w:val="22"/>
              </w:rPr>
            </w:pPr>
          </w:p>
          <w:p w14:paraId="62F10209" w14:textId="77777777" w:rsidR="00662373" w:rsidRPr="00230F35" w:rsidRDefault="00662373" w:rsidP="0066237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52E810B3" w14:textId="77777777" w:rsidR="00662373" w:rsidRDefault="00662373" w:rsidP="00E0015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BD57F6A" w14:textId="77777777" w:rsidR="00E0015B" w:rsidRPr="00001C3B" w:rsidRDefault="00E0015B" w:rsidP="00E0015B">
            <w:pPr>
              <w:pStyle w:val="NormalWeb"/>
              <w:rPr>
                <w:rFonts w:ascii="Arial" w:hAnsi="Arial" w:cs="Arial"/>
                <w:sz w:val="22"/>
                <w:szCs w:val="22"/>
              </w:rPr>
            </w:pPr>
          </w:p>
        </w:tc>
      </w:tr>
      <w:tr w:rsidR="00662373" w:rsidRPr="00230F35" w14:paraId="0AF92C7E" w14:textId="77777777" w:rsidTr="00662373">
        <w:trPr>
          <w:trHeight w:val="492"/>
        </w:trPr>
        <w:tc>
          <w:tcPr>
            <w:tcW w:w="6768" w:type="dxa"/>
            <w:gridSpan w:val="3"/>
          </w:tcPr>
          <w:p w14:paraId="029F8D77" w14:textId="77777777" w:rsidR="00662373" w:rsidRPr="00230F35" w:rsidRDefault="00662373" w:rsidP="00E0015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 xml:space="preserve">e: </w:t>
            </w:r>
          </w:p>
        </w:tc>
        <w:tc>
          <w:tcPr>
            <w:tcW w:w="2088" w:type="dxa"/>
            <w:gridSpan w:val="2"/>
          </w:tcPr>
          <w:p w14:paraId="3E02C2D5" w14:textId="77777777" w:rsidR="00662373" w:rsidRPr="00230F35" w:rsidRDefault="00662373" w:rsidP="00662373">
            <w:pPr>
              <w:pStyle w:val="NormalWeb"/>
              <w:spacing w:after="0"/>
              <w:ind w:left="142" w:right="34"/>
              <w:rPr>
                <w:rFonts w:ascii="Arial" w:hAnsi="Arial" w:cs="Arial"/>
                <w:sz w:val="22"/>
                <w:szCs w:val="22"/>
              </w:rPr>
            </w:pPr>
            <w:r w:rsidRPr="00230F35">
              <w:rPr>
                <w:rFonts w:ascii="Arial" w:hAnsi="Arial" w:cs="Arial"/>
                <w:sz w:val="22"/>
                <w:szCs w:val="22"/>
              </w:rPr>
              <w:t>Date:</w:t>
            </w:r>
            <w:r w:rsidR="00E0015B">
              <w:rPr>
                <w:rFonts w:ascii="Arial" w:hAnsi="Arial" w:cs="Arial"/>
                <w:sz w:val="22"/>
                <w:szCs w:val="22"/>
              </w:rPr>
              <w:t xml:space="preserve"> </w:t>
            </w:r>
          </w:p>
        </w:tc>
      </w:tr>
      <w:tr w:rsidR="00662373" w:rsidRPr="002F467C" w14:paraId="1DB47C53" w14:textId="77777777" w:rsidTr="00662373">
        <w:tc>
          <w:tcPr>
            <w:tcW w:w="8856" w:type="dxa"/>
            <w:gridSpan w:val="5"/>
          </w:tcPr>
          <w:p w14:paraId="142C905A" w14:textId="77777777" w:rsidR="00662373" w:rsidRPr="00230F35" w:rsidRDefault="00662373" w:rsidP="00662373">
            <w:pPr>
              <w:pStyle w:val="NormalWeb"/>
              <w:spacing w:before="0" w:beforeAutospacing="0" w:after="0" w:afterAutospacing="0"/>
              <w:ind w:right="-334"/>
              <w:rPr>
                <w:rFonts w:ascii="Arial" w:hAnsi="Arial" w:cs="Arial"/>
                <w:bCs/>
                <w:i/>
                <w:sz w:val="22"/>
                <w:szCs w:val="22"/>
              </w:rPr>
            </w:pPr>
          </w:p>
          <w:p w14:paraId="0CAA977A" w14:textId="77777777" w:rsidR="00662373" w:rsidRPr="00230F35" w:rsidRDefault="00662373" w:rsidP="0066237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781E171" w14:textId="77777777" w:rsidR="00662373" w:rsidRPr="00230F35" w:rsidRDefault="00662373" w:rsidP="00662373">
            <w:pPr>
              <w:pStyle w:val="NormalWeb"/>
              <w:spacing w:before="0" w:beforeAutospacing="0" w:after="0" w:afterAutospacing="0"/>
              <w:ind w:right="-334"/>
              <w:rPr>
                <w:rFonts w:ascii="Arial" w:hAnsi="Arial" w:cs="Arial"/>
                <w:b/>
                <w:bCs/>
                <w:sz w:val="22"/>
                <w:szCs w:val="22"/>
              </w:rPr>
            </w:pPr>
          </w:p>
          <w:p w14:paraId="1CB24F6B"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F9D8B84"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59FE4A60"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0B7835CC"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tc>
      </w:tr>
      <w:tr w:rsidR="00662373" w:rsidRPr="002F467C" w14:paraId="25A420C1" w14:textId="77777777" w:rsidTr="00662373">
        <w:trPr>
          <w:trHeight w:val="720"/>
        </w:trPr>
        <w:tc>
          <w:tcPr>
            <w:tcW w:w="5211" w:type="dxa"/>
            <w:gridSpan w:val="2"/>
          </w:tcPr>
          <w:p w14:paraId="30122BE2"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42A4BA0"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662373" w:rsidRPr="002F467C" w14:paraId="5890FE75" w14:textId="77777777" w:rsidTr="00662373">
        <w:trPr>
          <w:trHeight w:val="720"/>
        </w:trPr>
        <w:tc>
          <w:tcPr>
            <w:tcW w:w="8856" w:type="dxa"/>
            <w:gridSpan w:val="5"/>
          </w:tcPr>
          <w:p w14:paraId="2489479C" w14:textId="77777777" w:rsidR="00662373" w:rsidRPr="00B34964" w:rsidRDefault="00662373" w:rsidP="00662373">
            <w:pPr>
              <w:rPr>
                <w:rFonts w:ascii="Arial" w:hAnsi="Arial" w:cs="Arial"/>
                <w:b/>
              </w:rPr>
            </w:pPr>
            <w:r w:rsidRPr="00B34964">
              <w:rPr>
                <w:rFonts w:ascii="Arial" w:hAnsi="Arial" w:cs="Arial"/>
                <w:b/>
              </w:rPr>
              <w:t>External Examiner’s comments (if relevant)</w:t>
            </w:r>
          </w:p>
          <w:p w14:paraId="418CE7B1"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55A137BB"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p w14:paraId="24E3F73F" w14:textId="77777777" w:rsidR="00662373" w:rsidRPr="00230F35" w:rsidRDefault="00662373" w:rsidP="00662373">
            <w:pPr>
              <w:pStyle w:val="NormalWeb"/>
              <w:spacing w:before="0" w:beforeAutospacing="0" w:after="0" w:afterAutospacing="0"/>
              <w:ind w:right="-334"/>
              <w:rPr>
                <w:rFonts w:ascii="Arial" w:hAnsi="Arial" w:cs="Arial"/>
                <w:bCs/>
                <w:sz w:val="22"/>
                <w:szCs w:val="22"/>
              </w:rPr>
            </w:pPr>
          </w:p>
        </w:tc>
      </w:tr>
      <w:tr w:rsidR="00662373" w:rsidRPr="002F467C" w14:paraId="0DDF4491" w14:textId="77777777" w:rsidTr="00662373">
        <w:trPr>
          <w:trHeight w:val="720"/>
        </w:trPr>
        <w:tc>
          <w:tcPr>
            <w:tcW w:w="5211" w:type="dxa"/>
            <w:gridSpan w:val="2"/>
          </w:tcPr>
          <w:p w14:paraId="4D7EAEC9" w14:textId="77777777" w:rsidR="00662373" w:rsidRPr="00230F35" w:rsidRDefault="00662373" w:rsidP="00662373">
            <w:pPr>
              <w:rPr>
                <w:rFonts w:ascii="Arial" w:hAnsi="Arial" w:cs="Arial"/>
              </w:rPr>
            </w:pPr>
            <w:r w:rsidRPr="00230F35">
              <w:rPr>
                <w:rFonts w:ascii="Arial" w:hAnsi="Arial" w:cs="Arial"/>
              </w:rPr>
              <w:t>External Examiner’s Signature:</w:t>
            </w:r>
          </w:p>
        </w:tc>
        <w:tc>
          <w:tcPr>
            <w:tcW w:w="3645" w:type="dxa"/>
            <w:gridSpan w:val="3"/>
          </w:tcPr>
          <w:p w14:paraId="10043E86" w14:textId="77777777" w:rsidR="00662373" w:rsidRPr="00230F35" w:rsidRDefault="00662373" w:rsidP="00662373">
            <w:pPr>
              <w:rPr>
                <w:rFonts w:ascii="Arial" w:hAnsi="Arial" w:cs="Arial"/>
              </w:rPr>
            </w:pPr>
            <w:r w:rsidRPr="00230F35">
              <w:rPr>
                <w:rFonts w:ascii="Arial" w:hAnsi="Arial" w:cs="Arial"/>
              </w:rPr>
              <w:t>Date:</w:t>
            </w:r>
          </w:p>
        </w:tc>
      </w:tr>
    </w:tbl>
    <w:p w14:paraId="495636C2" w14:textId="77777777" w:rsidR="00662373" w:rsidRDefault="00662373" w:rsidP="00662373">
      <w:pPr>
        <w:pStyle w:val="NormalWeb"/>
        <w:spacing w:before="0" w:beforeAutospacing="0" w:after="0" w:afterAutospacing="0"/>
        <w:ind w:right="-334"/>
        <w:rPr>
          <w:rFonts w:ascii="Trebuchet MS" w:hAnsi="Trebuchet MS" w:cs="Tahoma"/>
          <w:bCs/>
        </w:rPr>
      </w:pPr>
    </w:p>
    <w:p w14:paraId="0B7F8047" w14:textId="77777777" w:rsidR="00662373" w:rsidRDefault="00662373" w:rsidP="00662373">
      <w:pPr>
        <w:pStyle w:val="NormalWeb"/>
        <w:spacing w:before="0" w:beforeAutospacing="0" w:after="0" w:afterAutospacing="0"/>
        <w:ind w:right="-334"/>
        <w:rPr>
          <w:rFonts w:ascii="Trebuchet MS" w:hAnsi="Trebuchet MS" w:cs="Tahoma"/>
          <w:bCs/>
        </w:rPr>
      </w:pPr>
    </w:p>
    <w:p w14:paraId="3568E86E" w14:textId="77777777" w:rsidR="00662373" w:rsidRDefault="00662373" w:rsidP="00662373">
      <w:pPr>
        <w:pStyle w:val="NormalWeb"/>
        <w:spacing w:before="0" w:beforeAutospacing="0" w:after="0" w:afterAutospacing="0"/>
        <w:ind w:right="-334"/>
        <w:rPr>
          <w:rFonts w:ascii="Trebuchet MS" w:hAnsi="Trebuchet MS" w:cs="Tahoma"/>
          <w:bCs/>
        </w:rPr>
      </w:pPr>
    </w:p>
    <w:p w14:paraId="14A98620" w14:textId="77777777" w:rsidR="00B42944" w:rsidRPr="00241DBD" w:rsidRDefault="00B42944" w:rsidP="00B42944">
      <w:pPr>
        <w:spacing w:line="480" w:lineRule="auto"/>
        <w:jc w:val="center"/>
        <w:rPr>
          <w:rFonts w:ascii="Times New Roman" w:hAnsi="Times New Roman" w:cs="Times New Roman"/>
          <w:b/>
          <w:sz w:val="24"/>
          <w:szCs w:val="24"/>
        </w:rPr>
      </w:pPr>
      <w:r w:rsidRPr="00241DBD">
        <w:rPr>
          <w:rFonts w:ascii="Times New Roman" w:hAnsi="Times New Roman" w:cs="Times New Roman"/>
          <w:b/>
          <w:sz w:val="24"/>
          <w:szCs w:val="24"/>
        </w:rPr>
        <w:lastRenderedPageBreak/>
        <w:t>In light of the texts you have read for this module, what, for the Anglo-Saxons constitutes a heroic figure?</w:t>
      </w:r>
    </w:p>
    <w:p w14:paraId="468B3C03" w14:textId="77777777" w:rsidR="00B42944" w:rsidRPr="00241DBD" w:rsidRDefault="00B42944" w:rsidP="00B42944">
      <w:pPr>
        <w:spacing w:line="480" w:lineRule="auto"/>
        <w:rPr>
          <w:rFonts w:ascii="Times New Roman" w:hAnsi="Times New Roman" w:cs="Times New Roman"/>
          <w:sz w:val="24"/>
          <w:szCs w:val="24"/>
          <w:u w:val="single"/>
        </w:rPr>
      </w:pPr>
    </w:p>
    <w:p w14:paraId="668A1661"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sz w:val="24"/>
          <w:szCs w:val="24"/>
        </w:rPr>
        <w:t>Old English literature ‘offers us not only a mode of poetic expression […] but a window into a different world of beliefs, myths, anxieties, [and] perspectives’.</w:t>
      </w:r>
      <w:r w:rsidRPr="00241DBD">
        <w:rPr>
          <w:rStyle w:val="FootnoteReference"/>
          <w:rFonts w:ascii="Times New Roman" w:hAnsi="Times New Roman" w:cs="Times New Roman"/>
          <w:sz w:val="24"/>
          <w:szCs w:val="24"/>
        </w:rPr>
        <w:footnoteReference w:id="1"/>
      </w:r>
      <w:r w:rsidRPr="00241DBD">
        <w:rPr>
          <w:rFonts w:ascii="Times New Roman" w:hAnsi="Times New Roman" w:cs="Times New Roman"/>
          <w:sz w:val="24"/>
          <w:szCs w:val="24"/>
        </w:rPr>
        <w:t xml:space="preserve"> In addition, Old English literature is pervaded by the ethos of heroic life which provides us with rich material to assess what constitutes the nature of the heroic figure. In this essay I will examine the portrayal of heroic life in </w:t>
      </w:r>
      <w:r w:rsidRPr="00241DBD">
        <w:rPr>
          <w:rFonts w:ascii="Times New Roman" w:hAnsi="Times New Roman" w:cs="Times New Roman"/>
          <w:i/>
          <w:sz w:val="24"/>
          <w:szCs w:val="24"/>
        </w:rPr>
        <w:t xml:space="preserve">The Battle of Maldon, The Wanderer, The Dream of the Rood </w:t>
      </w:r>
      <w:r w:rsidRPr="00241DBD">
        <w:rPr>
          <w:rFonts w:ascii="Times New Roman" w:hAnsi="Times New Roman" w:cs="Times New Roman"/>
          <w:sz w:val="24"/>
          <w:szCs w:val="24"/>
        </w:rPr>
        <w:t>and</w:t>
      </w:r>
      <w:r w:rsidRPr="00241DBD">
        <w:rPr>
          <w:rFonts w:ascii="Times New Roman" w:hAnsi="Times New Roman" w:cs="Times New Roman"/>
          <w:i/>
          <w:sz w:val="24"/>
          <w:szCs w:val="24"/>
        </w:rPr>
        <w:t xml:space="preserve"> Beowulf. </w:t>
      </w:r>
      <w:r w:rsidR="00C76449">
        <w:rPr>
          <w:rFonts w:ascii="Times New Roman" w:hAnsi="Times New Roman" w:cs="Times New Roman"/>
          <w:sz w:val="24"/>
          <w:szCs w:val="24"/>
        </w:rPr>
        <w:t xml:space="preserve">The essay explores </w:t>
      </w:r>
      <w:r w:rsidRPr="00241DBD">
        <w:rPr>
          <w:rFonts w:ascii="Times New Roman" w:hAnsi="Times New Roman" w:cs="Times New Roman"/>
          <w:sz w:val="24"/>
          <w:szCs w:val="24"/>
        </w:rPr>
        <w:t xml:space="preserve">the context of these poems and how they are products of their Germanic past. It will also examine how the poems appear to possess an efficacious quality which allows them to speak to their largely Christian audience. That quality is mediated through the hero who holds these tensions whilst inviting a response from the reader. </w:t>
      </w:r>
    </w:p>
    <w:p w14:paraId="5A897887"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p>
    <w:p w14:paraId="66E1C575"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color w:val="000000"/>
          <w:sz w:val="24"/>
          <w:szCs w:val="24"/>
        </w:rPr>
        <w:t xml:space="preserve">Blake argues that </w:t>
      </w:r>
      <w:r w:rsidRPr="00241DBD">
        <w:rPr>
          <w:rFonts w:ascii="Times New Roman" w:hAnsi="Times New Roman" w:cs="Times New Roman"/>
          <w:i/>
          <w:color w:val="000000"/>
          <w:sz w:val="24"/>
          <w:szCs w:val="24"/>
        </w:rPr>
        <w:t>The Battle of Maldon</w:t>
      </w:r>
      <w:r w:rsidRPr="00241DBD">
        <w:rPr>
          <w:rFonts w:ascii="Times New Roman" w:hAnsi="Times New Roman" w:cs="Times New Roman"/>
          <w:color w:val="000000"/>
          <w:sz w:val="24"/>
          <w:szCs w:val="24"/>
        </w:rPr>
        <w:t xml:space="preserve"> is ‘the only poem in Old English literature which truly embodies the heroic spirit’.</w:t>
      </w:r>
      <w:r w:rsidRPr="00241DBD">
        <w:rPr>
          <w:rStyle w:val="FootnoteReference"/>
          <w:rFonts w:ascii="Times New Roman" w:hAnsi="Times New Roman" w:cs="Times New Roman"/>
          <w:color w:val="000000"/>
          <w:sz w:val="24"/>
          <w:szCs w:val="24"/>
        </w:rPr>
        <w:footnoteReference w:id="2"/>
      </w:r>
      <w:r w:rsidRPr="00241DBD">
        <w:rPr>
          <w:rFonts w:ascii="Times New Roman" w:hAnsi="Times New Roman" w:cs="Times New Roman"/>
          <w:color w:val="000000"/>
          <w:sz w:val="24"/>
          <w:szCs w:val="24"/>
        </w:rPr>
        <w:t xml:space="preserve"> The poem </w:t>
      </w:r>
      <w:r w:rsidRPr="00241DBD">
        <w:rPr>
          <w:rFonts w:ascii="Times New Roman" w:hAnsi="Times New Roman" w:cs="Times New Roman"/>
          <w:sz w:val="24"/>
          <w:szCs w:val="24"/>
        </w:rPr>
        <w:t>‘presents an opportunity to examine the points of intersection between the Old English literary conventions of the heroic ethos and the events of ‘real life’ in an occasional poem which is both a polished work of literature and a memorial of an historical event’.</w:t>
      </w:r>
      <w:r w:rsidRPr="00241DBD">
        <w:rPr>
          <w:rStyle w:val="FootnoteReference"/>
          <w:rFonts w:ascii="Times New Roman" w:hAnsi="Times New Roman" w:cs="Times New Roman"/>
          <w:sz w:val="24"/>
          <w:szCs w:val="24"/>
        </w:rPr>
        <w:footnoteReference w:id="3"/>
      </w:r>
      <w:r w:rsidRPr="00241DBD">
        <w:rPr>
          <w:rFonts w:ascii="Times New Roman" w:hAnsi="Times New Roman" w:cs="Times New Roman"/>
          <w:sz w:val="24"/>
          <w:szCs w:val="24"/>
        </w:rPr>
        <w:t xml:space="preserve"> The poem describes the ‘heroic resistance’</w:t>
      </w:r>
      <w:r w:rsidRPr="00241DBD">
        <w:rPr>
          <w:rStyle w:val="FootnoteReference"/>
          <w:rFonts w:ascii="Times New Roman" w:hAnsi="Times New Roman" w:cs="Times New Roman"/>
          <w:sz w:val="24"/>
          <w:szCs w:val="24"/>
        </w:rPr>
        <w:footnoteReference w:id="4"/>
      </w:r>
      <w:r w:rsidRPr="00241DBD">
        <w:rPr>
          <w:rFonts w:ascii="Times New Roman" w:hAnsi="Times New Roman" w:cs="Times New Roman"/>
          <w:sz w:val="24"/>
          <w:szCs w:val="24"/>
        </w:rPr>
        <w:t xml:space="preserve"> of an English army against Viking raiders in August 991. It has been argued that the poem must have been written very soon after Byrhtnoth's death ‘and must accurately represent "what really </w:t>
      </w:r>
      <w:r w:rsidRPr="00241DBD">
        <w:rPr>
          <w:rFonts w:ascii="Times New Roman" w:hAnsi="Times New Roman" w:cs="Times New Roman"/>
          <w:sz w:val="24"/>
          <w:szCs w:val="24"/>
        </w:rPr>
        <w:lastRenderedPageBreak/>
        <w:t>happened" at Maldon’.</w:t>
      </w:r>
      <w:r w:rsidRPr="00241DBD">
        <w:rPr>
          <w:rStyle w:val="FootnoteReference"/>
          <w:rFonts w:ascii="Times New Roman" w:hAnsi="Times New Roman" w:cs="Times New Roman"/>
          <w:sz w:val="24"/>
          <w:szCs w:val="24"/>
        </w:rPr>
        <w:footnoteReference w:id="5"/>
      </w:r>
      <w:r w:rsidRPr="00241DBD">
        <w:rPr>
          <w:rFonts w:ascii="Times New Roman" w:hAnsi="Times New Roman" w:cs="Times New Roman"/>
          <w:sz w:val="24"/>
          <w:szCs w:val="24"/>
        </w:rPr>
        <w:t xml:space="preserve"> Freeman said it 'is evidently contemporary and local [and does] not hesitate to accept the main facts of the battle and the names of the actors as trustworthy [...] the speeches, no doubt, are, like most speeches in history, the invention of the poet’.</w:t>
      </w:r>
      <w:r w:rsidRPr="00241DBD">
        <w:rPr>
          <w:rStyle w:val="FootnoteReference"/>
          <w:rFonts w:ascii="Times New Roman" w:hAnsi="Times New Roman" w:cs="Times New Roman"/>
          <w:sz w:val="24"/>
          <w:szCs w:val="24"/>
        </w:rPr>
        <w:footnoteReference w:id="6"/>
      </w:r>
      <w:r w:rsidRPr="00241DBD">
        <w:rPr>
          <w:rFonts w:ascii="Times New Roman" w:hAnsi="Times New Roman" w:cs="Times New Roman"/>
          <w:sz w:val="24"/>
          <w:szCs w:val="24"/>
        </w:rPr>
        <w:t xml:space="preserve"> Laborde argued in 1925 that the poem ‘has been universally accepted as a contemporary and authentic account of the battle’.</w:t>
      </w:r>
      <w:r w:rsidRPr="00241DBD">
        <w:rPr>
          <w:rStyle w:val="FootnoteReference"/>
          <w:rFonts w:ascii="Times New Roman" w:hAnsi="Times New Roman" w:cs="Times New Roman"/>
          <w:sz w:val="24"/>
          <w:szCs w:val="24"/>
        </w:rPr>
        <w:footnoteReference w:id="7"/>
      </w:r>
      <w:r w:rsidRPr="00241DBD">
        <w:rPr>
          <w:rFonts w:ascii="Times New Roman" w:hAnsi="Times New Roman" w:cs="Times New Roman"/>
          <w:sz w:val="24"/>
          <w:szCs w:val="24"/>
        </w:rPr>
        <w:t xml:space="preserve"> Gordon says that the text ‘was composed soon after the battle: memory of all that had happened was still fresh, and the heroism of individual deeds and speeches still seemed of primary importance, their glory undimmed by the defeat’.</w:t>
      </w:r>
      <w:r w:rsidRPr="00241DBD">
        <w:rPr>
          <w:rStyle w:val="FootnoteReference"/>
          <w:rFonts w:ascii="Times New Roman" w:hAnsi="Times New Roman" w:cs="Times New Roman"/>
          <w:sz w:val="24"/>
          <w:szCs w:val="24"/>
        </w:rPr>
        <w:footnoteReference w:id="8"/>
      </w:r>
      <w:r w:rsidRPr="00241DBD">
        <w:rPr>
          <w:rFonts w:ascii="Times New Roman" w:hAnsi="Times New Roman" w:cs="Times New Roman"/>
          <w:sz w:val="24"/>
          <w:szCs w:val="24"/>
        </w:rPr>
        <w:t xml:space="preserve"> There are others however who see the poem as a ‘propaganda piece’ but still as an important text which conveys a sense of heroism and the ‘ancient standards of conduct’.</w:t>
      </w:r>
      <w:r w:rsidRPr="00241DBD">
        <w:rPr>
          <w:rStyle w:val="FootnoteReference"/>
          <w:rFonts w:ascii="Times New Roman" w:hAnsi="Times New Roman" w:cs="Times New Roman"/>
          <w:sz w:val="24"/>
          <w:szCs w:val="24"/>
        </w:rPr>
        <w:footnoteReference w:id="9"/>
      </w:r>
    </w:p>
    <w:p w14:paraId="7E61015A"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p>
    <w:p w14:paraId="6A7DD074"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color w:val="000000"/>
          <w:sz w:val="24"/>
          <w:szCs w:val="24"/>
        </w:rPr>
        <w:t xml:space="preserve">The poem is largely concerned with how the retainers of Byrhtnoth honour their commitments under the </w:t>
      </w:r>
      <w:r w:rsidRPr="00241DBD">
        <w:rPr>
          <w:rFonts w:ascii="Times New Roman" w:hAnsi="Times New Roman" w:cs="Times New Roman"/>
          <w:i/>
          <w:color w:val="000000"/>
          <w:sz w:val="24"/>
          <w:szCs w:val="24"/>
        </w:rPr>
        <w:t>comitatus</w:t>
      </w:r>
      <w:r w:rsidRPr="00241DBD">
        <w:rPr>
          <w:rFonts w:ascii="Times New Roman" w:hAnsi="Times New Roman" w:cs="Times New Roman"/>
          <w:color w:val="000000"/>
          <w:sz w:val="24"/>
          <w:szCs w:val="24"/>
        </w:rPr>
        <w:t xml:space="preserve">, the bond of loyalty between a lord and his retainer. The concept of </w:t>
      </w:r>
      <w:r w:rsidRPr="00241DBD">
        <w:rPr>
          <w:rFonts w:ascii="Times New Roman" w:hAnsi="Times New Roman" w:cs="Times New Roman"/>
          <w:i/>
          <w:color w:val="000000"/>
          <w:sz w:val="24"/>
          <w:szCs w:val="24"/>
        </w:rPr>
        <w:t>comitatus</w:t>
      </w:r>
      <w:r w:rsidRPr="00241DBD">
        <w:rPr>
          <w:rFonts w:ascii="Times New Roman" w:hAnsi="Times New Roman" w:cs="Times New Roman"/>
          <w:color w:val="000000"/>
          <w:sz w:val="24"/>
          <w:szCs w:val="24"/>
        </w:rPr>
        <w:t xml:space="preserve"> potentially provides a point of reference for understanding what constitutes a heroic figure and is a significant element in the poems we are examining. The lord offers protection to his retainer, he houses him, feeds him and offers him reward. In response to this, the retainer makes a commitment to fight for his lord. It was therefore completely dishonourable to flee from a battle, especially if the lord had been killed. These qualities were found in pre-migration Germanic society and are ones which Tacitus associated with Germanic warriors. How much these qualities were operating in 10</w:t>
      </w:r>
      <w:r w:rsidRPr="00241DBD">
        <w:rPr>
          <w:rFonts w:ascii="Times New Roman" w:hAnsi="Times New Roman" w:cs="Times New Roman"/>
          <w:color w:val="000000"/>
          <w:sz w:val="24"/>
          <w:szCs w:val="24"/>
          <w:vertAlign w:val="superscript"/>
        </w:rPr>
        <w:t>th</w:t>
      </w:r>
      <w:r w:rsidRPr="00241DBD">
        <w:rPr>
          <w:rFonts w:ascii="Times New Roman" w:hAnsi="Times New Roman" w:cs="Times New Roman"/>
          <w:color w:val="000000"/>
          <w:sz w:val="24"/>
          <w:szCs w:val="24"/>
        </w:rPr>
        <w:t xml:space="preserve"> century society is a matter of some debate. But as Beard argues, ‘the </w:t>
      </w:r>
      <w:r w:rsidRPr="00241DBD">
        <w:rPr>
          <w:rFonts w:ascii="Times New Roman" w:hAnsi="Times New Roman" w:cs="Times New Roman"/>
          <w:i/>
          <w:color w:val="000000"/>
          <w:sz w:val="24"/>
          <w:szCs w:val="24"/>
        </w:rPr>
        <w:t xml:space="preserve">comitatus </w:t>
      </w:r>
      <w:r w:rsidRPr="00241DBD">
        <w:rPr>
          <w:rFonts w:ascii="Times New Roman" w:hAnsi="Times New Roman" w:cs="Times New Roman"/>
          <w:color w:val="000000"/>
          <w:sz w:val="24"/>
          <w:szCs w:val="24"/>
        </w:rPr>
        <w:t xml:space="preserve">naturally features heavily in the early heroic literature and, with the conversion to Christianity, was absorbed </w:t>
      </w:r>
      <w:r w:rsidRPr="00241DBD">
        <w:rPr>
          <w:rFonts w:ascii="Times New Roman" w:hAnsi="Times New Roman" w:cs="Times New Roman"/>
          <w:color w:val="000000"/>
          <w:sz w:val="24"/>
          <w:szCs w:val="24"/>
        </w:rPr>
        <w:lastRenderedPageBreak/>
        <w:t>into the poetic repertoire of the later poets’.</w:t>
      </w:r>
      <w:r w:rsidRPr="00241DBD">
        <w:rPr>
          <w:rStyle w:val="FootnoteReference"/>
          <w:rFonts w:ascii="Times New Roman" w:hAnsi="Times New Roman" w:cs="Times New Roman"/>
          <w:color w:val="000000"/>
          <w:sz w:val="24"/>
          <w:szCs w:val="24"/>
        </w:rPr>
        <w:footnoteReference w:id="10"/>
      </w:r>
      <w:r w:rsidRPr="00241DBD">
        <w:rPr>
          <w:rFonts w:ascii="Times New Roman" w:hAnsi="Times New Roman" w:cs="Times New Roman"/>
          <w:color w:val="000000"/>
          <w:sz w:val="24"/>
          <w:szCs w:val="24"/>
        </w:rPr>
        <w:t xml:space="preserve"> </w:t>
      </w:r>
    </w:p>
    <w:p w14:paraId="77B2EE98"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p>
    <w:p w14:paraId="2678321C"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sz w:val="24"/>
          <w:szCs w:val="24"/>
        </w:rPr>
        <w:t>Criticism of the poem has not been ‘entirely monolithic’.</w:t>
      </w:r>
      <w:r w:rsidRPr="00241DBD">
        <w:rPr>
          <w:rStyle w:val="FootnoteReference"/>
          <w:rFonts w:ascii="Times New Roman" w:hAnsi="Times New Roman" w:cs="Times New Roman"/>
          <w:sz w:val="24"/>
          <w:szCs w:val="24"/>
        </w:rPr>
        <w:footnoteReference w:id="11"/>
      </w:r>
      <w:r w:rsidRPr="00241DBD">
        <w:rPr>
          <w:rFonts w:ascii="Times New Roman" w:hAnsi="Times New Roman" w:cs="Times New Roman"/>
          <w:sz w:val="24"/>
          <w:szCs w:val="24"/>
        </w:rPr>
        <w:t xml:space="preserve"> The ‘received interpretation’ was outlined most clearly by Laborde and Tolkien.</w:t>
      </w:r>
      <w:r w:rsidRPr="00241DBD">
        <w:rPr>
          <w:rStyle w:val="FootnoteReference"/>
          <w:rFonts w:ascii="Times New Roman" w:hAnsi="Times New Roman" w:cs="Times New Roman"/>
          <w:sz w:val="24"/>
          <w:szCs w:val="24"/>
        </w:rPr>
        <w:footnoteReference w:id="12"/>
      </w:r>
      <w:r w:rsidRPr="00241DBD">
        <w:rPr>
          <w:rFonts w:ascii="Times New Roman" w:hAnsi="Times New Roman" w:cs="Times New Roman"/>
          <w:sz w:val="24"/>
          <w:szCs w:val="24"/>
        </w:rPr>
        <w:t xml:space="preserve"> Tolkien asserted that the ‘exaltation of the undefeated will’ finds its ‘doctrinal expression in the words of Byrhtwold’ and his ‘suicidal chivalry’.</w:t>
      </w:r>
      <w:r w:rsidRPr="00241DBD">
        <w:rPr>
          <w:rStyle w:val="FootnoteReference"/>
          <w:rFonts w:ascii="Times New Roman" w:hAnsi="Times New Roman" w:cs="Times New Roman"/>
          <w:sz w:val="24"/>
          <w:szCs w:val="24"/>
        </w:rPr>
        <w:footnoteReference w:id="13"/>
      </w:r>
      <w:r w:rsidRPr="00241DBD">
        <w:rPr>
          <w:rFonts w:ascii="Times New Roman" w:hAnsi="Times New Roman" w:cs="Times New Roman"/>
          <w:sz w:val="24"/>
          <w:szCs w:val="24"/>
        </w:rPr>
        <w:t xml:space="preserve"> Clark argued however that this view was challenged by people’s ‘intuitive response’ to the poem.</w:t>
      </w:r>
      <w:r w:rsidRPr="00241DBD">
        <w:rPr>
          <w:rStyle w:val="FootnoteReference"/>
          <w:rFonts w:ascii="Times New Roman" w:hAnsi="Times New Roman" w:cs="Times New Roman"/>
          <w:sz w:val="24"/>
          <w:szCs w:val="24"/>
        </w:rPr>
        <w:footnoteReference w:id="14"/>
      </w:r>
      <w:r w:rsidRPr="00241DBD">
        <w:rPr>
          <w:rFonts w:ascii="Times New Roman" w:hAnsi="Times New Roman" w:cs="Times New Roman"/>
          <w:sz w:val="24"/>
          <w:szCs w:val="24"/>
        </w:rPr>
        <w:t xml:space="preserve"> </w:t>
      </w:r>
      <w:r w:rsidRPr="00241DBD">
        <w:rPr>
          <w:rFonts w:ascii="Times New Roman" w:hAnsi="Times New Roman" w:cs="Times New Roman"/>
          <w:color w:val="000000"/>
          <w:sz w:val="24"/>
          <w:szCs w:val="24"/>
        </w:rPr>
        <w:t>Criticism today tends to challenge the ‘orthodox gloss’</w:t>
      </w:r>
      <w:r w:rsidRPr="00241DBD">
        <w:rPr>
          <w:rStyle w:val="FootnoteReference"/>
          <w:rFonts w:ascii="Times New Roman" w:hAnsi="Times New Roman" w:cs="Times New Roman"/>
          <w:color w:val="000000"/>
          <w:sz w:val="24"/>
          <w:szCs w:val="24"/>
        </w:rPr>
        <w:footnoteReference w:id="15"/>
      </w:r>
      <w:r w:rsidRPr="00241DBD">
        <w:rPr>
          <w:rFonts w:ascii="Times New Roman" w:hAnsi="Times New Roman" w:cs="Times New Roman"/>
          <w:color w:val="000000"/>
          <w:sz w:val="24"/>
          <w:szCs w:val="24"/>
        </w:rPr>
        <w:t xml:space="preserve"> and focus on the issue surrounding the interpretation of </w:t>
      </w:r>
      <w:r w:rsidRPr="00241DBD">
        <w:rPr>
          <w:rFonts w:ascii="Times New Roman" w:hAnsi="Times New Roman" w:cs="Times New Roman"/>
          <w:i/>
          <w:sz w:val="24"/>
          <w:szCs w:val="24"/>
        </w:rPr>
        <w:t>lytegian</w:t>
      </w:r>
      <w:r w:rsidRPr="00241DBD">
        <w:rPr>
          <w:rFonts w:ascii="Times New Roman" w:hAnsi="Times New Roman" w:cs="Times New Roman"/>
          <w:sz w:val="24"/>
          <w:szCs w:val="24"/>
        </w:rPr>
        <w:t xml:space="preserve"> and </w:t>
      </w:r>
      <w:r w:rsidRPr="00241DBD">
        <w:rPr>
          <w:rFonts w:ascii="Times New Roman" w:hAnsi="Times New Roman" w:cs="Times New Roman"/>
          <w:i/>
          <w:sz w:val="24"/>
          <w:szCs w:val="24"/>
        </w:rPr>
        <w:t>ofermode. Lytegian</w:t>
      </w:r>
      <w:r w:rsidRPr="00241DBD">
        <w:rPr>
          <w:rFonts w:ascii="Times New Roman" w:hAnsi="Times New Roman" w:cs="Times New Roman"/>
          <w:sz w:val="24"/>
          <w:szCs w:val="24"/>
        </w:rPr>
        <w:t xml:space="preserve"> and </w:t>
      </w:r>
      <w:r w:rsidRPr="00241DBD">
        <w:rPr>
          <w:rFonts w:ascii="Times New Roman" w:hAnsi="Times New Roman" w:cs="Times New Roman"/>
          <w:i/>
          <w:sz w:val="24"/>
          <w:szCs w:val="24"/>
        </w:rPr>
        <w:t xml:space="preserve">ofermode </w:t>
      </w:r>
      <w:r w:rsidRPr="00241DBD">
        <w:rPr>
          <w:rFonts w:ascii="Times New Roman" w:hAnsi="Times New Roman" w:cs="Times New Roman"/>
          <w:sz w:val="24"/>
          <w:szCs w:val="24"/>
        </w:rPr>
        <w:t xml:space="preserve">are two crucial terms in this poem and their interpretation is fundamental to understanding what constitutes a heroic figure. The word </w:t>
      </w:r>
      <w:bookmarkStart w:id="6" w:name="OLE_LINK1"/>
      <w:bookmarkStart w:id="7" w:name="OLE_LINK2"/>
      <w:r w:rsidRPr="00241DBD">
        <w:rPr>
          <w:rFonts w:ascii="Times New Roman" w:hAnsi="Times New Roman" w:cs="Times New Roman"/>
          <w:i/>
          <w:sz w:val="24"/>
          <w:szCs w:val="24"/>
        </w:rPr>
        <w:t>lytegian</w:t>
      </w:r>
      <w:r w:rsidRPr="00241DBD">
        <w:rPr>
          <w:rFonts w:ascii="Times New Roman" w:hAnsi="Times New Roman" w:cs="Times New Roman"/>
          <w:sz w:val="24"/>
          <w:szCs w:val="24"/>
        </w:rPr>
        <w:t xml:space="preserve"> </w:t>
      </w:r>
      <w:bookmarkEnd w:id="6"/>
      <w:bookmarkEnd w:id="7"/>
      <w:r w:rsidRPr="00241DBD">
        <w:rPr>
          <w:rFonts w:ascii="Times New Roman" w:hAnsi="Times New Roman" w:cs="Times New Roman"/>
          <w:sz w:val="24"/>
          <w:szCs w:val="24"/>
        </w:rPr>
        <w:t xml:space="preserve">is not used anywhere else in Old English, other than this poem, but it is ‘related clearly enough to the adjective </w:t>
      </w:r>
      <w:r w:rsidRPr="00241DBD">
        <w:rPr>
          <w:rFonts w:ascii="Times New Roman" w:hAnsi="Times New Roman" w:cs="Times New Roman"/>
          <w:i/>
          <w:sz w:val="24"/>
          <w:szCs w:val="24"/>
        </w:rPr>
        <w:t>lytig</w:t>
      </w:r>
      <w:r w:rsidRPr="00241DBD">
        <w:rPr>
          <w:rFonts w:ascii="Times New Roman" w:hAnsi="Times New Roman" w:cs="Times New Roman"/>
          <w:sz w:val="24"/>
          <w:szCs w:val="24"/>
        </w:rPr>
        <w:t>, ‘cunning’ or ‘wily’’.</w:t>
      </w:r>
      <w:r w:rsidRPr="00241DBD">
        <w:rPr>
          <w:rStyle w:val="FootnoteReference"/>
          <w:rFonts w:ascii="Times New Roman" w:hAnsi="Times New Roman" w:cs="Times New Roman"/>
          <w:sz w:val="24"/>
          <w:szCs w:val="24"/>
        </w:rPr>
        <w:footnoteReference w:id="16"/>
      </w:r>
      <w:r w:rsidRPr="00241DBD">
        <w:rPr>
          <w:rFonts w:ascii="Times New Roman" w:hAnsi="Times New Roman" w:cs="Times New Roman"/>
          <w:sz w:val="24"/>
          <w:szCs w:val="24"/>
        </w:rPr>
        <w:t xml:space="preserve"> Arguments have been developed to show that this term is ‘relatively benign’ however ‘it is difficult to avoid the conclusion that </w:t>
      </w:r>
      <w:r w:rsidRPr="00241DBD">
        <w:rPr>
          <w:rFonts w:ascii="Times New Roman" w:hAnsi="Times New Roman" w:cs="Times New Roman"/>
          <w:i/>
          <w:sz w:val="24"/>
          <w:szCs w:val="24"/>
        </w:rPr>
        <w:t>lytegian</w:t>
      </w:r>
      <w:r w:rsidRPr="00241DBD">
        <w:rPr>
          <w:rFonts w:ascii="Times New Roman" w:hAnsi="Times New Roman" w:cs="Times New Roman"/>
          <w:sz w:val="24"/>
          <w:szCs w:val="24"/>
        </w:rPr>
        <w:t xml:space="preserve"> had an unfavourable sense: the Vikings ‘used cunning’ to secure their passage’.</w:t>
      </w:r>
      <w:r w:rsidRPr="00241DBD">
        <w:rPr>
          <w:rStyle w:val="FootnoteReference"/>
          <w:rFonts w:ascii="Times New Roman" w:hAnsi="Times New Roman" w:cs="Times New Roman"/>
          <w:sz w:val="24"/>
          <w:szCs w:val="24"/>
        </w:rPr>
        <w:footnoteReference w:id="17"/>
      </w:r>
      <w:r w:rsidRPr="00241DBD">
        <w:rPr>
          <w:rFonts w:ascii="Times New Roman" w:hAnsi="Times New Roman" w:cs="Times New Roman"/>
          <w:sz w:val="24"/>
          <w:szCs w:val="24"/>
        </w:rPr>
        <w:t xml:space="preserve"> According to O’Keefe, ‘the Vikings’ ‘cunning’ may simply reflect a poetic judgement that the Vikings talked their way across the ford.’</w:t>
      </w:r>
      <w:r w:rsidRPr="00241DBD">
        <w:rPr>
          <w:rStyle w:val="FootnoteReference"/>
          <w:rFonts w:ascii="Times New Roman" w:hAnsi="Times New Roman" w:cs="Times New Roman"/>
          <w:sz w:val="24"/>
          <w:szCs w:val="24"/>
        </w:rPr>
        <w:footnoteReference w:id="18"/>
      </w:r>
      <w:r w:rsidRPr="00241DBD">
        <w:rPr>
          <w:rFonts w:ascii="Times New Roman" w:hAnsi="Times New Roman" w:cs="Times New Roman"/>
          <w:sz w:val="24"/>
          <w:szCs w:val="24"/>
        </w:rPr>
        <w:t xml:space="preserve"> Yet, what remains interesting is the lack of detail when discussing the Vikings and this makes </w:t>
      </w:r>
      <w:r w:rsidRPr="00241DBD">
        <w:rPr>
          <w:rFonts w:ascii="Times New Roman" w:hAnsi="Times New Roman" w:cs="Times New Roman"/>
          <w:i/>
          <w:sz w:val="24"/>
          <w:szCs w:val="24"/>
        </w:rPr>
        <w:t xml:space="preserve">lytegian </w:t>
      </w:r>
      <w:r w:rsidRPr="00241DBD">
        <w:rPr>
          <w:rFonts w:ascii="Times New Roman" w:hAnsi="Times New Roman" w:cs="Times New Roman"/>
          <w:sz w:val="24"/>
          <w:szCs w:val="24"/>
        </w:rPr>
        <w:t xml:space="preserve">have even greater force. Furthermore, ‘the Vikings are simply a force impelling the decisions to pay or fight, to flee or die; they are not objects of interest in </w:t>
      </w:r>
      <w:r w:rsidRPr="00241DBD">
        <w:rPr>
          <w:rFonts w:ascii="Times New Roman" w:hAnsi="Times New Roman" w:cs="Times New Roman"/>
          <w:sz w:val="24"/>
          <w:szCs w:val="24"/>
        </w:rPr>
        <w:lastRenderedPageBreak/>
        <w:t>themselves. Thus, the poem names the heroes and the cowards, but not the invaders’.</w:t>
      </w:r>
      <w:r w:rsidRPr="00241DBD">
        <w:rPr>
          <w:rStyle w:val="FootnoteReference"/>
          <w:rFonts w:ascii="Times New Roman" w:hAnsi="Times New Roman" w:cs="Times New Roman"/>
          <w:sz w:val="24"/>
          <w:szCs w:val="24"/>
        </w:rPr>
        <w:footnoteReference w:id="19"/>
      </w:r>
    </w:p>
    <w:p w14:paraId="6C271D6F"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p>
    <w:p w14:paraId="33A10D2F"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sz w:val="24"/>
          <w:szCs w:val="24"/>
        </w:rPr>
        <w:t xml:space="preserve">There is considerable agreement that </w:t>
      </w:r>
      <w:r w:rsidRPr="00241DBD">
        <w:rPr>
          <w:rFonts w:ascii="Times New Roman" w:hAnsi="Times New Roman" w:cs="Times New Roman"/>
          <w:i/>
          <w:sz w:val="24"/>
          <w:szCs w:val="24"/>
        </w:rPr>
        <w:t xml:space="preserve">ofermod </w:t>
      </w:r>
      <w:r w:rsidRPr="00241DBD">
        <w:rPr>
          <w:rFonts w:ascii="Times New Roman" w:hAnsi="Times New Roman" w:cs="Times New Roman"/>
          <w:sz w:val="24"/>
          <w:szCs w:val="24"/>
        </w:rPr>
        <w:t>is essential to our understanding of the nature of the poem and indeed what constitutes the heroic figure. However Gnuess argues that what has been written is often ‘superficial and even careless’.</w:t>
      </w:r>
      <w:r w:rsidRPr="00241DBD">
        <w:rPr>
          <w:rStyle w:val="FootnoteReference"/>
          <w:rFonts w:ascii="Times New Roman" w:hAnsi="Times New Roman" w:cs="Times New Roman"/>
          <w:sz w:val="24"/>
          <w:szCs w:val="24"/>
        </w:rPr>
        <w:footnoteReference w:id="20"/>
      </w:r>
      <w:r w:rsidRPr="00241DBD">
        <w:rPr>
          <w:rFonts w:ascii="Times New Roman" w:hAnsi="Times New Roman" w:cs="Times New Roman"/>
          <w:sz w:val="24"/>
          <w:szCs w:val="24"/>
        </w:rPr>
        <w:t xml:space="preserve"> There is substantial philological evidence that </w:t>
      </w:r>
      <w:r w:rsidRPr="00241DBD">
        <w:rPr>
          <w:rFonts w:ascii="Times New Roman" w:hAnsi="Times New Roman" w:cs="Times New Roman"/>
          <w:i/>
          <w:sz w:val="24"/>
          <w:szCs w:val="24"/>
        </w:rPr>
        <w:t>ofermod means</w:t>
      </w:r>
      <w:r w:rsidRPr="00241DBD">
        <w:rPr>
          <w:rFonts w:ascii="Times New Roman" w:hAnsi="Times New Roman" w:cs="Times New Roman"/>
          <w:sz w:val="24"/>
          <w:szCs w:val="24"/>
        </w:rPr>
        <w:t xml:space="preserve"> ‘pride’ or ‘excessive courage’.</w:t>
      </w:r>
      <w:r w:rsidRPr="00241DBD">
        <w:rPr>
          <w:rStyle w:val="FootnoteReference"/>
          <w:rFonts w:ascii="Times New Roman" w:hAnsi="Times New Roman" w:cs="Times New Roman"/>
          <w:sz w:val="24"/>
          <w:szCs w:val="24"/>
        </w:rPr>
        <w:footnoteReference w:id="21"/>
      </w:r>
      <w:r w:rsidRPr="00241DBD">
        <w:rPr>
          <w:rFonts w:ascii="Times New Roman" w:hAnsi="Times New Roman" w:cs="Times New Roman"/>
          <w:sz w:val="24"/>
          <w:szCs w:val="24"/>
        </w:rPr>
        <w:t xml:space="preserve"> Translations vary and include ‘overmastered by pride into foolish action’,</w:t>
      </w:r>
      <w:r w:rsidRPr="00241DBD">
        <w:rPr>
          <w:rStyle w:val="FootnoteReference"/>
          <w:rFonts w:ascii="Times New Roman" w:hAnsi="Times New Roman" w:cs="Times New Roman"/>
          <w:sz w:val="24"/>
          <w:szCs w:val="24"/>
        </w:rPr>
        <w:footnoteReference w:id="22"/>
      </w:r>
      <w:r w:rsidRPr="00241DBD">
        <w:rPr>
          <w:rFonts w:ascii="Times New Roman" w:hAnsi="Times New Roman" w:cs="Times New Roman"/>
          <w:sz w:val="24"/>
          <w:szCs w:val="24"/>
        </w:rPr>
        <w:t xml:space="preserve"> ‘because of an excess of heroic feeling [...] courage [and] superb self-confidence’.</w:t>
      </w:r>
      <w:r w:rsidRPr="00241DBD">
        <w:rPr>
          <w:rStyle w:val="FootnoteReference"/>
          <w:rFonts w:ascii="Times New Roman" w:hAnsi="Times New Roman" w:cs="Times New Roman"/>
          <w:sz w:val="24"/>
          <w:szCs w:val="24"/>
        </w:rPr>
        <w:footnoteReference w:id="23"/>
      </w:r>
      <w:r w:rsidRPr="00241DBD">
        <w:rPr>
          <w:rFonts w:ascii="Times New Roman" w:hAnsi="Times New Roman" w:cs="Times New Roman"/>
          <w:sz w:val="24"/>
          <w:szCs w:val="24"/>
        </w:rPr>
        <w:t xml:space="preserve"> Some, however, have avoided using an exact translation; Bessinger prefers to refer to </w:t>
      </w:r>
      <w:r w:rsidRPr="00241DBD">
        <w:rPr>
          <w:rFonts w:ascii="Times New Roman" w:hAnsi="Times New Roman" w:cs="Times New Roman"/>
          <w:i/>
          <w:color w:val="000000"/>
          <w:sz w:val="24"/>
          <w:szCs w:val="24"/>
        </w:rPr>
        <w:t>ofermod</w:t>
      </w:r>
      <w:r w:rsidRPr="00241DBD">
        <w:rPr>
          <w:rFonts w:ascii="Times New Roman" w:hAnsi="Times New Roman" w:cs="Times New Roman"/>
          <w:color w:val="000000"/>
          <w:sz w:val="24"/>
          <w:szCs w:val="24"/>
        </w:rPr>
        <w:t xml:space="preserve"> as ‘a traditional heroic fault’.</w:t>
      </w:r>
      <w:r w:rsidRPr="00241DBD">
        <w:rPr>
          <w:rStyle w:val="FootnoteReference"/>
          <w:rFonts w:ascii="Times New Roman" w:hAnsi="Times New Roman" w:cs="Times New Roman"/>
          <w:color w:val="000000"/>
          <w:sz w:val="24"/>
          <w:szCs w:val="24"/>
        </w:rPr>
        <w:footnoteReference w:id="24"/>
      </w:r>
      <w:r w:rsidRPr="00241DBD">
        <w:rPr>
          <w:rFonts w:ascii="Times New Roman" w:hAnsi="Times New Roman" w:cs="Times New Roman"/>
          <w:sz w:val="24"/>
          <w:szCs w:val="24"/>
        </w:rPr>
        <w:t xml:space="preserve"> The word </w:t>
      </w:r>
      <w:r w:rsidRPr="00241DBD">
        <w:rPr>
          <w:rFonts w:ascii="Times New Roman" w:hAnsi="Times New Roman" w:cs="Times New Roman"/>
          <w:i/>
          <w:sz w:val="24"/>
          <w:szCs w:val="24"/>
        </w:rPr>
        <w:t>ofermod</w:t>
      </w:r>
      <w:r w:rsidRPr="00241DBD">
        <w:rPr>
          <w:rFonts w:ascii="Times New Roman" w:hAnsi="Times New Roman" w:cs="Times New Roman"/>
          <w:sz w:val="24"/>
          <w:szCs w:val="24"/>
        </w:rPr>
        <w:t xml:space="preserve"> has been found in a collection of religious aphorisms, </w:t>
      </w:r>
      <w:r w:rsidRPr="00241DBD">
        <w:rPr>
          <w:rFonts w:ascii="Times New Roman" w:hAnsi="Times New Roman" w:cs="Times New Roman"/>
          <w:i/>
          <w:sz w:val="24"/>
          <w:szCs w:val="24"/>
        </w:rPr>
        <w:t>Instructions for Christians</w:t>
      </w:r>
      <w:r w:rsidRPr="00241DBD">
        <w:rPr>
          <w:rFonts w:ascii="Times New Roman" w:hAnsi="Times New Roman" w:cs="Times New Roman"/>
          <w:sz w:val="24"/>
          <w:szCs w:val="24"/>
        </w:rPr>
        <w:t xml:space="preserve">, and translated as ‘pride’. Satan is referred to as </w:t>
      </w:r>
      <w:r w:rsidRPr="00241DBD">
        <w:rPr>
          <w:rFonts w:ascii="Times New Roman" w:hAnsi="Times New Roman" w:cs="Times New Roman"/>
          <w:i/>
          <w:sz w:val="24"/>
          <w:szCs w:val="24"/>
        </w:rPr>
        <w:t xml:space="preserve">se engel ofermodes </w:t>
      </w:r>
      <w:r w:rsidRPr="00241DBD">
        <w:rPr>
          <w:rFonts w:ascii="Times New Roman" w:hAnsi="Times New Roman" w:cs="Times New Roman"/>
          <w:sz w:val="24"/>
          <w:szCs w:val="24"/>
        </w:rPr>
        <w:t>(</w:t>
      </w:r>
      <w:r w:rsidRPr="00241DBD">
        <w:rPr>
          <w:rFonts w:ascii="Times New Roman" w:hAnsi="Times New Roman" w:cs="Times New Roman"/>
          <w:i/>
          <w:sz w:val="24"/>
          <w:szCs w:val="24"/>
        </w:rPr>
        <w:t>Genesis</w:t>
      </w:r>
      <w:r w:rsidRPr="00241DBD">
        <w:rPr>
          <w:rFonts w:ascii="Times New Roman" w:hAnsi="Times New Roman" w:cs="Times New Roman"/>
          <w:sz w:val="24"/>
          <w:szCs w:val="24"/>
        </w:rPr>
        <w:t xml:space="preserve"> A 272) ‘the angel of pride’.</w:t>
      </w:r>
      <w:r w:rsidRPr="00241DBD">
        <w:rPr>
          <w:rStyle w:val="FootnoteReference"/>
          <w:rFonts w:ascii="Times New Roman" w:hAnsi="Times New Roman" w:cs="Times New Roman"/>
          <w:sz w:val="24"/>
          <w:szCs w:val="24"/>
        </w:rPr>
        <w:footnoteReference w:id="25"/>
      </w:r>
      <w:r w:rsidRPr="00241DBD">
        <w:rPr>
          <w:rFonts w:ascii="Times New Roman" w:hAnsi="Times New Roman" w:cs="Times New Roman"/>
          <w:sz w:val="24"/>
          <w:szCs w:val="24"/>
        </w:rPr>
        <w:t xml:space="preserve"> Mosse argues that the ‘poem is the story of a leader whose pride and self-assurance lead him to disaster, evidently deriving the meaning of the poem from the supposed meaning of </w:t>
      </w:r>
      <w:r w:rsidRPr="00241DBD">
        <w:rPr>
          <w:rFonts w:ascii="Times New Roman" w:hAnsi="Times New Roman" w:cs="Times New Roman"/>
          <w:i/>
          <w:sz w:val="24"/>
          <w:szCs w:val="24"/>
        </w:rPr>
        <w:t>ofermod’</w:t>
      </w:r>
      <w:r w:rsidRPr="00241DBD">
        <w:rPr>
          <w:rFonts w:ascii="Times New Roman" w:hAnsi="Times New Roman" w:cs="Times New Roman"/>
          <w:sz w:val="24"/>
          <w:szCs w:val="24"/>
        </w:rPr>
        <w:t>.</w:t>
      </w:r>
      <w:r w:rsidRPr="00241DBD">
        <w:rPr>
          <w:rStyle w:val="FootnoteReference"/>
          <w:rFonts w:ascii="Times New Roman" w:hAnsi="Times New Roman" w:cs="Times New Roman"/>
          <w:sz w:val="24"/>
          <w:szCs w:val="24"/>
        </w:rPr>
        <w:footnoteReference w:id="26"/>
      </w:r>
      <w:r w:rsidRPr="00241DBD">
        <w:rPr>
          <w:rFonts w:ascii="Times New Roman" w:hAnsi="Times New Roman" w:cs="Times New Roman"/>
          <w:sz w:val="24"/>
          <w:szCs w:val="24"/>
        </w:rPr>
        <w:t xml:space="preserve"> Within a religious context the meaning is very clear, however within a secular one such as in this poem, ‘excessive courage’</w:t>
      </w:r>
      <w:r w:rsidRPr="00241DBD">
        <w:rPr>
          <w:rStyle w:val="FootnoteReference"/>
          <w:rFonts w:ascii="Times New Roman" w:hAnsi="Times New Roman" w:cs="Times New Roman"/>
          <w:sz w:val="24"/>
          <w:szCs w:val="24"/>
        </w:rPr>
        <w:footnoteReference w:id="27"/>
      </w:r>
      <w:r w:rsidRPr="00241DBD">
        <w:rPr>
          <w:rFonts w:ascii="Times New Roman" w:hAnsi="Times New Roman" w:cs="Times New Roman"/>
          <w:sz w:val="24"/>
          <w:szCs w:val="24"/>
        </w:rPr>
        <w:t xml:space="preserve"> may well be an acceptable translation. But, furthermore, </w:t>
      </w:r>
      <w:r w:rsidRPr="00241DBD">
        <w:rPr>
          <w:rFonts w:ascii="Times New Roman" w:hAnsi="Times New Roman" w:cs="Times New Roman"/>
          <w:color w:val="000000"/>
          <w:sz w:val="24"/>
          <w:szCs w:val="24"/>
        </w:rPr>
        <w:t>Byrhtnoth</w:t>
      </w:r>
      <w:r w:rsidRPr="00241DBD">
        <w:rPr>
          <w:rFonts w:ascii="Times New Roman" w:hAnsi="Times New Roman" w:cs="Times New Roman"/>
          <w:sz w:val="24"/>
          <w:szCs w:val="24"/>
        </w:rPr>
        <w:t xml:space="preserve"> is presented as ‘a model of courage, patriotism and leadership’</w:t>
      </w:r>
      <w:r w:rsidRPr="00241DBD">
        <w:rPr>
          <w:rStyle w:val="FootnoteReference"/>
          <w:rFonts w:ascii="Times New Roman" w:hAnsi="Times New Roman" w:cs="Times New Roman"/>
          <w:sz w:val="24"/>
          <w:szCs w:val="24"/>
        </w:rPr>
        <w:footnoteReference w:id="28"/>
      </w:r>
      <w:r w:rsidRPr="00241DBD">
        <w:rPr>
          <w:rFonts w:ascii="Times New Roman" w:hAnsi="Times New Roman" w:cs="Times New Roman"/>
          <w:sz w:val="24"/>
          <w:szCs w:val="24"/>
        </w:rPr>
        <w:t xml:space="preserve"> and elsewhere described as </w:t>
      </w:r>
      <w:r w:rsidRPr="00241DBD">
        <w:rPr>
          <w:rFonts w:ascii="Times New Roman" w:hAnsi="Times New Roman" w:cs="Times New Roman"/>
          <w:i/>
          <w:sz w:val="24"/>
          <w:szCs w:val="24"/>
        </w:rPr>
        <w:t>‘</w:t>
      </w:r>
      <w:r w:rsidRPr="00241DBD">
        <w:rPr>
          <w:rFonts w:ascii="Times New Roman" w:hAnsi="Times New Roman" w:cs="Times New Roman"/>
          <w:i/>
          <w:color w:val="000000"/>
          <w:sz w:val="24"/>
          <w:szCs w:val="24"/>
        </w:rPr>
        <w:t>vir religiosus et timens Deum’</w:t>
      </w:r>
      <w:r w:rsidRPr="00241DBD">
        <w:rPr>
          <w:rFonts w:ascii="Times New Roman" w:hAnsi="Times New Roman" w:cs="Times New Roman"/>
          <w:color w:val="000000"/>
          <w:sz w:val="24"/>
          <w:szCs w:val="24"/>
        </w:rPr>
        <w:t>.</w:t>
      </w:r>
      <w:r w:rsidRPr="00241DBD">
        <w:rPr>
          <w:rStyle w:val="FootnoteReference"/>
          <w:rFonts w:ascii="Times New Roman" w:hAnsi="Times New Roman" w:cs="Times New Roman"/>
          <w:color w:val="000000"/>
          <w:sz w:val="24"/>
          <w:szCs w:val="24"/>
        </w:rPr>
        <w:footnoteReference w:id="29"/>
      </w:r>
      <w:r w:rsidRPr="00241DBD">
        <w:rPr>
          <w:rFonts w:ascii="Times New Roman" w:hAnsi="Times New Roman" w:cs="Times New Roman"/>
          <w:color w:val="000000"/>
          <w:sz w:val="24"/>
          <w:szCs w:val="24"/>
        </w:rPr>
        <w:t xml:space="preserve"> It seems hard to </w:t>
      </w:r>
      <w:r w:rsidRPr="00241DBD">
        <w:rPr>
          <w:rFonts w:ascii="Times New Roman" w:hAnsi="Times New Roman" w:cs="Times New Roman"/>
          <w:color w:val="000000"/>
          <w:sz w:val="24"/>
          <w:szCs w:val="24"/>
        </w:rPr>
        <w:lastRenderedPageBreak/>
        <w:t>believe that a proud man would pray to God about the conclusion of a battle, ‘to leave one's fate in the hands of God does not seem the normal conduct of the proud man’.</w:t>
      </w:r>
      <w:r w:rsidRPr="00241DBD">
        <w:rPr>
          <w:rStyle w:val="FootnoteReference"/>
          <w:rFonts w:ascii="Times New Roman" w:hAnsi="Times New Roman" w:cs="Times New Roman"/>
          <w:color w:val="000000"/>
          <w:sz w:val="24"/>
          <w:szCs w:val="24"/>
        </w:rPr>
        <w:footnoteReference w:id="30"/>
      </w:r>
      <w:r w:rsidRPr="00241DBD">
        <w:rPr>
          <w:rFonts w:ascii="Times New Roman" w:hAnsi="Times New Roman" w:cs="Times New Roman"/>
          <w:color w:val="000000"/>
          <w:sz w:val="24"/>
          <w:szCs w:val="24"/>
        </w:rPr>
        <w:t xml:space="preserve"> </w:t>
      </w:r>
      <w:r w:rsidRPr="00241DBD">
        <w:rPr>
          <w:rFonts w:ascii="Times New Roman" w:hAnsi="Times New Roman" w:cs="Times New Roman"/>
          <w:sz w:val="24"/>
          <w:szCs w:val="24"/>
        </w:rPr>
        <w:t>As Gnuess argues, ‘it is difficult to reconcile a stinging judgment of sinful pride with a poem which is otherwise generous in its praise of a secular lord (and one well-known religious benefactor)’.</w:t>
      </w:r>
      <w:r w:rsidRPr="00241DBD">
        <w:rPr>
          <w:rStyle w:val="FootnoteReference"/>
          <w:rFonts w:ascii="Times New Roman" w:hAnsi="Times New Roman" w:cs="Times New Roman"/>
          <w:sz w:val="24"/>
          <w:szCs w:val="24"/>
        </w:rPr>
        <w:footnoteReference w:id="31"/>
      </w:r>
      <w:r w:rsidRPr="00241DBD">
        <w:rPr>
          <w:rFonts w:ascii="Times New Roman" w:hAnsi="Times New Roman" w:cs="Times New Roman"/>
          <w:sz w:val="24"/>
          <w:szCs w:val="24"/>
        </w:rPr>
        <w:t xml:space="preserve"> Bloomfield argues that whilst </w:t>
      </w:r>
      <w:r w:rsidRPr="00241DBD">
        <w:rPr>
          <w:rFonts w:ascii="Times New Roman" w:hAnsi="Times New Roman" w:cs="Times New Roman"/>
          <w:i/>
          <w:color w:val="000000"/>
          <w:sz w:val="24"/>
          <w:szCs w:val="24"/>
        </w:rPr>
        <w:t>ofermod</w:t>
      </w:r>
      <w:r w:rsidRPr="00241DBD">
        <w:rPr>
          <w:rFonts w:ascii="Times New Roman" w:hAnsi="Times New Roman" w:cs="Times New Roman"/>
          <w:color w:val="000000"/>
          <w:sz w:val="24"/>
          <w:szCs w:val="24"/>
        </w:rPr>
        <w:t xml:space="preserve"> may be the same as the Latin </w:t>
      </w:r>
      <w:r w:rsidRPr="00241DBD">
        <w:rPr>
          <w:rFonts w:ascii="Times New Roman" w:hAnsi="Times New Roman" w:cs="Times New Roman"/>
          <w:i/>
          <w:color w:val="000000"/>
          <w:sz w:val="24"/>
          <w:szCs w:val="24"/>
        </w:rPr>
        <w:t>superbia</w:t>
      </w:r>
      <w:r w:rsidRPr="00241DBD">
        <w:rPr>
          <w:rFonts w:ascii="Times New Roman" w:hAnsi="Times New Roman" w:cs="Times New Roman"/>
          <w:color w:val="000000"/>
          <w:sz w:val="24"/>
          <w:szCs w:val="24"/>
        </w:rPr>
        <w:t>, it does not always equate to the word</w:t>
      </w:r>
      <w:r w:rsidRPr="00241DBD">
        <w:rPr>
          <w:rFonts w:ascii="Times New Roman" w:eastAsia="MS Mincho" w:hAnsi="Times New Roman" w:cs="Times New Roman"/>
          <w:color w:val="000000"/>
          <w:sz w:val="24"/>
          <w:szCs w:val="24"/>
        </w:rPr>
        <w:t xml:space="preserve"> ‘</w:t>
      </w:r>
      <w:r w:rsidRPr="00241DBD">
        <w:rPr>
          <w:rFonts w:ascii="Times New Roman" w:hAnsi="Times New Roman" w:cs="Times New Roman"/>
          <w:color w:val="000000"/>
          <w:sz w:val="24"/>
          <w:szCs w:val="24"/>
        </w:rPr>
        <w:t>pride’. Commentators agree that there is a sense of ambiguity in the term. Bloomfield argues that</w:t>
      </w:r>
      <w:r w:rsidRPr="00241DBD">
        <w:rPr>
          <w:rFonts w:ascii="Times New Roman" w:eastAsia="MS Mincho" w:hAnsi="Times New Roman" w:cs="Times New Roman"/>
          <w:color w:val="000000"/>
          <w:sz w:val="24"/>
          <w:szCs w:val="24"/>
        </w:rPr>
        <w:t xml:space="preserve"> the German cognate </w:t>
      </w:r>
      <w:r w:rsidRPr="00241DBD">
        <w:rPr>
          <w:rFonts w:ascii="Times New Roman" w:hAnsi="Times New Roman" w:cs="Times New Roman"/>
          <w:i/>
          <w:color w:val="000000"/>
          <w:sz w:val="24"/>
          <w:szCs w:val="24"/>
        </w:rPr>
        <w:t xml:space="preserve">tbermut </w:t>
      </w:r>
      <w:r w:rsidRPr="00241DBD">
        <w:rPr>
          <w:rFonts w:ascii="Times New Roman" w:hAnsi="Times New Roman" w:cs="Times New Roman"/>
          <w:color w:val="000000"/>
          <w:sz w:val="24"/>
          <w:szCs w:val="24"/>
        </w:rPr>
        <w:t>which means ‘high spirits’ or ‘pride’ may be closer to the true meaning.</w:t>
      </w:r>
      <w:r w:rsidRPr="00241DBD">
        <w:rPr>
          <w:rStyle w:val="FootnoteReference"/>
          <w:rFonts w:ascii="Times New Roman" w:hAnsi="Times New Roman" w:cs="Times New Roman"/>
          <w:color w:val="000000"/>
          <w:sz w:val="24"/>
          <w:szCs w:val="24"/>
        </w:rPr>
        <w:footnoteReference w:id="32"/>
      </w:r>
      <w:r w:rsidRPr="00241DBD">
        <w:rPr>
          <w:rFonts w:ascii="Times New Roman" w:eastAsia="MS Mincho" w:hAnsi="Times New Roman" w:cs="Times New Roman"/>
          <w:color w:val="000000"/>
          <w:sz w:val="24"/>
          <w:szCs w:val="24"/>
        </w:rPr>
        <w:t xml:space="preserve"> He continues by arguing that ‘i</w:t>
      </w:r>
      <w:r w:rsidRPr="00241DBD">
        <w:rPr>
          <w:rFonts w:ascii="Times New Roman" w:hAnsi="Times New Roman" w:cs="Times New Roman"/>
          <w:color w:val="000000"/>
          <w:sz w:val="24"/>
          <w:szCs w:val="24"/>
        </w:rPr>
        <w:t xml:space="preserve">ts base </w:t>
      </w:r>
      <w:r w:rsidRPr="00241DBD">
        <w:rPr>
          <w:rFonts w:ascii="Times New Roman" w:hAnsi="Times New Roman" w:cs="Times New Roman"/>
          <w:i/>
          <w:color w:val="000000"/>
          <w:sz w:val="24"/>
          <w:szCs w:val="24"/>
        </w:rPr>
        <w:t>mod</w:t>
      </w:r>
      <w:r w:rsidRPr="00241DBD">
        <w:rPr>
          <w:rFonts w:ascii="Times New Roman" w:hAnsi="Times New Roman" w:cs="Times New Roman"/>
          <w:color w:val="000000"/>
          <w:sz w:val="24"/>
          <w:szCs w:val="24"/>
        </w:rPr>
        <w:t xml:space="preserve"> has this ambiguity, in Old English,</w:t>
      </w:r>
      <w:r w:rsidRPr="00241DBD">
        <w:rPr>
          <w:rFonts w:ascii="Times New Roman" w:eastAsia="MS Gothic" w:hAnsi="Times New Roman" w:cs="Times New Roman"/>
          <w:color w:val="000000"/>
          <w:sz w:val="24"/>
          <w:szCs w:val="24"/>
        </w:rPr>
        <w:t> </w:t>
      </w:r>
      <w:r w:rsidRPr="00241DBD">
        <w:rPr>
          <w:rFonts w:ascii="Times New Roman" w:hAnsi="Times New Roman" w:cs="Times New Roman"/>
          <w:color w:val="000000"/>
          <w:sz w:val="24"/>
          <w:szCs w:val="24"/>
        </w:rPr>
        <w:t xml:space="preserve">meaning spirit, mood, courage as well as pride, and the preposition </w:t>
      </w:r>
      <w:r w:rsidRPr="00241DBD">
        <w:rPr>
          <w:rFonts w:ascii="Times New Roman" w:hAnsi="Times New Roman" w:cs="Times New Roman"/>
          <w:i/>
          <w:color w:val="000000"/>
          <w:sz w:val="24"/>
          <w:szCs w:val="24"/>
        </w:rPr>
        <w:t>ofer</w:t>
      </w:r>
      <w:r w:rsidRPr="00241DBD">
        <w:rPr>
          <w:rFonts w:ascii="Times New Roman" w:hAnsi="Times New Roman" w:cs="Times New Roman"/>
          <w:color w:val="000000"/>
          <w:sz w:val="24"/>
          <w:szCs w:val="24"/>
        </w:rPr>
        <w:t xml:space="preserve"> need not</w:t>
      </w:r>
      <w:r w:rsidRPr="00241DBD">
        <w:rPr>
          <w:rFonts w:ascii="Times New Roman" w:eastAsia="MS Mincho" w:hAnsi="Times New Roman" w:cs="Times New Roman"/>
          <w:color w:val="000000"/>
          <w:sz w:val="24"/>
          <w:szCs w:val="24"/>
        </w:rPr>
        <w:t xml:space="preserve"> </w:t>
      </w:r>
      <w:r w:rsidRPr="00241DBD">
        <w:rPr>
          <w:rFonts w:ascii="Times New Roman" w:hAnsi="Times New Roman" w:cs="Times New Roman"/>
          <w:color w:val="000000"/>
          <w:sz w:val="24"/>
          <w:szCs w:val="24"/>
        </w:rPr>
        <w:t>turn it completely into a pejorative’.</w:t>
      </w:r>
      <w:r w:rsidRPr="00241DBD">
        <w:rPr>
          <w:rStyle w:val="FootnoteReference"/>
          <w:rFonts w:ascii="Times New Roman" w:hAnsi="Times New Roman" w:cs="Times New Roman"/>
          <w:color w:val="000000"/>
          <w:sz w:val="24"/>
          <w:szCs w:val="24"/>
        </w:rPr>
        <w:t xml:space="preserve"> </w:t>
      </w:r>
      <w:r w:rsidRPr="00241DBD">
        <w:rPr>
          <w:rStyle w:val="FootnoteReference"/>
          <w:rFonts w:ascii="Times New Roman" w:hAnsi="Times New Roman" w:cs="Times New Roman"/>
          <w:color w:val="000000"/>
          <w:sz w:val="24"/>
          <w:szCs w:val="24"/>
        </w:rPr>
        <w:footnoteReference w:id="33"/>
      </w:r>
      <w:r w:rsidRPr="00241DBD">
        <w:rPr>
          <w:rFonts w:ascii="Times New Roman" w:hAnsi="Times New Roman" w:cs="Times New Roman"/>
          <w:color w:val="000000"/>
          <w:sz w:val="24"/>
          <w:szCs w:val="24"/>
        </w:rPr>
        <w:t xml:space="preserve"> </w:t>
      </w:r>
    </w:p>
    <w:p w14:paraId="4483803E"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sz w:val="24"/>
          <w:szCs w:val="24"/>
        </w:rPr>
      </w:pPr>
    </w:p>
    <w:p w14:paraId="03DB9EE6"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t xml:space="preserve">In terms of what constitutes the heroic, </w:t>
      </w:r>
      <w:r w:rsidRPr="00241DBD">
        <w:rPr>
          <w:rFonts w:ascii="Times New Roman" w:hAnsi="Times New Roman" w:cs="Times New Roman"/>
          <w:i/>
          <w:color w:val="000000"/>
          <w:sz w:val="24"/>
          <w:szCs w:val="24"/>
        </w:rPr>
        <w:t xml:space="preserve">The Battle of Maldon, </w:t>
      </w:r>
      <w:r w:rsidRPr="00241DBD">
        <w:rPr>
          <w:rFonts w:ascii="Times New Roman" w:hAnsi="Times New Roman" w:cs="Times New Roman"/>
          <w:color w:val="000000"/>
          <w:sz w:val="24"/>
          <w:szCs w:val="24"/>
        </w:rPr>
        <w:t>Gnuess argues, is not like:</w:t>
      </w:r>
    </w:p>
    <w:p w14:paraId="1B6B7EE6" w14:textId="77777777" w:rsidR="00B42944" w:rsidRPr="00241DBD" w:rsidRDefault="00B42944" w:rsidP="00B42944">
      <w:pPr>
        <w:widowControl w:val="0"/>
        <w:autoSpaceDE w:val="0"/>
        <w:autoSpaceDN w:val="0"/>
        <w:adjustRightInd w:val="0"/>
        <w:rPr>
          <w:rFonts w:ascii="Times New Roman" w:hAnsi="Times New Roman" w:cs="Times New Roman"/>
          <w:sz w:val="24"/>
          <w:szCs w:val="24"/>
        </w:rPr>
      </w:pPr>
    </w:p>
    <w:p w14:paraId="05F010E1" w14:textId="77777777" w:rsidR="00B42944" w:rsidRPr="00241DBD" w:rsidRDefault="00B42944" w:rsidP="00B42944">
      <w:pPr>
        <w:widowControl w:val="0"/>
        <w:autoSpaceDE w:val="0"/>
        <w:autoSpaceDN w:val="0"/>
        <w:adjustRightInd w:val="0"/>
        <w:spacing w:after="240"/>
        <w:ind w:left="720"/>
        <w:rPr>
          <w:rFonts w:ascii="Times New Roman" w:hAnsi="Times New Roman" w:cs="Times New Roman"/>
          <w:color w:val="000000"/>
          <w:sz w:val="24"/>
          <w:szCs w:val="24"/>
        </w:rPr>
      </w:pPr>
      <w:r w:rsidRPr="00241DBD">
        <w:rPr>
          <w:rFonts w:ascii="Times New Roman" w:hAnsi="Times New Roman" w:cs="Times New Roman"/>
          <w:color w:val="000000"/>
          <w:sz w:val="24"/>
          <w:szCs w:val="24"/>
        </w:rPr>
        <w:t>‘[M]ost epic poetry, with time-tested heroes long in the public domain – Beowulf, Walter of Aquitaine, Theodoric, Roland. The battle itself does not seem to one of national importance. The poem is about an old man named Byrhtnoth and his retainers, petty noblemen of Essex, fighting and dying in a local battle which the disdainful historian might call a scuffle of no great importance’.</w:t>
      </w:r>
      <w:r w:rsidRPr="00241DBD">
        <w:rPr>
          <w:rStyle w:val="FootnoteReference"/>
          <w:rFonts w:ascii="Times New Roman" w:hAnsi="Times New Roman" w:cs="Times New Roman"/>
          <w:color w:val="000000"/>
          <w:sz w:val="24"/>
          <w:szCs w:val="24"/>
        </w:rPr>
        <w:footnoteReference w:id="34"/>
      </w:r>
      <w:r w:rsidRPr="00241DBD">
        <w:rPr>
          <w:rFonts w:ascii="Times New Roman" w:hAnsi="Times New Roman" w:cs="Times New Roman"/>
          <w:color w:val="000000"/>
          <w:sz w:val="24"/>
          <w:szCs w:val="24"/>
        </w:rPr>
        <w:t xml:space="preserve"> </w:t>
      </w:r>
    </w:p>
    <w:p w14:paraId="65C43A9D" w14:textId="77777777" w:rsidR="00B42944" w:rsidRPr="00241DBD" w:rsidRDefault="00B42944" w:rsidP="00B42944">
      <w:pPr>
        <w:widowControl w:val="0"/>
        <w:autoSpaceDE w:val="0"/>
        <w:autoSpaceDN w:val="0"/>
        <w:adjustRightInd w:val="0"/>
        <w:spacing w:after="240"/>
        <w:rPr>
          <w:rFonts w:ascii="Times New Roman" w:hAnsi="Times New Roman" w:cs="Times New Roman"/>
          <w:color w:val="000000"/>
          <w:sz w:val="24"/>
          <w:szCs w:val="24"/>
        </w:rPr>
      </w:pPr>
    </w:p>
    <w:p w14:paraId="34097FB0"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t>Or to put it rather simply, ‘the good die and the bad survive’.</w:t>
      </w:r>
      <w:r w:rsidRPr="00241DBD">
        <w:rPr>
          <w:rStyle w:val="FootnoteReference"/>
          <w:rFonts w:ascii="Times New Roman" w:hAnsi="Times New Roman" w:cs="Times New Roman"/>
          <w:color w:val="000000"/>
          <w:sz w:val="24"/>
          <w:szCs w:val="24"/>
        </w:rPr>
        <w:footnoteReference w:id="35"/>
      </w:r>
      <w:r w:rsidRPr="00241DBD">
        <w:rPr>
          <w:rFonts w:ascii="Times New Roman" w:hAnsi="Times New Roman" w:cs="Times New Roman"/>
          <w:color w:val="000000"/>
          <w:sz w:val="24"/>
          <w:szCs w:val="24"/>
        </w:rPr>
        <w:t xml:space="preserve"> But it is at this precise point that other elements of what can be considered as heroic develop; there is a religious dimension to this poem and there are parallels with martyrdom accounts. Bloomfield argues </w:t>
      </w:r>
      <w:r w:rsidRPr="00241DBD">
        <w:rPr>
          <w:rFonts w:ascii="Times New Roman" w:hAnsi="Times New Roman" w:cs="Times New Roman"/>
          <w:color w:val="000000"/>
          <w:sz w:val="24"/>
          <w:szCs w:val="24"/>
        </w:rPr>
        <w:lastRenderedPageBreak/>
        <w:t>that:</w:t>
      </w:r>
    </w:p>
    <w:p w14:paraId="6B7456EE" w14:textId="77777777" w:rsidR="00B42944" w:rsidRPr="00241DBD" w:rsidRDefault="00B42944" w:rsidP="00B42944">
      <w:pPr>
        <w:widowControl w:val="0"/>
        <w:autoSpaceDE w:val="0"/>
        <w:autoSpaceDN w:val="0"/>
        <w:adjustRightInd w:val="0"/>
        <w:rPr>
          <w:rFonts w:ascii="Times New Roman" w:hAnsi="Times New Roman" w:cs="Times New Roman"/>
          <w:color w:val="000000"/>
          <w:sz w:val="24"/>
          <w:szCs w:val="24"/>
        </w:rPr>
      </w:pPr>
    </w:p>
    <w:p w14:paraId="6937DA0D" w14:textId="77777777" w:rsidR="00B42944" w:rsidRPr="00241DBD" w:rsidRDefault="00B42944" w:rsidP="00B42944">
      <w:pPr>
        <w:ind w:left="720"/>
        <w:rPr>
          <w:rFonts w:ascii="Times New Roman" w:eastAsia="Times New Roman" w:hAnsi="Times New Roman" w:cs="Times New Roman"/>
          <w:sz w:val="24"/>
          <w:szCs w:val="24"/>
        </w:rPr>
      </w:pPr>
      <w:r w:rsidRPr="00241DBD">
        <w:rPr>
          <w:rFonts w:ascii="Times New Roman" w:hAnsi="Times New Roman" w:cs="Times New Roman"/>
          <w:color w:val="000000"/>
          <w:sz w:val="24"/>
          <w:szCs w:val="24"/>
        </w:rPr>
        <w:t>‘</w:t>
      </w:r>
      <w:r w:rsidRPr="00241DBD">
        <w:rPr>
          <w:rFonts w:ascii="Times New Roman" w:eastAsia="Times New Roman" w:hAnsi="Times New Roman" w:cs="Times New Roman"/>
          <w:sz w:val="24"/>
          <w:szCs w:val="24"/>
          <w:shd w:val="clear" w:color="auto" w:fill="FFFFFF"/>
        </w:rPr>
        <w:t>Byrhtnoth</w:t>
      </w:r>
      <w:r w:rsidRPr="00241DBD">
        <w:rPr>
          <w:rFonts w:ascii="Times New Roman" w:hAnsi="Times New Roman" w:cs="Times New Roman"/>
          <w:color w:val="000000"/>
          <w:sz w:val="24"/>
          <w:szCs w:val="24"/>
        </w:rPr>
        <w:t>'s dying speech demands entrance into heaven such as only a martyr could ask for. The poem, it is quite clear,</w:t>
      </w:r>
      <w:r w:rsidRPr="00241DBD">
        <w:rPr>
          <w:rFonts w:ascii="Times New Roman" w:eastAsia="MS Mincho" w:hAnsi="Times New Roman" w:cs="Times New Roman"/>
          <w:color w:val="000000"/>
          <w:sz w:val="24"/>
          <w:szCs w:val="24"/>
        </w:rPr>
        <w:t xml:space="preserve"> </w:t>
      </w:r>
      <w:r w:rsidRPr="00241DBD">
        <w:rPr>
          <w:rFonts w:ascii="Times New Roman" w:hAnsi="Times New Roman" w:cs="Times New Roman"/>
          <w:color w:val="000000"/>
          <w:sz w:val="24"/>
          <w:szCs w:val="24"/>
        </w:rPr>
        <w:t>is not a passion tale, but it does emphasize the hero's faith as well as his prowess.</w:t>
      </w:r>
      <w:r w:rsidRPr="00241DBD">
        <w:rPr>
          <w:rFonts w:ascii="Times New Roman" w:eastAsia="MS Gothic" w:hAnsi="Times New Roman" w:cs="Times New Roman"/>
          <w:color w:val="000000"/>
          <w:sz w:val="24"/>
          <w:szCs w:val="24"/>
        </w:rPr>
        <w:t xml:space="preserve"> </w:t>
      </w:r>
      <w:r w:rsidRPr="00241DBD">
        <w:rPr>
          <w:rFonts w:ascii="Times New Roman" w:hAnsi="Times New Roman" w:cs="Times New Roman"/>
          <w:color w:val="000000"/>
          <w:sz w:val="24"/>
          <w:szCs w:val="24"/>
        </w:rPr>
        <w:t>There is no reason why Byrhtnoth should be as religious a figure as Roland, but</w:t>
      </w:r>
      <w:r w:rsidRPr="00241DBD">
        <w:rPr>
          <w:rFonts w:ascii="Times New Roman" w:eastAsia="MS Gothic" w:hAnsi="Times New Roman" w:cs="Times New Roman"/>
          <w:color w:val="000000"/>
          <w:sz w:val="24"/>
          <w:szCs w:val="24"/>
        </w:rPr>
        <w:t> </w:t>
      </w:r>
      <w:r w:rsidRPr="00241DBD">
        <w:rPr>
          <w:rFonts w:ascii="Times New Roman" w:hAnsi="Times New Roman" w:cs="Times New Roman"/>
          <w:color w:val="000000"/>
          <w:sz w:val="24"/>
          <w:szCs w:val="24"/>
        </w:rPr>
        <w:t>this does not make him a pure pagan’.</w:t>
      </w:r>
      <w:r w:rsidRPr="00241DBD">
        <w:rPr>
          <w:rStyle w:val="FootnoteReference"/>
          <w:rFonts w:ascii="Times New Roman" w:hAnsi="Times New Roman" w:cs="Times New Roman"/>
          <w:color w:val="000000"/>
          <w:sz w:val="24"/>
          <w:szCs w:val="24"/>
        </w:rPr>
        <w:footnoteReference w:id="36"/>
      </w:r>
    </w:p>
    <w:p w14:paraId="1EB50CA7" w14:textId="77777777" w:rsidR="00B42944" w:rsidRPr="00241DBD" w:rsidRDefault="00B42944" w:rsidP="00B42944">
      <w:pPr>
        <w:widowControl w:val="0"/>
        <w:autoSpaceDE w:val="0"/>
        <w:autoSpaceDN w:val="0"/>
        <w:adjustRightInd w:val="0"/>
        <w:spacing w:after="240" w:line="480" w:lineRule="auto"/>
        <w:jc w:val="center"/>
        <w:rPr>
          <w:rFonts w:ascii="Times New Roman" w:hAnsi="Times New Roman" w:cs="Times New Roman"/>
          <w:color w:val="000000"/>
          <w:sz w:val="24"/>
          <w:szCs w:val="24"/>
        </w:rPr>
      </w:pPr>
    </w:p>
    <w:p w14:paraId="22B313AC"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t>As C</w:t>
      </w:r>
      <w:r w:rsidRPr="00241DBD">
        <w:rPr>
          <w:rFonts w:ascii="Times New Roman" w:hAnsi="Times New Roman" w:cs="Times New Roman"/>
          <w:sz w:val="24"/>
          <w:szCs w:val="24"/>
        </w:rPr>
        <w:t xml:space="preserve">lark argues, ‘the central conflict in </w:t>
      </w:r>
      <w:r w:rsidRPr="00241DBD">
        <w:rPr>
          <w:rFonts w:ascii="Times New Roman" w:hAnsi="Times New Roman" w:cs="Times New Roman"/>
          <w:i/>
          <w:sz w:val="24"/>
          <w:szCs w:val="24"/>
        </w:rPr>
        <w:t>The Battle of Maldon</w:t>
      </w:r>
      <w:r w:rsidRPr="00241DBD">
        <w:rPr>
          <w:rFonts w:ascii="Times New Roman" w:hAnsi="Times New Roman" w:cs="Times New Roman"/>
          <w:sz w:val="24"/>
          <w:szCs w:val="24"/>
        </w:rPr>
        <w:t xml:space="preserve"> is not between Anglo-Saxons and Vikings but between heroism and cowardice’.</w:t>
      </w:r>
      <w:r w:rsidRPr="00241DBD">
        <w:rPr>
          <w:rStyle w:val="FootnoteReference"/>
          <w:rFonts w:ascii="Times New Roman" w:hAnsi="Times New Roman" w:cs="Times New Roman"/>
          <w:sz w:val="24"/>
          <w:szCs w:val="24"/>
        </w:rPr>
        <w:footnoteReference w:id="37"/>
      </w:r>
      <w:r w:rsidRPr="00241DBD">
        <w:rPr>
          <w:rFonts w:ascii="Times New Roman" w:hAnsi="Times New Roman" w:cs="Times New Roman"/>
          <w:sz w:val="24"/>
          <w:szCs w:val="24"/>
        </w:rPr>
        <w:t xml:space="preserve"> The ‘</w:t>
      </w:r>
      <w:r w:rsidRPr="00241DBD">
        <w:rPr>
          <w:rFonts w:ascii="Times New Roman" w:hAnsi="Times New Roman" w:cs="Times New Roman"/>
          <w:color w:val="000000"/>
          <w:sz w:val="24"/>
          <w:szCs w:val="24"/>
        </w:rPr>
        <w:t>poet intends to praise heroes and condemn cowards, to divide men - Englishmen that is - into the classes of sheep and goats according to an unambiguous criterion: those who advance against the enemy are the good, those who flee from him are the bad’.</w:t>
      </w:r>
      <w:r w:rsidRPr="00241DBD">
        <w:rPr>
          <w:rStyle w:val="FootnoteReference"/>
          <w:rFonts w:ascii="Times New Roman" w:hAnsi="Times New Roman" w:cs="Times New Roman"/>
          <w:color w:val="000000"/>
          <w:sz w:val="24"/>
          <w:szCs w:val="24"/>
        </w:rPr>
        <w:footnoteReference w:id="38"/>
      </w:r>
    </w:p>
    <w:p w14:paraId="4B067F61"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p>
    <w:p w14:paraId="53519A88"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i/>
          <w:color w:val="1A1718"/>
          <w:sz w:val="24"/>
          <w:szCs w:val="24"/>
        </w:rPr>
        <w:t>The Wanderer</w:t>
      </w:r>
      <w:r w:rsidRPr="00241DBD">
        <w:rPr>
          <w:rFonts w:ascii="Times New Roman" w:hAnsi="Times New Roman" w:cs="Times New Roman"/>
          <w:color w:val="1A1718"/>
          <w:sz w:val="24"/>
          <w:szCs w:val="24"/>
        </w:rPr>
        <w:t xml:space="preserve"> is ‘an image of compelling sadness’</w:t>
      </w:r>
      <w:r w:rsidRPr="00241DBD">
        <w:rPr>
          <w:rStyle w:val="FootnoteReference"/>
          <w:rFonts w:ascii="Times New Roman" w:hAnsi="Times New Roman" w:cs="Times New Roman"/>
          <w:color w:val="1A1718"/>
          <w:sz w:val="24"/>
          <w:szCs w:val="24"/>
        </w:rPr>
        <w:footnoteReference w:id="39"/>
      </w:r>
      <w:r w:rsidRPr="00241DBD">
        <w:rPr>
          <w:rFonts w:ascii="Times New Roman" w:hAnsi="Times New Roman" w:cs="Times New Roman"/>
          <w:color w:val="1A1718"/>
          <w:sz w:val="24"/>
          <w:szCs w:val="24"/>
        </w:rPr>
        <w:t xml:space="preserve"> yet it brings a different dimension to what may constitute a heroic figure. The poem contains both ‘religious and secular ambiguities’</w:t>
      </w:r>
      <w:r w:rsidRPr="00241DBD">
        <w:rPr>
          <w:rStyle w:val="FootnoteReference"/>
          <w:rFonts w:ascii="Times New Roman" w:hAnsi="Times New Roman" w:cs="Times New Roman"/>
          <w:color w:val="1A1718"/>
          <w:sz w:val="24"/>
          <w:szCs w:val="24"/>
        </w:rPr>
        <w:footnoteReference w:id="40"/>
      </w:r>
      <w:r w:rsidRPr="00241DBD">
        <w:rPr>
          <w:rFonts w:ascii="Times New Roman" w:hAnsi="Times New Roman" w:cs="Times New Roman"/>
          <w:color w:val="1A1718"/>
          <w:sz w:val="24"/>
          <w:szCs w:val="24"/>
        </w:rPr>
        <w:t xml:space="preserve"> and is difficult to categorise satisfactorily.</w:t>
      </w:r>
      <w:r w:rsidRPr="00241DBD">
        <w:rPr>
          <w:rStyle w:val="FootnoteReference"/>
          <w:rFonts w:ascii="Times New Roman" w:hAnsi="Times New Roman" w:cs="Times New Roman"/>
          <w:color w:val="1A1718"/>
          <w:sz w:val="24"/>
          <w:szCs w:val="24"/>
        </w:rPr>
        <w:footnoteReference w:id="41"/>
      </w:r>
      <w:r w:rsidRPr="00241DBD">
        <w:rPr>
          <w:rFonts w:ascii="Times New Roman" w:hAnsi="Times New Roman" w:cs="Times New Roman"/>
          <w:color w:val="1A1718"/>
          <w:sz w:val="24"/>
          <w:szCs w:val="24"/>
        </w:rPr>
        <w:t xml:space="preserve"> </w:t>
      </w:r>
      <w:r w:rsidRPr="00241DBD">
        <w:rPr>
          <w:rFonts w:ascii="Times New Roman" w:hAnsi="Times New Roman" w:cs="Times New Roman"/>
          <w:i/>
          <w:color w:val="1A1718"/>
          <w:sz w:val="24"/>
          <w:szCs w:val="24"/>
        </w:rPr>
        <w:t>The Wanderer</w:t>
      </w:r>
      <w:r w:rsidRPr="00241DBD">
        <w:rPr>
          <w:rFonts w:ascii="Times New Roman" w:hAnsi="Times New Roman" w:cs="Times New Roman"/>
          <w:color w:val="1A1718"/>
          <w:sz w:val="24"/>
          <w:szCs w:val="24"/>
        </w:rPr>
        <w:t xml:space="preserve"> ‘evokes the life of a lordless man. Cold and alone, he can do nothing but remember the joys of the past-companions in the hall, the giving of treasure and the favour of his lord. Not even sleep </w:t>
      </w:r>
      <w:r w:rsidRPr="00241DBD">
        <w:rPr>
          <w:rFonts w:ascii="Times New Roman" w:hAnsi="Times New Roman" w:cs="Times New Roman"/>
          <w:color w:val="1A1718"/>
          <w:sz w:val="24"/>
          <w:szCs w:val="24"/>
        </w:rPr>
        <w:lastRenderedPageBreak/>
        <w:t>brings forgetfulness’.</w:t>
      </w:r>
      <w:r w:rsidRPr="00241DBD">
        <w:rPr>
          <w:rStyle w:val="FootnoteReference"/>
          <w:rFonts w:ascii="Times New Roman" w:hAnsi="Times New Roman" w:cs="Times New Roman"/>
          <w:color w:val="1A1718"/>
          <w:sz w:val="24"/>
          <w:szCs w:val="24"/>
        </w:rPr>
        <w:footnoteReference w:id="42"/>
      </w:r>
      <w:r w:rsidRPr="00241DBD">
        <w:rPr>
          <w:rFonts w:ascii="Times New Roman" w:hAnsi="Times New Roman" w:cs="Times New Roman"/>
          <w:color w:val="1A1718"/>
          <w:sz w:val="24"/>
          <w:szCs w:val="24"/>
        </w:rPr>
        <w:t xml:space="preserve"> When he sleeps, he remembers his life as a retainer. To lack this relationship, is to lack everything; it represents the loss of role, place, friendship and family. Yet his misery:</w:t>
      </w:r>
    </w:p>
    <w:p w14:paraId="7CA23BA1" w14:textId="77777777" w:rsidR="00B42944" w:rsidRPr="00241DBD" w:rsidRDefault="00B42944" w:rsidP="00B42944">
      <w:pPr>
        <w:rPr>
          <w:rFonts w:ascii="Times New Roman" w:hAnsi="Times New Roman" w:cs="Times New Roman"/>
          <w:color w:val="1A1718"/>
          <w:sz w:val="24"/>
          <w:szCs w:val="24"/>
        </w:rPr>
      </w:pPr>
    </w:p>
    <w:p w14:paraId="76D682BA" w14:textId="77777777" w:rsidR="00B42944" w:rsidRPr="00241DBD" w:rsidRDefault="00B42944" w:rsidP="00B42944">
      <w:pPr>
        <w:ind w:left="720"/>
        <w:rPr>
          <w:rFonts w:ascii="Times New Roman" w:hAnsi="Times New Roman" w:cs="Times New Roman"/>
          <w:color w:val="000000"/>
          <w:sz w:val="24"/>
          <w:szCs w:val="24"/>
        </w:rPr>
      </w:pPr>
      <w:r w:rsidRPr="00241DBD">
        <w:rPr>
          <w:rFonts w:ascii="Times New Roman" w:hAnsi="Times New Roman" w:cs="Times New Roman"/>
          <w:color w:val="1A1718"/>
          <w:sz w:val="24"/>
          <w:szCs w:val="24"/>
        </w:rPr>
        <w:t>‘[H]aving no remedy in this world, is balanced by the astringent comfort of the next [... The] final spiritual rejection of the world is figured in a lovingly detailed enumeration of its heroic joys: horse, kinsman, gift-giving, feasting, hall-joys, treasure, warriors and lord’.</w:t>
      </w:r>
      <w:r w:rsidRPr="00241DBD">
        <w:rPr>
          <w:rStyle w:val="FootnoteReference"/>
          <w:rFonts w:ascii="Times New Roman" w:hAnsi="Times New Roman" w:cs="Times New Roman"/>
          <w:color w:val="1A1718"/>
          <w:sz w:val="24"/>
          <w:szCs w:val="24"/>
        </w:rPr>
        <w:footnoteReference w:id="43"/>
      </w:r>
    </w:p>
    <w:p w14:paraId="1E620180" w14:textId="77777777" w:rsidR="00B42944" w:rsidRPr="00241DBD" w:rsidRDefault="00B42944" w:rsidP="00B42944">
      <w:pPr>
        <w:rPr>
          <w:rFonts w:ascii="Times New Roman" w:hAnsi="Times New Roman" w:cs="Times New Roman"/>
          <w:color w:val="000000"/>
          <w:sz w:val="24"/>
          <w:szCs w:val="24"/>
        </w:rPr>
      </w:pPr>
    </w:p>
    <w:p w14:paraId="30E03C94" w14:textId="77777777" w:rsidR="00B42944" w:rsidRPr="00241DBD" w:rsidRDefault="00B42944" w:rsidP="00B42944">
      <w:pPr>
        <w:spacing w:line="480" w:lineRule="auto"/>
        <w:rPr>
          <w:rFonts w:ascii="Times New Roman" w:hAnsi="Times New Roman" w:cs="Times New Roman"/>
          <w:color w:val="000000"/>
          <w:sz w:val="24"/>
          <w:szCs w:val="24"/>
        </w:rPr>
      </w:pPr>
      <w:bookmarkStart w:id="8" w:name="_GoBack"/>
      <w:bookmarkEnd w:id="8"/>
      <w:r w:rsidRPr="00241DBD">
        <w:rPr>
          <w:rFonts w:ascii="Times New Roman" w:hAnsi="Times New Roman" w:cs="Times New Roman"/>
          <w:color w:val="1A1718"/>
          <w:sz w:val="24"/>
          <w:szCs w:val="24"/>
        </w:rPr>
        <w:t>Sharma argues that ‘</w:t>
      </w:r>
      <w:r w:rsidRPr="00241DBD">
        <w:rPr>
          <w:rFonts w:ascii="Times New Roman" w:hAnsi="Times New Roman" w:cs="Times New Roman"/>
          <w:color w:val="000000"/>
          <w:sz w:val="24"/>
          <w:szCs w:val="24"/>
        </w:rPr>
        <w:t xml:space="preserve">scholarship on </w:t>
      </w:r>
      <w:r w:rsidRPr="00241DBD">
        <w:rPr>
          <w:rFonts w:ascii="Times New Roman" w:hAnsi="Times New Roman" w:cs="Times New Roman"/>
          <w:i/>
          <w:color w:val="000000"/>
          <w:sz w:val="24"/>
          <w:szCs w:val="24"/>
        </w:rPr>
        <w:t xml:space="preserve">The Wanderer </w:t>
      </w:r>
      <w:r w:rsidRPr="00241DBD">
        <w:rPr>
          <w:rFonts w:ascii="Times New Roman" w:hAnsi="Times New Roman" w:cs="Times New Roman"/>
          <w:color w:val="000000"/>
          <w:sz w:val="24"/>
          <w:szCs w:val="24"/>
        </w:rPr>
        <w:t>has struggled to reconcile the Christian resolution of the poem with the speaker’s lingering dependence on Germanic-heroic cultural structures’.</w:t>
      </w:r>
      <w:r w:rsidRPr="00241DBD">
        <w:rPr>
          <w:rStyle w:val="FootnoteReference"/>
          <w:rFonts w:ascii="Times New Roman" w:hAnsi="Times New Roman" w:cs="Times New Roman"/>
          <w:color w:val="000000"/>
          <w:sz w:val="24"/>
          <w:szCs w:val="24"/>
        </w:rPr>
        <w:footnoteReference w:id="44"/>
      </w:r>
      <w:r w:rsidRPr="00241DBD">
        <w:rPr>
          <w:rFonts w:ascii="Times New Roman" w:hAnsi="Times New Roman" w:cs="Times New Roman"/>
          <w:color w:val="000000"/>
          <w:sz w:val="24"/>
          <w:szCs w:val="24"/>
        </w:rPr>
        <w:t xml:space="preserve"> He is highly critical of the Cartesian philosophy which he believes has underpinned modern scholarship that has lead to a ‘worldless subject’.</w:t>
      </w:r>
      <w:r w:rsidRPr="00241DBD">
        <w:rPr>
          <w:rStyle w:val="FootnoteReference"/>
          <w:rFonts w:ascii="Times New Roman" w:hAnsi="Times New Roman" w:cs="Times New Roman"/>
          <w:color w:val="000000"/>
          <w:sz w:val="24"/>
          <w:szCs w:val="24"/>
        </w:rPr>
        <w:footnoteReference w:id="45"/>
      </w:r>
      <w:r w:rsidRPr="00241DBD">
        <w:rPr>
          <w:rFonts w:ascii="Times New Roman" w:hAnsi="Times New Roman" w:cs="Times New Roman"/>
          <w:color w:val="000000"/>
          <w:sz w:val="24"/>
          <w:szCs w:val="24"/>
        </w:rPr>
        <w:t xml:space="preserve"> He argues that the speaker is going through a process in which his heroic identity has been lost because there is no surrounding heroic culture and he is being given an opportunity to be reborn. This profound moment and painful experience represents ‘the loss of heroic culture and the transition to a literate Christian sensibility’.</w:t>
      </w:r>
      <w:r w:rsidRPr="00241DBD">
        <w:rPr>
          <w:rStyle w:val="FootnoteReference"/>
          <w:rFonts w:ascii="Times New Roman" w:hAnsi="Times New Roman" w:cs="Times New Roman"/>
          <w:color w:val="000000"/>
          <w:sz w:val="24"/>
          <w:szCs w:val="24"/>
        </w:rPr>
        <w:footnoteReference w:id="46"/>
      </w:r>
      <w:r w:rsidRPr="00241DBD">
        <w:rPr>
          <w:rFonts w:ascii="Times New Roman" w:hAnsi="Times New Roman" w:cs="Times New Roman"/>
          <w:color w:val="000000"/>
          <w:sz w:val="24"/>
          <w:szCs w:val="24"/>
        </w:rPr>
        <w:t xml:space="preserve"> But even Sharma acknowledges that in a sense, it is precisely the speaker’s heroic nature which allows him to confront the utter sense of loss. When considering what constitutes the heroic figure for Anglo-Saxons, Sharma says, that it ‘finds an alternative correlate: not the immediate plenitude of a quasi-mythical heroic past, but a contemporary cultural modality mediated by its loss’.</w:t>
      </w:r>
      <w:r w:rsidRPr="00241DBD">
        <w:rPr>
          <w:rStyle w:val="FootnoteReference"/>
          <w:rFonts w:ascii="Times New Roman" w:hAnsi="Times New Roman" w:cs="Times New Roman"/>
          <w:color w:val="000000"/>
          <w:sz w:val="24"/>
          <w:szCs w:val="24"/>
        </w:rPr>
        <w:footnoteReference w:id="47"/>
      </w:r>
      <w:r w:rsidRPr="00241DBD">
        <w:rPr>
          <w:rFonts w:ascii="Times New Roman" w:hAnsi="Times New Roman" w:cs="Times New Roman"/>
          <w:color w:val="000000"/>
          <w:sz w:val="24"/>
          <w:szCs w:val="24"/>
        </w:rPr>
        <w:t xml:space="preserve"> Such an interpretation of </w:t>
      </w:r>
      <w:r w:rsidRPr="00241DBD">
        <w:rPr>
          <w:rFonts w:ascii="Times New Roman" w:hAnsi="Times New Roman" w:cs="Times New Roman"/>
          <w:i/>
          <w:color w:val="000000"/>
          <w:sz w:val="24"/>
          <w:szCs w:val="24"/>
        </w:rPr>
        <w:t xml:space="preserve">The Wanderer </w:t>
      </w:r>
      <w:r w:rsidRPr="00241DBD">
        <w:rPr>
          <w:rFonts w:ascii="Times New Roman" w:hAnsi="Times New Roman" w:cs="Times New Roman"/>
          <w:color w:val="000000"/>
          <w:sz w:val="24"/>
          <w:szCs w:val="24"/>
        </w:rPr>
        <w:t xml:space="preserve">allows for a new perspective on the meaning of heroism. </w:t>
      </w:r>
    </w:p>
    <w:p w14:paraId="2580D2A2" w14:textId="77777777" w:rsidR="00B42944" w:rsidRPr="00241DBD" w:rsidRDefault="00B42944" w:rsidP="00B42944">
      <w:pPr>
        <w:spacing w:line="480" w:lineRule="auto"/>
        <w:rPr>
          <w:rFonts w:ascii="Times New Roman" w:hAnsi="Times New Roman" w:cs="Times New Roman"/>
          <w:color w:val="1A1718"/>
          <w:sz w:val="24"/>
          <w:szCs w:val="24"/>
        </w:rPr>
      </w:pPr>
    </w:p>
    <w:p w14:paraId="5A1D54A9" w14:textId="77777777" w:rsidR="00B42944" w:rsidRPr="00241DBD" w:rsidRDefault="00B42944" w:rsidP="00B42944">
      <w:pPr>
        <w:spacing w:line="480" w:lineRule="auto"/>
        <w:rPr>
          <w:rFonts w:ascii="Times New Roman" w:hAnsi="Times New Roman" w:cs="Times New Roman"/>
          <w:color w:val="1A1718"/>
          <w:sz w:val="24"/>
          <w:szCs w:val="24"/>
        </w:rPr>
      </w:pPr>
      <w:r w:rsidRPr="00241DBD">
        <w:rPr>
          <w:rFonts w:ascii="Times New Roman" w:hAnsi="Times New Roman" w:cs="Times New Roman"/>
          <w:color w:val="1A1718"/>
          <w:sz w:val="24"/>
          <w:szCs w:val="24"/>
        </w:rPr>
        <w:lastRenderedPageBreak/>
        <w:t xml:space="preserve">It has been claimed that Boethian and Augustinian readings of </w:t>
      </w:r>
      <w:r w:rsidRPr="00241DBD">
        <w:rPr>
          <w:rFonts w:ascii="Times New Roman" w:hAnsi="Times New Roman" w:cs="Times New Roman"/>
          <w:i/>
          <w:color w:val="1A1718"/>
          <w:sz w:val="24"/>
          <w:szCs w:val="24"/>
        </w:rPr>
        <w:t>The Wanderer</w:t>
      </w:r>
      <w:r w:rsidRPr="00241DBD">
        <w:rPr>
          <w:rFonts w:ascii="Times New Roman" w:hAnsi="Times New Roman" w:cs="Times New Roman"/>
          <w:color w:val="1A1718"/>
          <w:sz w:val="24"/>
          <w:szCs w:val="24"/>
        </w:rPr>
        <w:t xml:space="preserve"> have not allowed us to ‘embrace his Germanic heroic past’ or allowed us to experience ‘the consolation and the joys of the Christian Creator’.</w:t>
      </w:r>
      <w:r w:rsidRPr="00241DBD">
        <w:rPr>
          <w:rStyle w:val="FootnoteReference"/>
          <w:rFonts w:ascii="Times New Roman" w:hAnsi="Times New Roman" w:cs="Times New Roman"/>
          <w:color w:val="1A1718"/>
          <w:sz w:val="24"/>
          <w:szCs w:val="24"/>
        </w:rPr>
        <w:footnoteReference w:id="48"/>
      </w:r>
      <w:r w:rsidRPr="00241DBD">
        <w:rPr>
          <w:rFonts w:ascii="Times New Roman" w:hAnsi="Times New Roman" w:cs="Times New Roman"/>
          <w:color w:val="1A1718"/>
          <w:sz w:val="24"/>
          <w:szCs w:val="24"/>
        </w:rPr>
        <w:t xml:space="preserve"> But Palmer takes a different approach and argues that </w:t>
      </w:r>
      <w:r w:rsidRPr="00241DBD">
        <w:rPr>
          <w:rFonts w:ascii="Times New Roman" w:hAnsi="Times New Roman" w:cs="Times New Roman"/>
          <w:i/>
          <w:color w:val="1A1718"/>
          <w:sz w:val="24"/>
          <w:szCs w:val="24"/>
        </w:rPr>
        <w:t>The Wanderer</w:t>
      </w:r>
      <w:r w:rsidRPr="00241DBD">
        <w:rPr>
          <w:rFonts w:ascii="Times New Roman" w:hAnsi="Times New Roman" w:cs="Times New Roman"/>
          <w:color w:val="1A1718"/>
          <w:sz w:val="24"/>
          <w:szCs w:val="24"/>
        </w:rPr>
        <w:t xml:space="preserve"> can be viewed as a ‘poem about the narrator’s journey through and experience of the Divine gift of compunction’.</w:t>
      </w:r>
      <w:r w:rsidRPr="00241DBD">
        <w:rPr>
          <w:rStyle w:val="FootnoteReference"/>
          <w:rFonts w:ascii="Times New Roman" w:hAnsi="Times New Roman" w:cs="Times New Roman"/>
          <w:color w:val="1A1718"/>
          <w:sz w:val="24"/>
          <w:szCs w:val="24"/>
        </w:rPr>
        <w:footnoteReference w:id="49"/>
      </w:r>
      <w:r w:rsidRPr="00241DBD">
        <w:rPr>
          <w:rFonts w:ascii="Times New Roman" w:hAnsi="Times New Roman" w:cs="Times New Roman"/>
          <w:color w:val="1A1718"/>
          <w:sz w:val="24"/>
          <w:szCs w:val="24"/>
        </w:rPr>
        <w:t xml:space="preserve"> The poem contains clear references to the heart and has a strong sense of compunction and that both aspects reveal the religious nature of this text. </w:t>
      </w:r>
      <w:r w:rsidRPr="00241DBD">
        <w:rPr>
          <w:rFonts w:ascii="Times New Roman" w:hAnsi="Times New Roman" w:cs="Times New Roman"/>
          <w:i/>
          <w:color w:val="1A1718"/>
          <w:sz w:val="24"/>
          <w:szCs w:val="24"/>
        </w:rPr>
        <w:t>The Wanderer</w:t>
      </w:r>
      <w:r w:rsidRPr="00241DBD">
        <w:rPr>
          <w:rFonts w:ascii="Times New Roman" w:hAnsi="Times New Roman" w:cs="Times New Roman"/>
          <w:color w:val="1A1718"/>
          <w:sz w:val="24"/>
          <w:szCs w:val="24"/>
        </w:rPr>
        <w:t xml:space="preserve"> ‘experiences the grace of “holy mourning,” as defined by the Church Fathers in Defensor’s early eleventh-century dual language text and by St. John Climacus’.</w:t>
      </w:r>
      <w:r w:rsidRPr="00241DBD">
        <w:rPr>
          <w:rStyle w:val="FootnoteReference"/>
          <w:rFonts w:ascii="Times New Roman" w:hAnsi="Times New Roman" w:cs="Times New Roman"/>
          <w:color w:val="1A1718"/>
          <w:sz w:val="24"/>
          <w:szCs w:val="24"/>
        </w:rPr>
        <w:footnoteReference w:id="50"/>
      </w:r>
      <w:r w:rsidRPr="00241DBD">
        <w:rPr>
          <w:rFonts w:ascii="Times New Roman" w:hAnsi="Times New Roman" w:cs="Times New Roman"/>
          <w:color w:val="1A1718"/>
          <w:sz w:val="24"/>
          <w:szCs w:val="24"/>
        </w:rPr>
        <w:t xml:space="preserve"> As Palmer argues, ‘placing the poem in the context of compunction allows us to see that the poet can indeed be interested in revealing the means by which a person learns and makes progress toward God’.</w:t>
      </w:r>
      <w:r w:rsidRPr="00241DBD">
        <w:rPr>
          <w:rStyle w:val="FootnoteReference"/>
          <w:rFonts w:ascii="Times New Roman" w:hAnsi="Times New Roman" w:cs="Times New Roman"/>
          <w:color w:val="1A1718"/>
          <w:sz w:val="24"/>
          <w:szCs w:val="24"/>
        </w:rPr>
        <w:footnoteReference w:id="51"/>
      </w:r>
      <w:r w:rsidRPr="00241DBD">
        <w:rPr>
          <w:rFonts w:ascii="Times New Roman" w:hAnsi="Times New Roman" w:cs="Times New Roman"/>
          <w:color w:val="1A1718"/>
          <w:sz w:val="24"/>
          <w:szCs w:val="24"/>
        </w:rPr>
        <w:t xml:space="preserve"> </w:t>
      </w:r>
    </w:p>
    <w:p w14:paraId="3245BFFF" w14:textId="77777777" w:rsidR="00B42944" w:rsidRPr="00241DBD" w:rsidRDefault="00B42944" w:rsidP="00B42944">
      <w:pPr>
        <w:spacing w:line="480" w:lineRule="auto"/>
        <w:rPr>
          <w:rFonts w:ascii="Times New Roman" w:hAnsi="Times New Roman" w:cs="Times New Roman"/>
          <w:color w:val="1A1718"/>
          <w:sz w:val="24"/>
          <w:szCs w:val="24"/>
        </w:rPr>
      </w:pPr>
    </w:p>
    <w:p w14:paraId="38E362FE" w14:textId="77777777" w:rsidR="00B42944" w:rsidRPr="00241DBD" w:rsidRDefault="00B42944" w:rsidP="00B42944">
      <w:pPr>
        <w:spacing w:line="480" w:lineRule="auto"/>
        <w:rPr>
          <w:rFonts w:ascii="Times New Roman" w:hAnsi="Times New Roman" w:cs="Times New Roman"/>
          <w:color w:val="000000"/>
          <w:sz w:val="24"/>
          <w:szCs w:val="24"/>
        </w:rPr>
      </w:pPr>
      <w:r w:rsidRPr="00241DBD">
        <w:rPr>
          <w:rFonts w:ascii="Times New Roman" w:hAnsi="Times New Roman" w:cs="Times New Roman"/>
          <w:color w:val="1A1718"/>
          <w:sz w:val="24"/>
          <w:szCs w:val="24"/>
        </w:rPr>
        <w:t>Put in a theological context, which has the potential to reveal another layer of what constitutes the heroic for Anglo-Saxons, the poem can be seen as an ‘</w:t>
      </w:r>
      <w:r w:rsidRPr="00241DBD">
        <w:rPr>
          <w:rFonts w:ascii="Times New Roman" w:hAnsi="Times New Roman" w:cs="Times New Roman"/>
          <w:color w:val="000000"/>
          <w:sz w:val="24"/>
          <w:szCs w:val="24"/>
        </w:rPr>
        <w:t>instructive account of how, in preparation for prayer, a contemplative trains the mind to transcend meandering thoughts and thereby actively seek divine grace, the source of theosis.’</w:t>
      </w:r>
      <w:r w:rsidRPr="00241DBD">
        <w:rPr>
          <w:rStyle w:val="FootnoteReference"/>
          <w:rFonts w:ascii="Times New Roman" w:hAnsi="Times New Roman" w:cs="Times New Roman"/>
          <w:color w:val="000000"/>
          <w:sz w:val="24"/>
          <w:szCs w:val="24"/>
        </w:rPr>
        <w:footnoteReference w:id="52"/>
      </w:r>
      <w:r w:rsidRPr="00241DBD">
        <w:rPr>
          <w:rFonts w:ascii="Times New Roman" w:hAnsi="Times New Roman" w:cs="Times New Roman"/>
          <w:color w:val="000000"/>
          <w:sz w:val="24"/>
          <w:szCs w:val="24"/>
        </w:rPr>
        <w:t xml:space="preserve"> Leneghan reminds us that the survival of the poem was largely due to it being copied in a ‘Benedictine Reform’ monastery in the late 10</w:t>
      </w:r>
      <w:r w:rsidRPr="00241DBD">
        <w:rPr>
          <w:rFonts w:ascii="Times New Roman" w:hAnsi="Times New Roman" w:cs="Times New Roman"/>
          <w:color w:val="000000"/>
          <w:sz w:val="24"/>
          <w:szCs w:val="24"/>
          <w:vertAlign w:val="superscript"/>
        </w:rPr>
        <w:t>th</w:t>
      </w:r>
      <w:r w:rsidRPr="00241DBD">
        <w:rPr>
          <w:rFonts w:ascii="Times New Roman" w:hAnsi="Times New Roman" w:cs="Times New Roman"/>
          <w:color w:val="000000"/>
          <w:sz w:val="24"/>
          <w:szCs w:val="24"/>
        </w:rPr>
        <w:t xml:space="preserve"> century and ‘suggests that it was considered useful reading materials for monks in late Anglo-Saxon England’.</w:t>
      </w:r>
      <w:r w:rsidRPr="00241DBD">
        <w:rPr>
          <w:rStyle w:val="FootnoteReference"/>
          <w:rFonts w:ascii="Times New Roman" w:hAnsi="Times New Roman" w:cs="Times New Roman"/>
          <w:color w:val="000000"/>
          <w:sz w:val="24"/>
          <w:szCs w:val="24"/>
        </w:rPr>
        <w:footnoteReference w:id="53"/>
      </w:r>
      <w:r w:rsidRPr="00241DBD">
        <w:rPr>
          <w:rFonts w:ascii="Times New Roman" w:hAnsi="Times New Roman" w:cs="Times New Roman"/>
          <w:color w:val="000000"/>
          <w:sz w:val="24"/>
          <w:szCs w:val="24"/>
        </w:rPr>
        <w:t xml:space="preserve"> Leneghan draws out some out very clear parallels in the poem between Evagrius Ponticus and John Cassian, particularly in the area of </w:t>
      </w:r>
      <w:r w:rsidRPr="00241DBD">
        <w:rPr>
          <w:rFonts w:ascii="Times New Roman" w:hAnsi="Times New Roman" w:cs="Times New Roman"/>
          <w:i/>
          <w:color w:val="000000"/>
          <w:sz w:val="24"/>
          <w:szCs w:val="24"/>
        </w:rPr>
        <w:t>theosis</w:t>
      </w:r>
      <w:r w:rsidRPr="00241DBD">
        <w:rPr>
          <w:rFonts w:ascii="Times New Roman" w:hAnsi="Times New Roman" w:cs="Times New Roman"/>
          <w:color w:val="000000"/>
          <w:sz w:val="24"/>
          <w:szCs w:val="24"/>
        </w:rPr>
        <w:t xml:space="preserve">, ‘or deification, “the doctrine that the destiny of human kind, or indeed of the cosmos as a whole, is to share in the divine life, and actually to become God, though by grace </w:t>
      </w:r>
      <w:r w:rsidRPr="00241DBD">
        <w:rPr>
          <w:rFonts w:ascii="Times New Roman" w:hAnsi="Times New Roman" w:cs="Times New Roman"/>
          <w:color w:val="000000"/>
          <w:sz w:val="24"/>
          <w:szCs w:val="24"/>
        </w:rPr>
        <w:lastRenderedPageBreak/>
        <w:t>rather than by nature”’.</w:t>
      </w:r>
      <w:r w:rsidRPr="00241DBD">
        <w:rPr>
          <w:rStyle w:val="FootnoteReference"/>
          <w:rFonts w:ascii="Times New Roman" w:hAnsi="Times New Roman" w:cs="Times New Roman"/>
          <w:color w:val="000000"/>
          <w:sz w:val="24"/>
          <w:szCs w:val="24"/>
        </w:rPr>
        <w:footnoteReference w:id="54"/>
      </w:r>
      <w:r w:rsidRPr="00241DBD">
        <w:rPr>
          <w:rFonts w:ascii="Times New Roman" w:hAnsi="Times New Roman" w:cs="Times New Roman"/>
          <w:color w:val="000000"/>
          <w:sz w:val="24"/>
          <w:szCs w:val="24"/>
        </w:rPr>
        <w:t xml:space="preserve"> It is known that these texts were brought to Anglo-Saxon England in the 7</w:t>
      </w:r>
      <w:r w:rsidRPr="00241DBD">
        <w:rPr>
          <w:rFonts w:ascii="Times New Roman" w:hAnsi="Times New Roman" w:cs="Times New Roman"/>
          <w:color w:val="000000"/>
          <w:sz w:val="24"/>
          <w:szCs w:val="24"/>
          <w:vertAlign w:val="superscript"/>
        </w:rPr>
        <w:t>th</w:t>
      </w:r>
      <w:r w:rsidRPr="00241DBD">
        <w:rPr>
          <w:rFonts w:ascii="Times New Roman" w:hAnsi="Times New Roman" w:cs="Times New Roman"/>
          <w:color w:val="000000"/>
          <w:sz w:val="24"/>
          <w:szCs w:val="24"/>
        </w:rPr>
        <w:t xml:space="preserve"> century.</w:t>
      </w:r>
      <w:r w:rsidRPr="00241DBD">
        <w:rPr>
          <w:rStyle w:val="FootnoteReference"/>
          <w:rFonts w:ascii="Times New Roman" w:hAnsi="Times New Roman" w:cs="Times New Roman"/>
          <w:color w:val="000000"/>
          <w:sz w:val="24"/>
          <w:szCs w:val="24"/>
        </w:rPr>
        <w:footnoteReference w:id="55"/>
      </w:r>
      <w:r w:rsidRPr="00241DBD">
        <w:rPr>
          <w:rFonts w:ascii="Times New Roman" w:hAnsi="Times New Roman" w:cs="Times New Roman"/>
          <w:color w:val="000000"/>
          <w:sz w:val="24"/>
          <w:szCs w:val="24"/>
        </w:rPr>
        <w:t xml:space="preserve"> The monk’s mind is continually challenged by </w:t>
      </w:r>
      <w:r w:rsidRPr="00241DBD">
        <w:rPr>
          <w:rFonts w:ascii="Times New Roman" w:hAnsi="Times New Roman" w:cs="Times New Roman"/>
          <w:i/>
          <w:color w:val="000000"/>
          <w:sz w:val="24"/>
          <w:szCs w:val="24"/>
        </w:rPr>
        <w:t xml:space="preserve">logismoi </w:t>
      </w:r>
      <w:r w:rsidRPr="00241DBD">
        <w:rPr>
          <w:rFonts w:ascii="Times New Roman" w:hAnsi="Times New Roman" w:cs="Times New Roman"/>
          <w:color w:val="000000"/>
          <w:sz w:val="24"/>
          <w:szCs w:val="24"/>
        </w:rPr>
        <w:t>(wicked thoughts) and ‘demons’.</w:t>
      </w:r>
      <w:r w:rsidRPr="00241DBD">
        <w:rPr>
          <w:rStyle w:val="FootnoteReference"/>
          <w:rFonts w:ascii="Times New Roman" w:hAnsi="Times New Roman" w:cs="Times New Roman"/>
          <w:color w:val="000000"/>
          <w:sz w:val="24"/>
          <w:szCs w:val="24"/>
        </w:rPr>
        <w:footnoteReference w:id="56"/>
      </w:r>
      <w:r w:rsidRPr="00241DBD">
        <w:rPr>
          <w:rFonts w:ascii="Times New Roman" w:hAnsi="Times New Roman" w:cs="Times New Roman"/>
          <w:color w:val="000000"/>
          <w:sz w:val="24"/>
          <w:szCs w:val="24"/>
        </w:rPr>
        <w:t xml:space="preserve"> Of particular importance here is that the demon is called ‘wanderer’ or ‘vagabond’ ‘which leads the mind out of itself in a sort of trance-like state to encounter former acquaintances, thereby distracting it from the contemplation of divine things’.</w:t>
      </w:r>
      <w:r w:rsidRPr="00241DBD">
        <w:rPr>
          <w:rStyle w:val="FootnoteReference"/>
          <w:rFonts w:ascii="Times New Roman" w:hAnsi="Times New Roman" w:cs="Times New Roman"/>
          <w:color w:val="000000"/>
          <w:sz w:val="24"/>
          <w:szCs w:val="24"/>
        </w:rPr>
        <w:footnoteReference w:id="57"/>
      </w:r>
      <w:r w:rsidRPr="00241DBD">
        <w:rPr>
          <w:rFonts w:ascii="Times New Roman" w:hAnsi="Times New Roman" w:cs="Times New Roman"/>
          <w:color w:val="000000"/>
          <w:sz w:val="24"/>
          <w:szCs w:val="24"/>
        </w:rPr>
        <w:t xml:space="preserve"> </w:t>
      </w:r>
      <w:r w:rsidRPr="00241DBD">
        <w:rPr>
          <w:rFonts w:ascii="Times New Roman" w:hAnsi="Times New Roman" w:cs="Times New Roman"/>
          <w:i/>
          <w:color w:val="000000"/>
          <w:sz w:val="24"/>
          <w:szCs w:val="24"/>
        </w:rPr>
        <w:t>The Wanderer</w:t>
      </w:r>
      <w:r w:rsidRPr="00241DBD">
        <w:rPr>
          <w:rFonts w:ascii="Times New Roman" w:hAnsi="Times New Roman" w:cs="Times New Roman"/>
          <w:color w:val="000000"/>
          <w:sz w:val="24"/>
          <w:szCs w:val="24"/>
        </w:rPr>
        <w:t xml:space="preserve"> therefore conveys an image of someone unable to pray, challenged by former memories, but anticipating the movement of grace. The poem, as it progresses, describes the process of examining one’s interior life and the darker aspects of the psyche which arise during such a process. Heroic qualities are needed in order to face such an experience of introversion. For the Anglo-Saxon monk, ‘the poem might, therefore, have served as a useful meditative tool, inviting them to turn their thoughts away from the self towards the vision of God (</w:t>
      </w:r>
      <w:r w:rsidRPr="00241DBD">
        <w:rPr>
          <w:rFonts w:ascii="Times New Roman" w:hAnsi="Times New Roman" w:cs="Times New Roman"/>
          <w:i/>
          <w:color w:val="000000"/>
          <w:sz w:val="24"/>
          <w:szCs w:val="24"/>
        </w:rPr>
        <w:t>theoria</w:t>
      </w:r>
      <w:r w:rsidRPr="00241DBD">
        <w:rPr>
          <w:rFonts w:ascii="Times New Roman" w:hAnsi="Times New Roman" w:cs="Times New Roman"/>
          <w:color w:val="000000"/>
          <w:sz w:val="24"/>
          <w:szCs w:val="24"/>
        </w:rPr>
        <w:t>); away from the Evagrian passions and towards the luminosity of the place of God’.</w:t>
      </w:r>
      <w:r w:rsidRPr="00241DBD">
        <w:rPr>
          <w:rStyle w:val="FootnoteReference"/>
          <w:rFonts w:ascii="Times New Roman" w:hAnsi="Times New Roman" w:cs="Times New Roman"/>
          <w:color w:val="000000"/>
          <w:sz w:val="24"/>
          <w:szCs w:val="24"/>
        </w:rPr>
        <w:footnoteReference w:id="58"/>
      </w:r>
      <w:r w:rsidRPr="00241DBD">
        <w:rPr>
          <w:rFonts w:ascii="Times New Roman" w:hAnsi="Times New Roman" w:cs="Times New Roman"/>
          <w:color w:val="000000"/>
          <w:sz w:val="24"/>
          <w:szCs w:val="24"/>
        </w:rPr>
        <w:t xml:space="preserve"> Bjork, quoted by Leneghan, argued that ‘the poem describes the anhaga’s inner transformation from “the inferior, world-bound, essentially hopeless exile track of the Germanic world into the superior, heaven bound, hope-filled exile track of the Christian faith”’.</w:t>
      </w:r>
      <w:r w:rsidRPr="00241DBD">
        <w:rPr>
          <w:rStyle w:val="FootnoteReference"/>
          <w:rFonts w:ascii="Times New Roman" w:hAnsi="Times New Roman" w:cs="Times New Roman"/>
          <w:color w:val="000000"/>
          <w:sz w:val="24"/>
          <w:szCs w:val="24"/>
        </w:rPr>
        <w:footnoteReference w:id="59"/>
      </w:r>
      <w:r w:rsidRPr="00241DBD">
        <w:rPr>
          <w:rFonts w:ascii="Times New Roman" w:hAnsi="Times New Roman" w:cs="Times New Roman"/>
          <w:color w:val="000000"/>
          <w:sz w:val="24"/>
          <w:szCs w:val="24"/>
        </w:rPr>
        <w:t xml:space="preserve"> Heroic life therefore may reveal a wounded nature. It reveals human flaws where the hero may perform what appear to be fatal errors. They may even be bound to a Germanic narrative yet this process of deification allows the hero to be exalted, even in a moment of weakness and frailty, because ultimately their action has a metaphysical integrity which moves away from the self to the ultimate horizon. </w:t>
      </w:r>
    </w:p>
    <w:p w14:paraId="06597D73" w14:textId="77777777" w:rsidR="00B42944" w:rsidRPr="00241DBD" w:rsidRDefault="00B42944" w:rsidP="00B42944">
      <w:pPr>
        <w:spacing w:line="480" w:lineRule="auto"/>
        <w:rPr>
          <w:rFonts w:ascii="Times New Roman" w:hAnsi="Times New Roman" w:cs="Times New Roman"/>
          <w:color w:val="000000"/>
          <w:sz w:val="24"/>
          <w:szCs w:val="24"/>
        </w:rPr>
      </w:pPr>
    </w:p>
    <w:p w14:paraId="322E49B8" w14:textId="77777777" w:rsidR="00B42944" w:rsidRPr="00241DBD" w:rsidRDefault="00B42944" w:rsidP="00B42944">
      <w:pPr>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lastRenderedPageBreak/>
        <w:t xml:space="preserve">Scholarship on </w:t>
      </w:r>
      <w:r w:rsidRPr="00241DBD">
        <w:rPr>
          <w:rFonts w:ascii="Times New Roman" w:hAnsi="Times New Roman" w:cs="Times New Roman"/>
          <w:i/>
          <w:color w:val="000000"/>
          <w:sz w:val="24"/>
          <w:szCs w:val="24"/>
        </w:rPr>
        <w:t>The Dream of the Rood</w:t>
      </w:r>
      <w:r w:rsidRPr="00241DBD">
        <w:rPr>
          <w:rFonts w:ascii="Times New Roman" w:hAnsi="Times New Roman" w:cs="Times New Roman"/>
          <w:color w:val="000000"/>
          <w:sz w:val="24"/>
          <w:szCs w:val="24"/>
        </w:rPr>
        <w:t xml:space="preserve"> during the last 100 years has examined it from a number of different perspectives: liturgical, scriptural, monastic theology, soteriology, Christology, iconography and ‘literary and cultural ideals of heroism’</w:t>
      </w:r>
      <w:r w:rsidRPr="00241DBD">
        <w:rPr>
          <w:rStyle w:val="FootnoteReference"/>
          <w:rFonts w:ascii="Times New Roman" w:hAnsi="Times New Roman" w:cs="Times New Roman"/>
          <w:color w:val="000000"/>
          <w:sz w:val="24"/>
          <w:szCs w:val="24"/>
        </w:rPr>
        <w:footnoteReference w:id="60"/>
      </w:r>
      <w:r w:rsidRPr="00241DBD">
        <w:rPr>
          <w:rFonts w:ascii="Times New Roman" w:hAnsi="Times New Roman" w:cs="Times New Roman"/>
          <w:color w:val="000000"/>
          <w:sz w:val="24"/>
          <w:szCs w:val="24"/>
        </w:rPr>
        <w:t xml:space="preserve"> to name only a few. The rich variety of sources and interpretations represent both its greatest innovation and also its strength as a poem.</w:t>
      </w:r>
      <w:r w:rsidRPr="00241DBD">
        <w:rPr>
          <w:rStyle w:val="FootnoteReference"/>
          <w:rFonts w:ascii="Times New Roman" w:hAnsi="Times New Roman" w:cs="Times New Roman"/>
          <w:color w:val="000000"/>
          <w:sz w:val="24"/>
          <w:szCs w:val="24"/>
        </w:rPr>
        <w:footnoteReference w:id="61"/>
      </w:r>
      <w:r w:rsidRPr="00241DBD">
        <w:rPr>
          <w:rFonts w:ascii="Times New Roman" w:hAnsi="Times New Roman" w:cs="Times New Roman"/>
          <w:color w:val="000000"/>
          <w:sz w:val="24"/>
          <w:szCs w:val="24"/>
        </w:rPr>
        <w:t xml:space="preserve"> One aspect which makes </w:t>
      </w:r>
      <w:r w:rsidRPr="00241DBD">
        <w:rPr>
          <w:rFonts w:ascii="Times New Roman" w:hAnsi="Times New Roman" w:cs="Times New Roman"/>
          <w:i/>
          <w:color w:val="000000"/>
          <w:sz w:val="24"/>
          <w:szCs w:val="24"/>
        </w:rPr>
        <w:t>The Dream of the Rood</w:t>
      </w:r>
      <w:r w:rsidRPr="00241DBD">
        <w:rPr>
          <w:rFonts w:ascii="Times New Roman" w:hAnsi="Times New Roman" w:cs="Times New Roman"/>
          <w:color w:val="000000"/>
          <w:sz w:val="24"/>
          <w:szCs w:val="24"/>
        </w:rPr>
        <w:t xml:space="preserve"> so memorable, and indeed significant when considering what constitutes a heroic figure, is that Christ emerges as a champion rather than a victim.</w:t>
      </w:r>
      <w:r w:rsidRPr="00241DBD">
        <w:rPr>
          <w:rStyle w:val="FootnoteReference"/>
          <w:rFonts w:ascii="Times New Roman" w:hAnsi="Times New Roman" w:cs="Times New Roman"/>
          <w:color w:val="000000"/>
          <w:sz w:val="24"/>
          <w:szCs w:val="24"/>
        </w:rPr>
        <w:footnoteReference w:id="62"/>
      </w:r>
      <w:r w:rsidRPr="00241DBD">
        <w:rPr>
          <w:rFonts w:ascii="Times New Roman" w:hAnsi="Times New Roman" w:cs="Times New Roman"/>
          <w:color w:val="000000"/>
          <w:sz w:val="24"/>
          <w:szCs w:val="24"/>
        </w:rPr>
        <w:t xml:space="preserve"> In his crucifixion, Christ is an ‘active participant rather than a passive sufferer’.</w:t>
      </w:r>
      <w:r w:rsidRPr="00241DBD">
        <w:rPr>
          <w:rStyle w:val="FootnoteReference"/>
          <w:rFonts w:ascii="Times New Roman" w:hAnsi="Times New Roman" w:cs="Times New Roman"/>
          <w:color w:val="000000"/>
          <w:sz w:val="24"/>
          <w:szCs w:val="24"/>
        </w:rPr>
        <w:footnoteReference w:id="63"/>
      </w:r>
      <w:r w:rsidRPr="00241DBD">
        <w:rPr>
          <w:rFonts w:ascii="Times New Roman" w:hAnsi="Times New Roman" w:cs="Times New Roman"/>
          <w:color w:val="000000"/>
          <w:sz w:val="24"/>
          <w:szCs w:val="24"/>
        </w:rPr>
        <w:t xml:space="preserve"> Christ is seen as ‘the athlete in his </w:t>
      </w:r>
      <w:r w:rsidRPr="00241DBD">
        <w:rPr>
          <w:rFonts w:ascii="Times New Roman" w:eastAsia="Calibri" w:hAnsi="Times New Roman" w:cs="Times New Roman"/>
          <w:color w:val="000000"/>
          <w:sz w:val="24"/>
          <w:szCs w:val="24"/>
        </w:rPr>
        <w:t>άγώωΐ</w:t>
      </w:r>
      <w:r w:rsidRPr="00241DBD">
        <w:rPr>
          <w:rFonts w:ascii="Times New Roman" w:hAnsi="Times New Roman" w:cs="Times New Roman"/>
          <w:color w:val="000000"/>
          <w:sz w:val="24"/>
          <w:szCs w:val="24"/>
        </w:rPr>
        <w:t xml:space="preserve"> the champion who fights single-handed against the Devil, and the chieftain supported by his loyal retainer, the Cross’.</w:t>
      </w:r>
      <w:r w:rsidRPr="00241DBD">
        <w:rPr>
          <w:rStyle w:val="FootnoteReference"/>
          <w:rFonts w:ascii="Times New Roman" w:hAnsi="Times New Roman" w:cs="Times New Roman"/>
          <w:color w:val="000000"/>
          <w:sz w:val="24"/>
          <w:szCs w:val="24"/>
        </w:rPr>
        <w:footnoteReference w:id="64"/>
      </w:r>
      <w:r w:rsidRPr="00241DBD">
        <w:rPr>
          <w:rFonts w:ascii="Times New Roman" w:hAnsi="Times New Roman" w:cs="Times New Roman"/>
          <w:color w:val="000000"/>
          <w:sz w:val="24"/>
          <w:szCs w:val="24"/>
        </w:rPr>
        <w:t xml:space="preserve"> He is, in short, the ‘young warrior hero’.</w:t>
      </w:r>
      <w:r w:rsidRPr="00241DBD">
        <w:rPr>
          <w:rStyle w:val="FootnoteReference"/>
          <w:rFonts w:ascii="Times New Roman" w:hAnsi="Times New Roman" w:cs="Times New Roman"/>
          <w:color w:val="000000"/>
          <w:sz w:val="24"/>
          <w:szCs w:val="24"/>
        </w:rPr>
        <w:footnoteReference w:id="65"/>
      </w:r>
      <w:r w:rsidRPr="00241DBD">
        <w:rPr>
          <w:rFonts w:ascii="Times New Roman" w:hAnsi="Times New Roman" w:cs="Times New Roman"/>
          <w:color w:val="000000"/>
          <w:sz w:val="24"/>
          <w:szCs w:val="24"/>
        </w:rPr>
        <w:t xml:space="preserve"> It is not unusual in exhortatory writing to find the use of military analogy, nor even a dependency on Tacitus’ </w:t>
      </w:r>
      <w:r w:rsidRPr="00241DBD">
        <w:rPr>
          <w:rFonts w:ascii="Times New Roman" w:hAnsi="Times New Roman" w:cs="Times New Roman"/>
          <w:i/>
          <w:color w:val="000000"/>
          <w:sz w:val="24"/>
          <w:szCs w:val="24"/>
        </w:rPr>
        <w:t xml:space="preserve">comitatus, </w:t>
      </w:r>
      <w:r w:rsidRPr="00241DBD">
        <w:rPr>
          <w:rFonts w:ascii="Times New Roman" w:hAnsi="Times New Roman" w:cs="Times New Roman"/>
          <w:color w:val="000000"/>
          <w:sz w:val="24"/>
          <w:szCs w:val="24"/>
        </w:rPr>
        <w:t>but del Mastro argues that what is unusual is how the code has been ‘used to indicate a reality directly opposed to its literal significance’.</w:t>
      </w:r>
      <w:r w:rsidRPr="00241DBD">
        <w:rPr>
          <w:rStyle w:val="FootnoteReference"/>
          <w:rFonts w:ascii="Times New Roman" w:hAnsi="Times New Roman" w:cs="Times New Roman"/>
          <w:color w:val="000000"/>
          <w:sz w:val="24"/>
          <w:szCs w:val="24"/>
        </w:rPr>
        <w:footnoteReference w:id="66"/>
      </w:r>
      <w:r w:rsidRPr="00241DBD">
        <w:rPr>
          <w:rFonts w:ascii="Times New Roman" w:hAnsi="Times New Roman" w:cs="Times New Roman"/>
          <w:color w:val="000000"/>
          <w:sz w:val="24"/>
          <w:szCs w:val="24"/>
        </w:rPr>
        <w:t xml:space="preserve"> In terms of the lord-retainer relationship between Christ and the rood, the rood is frustrated at not being allowed to defend its lord and dislikes its reward of gold and silver for its ‘paradoxical disloyalty; and the inversion of the values of the </w:t>
      </w:r>
      <w:r w:rsidRPr="00241DBD">
        <w:rPr>
          <w:rFonts w:ascii="Times New Roman" w:hAnsi="Times New Roman" w:cs="Times New Roman"/>
          <w:i/>
          <w:color w:val="000000"/>
          <w:sz w:val="24"/>
          <w:szCs w:val="24"/>
        </w:rPr>
        <w:t>comitatus’</w:t>
      </w:r>
      <w:r w:rsidRPr="00241DBD">
        <w:rPr>
          <w:rFonts w:ascii="Times New Roman" w:hAnsi="Times New Roman" w:cs="Times New Roman"/>
          <w:color w:val="000000"/>
          <w:sz w:val="24"/>
          <w:szCs w:val="24"/>
        </w:rPr>
        <w:t>.</w:t>
      </w:r>
      <w:r w:rsidRPr="00241DBD">
        <w:rPr>
          <w:rStyle w:val="FootnoteReference"/>
          <w:rFonts w:ascii="Times New Roman" w:hAnsi="Times New Roman" w:cs="Times New Roman"/>
          <w:color w:val="000000"/>
          <w:sz w:val="24"/>
          <w:szCs w:val="24"/>
        </w:rPr>
        <w:footnoteReference w:id="67"/>
      </w:r>
      <w:r w:rsidRPr="00241DBD">
        <w:rPr>
          <w:rFonts w:ascii="Times New Roman" w:hAnsi="Times New Roman" w:cs="Times New Roman"/>
          <w:color w:val="000000"/>
          <w:sz w:val="24"/>
          <w:szCs w:val="24"/>
        </w:rPr>
        <w:t xml:space="preserve"> The emotional reaction of the rood, at one level, is correct and it should feel ashamed for these things. Yet, del Mastro, argues that this does not reveal the true depth of </w:t>
      </w:r>
      <w:r w:rsidRPr="00241DBD">
        <w:rPr>
          <w:rFonts w:ascii="Times New Roman" w:hAnsi="Times New Roman" w:cs="Times New Roman"/>
          <w:color w:val="000000"/>
          <w:sz w:val="24"/>
          <w:szCs w:val="24"/>
        </w:rPr>
        <w:lastRenderedPageBreak/>
        <w:t xml:space="preserve">the </w:t>
      </w:r>
      <w:r w:rsidRPr="00241DBD">
        <w:rPr>
          <w:rFonts w:ascii="Times New Roman" w:hAnsi="Times New Roman" w:cs="Times New Roman"/>
          <w:i/>
          <w:color w:val="000000"/>
          <w:sz w:val="24"/>
          <w:szCs w:val="24"/>
        </w:rPr>
        <w:t>comitatus</w:t>
      </w:r>
      <w:r w:rsidRPr="00241DBD">
        <w:rPr>
          <w:rFonts w:ascii="Times New Roman" w:hAnsi="Times New Roman" w:cs="Times New Roman"/>
          <w:color w:val="000000"/>
          <w:sz w:val="24"/>
          <w:szCs w:val="24"/>
        </w:rPr>
        <w:t xml:space="preserve"> in this poem, ‘all the values of the comitatus have been inverted or reversed’.</w:t>
      </w:r>
      <w:r w:rsidRPr="00241DBD">
        <w:rPr>
          <w:rStyle w:val="FootnoteReference"/>
          <w:rFonts w:ascii="Times New Roman" w:hAnsi="Times New Roman" w:cs="Times New Roman"/>
          <w:color w:val="000000"/>
          <w:sz w:val="24"/>
          <w:szCs w:val="24"/>
        </w:rPr>
        <w:footnoteReference w:id="68"/>
      </w:r>
      <w:r w:rsidRPr="00241DBD">
        <w:rPr>
          <w:rFonts w:ascii="Times New Roman" w:hAnsi="Times New Roman" w:cs="Times New Roman"/>
          <w:color w:val="000000"/>
          <w:sz w:val="24"/>
          <w:szCs w:val="24"/>
        </w:rPr>
        <w:t xml:space="preserve"> He argues that ‘what the poet does here is to take the imagery and customs traditionally ascribed to the Germanic warrior in battle poems, and reverse their central thrust. Thus, he creates a paradox mirroring the central Christian paradox, which sees life in death, victory in defeat, and glory in shame’.</w:t>
      </w:r>
      <w:r w:rsidRPr="00241DBD">
        <w:rPr>
          <w:rStyle w:val="FootnoteReference"/>
          <w:rFonts w:ascii="Times New Roman" w:hAnsi="Times New Roman" w:cs="Times New Roman"/>
          <w:color w:val="000000"/>
          <w:sz w:val="24"/>
          <w:szCs w:val="24"/>
        </w:rPr>
        <w:footnoteReference w:id="69"/>
      </w:r>
      <w:r w:rsidRPr="00241DBD">
        <w:rPr>
          <w:rFonts w:ascii="Times New Roman" w:hAnsi="Times New Roman" w:cs="Times New Roman"/>
          <w:color w:val="000000"/>
          <w:sz w:val="24"/>
          <w:szCs w:val="24"/>
        </w:rPr>
        <w:t xml:space="preserve"> </w:t>
      </w:r>
    </w:p>
    <w:p w14:paraId="34CEE060" w14:textId="77777777" w:rsidR="00B42944" w:rsidRPr="00241DBD" w:rsidRDefault="00B42944" w:rsidP="00B42944">
      <w:pPr>
        <w:spacing w:line="480" w:lineRule="auto"/>
        <w:rPr>
          <w:rFonts w:ascii="Times New Roman" w:hAnsi="Times New Roman" w:cs="Times New Roman"/>
          <w:color w:val="000000"/>
          <w:sz w:val="24"/>
          <w:szCs w:val="24"/>
        </w:rPr>
      </w:pPr>
    </w:p>
    <w:p w14:paraId="7F82961E"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t xml:space="preserve">Another powerful element of this poem is that the poet establishes a link with the audience and invites the reader to enter the </w:t>
      </w:r>
      <w:r w:rsidRPr="00241DBD">
        <w:rPr>
          <w:rFonts w:ascii="Times New Roman" w:hAnsi="Times New Roman" w:cs="Times New Roman"/>
          <w:i/>
          <w:color w:val="000000"/>
          <w:sz w:val="24"/>
          <w:szCs w:val="24"/>
        </w:rPr>
        <w:t>comitatus</w:t>
      </w:r>
      <w:r w:rsidRPr="00241DBD">
        <w:rPr>
          <w:rFonts w:ascii="Times New Roman" w:hAnsi="Times New Roman" w:cs="Times New Roman"/>
          <w:color w:val="000000"/>
          <w:sz w:val="24"/>
          <w:szCs w:val="24"/>
        </w:rPr>
        <w:t>. The poem may have been aimed at Anglo-Saxon nobility and used as part of a ritual or perhaps sacramentally.</w:t>
      </w:r>
      <w:r w:rsidRPr="00241DBD">
        <w:rPr>
          <w:rStyle w:val="FootnoteReference"/>
          <w:rFonts w:ascii="Times New Roman" w:hAnsi="Times New Roman" w:cs="Times New Roman"/>
          <w:color w:val="000000"/>
          <w:sz w:val="24"/>
          <w:szCs w:val="24"/>
        </w:rPr>
        <w:footnoteReference w:id="70"/>
      </w:r>
      <w:r w:rsidRPr="00241DBD">
        <w:rPr>
          <w:rFonts w:ascii="Times New Roman" w:hAnsi="Times New Roman" w:cs="Times New Roman"/>
          <w:color w:val="000000"/>
          <w:sz w:val="24"/>
          <w:szCs w:val="24"/>
        </w:rPr>
        <w:t xml:space="preserve"> It is certainly clear that the author was religious and enjoyed a profound understanding of ecclesiastical liturgies which focussed on the cross.</w:t>
      </w:r>
      <w:r w:rsidRPr="00241DBD">
        <w:rPr>
          <w:rStyle w:val="FootnoteReference"/>
          <w:rFonts w:ascii="Times New Roman" w:hAnsi="Times New Roman" w:cs="Times New Roman"/>
          <w:sz w:val="24"/>
          <w:szCs w:val="24"/>
        </w:rPr>
        <w:footnoteReference w:id="71"/>
      </w:r>
      <w:r w:rsidRPr="00241DBD">
        <w:rPr>
          <w:rFonts w:ascii="Times New Roman" w:hAnsi="Times New Roman" w:cs="Times New Roman"/>
          <w:color w:val="000000"/>
          <w:sz w:val="24"/>
          <w:szCs w:val="24"/>
        </w:rPr>
        <w:t xml:space="preserve"> This also reveals the authors appreciation of theological issues of the day and the growing theology of the cross and the development of particular liturgical feats in the Roman Church.</w:t>
      </w:r>
      <w:r w:rsidRPr="00241DBD">
        <w:rPr>
          <w:rStyle w:val="FootnoteReference"/>
          <w:rFonts w:ascii="Times New Roman" w:hAnsi="Times New Roman" w:cs="Times New Roman"/>
          <w:color w:val="000000"/>
          <w:sz w:val="24"/>
          <w:szCs w:val="24"/>
        </w:rPr>
        <w:footnoteReference w:id="72"/>
      </w:r>
      <w:r w:rsidRPr="00241DBD">
        <w:rPr>
          <w:rFonts w:ascii="Times New Roman" w:hAnsi="Times New Roman" w:cs="Times New Roman"/>
          <w:color w:val="000000"/>
          <w:sz w:val="24"/>
          <w:szCs w:val="24"/>
        </w:rPr>
        <w:t xml:space="preserve"> What is particularly relevant to the study of the heroic figure is that the cross comes to possess ‘some kind of personality [and] individual life and persona’.</w:t>
      </w:r>
      <w:r w:rsidRPr="00241DBD">
        <w:rPr>
          <w:rStyle w:val="FootnoteReference"/>
          <w:rFonts w:ascii="Times New Roman" w:hAnsi="Times New Roman" w:cs="Times New Roman"/>
          <w:color w:val="000000"/>
          <w:sz w:val="24"/>
          <w:szCs w:val="24"/>
        </w:rPr>
        <w:footnoteReference w:id="73"/>
      </w:r>
      <w:r w:rsidRPr="00241DBD">
        <w:rPr>
          <w:rFonts w:ascii="Times New Roman" w:hAnsi="Times New Roman" w:cs="Times New Roman"/>
          <w:color w:val="000000"/>
          <w:sz w:val="24"/>
          <w:szCs w:val="24"/>
        </w:rPr>
        <w:t xml:space="preserve"> The cross becomes something which is alive, which buds and flowers as can be seen in the famous mosaic in the Basilica of San Clemente in Rome. This sense of the something being alive invites a response from the reader. The ritual or sacramental element to the poem also conveys a revelation which ‘has been deposited in what Gregory the Great calls the </w:t>
      </w:r>
      <w:r w:rsidRPr="00241DBD">
        <w:rPr>
          <w:rFonts w:ascii="Times New Roman" w:hAnsi="Times New Roman" w:cs="Times New Roman"/>
          <w:i/>
          <w:iCs/>
          <w:color w:val="000000"/>
          <w:sz w:val="24"/>
          <w:szCs w:val="24"/>
        </w:rPr>
        <w:t>secretarium mentis</w:t>
      </w:r>
      <w:r w:rsidRPr="00241DBD">
        <w:rPr>
          <w:rFonts w:ascii="Times New Roman" w:hAnsi="Times New Roman" w:cs="Times New Roman"/>
          <w:iCs/>
          <w:color w:val="000000"/>
          <w:sz w:val="24"/>
          <w:szCs w:val="24"/>
        </w:rPr>
        <w:t xml:space="preserve"> [or] </w:t>
      </w:r>
      <w:r w:rsidRPr="00241DBD">
        <w:rPr>
          <w:rFonts w:ascii="Times New Roman" w:hAnsi="Times New Roman" w:cs="Times New Roman"/>
          <w:color w:val="000000"/>
          <w:sz w:val="24"/>
          <w:szCs w:val="24"/>
        </w:rPr>
        <w:t xml:space="preserve">the mind as an enclosure [...] a treasure chamber or strongbox </w:t>
      </w:r>
      <w:r w:rsidRPr="00241DBD">
        <w:rPr>
          <w:rFonts w:ascii="Times New Roman" w:hAnsi="Times New Roman" w:cs="Times New Roman"/>
          <w:color w:val="000000"/>
          <w:sz w:val="24"/>
          <w:szCs w:val="24"/>
        </w:rPr>
        <w:lastRenderedPageBreak/>
        <w:t>holding valuables [or] the containing mind’.</w:t>
      </w:r>
      <w:r w:rsidRPr="00241DBD">
        <w:rPr>
          <w:rStyle w:val="FootnoteReference"/>
          <w:rFonts w:ascii="Times New Roman" w:hAnsi="Times New Roman" w:cs="Times New Roman"/>
          <w:iCs/>
          <w:color w:val="000000"/>
          <w:sz w:val="24"/>
          <w:szCs w:val="24"/>
        </w:rPr>
        <w:footnoteReference w:id="74"/>
      </w:r>
      <w:r w:rsidRPr="00241DBD">
        <w:rPr>
          <w:rFonts w:ascii="Times New Roman" w:hAnsi="Times New Roman" w:cs="Times New Roman"/>
          <w:color w:val="000000"/>
          <w:sz w:val="24"/>
          <w:szCs w:val="24"/>
        </w:rPr>
        <w:t xml:space="preserve"> Mizze argues that:</w:t>
      </w:r>
    </w:p>
    <w:p w14:paraId="4FC5F588" w14:textId="77777777" w:rsidR="00B42944" w:rsidRPr="00241DBD" w:rsidRDefault="00B42944" w:rsidP="00B42944">
      <w:pPr>
        <w:widowControl w:val="0"/>
        <w:autoSpaceDE w:val="0"/>
        <w:autoSpaceDN w:val="0"/>
        <w:adjustRightInd w:val="0"/>
        <w:rPr>
          <w:rFonts w:ascii="Times New Roman" w:hAnsi="Times New Roman" w:cs="Times New Roman"/>
          <w:color w:val="000000"/>
          <w:sz w:val="24"/>
          <w:szCs w:val="24"/>
        </w:rPr>
      </w:pPr>
    </w:p>
    <w:p w14:paraId="78694D53" w14:textId="77777777" w:rsidR="00B42944" w:rsidRPr="00241DBD" w:rsidRDefault="00B42944" w:rsidP="00B42944">
      <w:pPr>
        <w:widowControl w:val="0"/>
        <w:autoSpaceDE w:val="0"/>
        <w:autoSpaceDN w:val="0"/>
        <w:adjustRightInd w:val="0"/>
        <w:spacing w:after="240"/>
        <w:ind w:left="720"/>
        <w:rPr>
          <w:rFonts w:ascii="Times New Roman" w:hAnsi="Times New Roman" w:cs="Times New Roman"/>
          <w:color w:val="000000"/>
          <w:sz w:val="24"/>
          <w:szCs w:val="24"/>
        </w:rPr>
      </w:pPr>
      <w:r w:rsidRPr="00241DBD">
        <w:rPr>
          <w:rFonts w:ascii="Times New Roman" w:hAnsi="Times New Roman" w:cs="Times New Roman"/>
          <w:color w:val="000000"/>
          <w:sz w:val="24"/>
          <w:szCs w:val="24"/>
        </w:rPr>
        <w:t>‘</w:t>
      </w:r>
      <w:r w:rsidRPr="00241DBD">
        <w:rPr>
          <w:rFonts w:ascii="Times New Roman" w:hAnsi="Times New Roman" w:cs="Times New Roman"/>
          <w:i/>
          <w:color w:val="000000"/>
          <w:sz w:val="24"/>
          <w:szCs w:val="24"/>
        </w:rPr>
        <w:t>T</w:t>
      </w:r>
      <w:r w:rsidRPr="00241DBD">
        <w:rPr>
          <w:rFonts w:ascii="Times New Roman" w:hAnsi="Times New Roman" w:cs="Times New Roman"/>
          <w:i/>
          <w:iCs/>
          <w:color w:val="000000"/>
          <w:sz w:val="24"/>
          <w:szCs w:val="24"/>
        </w:rPr>
        <w:t>he Dream of the Rood</w:t>
      </w:r>
      <w:r w:rsidRPr="00241DBD">
        <w:rPr>
          <w:rFonts w:ascii="Times New Roman" w:hAnsi="Times New Roman" w:cs="Times New Roman"/>
          <w:color w:val="000000"/>
          <w:sz w:val="24"/>
          <w:szCs w:val="24"/>
        </w:rPr>
        <w:t xml:space="preserve"> most specifically promotes cultic veneration of the True Cross, but it establishes this devotional focus within a context of wisdom, spiritual understanding, and belief that are recognizable as exactly the kinds of mental valuables one should conventionally take into the treasury of one’s mind and subsequently share out to others.’</w:t>
      </w:r>
      <w:r w:rsidRPr="00241DBD">
        <w:rPr>
          <w:rStyle w:val="FootnoteReference"/>
          <w:rFonts w:ascii="Times New Roman" w:hAnsi="Times New Roman" w:cs="Times New Roman"/>
          <w:color w:val="000000"/>
          <w:sz w:val="24"/>
          <w:szCs w:val="24"/>
        </w:rPr>
        <w:footnoteReference w:id="75"/>
      </w:r>
      <w:r w:rsidRPr="00241DBD">
        <w:rPr>
          <w:rFonts w:ascii="Times New Roman" w:hAnsi="Times New Roman" w:cs="Times New Roman"/>
          <w:color w:val="000000"/>
          <w:sz w:val="24"/>
          <w:szCs w:val="24"/>
        </w:rPr>
        <w:t xml:space="preserve"> </w:t>
      </w:r>
    </w:p>
    <w:p w14:paraId="7AC87112" w14:textId="77777777" w:rsidR="00B42944" w:rsidRPr="00241DBD" w:rsidRDefault="00B42944" w:rsidP="00B42944">
      <w:pPr>
        <w:widowControl w:val="0"/>
        <w:autoSpaceDE w:val="0"/>
        <w:autoSpaceDN w:val="0"/>
        <w:adjustRightInd w:val="0"/>
        <w:spacing w:after="240"/>
        <w:rPr>
          <w:rFonts w:ascii="Times New Roman" w:hAnsi="Times New Roman" w:cs="Times New Roman"/>
          <w:color w:val="000000"/>
          <w:sz w:val="24"/>
          <w:szCs w:val="24"/>
        </w:rPr>
      </w:pPr>
    </w:p>
    <w:p w14:paraId="76A6AC8F"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color w:val="000000"/>
          <w:sz w:val="24"/>
          <w:szCs w:val="24"/>
        </w:rPr>
        <w:t>In the way that one encounters the relics of a saint it can be said that one experiences the saint, so too through this poem, or revelation, one directly engages with the cross and crucifixion scene. The wounded nature of the crucified and the cross, which was so ordinary, suddenly becomes so exalted and part of what constitutes heroic nature. It is little wonder that early Christian reliquaries of the cross were heavily jewelled on the parts which were considered wounded and therefore sacred. So too, the expectation of reading the poem is that one will carry one’s own cross therefore becoming ‘a private mental participant in the enlightened veneration of the Cross and simultaneously a participant in the universal community of such veneration that the poem idealizes’.</w:t>
      </w:r>
      <w:r w:rsidRPr="00241DBD">
        <w:rPr>
          <w:rStyle w:val="FootnoteReference"/>
          <w:rFonts w:ascii="Times New Roman" w:hAnsi="Times New Roman" w:cs="Times New Roman"/>
          <w:color w:val="000000"/>
          <w:sz w:val="24"/>
          <w:szCs w:val="24"/>
        </w:rPr>
        <w:footnoteReference w:id="76"/>
      </w:r>
      <w:r w:rsidRPr="00241DBD">
        <w:rPr>
          <w:rFonts w:ascii="Times New Roman" w:hAnsi="Times New Roman" w:cs="Times New Roman"/>
          <w:color w:val="000000"/>
          <w:sz w:val="24"/>
          <w:szCs w:val="24"/>
        </w:rPr>
        <w:t xml:space="preserve"> Whilst reading the poem may be a solitary event, the experience unites the readers with the ‘whole community of faith’.</w:t>
      </w:r>
      <w:r w:rsidRPr="00241DBD">
        <w:rPr>
          <w:rStyle w:val="FootnoteReference"/>
          <w:rFonts w:ascii="Times New Roman" w:hAnsi="Times New Roman" w:cs="Times New Roman"/>
          <w:color w:val="000000"/>
          <w:sz w:val="24"/>
          <w:szCs w:val="24"/>
        </w:rPr>
        <w:footnoteReference w:id="77"/>
      </w:r>
      <w:r w:rsidRPr="00241DBD">
        <w:rPr>
          <w:rFonts w:ascii="Times New Roman" w:hAnsi="Times New Roman" w:cs="Times New Roman"/>
          <w:color w:val="000000"/>
          <w:sz w:val="24"/>
          <w:szCs w:val="24"/>
        </w:rPr>
        <w:t xml:space="preserve"> Thus the metaphysical element of this poem is profound and reveals another layer to our understanding of what constitutes a heroic figure. The behaviour of the hero might not conform to conventional standards. Rather, because of this received wisdom, this sapiential revelation within their own being, they act according to a different law which may confound human expectations yet which still may be considered as a profoundly heroic. Death, </w:t>
      </w:r>
      <w:r w:rsidRPr="00241DBD">
        <w:rPr>
          <w:rFonts w:ascii="Times New Roman" w:hAnsi="Times New Roman" w:cs="Times New Roman"/>
          <w:color w:val="000000"/>
          <w:sz w:val="24"/>
          <w:szCs w:val="24"/>
        </w:rPr>
        <w:lastRenderedPageBreak/>
        <w:t>therefore, becomes something to be desired, rather than feared.</w:t>
      </w:r>
      <w:r w:rsidRPr="00241DBD">
        <w:rPr>
          <w:rStyle w:val="FootnoteReference"/>
          <w:rFonts w:ascii="Times New Roman" w:hAnsi="Times New Roman" w:cs="Times New Roman"/>
          <w:color w:val="000000"/>
          <w:sz w:val="24"/>
          <w:szCs w:val="24"/>
        </w:rPr>
        <w:footnoteReference w:id="78"/>
      </w:r>
      <w:r w:rsidRPr="00241DBD">
        <w:rPr>
          <w:rFonts w:ascii="Times New Roman" w:hAnsi="Times New Roman" w:cs="Times New Roman"/>
          <w:color w:val="000000"/>
          <w:sz w:val="24"/>
          <w:szCs w:val="24"/>
        </w:rPr>
        <w:t xml:space="preserve"> Del Mastro argues that, ‘the heroic qualities of this Germanic warrior are activated not to preserve his life, but to bring about his death’.</w:t>
      </w:r>
      <w:r w:rsidRPr="00241DBD">
        <w:rPr>
          <w:rStyle w:val="FootnoteReference"/>
          <w:rFonts w:ascii="Times New Roman" w:hAnsi="Times New Roman" w:cs="Times New Roman"/>
          <w:color w:val="000000"/>
          <w:sz w:val="24"/>
          <w:szCs w:val="24"/>
        </w:rPr>
        <w:footnoteReference w:id="79"/>
      </w:r>
      <w:r w:rsidRPr="00241DBD">
        <w:rPr>
          <w:rFonts w:ascii="Times New Roman" w:hAnsi="Times New Roman" w:cs="Times New Roman"/>
          <w:color w:val="000000"/>
          <w:sz w:val="24"/>
          <w:szCs w:val="24"/>
        </w:rPr>
        <w:t xml:space="preserve"> As the dreamer understands the death of Christ, so his relationship to the cross changes and he becomes ‘assimilated to it, as the Cross becomes assimilated to Christ’.</w:t>
      </w:r>
      <w:r w:rsidRPr="00241DBD">
        <w:rPr>
          <w:rStyle w:val="FootnoteReference"/>
          <w:rFonts w:ascii="Times New Roman" w:hAnsi="Times New Roman" w:cs="Times New Roman"/>
          <w:color w:val="000000"/>
          <w:sz w:val="24"/>
          <w:szCs w:val="24"/>
        </w:rPr>
        <w:footnoteReference w:id="80"/>
      </w:r>
      <w:r w:rsidRPr="00241DBD">
        <w:rPr>
          <w:rFonts w:ascii="Times New Roman" w:hAnsi="Times New Roman" w:cs="Times New Roman"/>
          <w:color w:val="000000"/>
          <w:sz w:val="24"/>
          <w:szCs w:val="24"/>
        </w:rPr>
        <w:t xml:space="preserve"> By sharing in the sufferings of Christ, through devotion to the cross, the dreamer may also share in the glory of Christ. The qualities of the heroic figure are therefore to not only be discovered in the poem itself but also by virtue of experiencing the poem. The qualities encountered are thus efficacious and become a part of the reader’s lived experience. As del Mastro argues, ‘each of the participants in the poem has used Germanic realities paradoxically, so must each audience member, each </w:t>
      </w:r>
      <w:r w:rsidRPr="00241DBD">
        <w:rPr>
          <w:rFonts w:ascii="Times New Roman" w:hAnsi="Times New Roman" w:cs="Times New Roman"/>
          <w:i/>
          <w:color w:val="000000"/>
          <w:sz w:val="24"/>
          <w:szCs w:val="24"/>
        </w:rPr>
        <w:t>miles Christi</w:t>
      </w:r>
      <w:r w:rsidRPr="00241DBD">
        <w:rPr>
          <w:rFonts w:ascii="Times New Roman" w:hAnsi="Times New Roman" w:cs="Times New Roman"/>
          <w:color w:val="000000"/>
          <w:sz w:val="24"/>
          <w:szCs w:val="24"/>
        </w:rPr>
        <w:t>, in his turn, live out reversed retainer-service, his militia, in terms of his own mode of being and life-circumstances’.</w:t>
      </w:r>
      <w:r w:rsidRPr="00241DBD">
        <w:rPr>
          <w:rStyle w:val="FootnoteReference"/>
          <w:rFonts w:ascii="Times New Roman" w:hAnsi="Times New Roman" w:cs="Times New Roman"/>
          <w:color w:val="000000"/>
          <w:sz w:val="24"/>
          <w:szCs w:val="24"/>
        </w:rPr>
        <w:footnoteReference w:id="81"/>
      </w:r>
    </w:p>
    <w:p w14:paraId="7336CEE0"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p>
    <w:p w14:paraId="18AB5AFE" w14:textId="77777777" w:rsidR="00B42944" w:rsidRPr="00241DBD" w:rsidRDefault="00B42944" w:rsidP="00B42944">
      <w:pPr>
        <w:widowControl w:val="0"/>
        <w:autoSpaceDE w:val="0"/>
        <w:autoSpaceDN w:val="0"/>
        <w:adjustRightInd w:val="0"/>
        <w:spacing w:line="480" w:lineRule="auto"/>
        <w:rPr>
          <w:rFonts w:ascii="Times New Roman" w:hAnsi="Times New Roman" w:cs="Times New Roman"/>
          <w:color w:val="000000"/>
          <w:sz w:val="24"/>
          <w:szCs w:val="24"/>
        </w:rPr>
      </w:pPr>
      <w:r w:rsidRPr="00241DBD">
        <w:rPr>
          <w:rFonts w:ascii="Times New Roman" w:hAnsi="Times New Roman" w:cs="Times New Roman"/>
          <w:sz w:val="24"/>
          <w:szCs w:val="24"/>
        </w:rPr>
        <w:t xml:space="preserve">Robinson’s </w:t>
      </w:r>
      <w:r w:rsidRPr="00241DBD">
        <w:rPr>
          <w:rFonts w:ascii="Times New Roman" w:eastAsia="Times New Roman" w:hAnsi="Times New Roman" w:cs="Times New Roman"/>
          <w:sz w:val="24"/>
          <w:szCs w:val="24"/>
        </w:rPr>
        <w:t>Sir Israel Gollancz Memorial Lecture entitled, ‘Beowulf in the Twentieth Century’, acknowledges JRR Tolkien’s Gollancz Lecture of 1936, which Robinson says ‘will never be equalled’.</w:t>
      </w:r>
      <w:r w:rsidRPr="00241DBD">
        <w:rPr>
          <w:rStyle w:val="FootnoteReference"/>
          <w:rFonts w:ascii="Times New Roman" w:eastAsia="Times New Roman" w:hAnsi="Times New Roman" w:cs="Times New Roman"/>
          <w:sz w:val="24"/>
          <w:szCs w:val="24"/>
        </w:rPr>
        <w:footnoteReference w:id="82"/>
      </w:r>
      <w:r w:rsidRPr="00241DBD">
        <w:rPr>
          <w:rFonts w:ascii="Times New Roman" w:eastAsia="Times New Roman" w:hAnsi="Times New Roman" w:cs="Times New Roman"/>
          <w:sz w:val="24"/>
          <w:szCs w:val="24"/>
        </w:rPr>
        <w:t xml:space="preserve"> Robinson says that largely because of Tolkien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xml:space="preserve"> has achieved the status it richly deserves. </w:t>
      </w:r>
      <w:r w:rsidRPr="00241DBD">
        <w:rPr>
          <w:rFonts w:ascii="Times New Roman" w:eastAsia="Times New Roman" w:hAnsi="Times New Roman" w:cs="Times New Roman"/>
          <w:color w:val="000000"/>
          <w:sz w:val="24"/>
          <w:szCs w:val="24"/>
        </w:rPr>
        <w:t xml:space="preserve">During the twentieth century, through developments in research into religion, art, literature and archaeological discoveries, the significance and impact of </w:t>
      </w:r>
      <w:r w:rsidRPr="00241DBD">
        <w:rPr>
          <w:rFonts w:ascii="Times New Roman" w:eastAsia="Times New Roman" w:hAnsi="Times New Roman" w:cs="Times New Roman"/>
          <w:i/>
          <w:color w:val="000000"/>
          <w:sz w:val="24"/>
          <w:szCs w:val="24"/>
        </w:rPr>
        <w:t>Beowulf</w:t>
      </w:r>
      <w:r w:rsidRPr="00241DBD">
        <w:rPr>
          <w:rFonts w:ascii="Times New Roman" w:eastAsia="Times New Roman" w:hAnsi="Times New Roman" w:cs="Times New Roman"/>
          <w:color w:val="000000"/>
          <w:sz w:val="24"/>
          <w:szCs w:val="24"/>
        </w:rPr>
        <w:t xml:space="preserve"> has shed light on the ‘poem's place within its culture’.</w:t>
      </w:r>
      <w:r w:rsidRPr="00241DBD">
        <w:rPr>
          <w:rStyle w:val="FootnoteReference"/>
          <w:rFonts w:ascii="Times New Roman" w:eastAsia="Times New Roman" w:hAnsi="Times New Roman" w:cs="Times New Roman"/>
          <w:color w:val="000000"/>
          <w:sz w:val="24"/>
          <w:szCs w:val="24"/>
        </w:rPr>
        <w:footnoteReference w:id="83"/>
      </w:r>
      <w:r w:rsidRPr="00241DBD">
        <w:rPr>
          <w:rFonts w:ascii="Times New Roman" w:eastAsia="Times New Roman" w:hAnsi="Times New Roman" w:cs="Times New Roman"/>
          <w:color w:val="000000"/>
          <w:sz w:val="24"/>
          <w:szCs w:val="24"/>
        </w:rPr>
        <w:t xml:space="preserve"> Historically the text has divided scholarly opinion with many disagreeing on whether it is allegorical or literal, oral or written, or pagan or Christian. Fundamental information such as the poem's author, date and place of </w:t>
      </w:r>
      <w:r w:rsidRPr="00241DBD">
        <w:rPr>
          <w:rFonts w:ascii="Times New Roman" w:eastAsia="Times New Roman" w:hAnsi="Times New Roman" w:cs="Times New Roman"/>
          <w:color w:val="000000"/>
          <w:sz w:val="24"/>
          <w:szCs w:val="24"/>
        </w:rPr>
        <w:lastRenderedPageBreak/>
        <w:t>origin, however, are still unclear and are often disputed about among scholars. Some seek answers by over analysing what little evidence is available to us whereas others ‘have turned to voodoo numerology,’</w:t>
      </w:r>
      <w:r w:rsidRPr="00241DBD">
        <w:rPr>
          <w:rStyle w:val="FootnoteReference"/>
          <w:rFonts w:ascii="Times New Roman" w:eastAsia="Times New Roman" w:hAnsi="Times New Roman" w:cs="Times New Roman"/>
          <w:color w:val="000000"/>
          <w:sz w:val="24"/>
          <w:szCs w:val="24"/>
        </w:rPr>
        <w:footnoteReference w:id="84"/>
      </w:r>
      <w:r w:rsidRPr="00241DBD">
        <w:rPr>
          <w:rFonts w:ascii="Times New Roman" w:eastAsia="Times New Roman" w:hAnsi="Times New Roman" w:cs="Times New Roman"/>
          <w:color w:val="000000"/>
          <w:sz w:val="24"/>
          <w:szCs w:val="24"/>
        </w:rPr>
        <w:t xml:space="preserve"> which for Robinson, despite some choosing to explore such avenues, ‘happily, fewer yet are those who follow them’.</w:t>
      </w:r>
      <w:r w:rsidRPr="00241DBD">
        <w:rPr>
          <w:rStyle w:val="FootnoteReference"/>
          <w:rFonts w:ascii="Times New Roman" w:eastAsia="Times New Roman" w:hAnsi="Times New Roman" w:cs="Times New Roman"/>
          <w:color w:val="000000"/>
          <w:sz w:val="24"/>
          <w:szCs w:val="24"/>
        </w:rPr>
        <w:footnoteReference w:id="85"/>
      </w:r>
      <w:r w:rsidRPr="00241DBD">
        <w:rPr>
          <w:rFonts w:ascii="Times New Roman" w:eastAsia="Times New Roman" w:hAnsi="Times New Roman" w:cs="Times New Roman"/>
          <w:sz w:val="24"/>
          <w:szCs w:val="24"/>
        </w:rPr>
        <w:t xml:space="preserve"> His article contains an interesting challenge as Robinson argues that, whilst the so-called ‘Klæber consensus’ served the 20</w:t>
      </w:r>
      <w:r w:rsidRPr="00241DBD">
        <w:rPr>
          <w:rFonts w:ascii="Times New Roman" w:eastAsia="Times New Roman" w:hAnsi="Times New Roman" w:cs="Times New Roman"/>
          <w:sz w:val="24"/>
          <w:szCs w:val="24"/>
          <w:vertAlign w:val="superscript"/>
        </w:rPr>
        <w:t>th</w:t>
      </w:r>
      <w:r w:rsidRPr="00241DBD">
        <w:rPr>
          <w:rFonts w:ascii="Times New Roman" w:eastAsia="Times New Roman" w:hAnsi="Times New Roman" w:cs="Times New Roman"/>
          <w:sz w:val="24"/>
          <w:szCs w:val="24"/>
        </w:rPr>
        <w:t xml:space="preserve"> century well, there was a need for a new ‘consensus’ for those engaging with the text in the 21</w:t>
      </w:r>
      <w:r w:rsidRPr="00241DBD">
        <w:rPr>
          <w:rFonts w:ascii="Times New Roman" w:eastAsia="Times New Roman" w:hAnsi="Times New Roman" w:cs="Times New Roman"/>
          <w:sz w:val="24"/>
          <w:szCs w:val="24"/>
          <w:vertAlign w:val="superscript"/>
        </w:rPr>
        <w:t>st</w:t>
      </w:r>
      <w:r w:rsidRPr="00241DBD">
        <w:rPr>
          <w:rFonts w:ascii="Times New Roman" w:eastAsia="Times New Roman" w:hAnsi="Times New Roman" w:cs="Times New Roman"/>
          <w:sz w:val="24"/>
          <w:szCs w:val="24"/>
        </w:rPr>
        <w:t xml:space="preserve"> century.</w:t>
      </w:r>
      <w:r w:rsidRPr="00241DBD">
        <w:rPr>
          <w:rStyle w:val="FootnoteReference"/>
          <w:rFonts w:ascii="Times New Roman" w:eastAsia="Times New Roman" w:hAnsi="Times New Roman" w:cs="Times New Roman"/>
          <w:sz w:val="24"/>
          <w:szCs w:val="24"/>
        </w:rPr>
        <w:footnoteReference w:id="86"/>
      </w:r>
    </w:p>
    <w:p w14:paraId="00CE803E" w14:textId="77777777" w:rsidR="00B42944" w:rsidRPr="00241DBD" w:rsidRDefault="00B42944" w:rsidP="00B42944">
      <w:pPr>
        <w:spacing w:line="480" w:lineRule="auto"/>
        <w:rPr>
          <w:rFonts w:ascii="Times New Roman" w:eastAsia="Times New Roman" w:hAnsi="Times New Roman" w:cs="Times New Roman"/>
          <w:sz w:val="24"/>
          <w:szCs w:val="24"/>
        </w:rPr>
      </w:pPr>
    </w:p>
    <w:p w14:paraId="0D1A8652" w14:textId="77777777" w:rsidR="00B42944" w:rsidRPr="00241DBD" w:rsidRDefault="00B42944" w:rsidP="00B42944">
      <w:pPr>
        <w:spacing w:line="480" w:lineRule="auto"/>
        <w:rPr>
          <w:rFonts w:ascii="Times New Roman" w:eastAsia="Times New Roman" w:hAnsi="Times New Roman" w:cs="Times New Roman"/>
          <w:sz w:val="24"/>
          <w:szCs w:val="24"/>
        </w:rPr>
      </w:pPr>
      <w:r w:rsidRPr="00241DBD">
        <w:rPr>
          <w:rFonts w:ascii="Times New Roman" w:hAnsi="Times New Roman" w:cs="Times New Roman"/>
          <w:sz w:val="24"/>
          <w:szCs w:val="24"/>
        </w:rPr>
        <w:t>Kaske boldly states that ‘</w:t>
      </w:r>
      <w:r w:rsidRPr="00241DBD">
        <w:rPr>
          <w:rFonts w:ascii="Times New Roman" w:hAnsi="Times New Roman" w:cs="Times New Roman"/>
          <w:i/>
          <w:sz w:val="24"/>
          <w:szCs w:val="24"/>
        </w:rPr>
        <w:t xml:space="preserve">Beowulf </w:t>
      </w:r>
      <w:r w:rsidRPr="00241DBD">
        <w:rPr>
          <w:rFonts w:ascii="Times New Roman" w:hAnsi="Times New Roman" w:cs="Times New Roman"/>
          <w:sz w:val="24"/>
          <w:szCs w:val="24"/>
        </w:rPr>
        <w:t>is a poem essentially about a hero and heroism’.</w:t>
      </w:r>
      <w:r w:rsidRPr="00241DBD">
        <w:rPr>
          <w:rStyle w:val="FootnoteReference"/>
          <w:rFonts w:ascii="Times New Roman" w:hAnsi="Times New Roman" w:cs="Times New Roman"/>
          <w:sz w:val="24"/>
          <w:szCs w:val="24"/>
        </w:rPr>
        <w:footnoteReference w:id="87"/>
      </w:r>
      <w:r w:rsidRPr="00241DBD">
        <w:rPr>
          <w:rFonts w:ascii="Times New Roman" w:hAnsi="Times New Roman" w:cs="Times New Roman"/>
          <w:sz w:val="24"/>
          <w:szCs w:val="24"/>
        </w:rPr>
        <w:t xml:space="preserve"> Indeed, </w:t>
      </w:r>
      <w:r w:rsidRPr="00241DBD">
        <w:rPr>
          <w:rFonts w:ascii="Times New Roman" w:hAnsi="Times New Roman" w:cs="Times New Roman"/>
          <w:i/>
          <w:sz w:val="24"/>
          <w:szCs w:val="24"/>
        </w:rPr>
        <w:t>Beowulf</w:t>
      </w:r>
      <w:r w:rsidRPr="00241DBD">
        <w:rPr>
          <w:rFonts w:ascii="Times New Roman" w:hAnsi="Times New Roman" w:cs="Times New Roman"/>
          <w:sz w:val="24"/>
          <w:szCs w:val="24"/>
        </w:rPr>
        <w:t xml:space="preserve"> is seen as ‘the quintessential hero’.</w:t>
      </w:r>
      <w:r w:rsidRPr="00241DBD">
        <w:rPr>
          <w:rStyle w:val="FootnoteReference"/>
          <w:rFonts w:ascii="Times New Roman" w:hAnsi="Times New Roman" w:cs="Times New Roman"/>
          <w:sz w:val="24"/>
          <w:szCs w:val="24"/>
        </w:rPr>
        <w:footnoteReference w:id="88"/>
      </w:r>
      <w:r w:rsidRPr="00241DBD">
        <w:rPr>
          <w:rFonts w:ascii="Times New Roman" w:hAnsi="Times New Roman" w:cs="Times New Roman"/>
          <w:sz w:val="24"/>
          <w:szCs w:val="24"/>
        </w:rPr>
        <w:t xml:space="preserve"> The impact of </w:t>
      </w:r>
      <w:r w:rsidRPr="00241DBD">
        <w:rPr>
          <w:rFonts w:ascii="Times New Roman" w:hAnsi="Times New Roman" w:cs="Times New Roman"/>
          <w:i/>
          <w:sz w:val="24"/>
          <w:szCs w:val="24"/>
        </w:rPr>
        <w:t>Beowulf</w:t>
      </w:r>
      <w:r w:rsidRPr="00241DBD">
        <w:rPr>
          <w:rFonts w:ascii="Times New Roman" w:hAnsi="Times New Roman" w:cs="Times New Roman"/>
          <w:sz w:val="24"/>
          <w:szCs w:val="24"/>
        </w:rPr>
        <w:t xml:space="preserve"> on wider literature and our understanding of what constitutes the figure of a hero have been highly significant. Whilst </w:t>
      </w:r>
      <w:r w:rsidRPr="00241DBD">
        <w:rPr>
          <w:rFonts w:ascii="Times New Roman" w:eastAsia="Times New Roman" w:hAnsi="Times New Roman" w:cs="Times New Roman"/>
          <w:sz w:val="24"/>
          <w:szCs w:val="24"/>
        </w:rPr>
        <w:t>there is, according to Neidorf, considerable debate about, ‘if Beowulf is fictional, was he drawn from the stock of traditional legendary heroes or was he invented by the poet?’</w:t>
      </w:r>
      <w:r w:rsidRPr="00241DBD">
        <w:rPr>
          <w:rStyle w:val="FootnoteReference"/>
          <w:rFonts w:ascii="Times New Roman" w:eastAsia="Times New Roman" w:hAnsi="Times New Roman" w:cs="Times New Roman"/>
          <w:sz w:val="24"/>
          <w:szCs w:val="24"/>
        </w:rPr>
        <w:footnoteReference w:id="89"/>
      </w:r>
      <w:r w:rsidRPr="00241DBD">
        <w:rPr>
          <w:rFonts w:ascii="Times New Roman" w:eastAsia="Times New Roman" w:hAnsi="Times New Roman" w:cs="Times New Roman"/>
          <w:sz w:val="24"/>
          <w:szCs w:val="24"/>
        </w:rPr>
        <w:t xml:space="preserve"> Nevertheless,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xml:space="preserve"> provides a benchmark by which we can debate what is considered as heroic. Fisher provides a useful definition of what constitutes a hero, which helps us to unite</w:t>
      </w:r>
      <w:r w:rsidRPr="00241DBD">
        <w:rPr>
          <w:rFonts w:ascii="Times New Roman" w:hAnsi="Times New Roman" w:cs="Times New Roman"/>
          <w:i/>
          <w:sz w:val="24"/>
          <w:szCs w:val="24"/>
        </w:rPr>
        <w:t xml:space="preserve"> The Battle of Maldon, The Wanderer, The Dream of the Rood </w:t>
      </w:r>
      <w:r w:rsidRPr="00241DBD">
        <w:rPr>
          <w:rFonts w:ascii="Times New Roman" w:hAnsi="Times New Roman" w:cs="Times New Roman"/>
          <w:sz w:val="24"/>
          <w:szCs w:val="24"/>
        </w:rPr>
        <w:t>and</w:t>
      </w:r>
      <w:r w:rsidRPr="00241DBD">
        <w:rPr>
          <w:rFonts w:ascii="Times New Roman" w:hAnsi="Times New Roman" w:cs="Times New Roman"/>
          <w:i/>
          <w:sz w:val="24"/>
          <w:szCs w:val="24"/>
        </w:rPr>
        <w:t xml:space="preserve"> Beowulf</w:t>
      </w:r>
      <w:r w:rsidRPr="00241DBD">
        <w:rPr>
          <w:rFonts w:ascii="Times New Roman" w:eastAsia="Times New Roman" w:hAnsi="Times New Roman" w:cs="Times New Roman"/>
          <w:sz w:val="24"/>
          <w:szCs w:val="24"/>
        </w:rPr>
        <w:t xml:space="preserve">: </w:t>
      </w:r>
    </w:p>
    <w:p w14:paraId="4D9FA951" w14:textId="77777777" w:rsidR="00B42944" w:rsidRPr="00241DBD" w:rsidRDefault="00B42944" w:rsidP="00B42944">
      <w:pPr>
        <w:rPr>
          <w:rFonts w:ascii="Times New Roman" w:hAnsi="Times New Roman" w:cs="Times New Roman"/>
          <w:sz w:val="24"/>
          <w:szCs w:val="24"/>
        </w:rPr>
      </w:pPr>
    </w:p>
    <w:p w14:paraId="012F703E" w14:textId="77777777" w:rsidR="00B42944" w:rsidRPr="00241DBD" w:rsidRDefault="00B42944" w:rsidP="00B42944">
      <w:pPr>
        <w:ind w:left="720"/>
        <w:rPr>
          <w:rFonts w:ascii="Times New Roman" w:hAnsi="Times New Roman" w:cs="Times New Roman"/>
          <w:sz w:val="24"/>
          <w:szCs w:val="24"/>
        </w:rPr>
      </w:pPr>
      <w:r w:rsidRPr="00241DBD">
        <w:rPr>
          <w:rFonts w:ascii="Times New Roman" w:hAnsi="Times New Roman" w:cs="Times New Roman"/>
          <w:sz w:val="24"/>
          <w:szCs w:val="24"/>
        </w:rPr>
        <w:t xml:space="preserve">‘[T]he conception of the hero derived from classical antiquity is that of a man who transcends the ordinary scope of human actions, and who aspires to divine honours. He is in a manner of speaking, the athlete of the Gods. The impact of his life which has enriched the traditions of his people exalts his struggle into a universal myth of </w:t>
      </w:r>
      <w:r w:rsidRPr="00241DBD">
        <w:rPr>
          <w:rFonts w:ascii="Times New Roman" w:hAnsi="Times New Roman" w:cs="Times New Roman"/>
          <w:sz w:val="24"/>
          <w:szCs w:val="24"/>
        </w:rPr>
        <w:lastRenderedPageBreak/>
        <w:t>the conflict which man wages in the field of his earthly environment to realise and assert his humanity. In the pursuit of this goal, the hero, unlike his fellows, goes beyond social convention and ordinary rewards’.</w:t>
      </w:r>
      <w:r w:rsidRPr="00241DBD">
        <w:rPr>
          <w:rStyle w:val="FootnoteReference"/>
          <w:rFonts w:ascii="Times New Roman" w:hAnsi="Times New Roman" w:cs="Times New Roman"/>
          <w:sz w:val="24"/>
          <w:szCs w:val="24"/>
        </w:rPr>
        <w:footnoteReference w:id="90"/>
      </w:r>
    </w:p>
    <w:p w14:paraId="13F1B439" w14:textId="77777777" w:rsidR="00B42944" w:rsidRPr="00241DBD" w:rsidRDefault="00B42944" w:rsidP="00B42944">
      <w:pPr>
        <w:spacing w:line="480" w:lineRule="auto"/>
        <w:rPr>
          <w:rFonts w:ascii="Times New Roman" w:eastAsia="Times New Roman" w:hAnsi="Times New Roman" w:cs="Times New Roman"/>
          <w:sz w:val="24"/>
          <w:szCs w:val="24"/>
        </w:rPr>
      </w:pPr>
    </w:p>
    <w:p w14:paraId="3A9B9CF1" w14:textId="77777777" w:rsidR="00B42944" w:rsidRPr="00241DBD" w:rsidRDefault="00B42944" w:rsidP="00B42944">
      <w:pPr>
        <w:spacing w:line="480" w:lineRule="auto"/>
        <w:rPr>
          <w:rFonts w:ascii="Times New Roman" w:eastAsia="Times New Roman" w:hAnsi="Times New Roman" w:cs="Times New Roman"/>
          <w:sz w:val="24"/>
          <w:szCs w:val="24"/>
        </w:rPr>
      </w:pPr>
      <w:r w:rsidRPr="00241DBD">
        <w:rPr>
          <w:rFonts w:ascii="Times New Roman" w:eastAsia="Times New Roman" w:hAnsi="Times New Roman" w:cs="Times New Roman"/>
          <w:sz w:val="24"/>
          <w:szCs w:val="24"/>
        </w:rPr>
        <w:t xml:space="preserve">The main characteristics of Old English poetry can be said to derive from Germanic tribes, Christian ideals and classical antiquity. </w:t>
      </w:r>
      <w:r w:rsidRPr="00241DBD">
        <w:rPr>
          <w:rFonts w:ascii="Times New Roman" w:hAnsi="Times New Roman" w:cs="Times New Roman"/>
          <w:sz w:val="24"/>
          <w:szCs w:val="24"/>
        </w:rPr>
        <w:t xml:space="preserve">As </w:t>
      </w:r>
      <w:r w:rsidRPr="00241DBD">
        <w:rPr>
          <w:rFonts w:ascii="Times New Roman" w:hAnsi="Times New Roman" w:cs="Times New Roman"/>
          <w:color w:val="1A1718"/>
          <w:sz w:val="24"/>
          <w:szCs w:val="24"/>
        </w:rPr>
        <w:t xml:space="preserve">Huppé points out ‘there is a no </w:t>
      </w:r>
      <w:r w:rsidRPr="00241DBD">
        <w:rPr>
          <w:rFonts w:ascii="Times New Roman" w:hAnsi="Times New Roman" w:cs="Times New Roman"/>
          <w:i/>
          <w:color w:val="1A1718"/>
          <w:sz w:val="24"/>
          <w:szCs w:val="24"/>
        </w:rPr>
        <w:t>a priori</w:t>
      </w:r>
      <w:r w:rsidRPr="00241DBD">
        <w:rPr>
          <w:rFonts w:ascii="Times New Roman" w:hAnsi="Times New Roman" w:cs="Times New Roman"/>
          <w:color w:val="1A1718"/>
          <w:sz w:val="24"/>
          <w:szCs w:val="24"/>
        </w:rPr>
        <w:t xml:space="preserve"> difficulty in assuming that an Old English poem contains narrative and didactic, heathen and Christian elements’.</w:t>
      </w:r>
      <w:r w:rsidRPr="00241DBD">
        <w:rPr>
          <w:rStyle w:val="FootnoteReference"/>
          <w:rFonts w:ascii="Times New Roman" w:hAnsi="Times New Roman" w:cs="Times New Roman"/>
          <w:color w:val="1A1718"/>
          <w:sz w:val="24"/>
          <w:szCs w:val="24"/>
        </w:rPr>
        <w:footnoteReference w:id="91"/>
      </w:r>
      <w:r w:rsidRPr="00241DBD">
        <w:rPr>
          <w:rFonts w:ascii="Times New Roman" w:eastAsia="Times New Roman" w:hAnsi="Times New Roman" w:cs="Times New Roman"/>
          <w:sz w:val="24"/>
          <w:szCs w:val="24"/>
        </w:rPr>
        <w:t xml:space="preserve"> Neidorf argues that, </w:t>
      </w:r>
      <w:r w:rsidRPr="00241DBD">
        <w:rPr>
          <w:rFonts w:ascii="Times New Roman" w:hAnsi="Times New Roman" w:cs="Times New Roman"/>
          <w:sz w:val="24"/>
          <w:szCs w:val="24"/>
        </w:rPr>
        <w:t>‘the dynamic weaving of tradition and individual talent provides Beowulf with much of its aesthetic texture and is doubtless a fundamental reason why audiences continue to admire this ancient poem even today’.</w:t>
      </w:r>
      <w:r w:rsidRPr="00241DBD">
        <w:rPr>
          <w:rStyle w:val="FootnoteReference"/>
          <w:rFonts w:ascii="Times New Roman" w:hAnsi="Times New Roman" w:cs="Times New Roman"/>
          <w:sz w:val="24"/>
          <w:szCs w:val="24"/>
        </w:rPr>
        <w:footnoteReference w:id="92"/>
      </w:r>
      <w:r w:rsidRPr="00241DBD">
        <w:rPr>
          <w:rFonts w:ascii="Times New Roman" w:eastAsia="Times New Roman" w:hAnsi="Times New Roman" w:cs="Times New Roman"/>
          <w:sz w:val="24"/>
          <w:szCs w:val="24"/>
        </w:rPr>
        <w:t xml:space="preserve"> Heroic poetry from the Germanic tribes was valued greatly, with emphasis on familial and tribal kinship as well as acts of bravery. Within a tribe it was expected that the people would possess unwavering loyalty to their king even if it meant giving one's life seeking retribution. In turn similar expectations would apply to a king, such as extending their loyalty to the people through rewards and generosity. If we look at </w:t>
      </w:r>
      <w:r w:rsidRPr="00241DBD">
        <w:rPr>
          <w:rFonts w:ascii="Times New Roman" w:eastAsia="Times New Roman" w:hAnsi="Times New Roman" w:cs="Times New Roman"/>
          <w:i/>
          <w:sz w:val="24"/>
          <w:szCs w:val="24"/>
        </w:rPr>
        <w:t xml:space="preserve">Beowulf </w:t>
      </w:r>
      <w:r w:rsidRPr="00241DBD">
        <w:rPr>
          <w:rFonts w:ascii="Times New Roman" w:eastAsia="Times New Roman" w:hAnsi="Times New Roman" w:cs="Times New Roman"/>
          <w:sz w:val="24"/>
          <w:szCs w:val="24"/>
        </w:rPr>
        <w:t xml:space="preserve">we find similarities with the values of Germanic tribes; supported by his strong relationship with King Hrothgar and his own soldiers,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xml:space="preserve"> seeks to honour the deaths of those killed by courageously slaying Grendel, his mother, and the dragon. Young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’s retainers ‘are praised for their warlike readiness to support their lord (B1246-50)’.</w:t>
      </w:r>
      <w:r w:rsidRPr="00241DBD">
        <w:rPr>
          <w:rStyle w:val="FootnoteReference"/>
          <w:rFonts w:ascii="Times New Roman" w:eastAsia="Times New Roman" w:hAnsi="Times New Roman" w:cs="Times New Roman"/>
          <w:sz w:val="24"/>
          <w:szCs w:val="24"/>
        </w:rPr>
        <w:footnoteReference w:id="93"/>
      </w:r>
      <w:r w:rsidRPr="00241DBD">
        <w:rPr>
          <w:rFonts w:ascii="Times New Roman" w:eastAsia="Times New Roman" w:hAnsi="Times New Roman" w:cs="Times New Roman"/>
          <w:sz w:val="24"/>
          <w:szCs w:val="24"/>
        </w:rPr>
        <w:t xml:space="preserve"> Wiglaf’s speech at the dragon’s lair implies that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’s men had decided to fight unconditionally for their lord. He says that ‘death is better for a warrior than a life of disgrace (2890-1)’</w:t>
      </w:r>
      <w:r w:rsidRPr="00241DBD">
        <w:rPr>
          <w:rStyle w:val="FootnoteReference"/>
          <w:rFonts w:ascii="Times New Roman" w:eastAsia="Times New Roman" w:hAnsi="Times New Roman" w:cs="Times New Roman"/>
          <w:sz w:val="24"/>
          <w:szCs w:val="24"/>
        </w:rPr>
        <w:footnoteReference w:id="94"/>
      </w:r>
      <w:r w:rsidRPr="00241DBD">
        <w:rPr>
          <w:rFonts w:ascii="Times New Roman" w:eastAsia="Times New Roman" w:hAnsi="Times New Roman" w:cs="Times New Roman"/>
          <w:sz w:val="24"/>
          <w:szCs w:val="24"/>
        </w:rPr>
        <w:t xml:space="preserve"> which refers to the life of exile imposed </w:t>
      </w:r>
      <w:r w:rsidRPr="00241DBD">
        <w:rPr>
          <w:rFonts w:ascii="Times New Roman" w:eastAsia="Times New Roman" w:hAnsi="Times New Roman" w:cs="Times New Roman"/>
          <w:sz w:val="24"/>
          <w:szCs w:val="24"/>
        </w:rPr>
        <w:lastRenderedPageBreak/>
        <w:t>on those who flee from battle, ‘the price of cowardice was the loss of land rights for themselves and their kin’.</w:t>
      </w:r>
      <w:r w:rsidRPr="00241DBD">
        <w:rPr>
          <w:rStyle w:val="FootnoteReference"/>
          <w:rFonts w:ascii="Times New Roman" w:eastAsia="Times New Roman" w:hAnsi="Times New Roman" w:cs="Times New Roman"/>
          <w:sz w:val="24"/>
          <w:szCs w:val="24"/>
        </w:rPr>
        <w:footnoteReference w:id="95"/>
      </w:r>
      <w:r w:rsidRPr="00241DBD">
        <w:rPr>
          <w:rFonts w:ascii="Times New Roman" w:eastAsia="Times New Roman" w:hAnsi="Times New Roman" w:cs="Times New Roman"/>
          <w:sz w:val="24"/>
          <w:szCs w:val="24"/>
        </w:rPr>
        <w:t xml:space="preserve"> </w:t>
      </w:r>
    </w:p>
    <w:p w14:paraId="7EE08B4C" w14:textId="77777777" w:rsidR="00B42944" w:rsidRPr="00241DBD" w:rsidRDefault="00B42944" w:rsidP="00B42944">
      <w:pPr>
        <w:spacing w:line="480" w:lineRule="auto"/>
        <w:rPr>
          <w:rFonts w:ascii="Times New Roman" w:eastAsia="Times New Roman" w:hAnsi="Times New Roman" w:cs="Times New Roman"/>
          <w:sz w:val="24"/>
          <w:szCs w:val="24"/>
        </w:rPr>
      </w:pPr>
    </w:p>
    <w:p w14:paraId="074CDE8B" w14:textId="77777777" w:rsidR="00B42944" w:rsidRPr="00241DBD" w:rsidRDefault="00B42944" w:rsidP="00B42944">
      <w:pPr>
        <w:spacing w:line="480" w:lineRule="auto"/>
        <w:rPr>
          <w:rFonts w:ascii="Times New Roman" w:eastAsia="Times New Roman" w:hAnsi="Times New Roman" w:cs="Times New Roman"/>
          <w:sz w:val="24"/>
          <w:szCs w:val="24"/>
        </w:rPr>
      </w:pPr>
      <w:r w:rsidRPr="00241DBD">
        <w:rPr>
          <w:rFonts w:ascii="Times New Roman" w:eastAsia="Times New Roman" w:hAnsi="Times New Roman" w:cs="Times New Roman"/>
          <w:sz w:val="24"/>
          <w:szCs w:val="24"/>
        </w:rPr>
        <w:t>Another characteristic relates to the use of Christian ideals and the way concepts such as heaven, hell and forgiveness are assimilated into Anglo-Saxon poetry. A hero was not only a fearless warrior but also generous and kind to his people. As Dogra says: ‘His strength and courage are unparalleled, and he is much more humble (and honourable) than many of the corrupt warriors around him. Beowulf displays his great strength time after time.’</w:t>
      </w:r>
      <w:r w:rsidRPr="00241DBD">
        <w:rPr>
          <w:rStyle w:val="FootnoteReference"/>
          <w:rFonts w:ascii="Times New Roman" w:eastAsia="Times New Roman" w:hAnsi="Times New Roman" w:cs="Times New Roman"/>
          <w:sz w:val="24"/>
          <w:szCs w:val="24"/>
        </w:rPr>
        <w:footnoteReference w:id="96"/>
      </w:r>
      <w:r w:rsidRPr="00241DBD">
        <w:rPr>
          <w:rFonts w:ascii="Times New Roman" w:eastAsia="Times New Roman" w:hAnsi="Times New Roman" w:cs="Times New Roman"/>
          <w:sz w:val="24"/>
          <w:szCs w:val="24"/>
        </w:rPr>
        <w:t xml:space="preserve"> Greek mythology permeates Old English poetry in the way that heroes, like Hercules, were viewed as not merely mortal but men touched by gods. Known for his incredible strength, Hercules is a hero not dissimilar to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as recalled in the poem: ‘As peace-offering thither, that he thirty men’s grapple / Has in his hand, the hero-in-battle’.</w:t>
      </w:r>
      <w:r w:rsidRPr="00241DBD">
        <w:rPr>
          <w:rStyle w:val="FootnoteReference"/>
          <w:rFonts w:ascii="Times New Roman" w:eastAsia="Times New Roman" w:hAnsi="Times New Roman" w:cs="Times New Roman"/>
          <w:sz w:val="24"/>
          <w:szCs w:val="24"/>
        </w:rPr>
        <w:footnoteReference w:id="97"/>
      </w:r>
      <w:r w:rsidRPr="00241DBD">
        <w:rPr>
          <w:rFonts w:ascii="Times New Roman" w:eastAsia="Times New Roman" w:hAnsi="Times New Roman" w:cs="Times New Roman"/>
          <w:sz w:val="24"/>
          <w:szCs w:val="24"/>
        </w:rPr>
        <w:t xml:space="preserve"> Death is seen as an honourable act for heroes. Hercules preferred death over the pain of his poisoned cloak and even asked the gods to help him end his life. After insisting on fighting the dragon alone in order to save his men,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xml:space="preserve"> is mortally wounded and dies. According to Dogra, an ‘Anglo-Saxon hero “had to be strong, brave, intelligent, and humble, but he must at all times keep his sorrows and fears to himself.” As a warrior the hero must appear stoic and fearless at all times, no matter what. Beowulf is the perfect example of an Anglo-Saxon hero’.</w:t>
      </w:r>
      <w:r w:rsidRPr="00241DBD">
        <w:rPr>
          <w:rStyle w:val="FootnoteReference"/>
          <w:rFonts w:ascii="Times New Roman" w:eastAsia="Times New Roman" w:hAnsi="Times New Roman" w:cs="Times New Roman"/>
          <w:sz w:val="24"/>
          <w:szCs w:val="24"/>
        </w:rPr>
        <w:footnoteReference w:id="98"/>
      </w:r>
      <w:r w:rsidRPr="00241DBD">
        <w:rPr>
          <w:rFonts w:ascii="Times New Roman" w:eastAsia="Times New Roman" w:hAnsi="Times New Roman" w:cs="Times New Roman"/>
          <w:sz w:val="24"/>
          <w:szCs w:val="24"/>
        </w:rPr>
        <w:t xml:space="preserve"> Furthermore, ‘a warrior’s paramount goal is the achievement of a lasting reputation’.</w:t>
      </w:r>
      <w:r w:rsidRPr="00241DBD">
        <w:rPr>
          <w:rStyle w:val="FootnoteReference"/>
          <w:rFonts w:ascii="Times New Roman" w:eastAsia="Times New Roman" w:hAnsi="Times New Roman" w:cs="Times New Roman"/>
          <w:sz w:val="24"/>
          <w:szCs w:val="24"/>
        </w:rPr>
        <w:footnoteReference w:id="99"/>
      </w:r>
      <w:r w:rsidRPr="00241DBD">
        <w:rPr>
          <w:rFonts w:ascii="Times New Roman" w:eastAsia="Times New Roman" w:hAnsi="Times New Roman" w:cs="Times New Roman"/>
          <w:sz w:val="24"/>
          <w:szCs w:val="24"/>
        </w:rPr>
        <w:t xml:space="preserve"> Immortality is an essential element of the heroic figure. </w:t>
      </w:r>
      <w:r w:rsidRPr="00241DBD">
        <w:rPr>
          <w:rFonts w:ascii="Times New Roman" w:eastAsia="Times New Roman" w:hAnsi="Times New Roman" w:cs="Times New Roman"/>
          <w:i/>
          <w:sz w:val="24"/>
          <w:szCs w:val="24"/>
        </w:rPr>
        <w:t>Beowulf</w:t>
      </w:r>
      <w:r w:rsidRPr="00241DBD">
        <w:rPr>
          <w:rFonts w:ascii="Times New Roman" w:eastAsia="Times New Roman" w:hAnsi="Times New Roman" w:cs="Times New Roman"/>
          <w:sz w:val="24"/>
          <w:szCs w:val="24"/>
        </w:rPr>
        <w:t xml:space="preserve"> requests that his tomb be built on a coastal headland, so that those at sea ‘using the promontory as a landmark, will recall the barrow as </w:t>
      </w:r>
      <w:r w:rsidRPr="00241DBD">
        <w:rPr>
          <w:rFonts w:ascii="Times New Roman" w:eastAsia="Times New Roman" w:hAnsi="Times New Roman" w:cs="Times New Roman"/>
          <w:i/>
          <w:sz w:val="24"/>
          <w:szCs w:val="24"/>
        </w:rPr>
        <w:t>Biowulfes biorh</w:t>
      </w:r>
      <w:r w:rsidRPr="00241DBD">
        <w:rPr>
          <w:rFonts w:ascii="Times New Roman" w:eastAsia="Times New Roman" w:hAnsi="Times New Roman" w:cs="Times New Roman"/>
          <w:sz w:val="24"/>
          <w:szCs w:val="24"/>
        </w:rPr>
        <w:t xml:space="preserve"> (2807). Both his desire for glory and his pursuit of it are this appropriately </w:t>
      </w:r>
      <w:r w:rsidRPr="00241DBD">
        <w:rPr>
          <w:rFonts w:ascii="Times New Roman" w:eastAsia="Times New Roman" w:hAnsi="Times New Roman" w:cs="Times New Roman"/>
          <w:sz w:val="24"/>
          <w:szCs w:val="24"/>
        </w:rPr>
        <w:lastRenderedPageBreak/>
        <w:t xml:space="preserve">memorialised in the last word of the poem, where Beowulf’s men praise him as </w:t>
      </w:r>
      <w:r w:rsidRPr="00241DBD">
        <w:rPr>
          <w:rFonts w:ascii="Times New Roman" w:eastAsia="Times New Roman" w:hAnsi="Times New Roman" w:cs="Times New Roman"/>
          <w:i/>
          <w:sz w:val="24"/>
          <w:szCs w:val="24"/>
        </w:rPr>
        <w:t>lofgeornost</w:t>
      </w:r>
      <w:r w:rsidRPr="00241DBD">
        <w:rPr>
          <w:rFonts w:ascii="Times New Roman" w:eastAsia="Times New Roman" w:hAnsi="Times New Roman" w:cs="Times New Roman"/>
          <w:sz w:val="24"/>
          <w:szCs w:val="24"/>
        </w:rPr>
        <w:t xml:space="preserve"> (‘most eager for glory’)’.</w:t>
      </w:r>
      <w:r w:rsidRPr="00241DBD">
        <w:rPr>
          <w:rStyle w:val="FootnoteReference"/>
          <w:rFonts w:ascii="Times New Roman" w:eastAsia="Times New Roman" w:hAnsi="Times New Roman" w:cs="Times New Roman"/>
          <w:sz w:val="24"/>
          <w:szCs w:val="24"/>
        </w:rPr>
        <w:footnoteReference w:id="100"/>
      </w:r>
    </w:p>
    <w:p w14:paraId="2B023EC2" w14:textId="77777777" w:rsidR="00B42944" w:rsidRPr="00241DBD" w:rsidRDefault="00B42944" w:rsidP="00B42944">
      <w:pPr>
        <w:spacing w:line="480" w:lineRule="auto"/>
        <w:rPr>
          <w:rFonts w:ascii="Times New Roman" w:eastAsia="Times New Roman" w:hAnsi="Times New Roman" w:cs="Times New Roman"/>
          <w:sz w:val="24"/>
          <w:szCs w:val="24"/>
        </w:rPr>
      </w:pPr>
    </w:p>
    <w:p w14:paraId="102E5E2A" w14:textId="77777777" w:rsidR="00B42944" w:rsidRPr="00241DBD" w:rsidRDefault="00B42944" w:rsidP="00B42944">
      <w:pPr>
        <w:spacing w:line="480" w:lineRule="auto"/>
        <w:rPr>
          <w:rFonts w:ascii="Times New Roman" w:hAnsi="Times New Roman" w:cs="Times New Roman"/>
          <w:sz w:val="24"/>
          <w:szCs w:val="24"/>
        </w:rPr>
      </w:pPr>
      <w:r w:rsidRPr="00241DBD">
        <w:rPr>
          <w:rFonts w:ascii="Times New Roman" w:hAnsi="Times New Roman" w:cs="Times New Roman"/>
          <w:sz w:val="24"/>
          <w:szCs w:val="24"/>
        </w:rPr>
        <w:t xml:space="preserve">For Kaske, the concept of heroism in </w:t>
      </w:r>
      <w:r w:rsidRPr="00241DBD">
        <w:rPr>
          <w:rFonts w:ascii="Times New Roman" w:hAnsi="Times New Roman" w:cs="Times New Roman"/>
          <w:i/>
          <w:sz w:val="24"/>
          <w:szCs w:val="24"/>
        </w:rPr>
        <w:t xml:space="preserve">Beowulf </w:t>
      </w:r>
      <w:r w:rsidRPr="00241DBD">
        <w:rPr>
          <w:rFonts w:ascii="Times New Roman" w:hAnsi="Times New Roman" w:cs="Times New Roman"/>
          <w:sz w:val="24"/>
          <w:szCs w:val="24"/>
        </w:rPr>
        <w:t xml:space="preserve">is dependent on the concept of </w:t>
      </w:r>
      <w:r w:rsidRPr="00241DBD">
        <w:rPr>
          <w:rFonts w:ascii="Times New Roman" w:hAnsi="Times New Roman" w:cs="Times New Roman"/>
          <w:i/>
          <w:sz w:val="24"/>
          <w:szCs w:val="24"/>
        </w:rPr>
        <w:t xml:space="preserve">sapientia et fortitudo </w:t>
      </w:r>
      <w:r w:rsidRPr="00241DBD">
        <w:rPr>
          <w:rFonts w:ascii="Times New Roman" w:hAnsi="Times New Roman" w:cs="Times New Roman"/>
          <w:sz w:val="24"/>
          <w:szCs w:val="24"/>
        </w:rPr>
        <w:t>and he argues that this idea pervades the entire poem.</w:t>
      </w:r>
      <w:r w:rsidRPr="00241DBD">
        <w:rPr>
          <w:rStyle w:val="FootnoteReference"/>
          <w:rFonts w:ascii="Times New Roman" w:hAnsi="Times New Roman" w:cs="Times New Roman"/>
          <w:sz w:val="24"/>
          <w:szCs w:val="24"/>
        </w:rPr>
        <w:footnoteReference w:id="101"/>
      </w:r>
      <w:r w:rsidRPr="00241DBD">
        <w:rPr>
          <w:rFonts w:ascii="Times New Roman" w:hAnsi="Times New Roman" w:cs="Times New Roman"/>
          <w:sz w:val="24"/>
          <w:szCs w:val="24"/>
        </w:rPr>
        <w:t xml:space="preserve"> Kaske believes that the author of the poem would have encountered </w:t>
      </w:r>
      <w:r w:rsidRPr="00241DBD">
        <w:rPr>
          <w:rFonts w:ascii="Times New Roman" w:hAnsi="Times New Roman" w:cs="Times New Roman"/>
          <w:i/>
          <w:sz w:val="24"/>
          <w:szCs w:val="24"/>
        </w:rPr>
        <w:t>sapientia et fortitudo</w:t>
      </w:r>
      <w:r w:rsidRPr="00241DBD">
        <w:rPr>
          <w:rFonts w:ascii="Times New Roman" w:hAnsi="Times New Roman" w:cs="Times New Roman"/>
          <w:sz w:val="24"/>
          <w:szCs w:val="24"/>
        </w:rPr>
        <w:t xml:space="preserve"> in the literature of the day. In terms of what constitutes a heroic figure, </w:t>
      </w:r>
      <w:r w:rsidRPr="00241DBD">
        <w:rPr>
          <w:rFonts w:ascii="Times New Roman" w:hAnsi="Times New Roman" w:cs="Times New Roman"/>
          <w:i/>
          <w:sz w:val="24"/>
          <w:szCs w:val="24"/>
        </w:rPr>
        <w:t>fortitudo</w:t>
      </w:r>
      <w:r w:rsidRPr="00241DBD">
        <w:rPr>
          <w:rFonts w:ascii="Times New Roman" w:hAnsi="Times New Roman" w:cs="Times New Roman"/>
          <w:sz w:val="24"/>
          <w:szCs w:val="24"/>
        </w:rPr>
        <w:t xml:space="preserve"> suggests courage and physical might. Whilst </w:t>
      </w:r>
      <w:r w:rsidRPr="00241DBD">
        <w:rPr>
          <w:rFonts w:ascii="Times New Roman" w:hAnsi="Times New Roman" w:cs="Times New Roman"/>
          <w:i/>
          <w:sz w:val="24"/>
          <w:szCs w:val="24"/>
        </w:rPr>
        <w:t>sapientia</w:t>
      </w:r>
      <w:r w:rsidRPr="00241DBD">
        <w:rPr>
          <w:rFonts w:ascii="Times New Roman" w:hAnsi="Times New Roman" w:cs="Times New Roman"/>
          <w:sz w:val="24"/>
          <w:szCs w:val="24"/>
        </w:rPr>
        <w:t>, seems to have included an ‘eclectic concept including such diverse qualities as practical cleverness, skill in words and works, knowledge of the past, ability to predict accurately, prudence, understanding, and the ability to choose and direct one’s conduct rightly’.</w:t>
      </w:r>
      <w:r w:rsidRPr="00241DBD">
        <w:rPr>
          <w:rStyle w:val="FootnoteReference"/>
          <w:rFonts w:ascii="Times New Roman" w:hAnsi="Times New Roman" w:cs="Times New Roman"/>
          <w:sz w:val="24"/>
          <w:szCs w:val="24"/>
        </w:rPr>
        <w:footnoteReference w:id="102"/>
      </w:r>
      <w:r w:rsidRPr="00241DBD">
        <w:rPr>
          <w:rFonts w:ascii="Times New Roman" w:hAnsi="Times New Roman" w:cs="Times New Roman"/>
          <w:sz w:val="24"/>
          <w:szCs w:val="24"/>
        </w:rPr>
        <w:t xml:space="preserve"> What is worthy of note is that this understanding of heroism is different from an Augustinian sapiential approach which sees wisdom as something received or revelatory and is the clear rejection of pride, rather than a practical skill. There is also a very worldly dimension of </w:t>
      </w:r>
      <w:r w:rsidRPr="00241DBD">
        <w:rPr>
          <w:rFonts w:ascii="Times New Roman" w:hAnsi="Times New Roman" w:cs="Times New Roman"/>
          <w:i/>
          <w:sz w:val="24"/>
          <w:szCs w:val="24"/>
        </w:rPr>
        <w:t>sapientia</w:t>
      </w:r>
      <w:r w:rsidRPr="00241DBD">
        <w:rPr>
          <w:rFonts w:ascii="Times New Roman" w:hAnsi="Times New Roman" w:cs="Times New Roman"/>
          <w:sz w:val="24"/>
          <w:szCs w:val="24"/>
        </w:rPr>
        <w:t xml:space="preserve"> which </w:t>
      </w:r>
      <w:r w:rsidRPr="00241DBD">
        <w:rPr>
          <w:rFonts w:ascii="Times New Roman" w:hAnsi="Times New Roman" w:cs="Times New Roman"/>
          <w:i/>
          <w:sz w:val="24"/>
          <w:szCs w:val="24"/>
        </w:rPr>
        <w:t>Beowulf</w:t>
      </w:r>
      <w:r w:rsidRPr="00241DBD">
        <w:rPr>
          <w:rFonts w:ascii="Times New Roman" w:hAnsi="Times New Roman" w:cs="Times New Roman"/>
          <w:sz w:val="24"/>
          <w:szCs w:val="24"/>
        </w:rPr>
        <w:t xml:space="preserve"> choses to reject. </w:t>
      </w:r>
      <w:r w:rsidRPr="00241DBD">
        <w:rPr>
          <w:rFonts w:ascii="Times New Roman" w:hAnsi="Times New Roman" w:cs="Times New Roman"/>
          <w:i/>
          <w:sz w:val="24"/>
          <w:szCs w:val="24"/>
        </w:rPr>
        <w:t>Sapientia</w:t>
      </w:r>
      <w:r w:rsidRPr="00241DBD">
        <w:rPr>
          <w:rFonts w:ascii="Times New Roman" w:hAnsi="Times New Roman" w:cs="Times New Roman"/>
          <w:sz w:val="24"/>
          <w:szCs w:val="24"/>
        </w:rPr>
        <w:t xml:space="preserve"> has also been associated with treasure and Gregory the Great saw that its pursuit leads to pride. </w:t>
      </w:r>
      <w:r w:rsidRPr="00241DBD">
        <w:rPr>
          <w:rFonts w:ascii="Times New Roman" w:hAnsi="Times New Roman" w:cs="Times New Roman"/>
          <w:i/>
          <w:sz w:val="24"/>
          <w:szCs w:val="24"/>
        </w:rPr>
        <w:t xml:space="preserve">Beowulf </w:t>
      </w:r>
      <w:r w:rsidRPr="00241DBD">
        <w:rPr>
          <w:rFonts w:ascii="Times New Roman" w:hAnsi="Times New Roman" w:cs="Times New Roman"/>
          <w:sz w:val="24"/>
          <w:szCs w:val="24"/>
        </w:rPr>
        <w:t xml:space="preserve">demonstrates just measure and maintains the right attitude towards the hoard. </w:t>
      </w:r>
    </w:p>
    <w:p w14:paraId="5DDF21E3" w14:textId="77777777" w:rsidR="00B42944" w:rsidRPr="00241DBD" w:rsidRDefault="00B42944" w:rsidP="00B42944">
      <w:pPr>
        <w:spacing w:line="480" w:lineRule="auto"/>
        <w:rPr>
          <w:rFonts w:ascii="Times New Roman" w:hAnsi="Times New Roman" w:cs="Times New Roman"/>
          <w:sz w:val="24"/>
          <w:szCs w:val="24"/>
        </w:rPr>
      </w:pPr>
    </w:p>
    <w:p w14:paraId="5423D6E2" w14:textId="77777777" w:rsidR="00B42944" w:rsidRPr="00241DBD" w:rsidRDefault="00B42944" w:rsidP="00B42944">
      <w:pPr>
        <w:spacing w:line="480" w:lineRule="auto"/>
        <w:rPr>
          <w:rFonts w:ascii="Times New Roman" w:hAnsi="Times New Roman" w:cs="Times New Roman"/>
          <w:sz w:val="24"/>
          <w:szCs w:val="24"/>
        </w:rPr>
      </w:pPr>
      <w:r w:rsidRPr="00241DBD">
        <w:rPr>
          <w:rFonts w:ascii="Times New Roman" w:hAnsi="Times New Roman" w:cs="Times New Roman"/>
          <w:sz w:val="24"/>
          <w:szCs w:val="24"/>
        </w:rPr>
        <w:t xml:space="preserve">Fisher argues that in </w:t>
      </w:r>
      <w:r w:rsidRPr="00241DBD">
        <w:rPr>
          <w:rFonts w:ascii="Times New Roman" w:hAnsi="Times New Roman" w:cs="Times New Roman"/>
          <w:i/>
          <w:sz w:val="24"/>
          <w:szCs w:val="24"/>
        </w:rPr>
        <w:t>Beowulf</w:t>
      </w:r>
      <w:r w:rsidRPr="00241DBD">
        <w:rPr>
          <w:rFonts w:ascii="Times New Roman" w:hAnsi="Times New Roman" w:cs="Times New Roman"/>
          <w:sz w:val="24"/>
          <w:szCs w:val="24"/>
        </w:rPr>
        <w:t>:</w:t>
      </w:r>
    </w:p>
    <w:p w14:paraId="7DF778A2" w14:textId="77777777" w:rsidR="00B42944" w:rsidRPr="00241DBD" w:rsidRDefault="00B42944" w:rsidP="00B42944">
      <w:pPr>
        <w:spacing w:line="240" w:lineRule="auto"/>
        <w:rPr>
          <w:rFonts w:ascii="Times New Roman" w:hAnsi="Times New Roman" w:cs="Times New Roman"/>
          <w:sz w:val="24"/>
          <w:szCs w:val="24"/>
        </w:rPr>
      </w:pPr>
    </w:p>
    <w:p w14:paraId="19DBEB92" w14:textId="77777777" w:rsidR="00B42944" w:rsidRPr="00241DBD" w:rsidRDefault="00B42944" w:rsidP="00B42944">
      <w:pPr>
        <w:ind w:left="720"/>
        <w:rPr>
          <w:rFonts w:ascii="Times New Roman" w:hAnsi="Times New Roman" w:cs="Times New Roman"/>
          <w:sz w:val="24"/>
          <w:szCs w:val="24"/>
        </w:rPr>
      </w:pPr>
      <w:r w:rsidRPr="00241DBD">
        <w:rPr>
          <w:rFonts w:ascii="Times New Roman" w:hAnsi="Times New Roman" w:cs="Times New Roman"/>
          <w:sz w:val="24"/>
          <w:szCs w:val="24"/>
        </w:rPr>
        <w:t xml:space="preserve">‘[T]he hero combines the role of the warrior with that of the saviour of those with whom he comes in contact. The mode of redemption is not always clearly Christian, and it is obvious that the epic embodies a deep strain of the old Northern religion. This does not in any way obscure the fundamental pattern of the heroic adventure bur rather reveals the roots of the Anglo-Saxon conception of the warrior as hero and </w:t>
      </w:r>
      <w:r w:rsidRPr="00241DBD">
        <w:rPr>
          <w:rFonts w:ascii="Times New Roman" w:hAnsi="Times New Roman" w:cs="Times New Roman"/>
          <w:sz w:val="24"/>
          <w:szCs w:val="24"/>
        </w:rPr>
        <w:lastRenderedPageBreak/>
        <w:t>redeemer’.</w:t>
      </w:r>
      <w:r w:rsidRPr="00241DBD">
        <w:rPr>
          <w:rStyle w:val="FootnoteReference"/>
          <w:rFonts w:ascii="Times New Roman" w:hAnsi="Times New Roman" w:cs="Times New Roman"/>
          <w:sz w:val="24"/>
          <w:szCs w:val="24"/>
        </w:rPr>
        <w:footnoteReference w:id="103"/>
      </w:r>
      <w:r w:rsidRPr="00241DBD">
        <w:rPr>
          <w:rFonts w:ascii="Times New Roman" w:hAnsi="Times New Roman" w:cs="Times New Roman"/>
          <w:sz w:val="24"/>
          <w:szCs w:val="24"/>
        </w:rPr>
        <w:t xml:space="preserve"> Soteriology therefore adds another layer to our understanding of what constitutes a heroic figure. Klæber, quoted by NcNamee, also felt ‘inclined to recognise features of the Christian saviour in the destroyer of hellish fiends’.</w:t>
      </w:r>
      <w:r w:rsidRPr="00241DBD">
        <w:rPr>
          <w:rStyle w:val="FootnoteReference"/>
          <w:rFonts w:ascii="Times New Roman" w:hAnsi="Times New Roman" w:cs="Times New Roman"/>
          <w:sz w:val="24"/>
          <w:szCs w:val="24"/>
        </w:rPr>
        <w:footnoteReference w:id="104"/>
      </w:r>
      <w:r w:rsidRPr="00241DBD">
        <w:rPr>
          <w:rFonts w:ascii="Times New Roman" w:hAnsi="Times New Roman" w:cs="Times New Roman"/>
          <w:sz w:val="24"/>
          <w:szCs w:val="24"/>
        </w:rPr>
        <w:t xml:space="preserve"> </w:t>
      </w:r>
    </w:p>
    <w:p w14:paraId="24E8F850" w14:textId="77777777" w:rsidR="00B42944" w:rsidRPr="00241DBD" w:rsidRDefault="00B42944" w:rsidP="00B42944">
      <w:pPr>
        <w:spacing w:line="480" w:lineRule="auto"/>
        <w:rPr>
          <w:rFonts w:ascii="Times New Roman" w:hAnsi="Times New Roman" w:cs="Times New Roman"/>
          <w:sz w:val="24"/>
          <w:szCs w:val="24"/>
        </w:rPr>
      </w:pPr>
    </w:p>
    <w:p w14:paraId="188AD85A" w14:textId="77777777" w:rsidR="00B42944" w:rsidRPr="00241DBD" w:rsidRDefault="00B42944" w:rsidP="00B42944">
      <w:pPr>
        <w:spacing w:line="480" w:lineRule="auto"/>
        <w:rPr>
          <w:rFonts w:ascii="Times New Roman" w:hAnsi="Times New Roman" w:cs="Times New Roman"/>
          <w:sz w:val="24"/>
          <w:szCs w:val="24"/>
        </w:rPr>
      </w:pPr>
      <w:r w:rsidRPr="00241DBD">
        <w:rPr>
          <w:rFonts w:ascii="Times New Roman" w:hAnsi="Times New Roman" w:cs="Times New Roman"/>
          <w:sz w:val="24"/>
          <w:szCs w:val="24"/>
        </w:rPr>
        <w:t>For Fisher, there is a continual struggle:</w:t>
      </w:r>
    </w:p>
    <w:p w14:paraId="219AAC85" w14:textId="77777777" w:rsidR="00B42944" w:rsidRPr="00241DBD" w:rsidRDefault="00B42944" w:rsidP="00B42944">
      <w:pPr>
        <w:rPr>
          <w:rFonts w:ascii="Times New Roman" w:hAnsi="Times New Roman" w:cs="Times New Roman"/>
          <w:sz w:val="24"/>
          <w:szCs w:val="24"/>
        </w:rPr>
      </w:pPr>
    </w:p>
    <w:p w14:paraId="45D92A28" w14:textId="77777777" w:rsidR="00B42944" w:rsidRPr="00241DBD" w:rsidRDefault="00B42944" w:rsidP="00B42944">
      <w:pPr>
        <w:ind w:left="720"/>
        <w:rPr>
          <w:rFonts w:ascii="Times New Roman" w:hAnsi="Times New Roman" w:cs="Times New Roman"/>
          <w:sz w:val="24"/>
          <w:szCs w:val="24"/>
        </w:rPr>
      </w:pPr>
      <w:r w:rsidRPr="00241DBD">
        <w:rPr>
          <w:rFonts w:ascii="Times New Roman" w:hAnsi="Times New Roman" w:cs="Times New Roman"/>
          <w:sz w:val="24"/>
          <w:szCs w:val="24"/>
        </w:rPr>
        <w:t xml:space="preserve">‘[B]etween the divine, the natural, and the demonic within the field of the hero’s experience. In </w:t>
      </w:r>
      <w:r w:rsidRPr="00241DBD">
        <w:rPr>
          <w:rFonts w:ascii="Times New Roman" w:hAnsi="Times New Roman" w:cs="Times New Roman"/>
          <w:i/>
          <w:sz w:val="24"/>
          <w:szCs w:val="24"/>
        </w:rPr>
        <w:t>Beowulf</w:t>
      </w:r>
      <w:r w:rsidRPr="00241DBD">
        <w:rPr>
          <w:rFonts w:ascii="Times New Roman" w:hAnsi="Times New Roman" w:cs="Times New Roman"/>
          <w:sz w:val="24"/>
          <w:szCs w:val="24"/>
        </w:rPr>
        <w:t>, the natural is made to serve the purpose of redemption, while the demonic is resisted and uprooted. The natural field of experience which is first represented by Heorot is cleansed, while the demonic Grendel and Grendal’s dam are destroyed. The cleansing is itself a preparation for rule over this field of experience which is later represented by the realm of the Geats and the fifty-year reign of the heroic king – the successor in epic myth to the original “divine king”’.</w:t>
      </w:r>
      <w:r w:rsidRPr="00241DBD">
        <w:rPr>
          <w:rStyle w:val="FootnoteReference"/>
          <w:rFonts w:ascii="Times New Roman" w:hAnsi="Times New Roman" w:cs="Times New Roman"/>
          <w:sz w:val="24"/>
          <w:szCs w:val="24"/>
        </w:rPr>
        <w:footnoteReference w:id="105"/>
      </w:r>
      <w:r w:rsidRPr="00241DBD">
        <w:rPr>
          <w:rFonts w:ascii="Times New Roman" w:hAnsi="Times New Roman" w:cs="Times New Roman"/>
          <w:sz w:val="24"/>
          <w:szCs w:val="24"/>
        </w:rPr>
        <w:t xml:space="preserve"> </w:t>
      </w:r>
    </w:p>
    <w:p w14:paraId="37331114" w14:textId="77777777" w:rsidR="00B42944" w:rsidRPr="00241DBD" w:rsidRDefault="00B42944" w:rsidP="00B42944">
      <w:pPr>
        <w:spacing w:line="480" w:lineRule="auto"/>
        <w:rPr>
          <w:rFonts w:ascii="Times New Roman" w:hAnsi="Times New Roman" w:cs="Times New Roman"/>
          <w:sz w:val="24"/>
          <w:szCs w:val="24"/>
        </w:rPr>
      </w:pPr>
    </w:p>
    <w:p w14:paraId="3D231038" w14:textId="77777777" w:rsidR="00B42944" w:rsidRPr="00241DBD" w:rsidRDefault="00B42944" w:rsidP="00B42944">
      <w:pPr>
        <w:spacing w:line="480" w:lineRule="auto"/>
        <w:rPr>
          <w:rFonts w:ascii="Times New Roman" w:hAnsi="Times New Roman" w:cs="Times New Roman"/>
          <w:sz w:val="24"/>
          <w:szCs w:val="24"/>
        </w:rPr>
      </w:pPr>
      <w:r w:rsidRPr="00241DBD">
        <w:rPr>
          <w:rFonts w:ascii="Times New Roman" w:hAnsi="Times New Roman" w:cs="Times New Roman"/>
          <w:sz w:val="24"/>
          <w:szCs w:val="24"/>
        </w:rPr>
        <w:t>Whilst it has most certainly been used to justify a C</w:t>
      </w:r>
      <w:r w:rsidRPr="00241DBD">
        <w:rPr>
          <w:rFonts w:ascii="Times New Roman" w:hAnsi="Times New Roman" w:cs="Times New Roman"/>
          <w:sz w:val="24"/>
          <w:szCs w:val="24"/>
        </w:rPr>
        <w:softHyphen/>
      </w:r>
      <w:r w:rsidRPr="00241DBD">
        <w:rPr>
          <w:rFonts w:ascii="Times New Roman" w:hAnsi="Times New Roman" w:cs="Times New Roman"/>
          <w:sz w:val="24"/>
          <w:szCs w:val="24"/>
        </w:rPr>
        <w:softHyphen/>
        <w:t>hristian and ritualistic interpretation, the descent into the mysterious mere, is unquestionably a heroic act reminiscent of the harrowing of hell. As McNamee says, ‘Beowulf’s descent into the serpent infested mere and his triumphant ascent from those waters purified of their serpents a symbolic representation of the death and burial and of the resurrection of Christ, and, in the purification of the waters, a symbol of the redemption of man’.</w:t>
      </w:r>
      <w:r w:rsidRPr="00241DBD">
        <w:rPr>
          <w:rStyle w:val="FootnoteReference"/>
          <w:rFonts w:ascii="Times New Roman" w:hAnsi="Times New Roman" w:cs="Times New Roman"/>
          <w:sz w:val="24"/>
          <w:szCs w:val="24"/>
        </w:rPr>
        <w:footnoteReference w:id="106"/>
      </w:r>
      <w:r w:rsidRPr="00241DBD">
        <w:rPr>
          <w:rFonts w:ascii="Times New Roman" w:hAnsi="Times New Roman" w:cs="Times New Roman"/>
          <w:sz w:val="24"/>
          <w:szCs w:val="24"/>
        </w:rPr>
        <w:t xml:space="preserve"> </w:t>
      </w:r>
    </w:p>
    <w:p w14:paraId="05321A06" w14:textId="77777777" w:rsidR="00B42944" w:rsidRPr="00241DBD" w:rsidRDefault="00B42944" w:rsidP="00B42944">
      <w:pPr>
        <w:spacing w:line="480" w:lineRule="auto"/>
        <w:rPr>
          <w:rFonts w:ascii="Times New Roman" w:hAnsi="Times New Roman" w:cs="Times New Roman"/>
          <w:sz w:val="24"/>
          <w:szCs w:val="24"/>
        </w:rPr>
      </w:pPr>
    </w:p>
    <w:p w14:paraId="6E1D1E4F" w14:textId="77777777" w:rsidR="00E83DC0" w:rsidRDefault="00B42944" w:rsidP="00B902D4">
      <w:pPr>
        <w:widowControl w:val="0"/>
        <w:autoSpaceDE w:val="0"/>
        <w:autoSpaceDN w:val="0"/>
        <w:adjustRightInd w:val="0"/>
        <w:spacing w:line="480" w:lineRule="auto"/>
        <w:rPr>
          <w:rFonts w:ascii="Times New Roman" w:hAnsi="Times New Roman" w:cs="Times New Roman"/>
          <w:sz w:val="24"/>
          <w:szCs w:val="24"/>
        </w:rPr>
      </w:pPr>
      <w:r w:rsidRPr="00241DBD">
        <w:rPr>
          <w:rFonts w:ascii="Times New Roman" w:hAnsi="Times New Roman" w:cs="Times New Roman"/>
          <w:sz w:val="24"/>
          <w:szCs w:val="24"/>
        </w:rPr>
        <w:t xml:space="preserve">In conclusion, </w:t>
      </w:r>
      <w:r w:rsidRPr="00241DBD">
        <w:rPr>
          <w:rFonts w:ascii="Times New Roman" w:hAnsi="Times New Roman" w:cs="Times New Roman"/>
          <w:i/>
          <w:sz w:val="24"/>
          <w:szCs w:val="24"/>
        </w:rPr>
        <w:t xml:space="preserve">The Battle of Maldon, The Wanderer, The Dream of the Rood </w:t>
      </w:r>
      <w:r w:rsidRPr="00241DBD">
        <w:rPr>
          <w:rFonts w:ascii="Times New Roman" w:hAnsi="Times New Roman" w:cs="Times New Roman"/>
          <w:sz w:val="24"/>
          <w:szCs w:val="24"/>
        </w:rPr>
        <w:t xml:space="preserve">and </w:t>
      </w:r>
      <w:r w:rsidRPr="00241DBD">
        <w:rPr>
          <w:rFonts w:ascii="Times New Roman" w:hAnsi="Times New Roman" w:cs="Times New Roman"/>
          <w:i/>
          <w:sz w:val="24"/>
          <w:szCs w:val="24"/>
        </w:rPr>
        <w:t>Beowulf</w:t>
      </w:r>
      <w:r w:rsidRPr="00241DBD">
        <w:rPr>
          <w:rFonts w:ascii="Times New Roman" w:hAnsi="Times New Roman" w:cs="Times New Roman"/>
          <w:sz w:val="24"/>
          <w:szCs w:val="24"/>
        </w:rPr>
        <w:t xml:space="preserve"> offer a rich source for considering what constitutes the heroic figure for the Anglo-Saxons. The hero enables what Sharma describes as an ‘act of cultural mediation [which] encourages </w:t>
      </w:r>
      <w:r w:rsidRPr="00241DBD">
        <w:rPr>
          <w:rFonts w:ascii="Times New Roman" w:hAnsi="Times New Roman" w:cs="Times New Roman"/>
          <w:sz w:val="24"/>
          <w:szCs w:val="24"/>
        </w:rPr>
        <w:lastRenderedPageBreak/>
        <w:t>a creative, dialogical interaction between Christian present and Germanic-heroic past’.</w:t>
      </w:r>
      <w:r w:rsidRPr="00241DBD">
        <w:rPr>
          <w:rStyle w:val="FootnoteReference"/>
          <w:rFonts w:ascii="Times New Roman" w:hAnsi="Times New Roman" w:cs="Times New Roman"/>
          <w:sz w:val="24"/>
          <w:szCs w:val="24"/>
        </w:rPr>
        <w:footnoteReference w:id="107"/>
      </w:r>
      <w:r w:rsidRPr="00241DBD">
        <w:rPr>
          <w:rFonts w:ascii="Times New Roman" w:hAnsi="Times New Roman" w:cs="Times New Roman"/>
          <w:sz w:val="24"/>
          <w:szCs w:val="24"/>
        </w:rPr>
        <w:t xml:space="preserve"> That process of dynamic engagement encourages a response from the reader, as we saw in </w:t>
      </w:r>
      <w:r w:rsidRPr="00241DBD">
        <w:rPr>
          <w:rFonts w:ascii="Times New Roman" w:hAnsi="Times New Roman" w:cs="Times New Roman"/>
          <w:i/>
          <w:sz w:val="24"/>
          <w:szCs w:val="24"/>
        </w:rPr>
        <w:t>The Dream of the Rood</w:t>
      </w:r>
      <w:r w:rsidRPr="00241DBD">
        <w:rPr>
          <w:rFonts w:ascii="Times New Roman" w:hAnsi="Times New Roman" w:cs="Times New Roman"/>
          <w:sz w:val="24"/>
          <w:szCs w:val="24"/>
        </w:rPr>
        <w:t>, where ‘the poet has linked his audience to the central action of the poem through the agency of his persona, the narrator-dreamer, and through the use of retainer-lord bonds’.</w:t>
      </w:r>
      <w:r w:rsidRPr="00241DBD">
        <w:rPr>
          <w:rStyle w:val="FootnoteReference"/>
          <w:rFonts w:ascii="Times New Roman" w:hAnsi="Times New Roman" w:cs="Times New Roman"/>
          <w:sz w:val="24"/>
          <w:szCs w:val="24"/>
        </w:rPr>
        <w:footnoteReference w:id="108"/>
      </w:r>
      <w:r w:rsidRPr="00241DBD">
        <w:rPr>
          <w:rFonts w:ascii="Times New Roman" w:hAnsi="Times New Roman" w:cs="Times New Roman"/>
          <w:sz w:val="24"/>
          <w:szCs w:val="24"/>
        </w:rPr>
        <w:t xml:space="preserve"> The essential element of that life is the crucial relationship between the retainer and the lord, ‘whose binding virtue is loyalty’.</w:t>
      </w:r>
      <w:r w:rsidRPr="00241DBD">
        <w:rPr>
          <w:rStyle w:val="FootnoteReference"/>
          <w:rFonts w:ascii="Times New Roman" w:hAnsi="Times New Roman" w:cs="Times New Roman"/>
          <w:sz w:val="24"/>
          <w:szCs w:val="24"/>
        </w:rPr>
        <w:footnoteReference w:id="109"/>
      </w:r>
      <w:r w:rsidRPr="00241DBD">
        <w:rPr>
          <w:rFonts w:ascii="Times New Roman" w:hAnsi="Times New Roman" w:cs="Times New Roman"/>
          <w:sz w:val="24"/>
          <w:szCs w:val="24"/>
        </w:rPr>
        <w:t xml:space="preserve"> That loyalty is expressed through the giving of treasure in which the lord augments his reputation and his retainer, whilst ensuring a commitment to future service. We have seen a rich ‘intersection between the language of heroic values and that of religious judgment’.</w:t>
      </w:r>
      <w:r w:rsidRPr="00241DBD">
        <w:rPr>
          <w:rStyle w:val="FootnoteReference"/>
          <w:rFonts w:ascii="Times New Roman" w:hAnsi="Times New Roman" w:cs="Times New Roman"/>
          <w:sz w:val="24"/>
          <w:szCs w:val="24"/>
        </w:rPr>
        <w:footnoteReference w:id="110"/>
      </w:r>
      <w:r w:rsidRPr="00241DBD">
        <w:rPr>
          <w:rFonts w:ascii="Times New Roman" w:hAnsi="Times New Roman" w:cs="Times New Roman"/>
          <w:sz w:val="24"/>
          <w:szCs w:val="24"/>
        </w:rPr>
        <w:t xml:space="preserve"> Understood therefore within this context, the hero can be seen as someone who engages with physical and metaphysical forces, exterior as well as interior. Indeed some of these texts may well provide food for the contemplative mind ‘to actively seek divine grace, the source of theosis’.</w:t>
      </w:r>
      <w:r w:rsidRPr="00241DBD">
        <w:rPr>
          <w:rStyle w:val="FootnoteReference"/>
          <w:rFonts w:ascii="Times New Roman" w:hAnsi="Times New Roman" w:cs="Times New Roman"/>
          <w:sz w:val="24"/>
          <w:szCs w:val="24"/>
        </w:rPr>
        <w:footnoteReference w:id="111"/>
      </w:r>
      <w:r w:rsidRPr="00241DBD">
        <w:rPr>
          <w:rFonts w:ascii="Times New Roman" w:hAnsi="Times New Roman" w:cs="Times New Roman"/>
          <w:sz w:val="24"/>
          <w:szCs w:val="24"/>
        </w:rPr>
        <w:t xml:space="preserve"> It is this process of immortality and deification which reveal</w:t>
      </w:r>
      <w:r w:rsidR="00C76449">
        <w:rPr>
          <w:rFonts w:ascii="Times New Roman" w:hAnsi="Times New Roman" w:cs="Times New Roman"/>
          <w:sz w:val="24"/>
          <w:szCs w:val="24"/>
        </w:rPr>
        <w:t>s</w:t>
      </w:r>
      <w:r w:rsidRPr="00241DBD">
        <w:rPr>
          <w:rFonts w:ascii="Times New Roman" w:hAnsi="Times New Roman" w:cs="Times New Roman"/>
          <w:sz w:val="24"/>
          <w:szCs w:val="24"/>
        </w:rPr>
        <w:t xml:space="preserve"> the deeper wellspring of the hero who ‘did not merely ‘symbolise’ the trials of the race; he was the actual incarnation of those trials, hence the ‘historical’ elements which made the heroic career both authentic and real’.</w:t>
      </w:r>
      <w:r w:rsidRPr="00241DBD">
        <w:rPr>
          <w:rStyle w:val="FootnoteReference"/>
          <w:rFonts w:ascii="Times New Roman" w:hAnsi="Times New Roman" w:cs="Times New Roman"/>
          <w:sz w:val="24"/>
          <w:szCs w:val="24"/>
        </w:rPr>
        <w:footnoteReference w:id="112"/>
      </w:r>
    </w:p>
    <w:p w14:paraId="6E20BD80" w14:textId="77777777" w:rsidR="00B902D4" w:rsidRDefault="00B902D4" w:rsidP="00B902D4">
      <w:pPr>
        <w:widowControl w:val="0"/>
        <w:autoSpaceDE w:val="0"/>
        <w:autoSpaceDN w:val="0"/>
        <w:adjustRightInd w:val="0"/>
        <w:spacing w:line="480" w:lineRule="auto"/>
        <w:rPr>
          <w:rFonts w:ascii="Times New Roman" w:hAnsi="Times New Roman" w:cs="Times New Roman"/>
          <w:sz w:val="24"/>
          <w:szCs w:val="24"/>
        </w:rPr>
      </w:pPr>
    </w:p>
    <w:p w14:paraId="7912BAA1" w14:textId="77777777" w:rsidR="00B902D4" w:rsidRDefault="00B902D4" w:rsidP="00B902D4">
      <w:pPr>
        <w:widowControl w:val="0"/>
        <w:autoSpaceDE w:val="0"/>
        <w:autoSpaceDN w:val="0"/>
        <w:adjustRightInd w:val="0"/>
        <w:spacing w:line="480" w:lineRule="auto"/>
        <w:rPr>
          <w:rFonts w:ascii="Times New Roman" w:hAnsi="Times New Roman" w:cs="Times New Roman"/>
          <w:sz w:val="24"/>
          <w:szCs w:val="24"/>
        </w:rPr>
      </w:pPr>
    </w:p>
    <w:p w14:paraId="5E8E9850" w14:textId="77777777" w:rsidR="00B902D4" w:rsidRDefault="00B902D4" w:rsidP="00B902D4">
      <w:pPr>
        <w:widowControl w:val="0"/>
        <w:autoSpaceDE w:val="0"/>
        <w:autoSpaceDN w:val="0"/>
        <w:adjustRightInd w:val="0"/>
        <w:spacing w:line="480" w:lineRule="auto"/>
        <w:rPr>
          <w:rFonts w:ascii="Times New Roman" w:hAnsi="Times New Roman" w:cs="Times New Roman"/>
          <w:sz w:val="24"/>
          <w:szCs w:val="24"/>
        </w:rPr>
      </w:pPr>
    </w:p>
    <w:p w14:paraId="1F762F93" w14:textId="77777777" w:rsidR="00B902D4" w:rsidRDefault="00B902D4" w:rsidP="00B902D4">
      <w:pPr>
        <w:widowControl w:val="0"/>
        <w:autoSpaceDE w:val="0"/>
        <w:autoSpaceDN w:val="0"/>
        <w:adjustRightInd w:val="0"/>
        <w:spacing w:line="480" w:lineRule="auto"/>
        <w:rPr>
          <w:rFonts w:ascii="Times New Roman" w:hAnsi="Times New Roman" w:cs="Times New Roman"/>
          <w:sz w:val="24"/>
          <w:szCs w:val="24"/>
        </w:rPr>
      </w:pPr>
    </w:p>
    <w:p w14:paraId="140BCD35" w14:textId="77777777" w:rsidR="003B6C7F" w:rsidRDefault="003B6C7F" w:rsidP="00B902D4">
      <w:pPr>
        <w:widowControl w:val="0"/>
        <w:autoSpaceDE w:val="0"/>
        <w:autoSpaceDN w:val="0"/>
        <w:adjustRightInd w:val="0"/>
        <w:spacing w:line="480" w:lineRule="auto"/>
        <w:rPr>
          <w:rFonts w:ascii="Times New Roman" w:hAnsi="Times New Roman" w:cs="Times New Roman"/>
          <w:sz w:val="24"/>
          <w:szCs w:val="24"/>
        </w:rPr>
      </w:pPr>
    </w:p>
    <w:p w14:paraId="23CC2393" w14:textId="77777777" w:rsidR="003B6C7F" w:rsidRDefault="003B6C7F" w:rsidP="00B902D4">
      <w:pPr>
        <w:widowControl w:val="0"/>
        <w:autoSpaceDE w:val="0"/>
        <w:autoSpaceDN w:val="0"/>
        <w:adjustRightInd w:val="0"/>
        <w:spacing w:line="480" w:lineRule="auto"/>
        <w:rPr>
          <w:rFonts w:ascii="Times New Roman" w:hAnsi="Times New Roman" w:cs="Times New Roman"/>
          <w:sz w:val="24"/>
          <w:szCs w:val="24"/>
        </w:rPr>
      </w:pPr>
    </w:p>
    <w:p w14:paraId="697D9684" w14:textId="77777777" w:rsidR="003B6C7F" w:rsidRPr="003B6C7F" w:rsidRDefault="003B6C7F" w:rsidP="00CB515C">
      <w:pPr>
        <w:spacing w:line="480" w:lineRule="auto"/>
        <w:jc w:val="center"/>
        <w:rPr>
          <w:rFonts w:ascii="Times New Roman" w:hAnsi="Times New Roman" w:cs="Times New Roman"/>
          <w:b/>
          <w:sz w:val="24"/>
          <w:szCs w:val="24"/>
        </w:rPr>
      </w:pPr>
      <w:r w:rsidRPr="003B6C7F">
        <w:rPr>
          <w:rFonts w:ascii="Times New Roman" w:hAnsi="Times New Roman" w:cs="Times New Roman"/>
          <w:b/>
          <w:sz w:val="24"/>
          <w:szCs w:val="24"/>
        </w:rPr>
        <w:lastRenderedPageBreak/>
        <w:t>Bibliography</w:t>
      </w:r>
    </w:p>
    <w:p w14:paraId="1204372C" w14:textId="77777777" w:rsidR="003B6C7F" w:rsidRPr="003B6C7F" w:rsidRDefault="003B6C7F" w:rsidP="00CB515C">
      <w:pPr>
        <w:spacing w:line="480" w:lineRule="auto"/>
        <w:jc w:val="center"/>
        <w:rPr>
          <w:rFonts w:ascii="Times New Roman" w:hAnsi="Times New Roman" w:cs="Times New Roman"/>
          <w:b/>
          <w:sz w:val="24"/>
          <w:szCs w:val="24"/>
        </w:rPr>
      </w:pPr>
    </w:p>
    <w:p w14:paraId="46C55811"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Beard, D., ‘The Battle of Maldon’, </w:t>
      </w:r>
      <w:r w:rsidRPr="003B6C7F">
        <w:rPr>
          <w:rFonts w:ascii="Times New Roman" w:hAnsi="Times New Roman" w:cs="Times New Roman"/>
          <w:i/>
          <w:sz w:val="24"/>
          <w:szCs w:val="24"/>
        </w:rPr>
        <w:t xml:space="preserve">Medieval World, </w:t>
      </w:r>
      <w:r w:rsidRPr="003B6C7F">
        <w:rPr>
          <w:rFonts w:ascii="Times New Roman" w:hAnsi="Times New Roman" w:cs="Times New Roman"/>
          <w:sz w:val="24"/>
          <w:szCs w:val="24"/>
        </w:rPr>
        <w:t>(July/August 1991), pp. 10-14 &lt;http://poppy.nsms.ox.ac.uk/woruldhord/files/original/8b36efe05b1ca1474f94555f715ab6b9.pdf&gt; [Accessed: 24 July 2018].</w:t>
      </w:r>
    </w:p>
    <w:p w14:paraId="1BD07026" w14:textId="77777777" w:rsidR="003B6C7F" w:rsidRPr="003B6C7F" w:rsidRDefault="003B6C7F" w:rsidP="00CB515C">
      <w:pPr>
        <w:spacing w:line="480" w:lineRule="auto"/>
        <w:rPr>
          <w:rFonts w:ascii="Times New Roman" w:hAnsi="Times New Roman" w:cs="Times New Roman"/>
          <w:sz w:val="24"/>
          <w:szCs w:val="24"/>
        </w:rPr>
      </w:pPr>
    </w:p>
    <w:p w14:paraId="266B31D4"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Blake, N.F., ‘The Battle of Maldon’, </w:t>
      </w:r>
      <w:r w:rsidRPr="003B6C7F">
        <w:rPr>
          <w:rFonts w:ascii="Times New Roman" w:hAnsi="Times New Roman" w:cs="Times New Roman"/>
          <w:i/>
          <w:sz w:val="24"/>
          <w:szCs w:val="24"/>
        </w:rPr>
        <w:t>Neophilologus</w:t>
      </w:r>
      <w:r w:rsidRPr="003B6C7F">
        <w:rPr>
          <w:rFonts w:ascii="Times New Roman" w:hAnsi="Times New Roman" w:cs="Times New Roman"/>
          <w:sz w:val="24"/>
          <w:szCs w:val="24"/>
        </w:rPr>
        <w:t>, 49 (1965), pp. 332-345.</w:t>
      </w:r>
    </w:p>
    <w:p w14:paraId="79636B8D" w14:textId="77777777" w:rsidR="003B6C7F" w:rsidRPr="003B6C7F" w:rsidRDefault="003B6C7F" w:rsidP="00CB515C">
      <w:pPr>
        <w:spacing w:line="480" w:lineRule="auto"/>
        <w:rPr>
          <w:rFonts w:ascii="Times New Roman" w:hAnsi="Times New Roman" w:cs="Times New Roman"/>
          <w:sz w:val="24"/>
          <w:szCs w:val="24"/>
        </w:rPr>
      </w:pPr>
    </w:p>
    <w:p w14:paraId="762202BF"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Bloomfield, M.W., ‘Beowulf, Byrhtnoth, and the Judgment of God: Trial by Combat in Anglo-Saxon England’, </w:t>
      </w:r>
      <w:r w:rsidRPr="003B6C7F">
        <w:rPr>
          <w:rFonts w:ascii="Times New Roman" w:hAnsi="Times New Roman" w:cs="Times New Roman"/>
          <w:i/>
          <w:sz w:val="24"/>
          <w:szCs w:val="24"/>
        </w:rPr>
        <w:t>Speculum</w:t>
      </w:r>
      <w:r w:rsidRPr="003B6C7F">
        <w:rPr>
          <w:rFonts w:ascii="Times New Roman" w:hAnsi="Times New Roman" w:cs="Times New Roman"/>
          <w:sz w:val="24"/>
          <w:szCs w:val="24"/>
        </w:rPr>
        <w:t>, 44.4 (October 1969), pp. 545-559 &lt;</w:t>
      </w:r>
      <w:hyperlink r:id="rId9" w:history="1">
        <w:r w:rsidRPr="003B6C7F">
          <w:rPr>
            <w:rFonts w:ascii="Times New Roman" w:hAnsi="Times New Roman" w:cs="Times New Roman"/>
            <w:sz w:val="24"/>
            <w:szCs w:val="24"/>
          </w:rPr>
          <w:t>https://www.jstor.org/stable/2850382</w:t>
        </w:r>
      </w:hyperlink>
      <w:r w:rsidRPr="003B6C7F">
        <w:rPr>
          <w:rFonts w:ascii="Times New Roman" w:hAnsi="Times New Roman" w:cs="Times New Roman"/>
          <w:sz w:val="24"/>
          <w:szCs w:val="24"/>
        </w:rPr>
        <w:t>&gt; [Accessed: 25 July 2018].</w:t>
      </w:r>
    </w:p>
    <w:p w14:paraId="11D0436A" w14:textId="77777777" w:rsidR="003B6C7F" w:rsidRPr="003B6C7F" w:rsidRDefault="003B6C7F" w:rsidP="00CB515C">
      <w:pPr>
        <w:spacing w:line="480" w:lineRule="auto"/>
        <w:rPr>
          <w:rFonts w:ascii="Times New Roman" w:hAnsi="Times New Roman" w:cs="Times New Roman"/>
          <w:sz w:val="24"/>
          <w:szCs w:val="24"/>
        </w:rPr>
      </w:pPr>
    </w:p>
    <w:p w14:paraId="7DB6EDE1"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Burnley, J.D., ‘Book review of Carruthers, L., </w:t>
      </w:r>
      <w:r w:rsidRPr="003B6C7F">
        <w:rPr>
          <w:rFonts w:ascii="Times New Roman" w:hAnsi="Times New Roman" w:cs="Times New Roman"/>
          <w:i/>
          <w:sz w:val="24"/>
          <w:szCs w:val="24"/>
        </w:rPr>
        <w:t xml:space="preserve">Heroes and Heroines in Medieval English Literature: A Festschrift Presented to André Crépin on the Occasion of his Sixty-Fifth Birthday </w:t>
      </w:r>
      <w:r w:rsidRPr="003B6C7F">
        <w:rPr>
          <w:rFonts w:ascii="Times New Roman" w:hAnsi="Times New Roman" w:cs="Times New Roman"/>
          <w:sz w:val="24"/>
          <w:szCs w:val="24"/>
        </w:rPr>
        <w:t xml:space="preserve">(Cambridge: Brewer, 1994)’, </w:t>
      </w:r>
      <w:r w:rsidRPr="003B6C7F">
        <w:rPr>
          <w:rFonts w:ascii="Times New Roman" w:hAnsi="Times New Roman" w:cs="Times New Roman"/>
          <w:i/>
          <w:sz w:val="24"/>
          <w:szCs w:val="24"/>
        </w:rPr>
        <w:t>Modern Language Review</w:t>
      </w:r>
      <w:r w:rsidRPr="003B6C7F">
        <w:rPr>
          <w:rFonts w:ascii="Times New Roman" w:hAnsi="Times New Roman" w:cs="Times New Roman"/>
          <w:sz w:val="24"/>
          <w:szCs w:val="24"/>
        </w:rPr>
        <w:t>, 91.4 (2006), pp. 957-958 &lt;https://www.jstor.org/stable/i288879&gt; [Accessed: 24 June 2018].</w:t>
      </w:r>
    </w:p>
    <w:p w14:paraId="6DD0CFAA"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br/>
        <w:t xml:space="preserve">Cavill, P., </w:t>
      </w:r>
      <w:r w:rsidRPr="003B6C7F">
        <w:rPr>
          <w:rFonts w:ascii="Times New Roman" w:hAnsi="Times New Roman" w:cs="Times New Roman"/>
          <w:i/>
          <w:sz w:val="24"/>
          <w:szCs w:val="24"/>
        </w:rPr>
        <w:t>Vikings: fear and faith in Anglo-Saxon England</w:t>
      </w:r>
      <w:r w:rsidRPr="003B6C7F">
        <w:rPr>
          <w:rFonts w:ascii="Times New Roman" w:hAnsi="Times New Roman" w:cs="Times New Roman"/>
          <w:sz w:val="24"/>
          <w:szCs w:val="24"/>
        </w:rPr>
        <w:t xml:space="preserve"> (London: Harper Collins, 2001).</w:t>
      </w:r>
    </w:p>
    <w:p w14:paraId="7EBBA191" w14:textId="77777777" w:rsidR="003B6C7F" w:rsidRPr="003B6C7F" w:rsidRDefault="003B6C7F" w:rsidP="00CB515C">
      <w:pPr>
        <w:spacing w:line="480" w:lineRule="auto"/>
        <w:rPr>
          <w:rFonts w:ascii="Times New Roman" w:hAnsi="Times New Roman" w:cs="Times New Roman"/>
          <w:sz w:val="24"/>
          <w:szCs w:val="24"/>
        </w:rPr>
      </w:pPr>
    </w:p>
    <w:p w14:paraId="7F323EC5"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Clark, G., </w:t>
      </w:r>
      <w:r w:rsidRPr="003B6C7F">
        <w:rPr>
          <w:rFonts w:ascii="Times New Roman" w:hAnsi="Times New Roman" w:cs="Times New Roman"/>
          <w:i/>
          <w:sz w:val="24"/>
          <w:szCs w:val="24"/>
        </w:rPr>
        <w:t xml:space="preserve">Beowulf </w:t>
      </w:r>
      <w:r w:rsidRPr="003B6C7F">
        <w:rPr>
          <w:rFonts w:ascii="Times New Roman" w:hAnsi="Times New Roman" w:cs="Times New Roman"/>
          <w:sz w:val="24"/>
          <w:szCs w:val="24"/>
        </w:rPr>
        <w:t>(Boston: Twayne Publishers, 1990).</w:t>
      </w:r>
    </w:p>
    <w:p w14:paraId="459EF896" w14:textId="77777777" w:rsidR="003B6C7F" w:rsidRPr="003B6C7F" w:rsidRDefault="003B6C7F" w:rsidP="00CB515C">
      <w:pPr>
        <w:pStyle w:val="FootnoteText"/>
        <w:spacing w:after="160" w:line="480" w:lineRule="auto"/>
        <w:rPr>
          <w:rFonts w:ascii="Times New Roman" w:hAnsi="Times New Roman" w:cs="Times New Roman"/>
        </w:rPr>
      </w:pPr>
    </w:p>
    <w:p w14:paraId="7EB3776B"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lastRenderedPageBreak/>
        <w:t xml:space="preserve">Clark, G., ‘The Battle of Maldon: A Heroic Poem’, </w:t>
      </w:r>
      <w:r w:rsidRPr="003B6C7F">
        <w:rPr>
          <w:rFonts w:ascii="Times New Roman" w:hAnsi="Times New Roman" w:cs="Times New Roman"/>
          <w:i/>
        </w:rPr>
        <w:t>Speculum</w:t>
      </w:r>
      <w:r w:rsidRPr="003B6C7F">
        <w:rPr>
          <w:rFonts w:ascii="Times New Roman" w:hAnsi="Times New Roman" w:cs="Times New Roman"/>
        </w:rPr>
        <w:t>, 43.1 (January 1968), pp. 52-71 &lt;https://www.jstor.org/stable/2854798</w:t>
      </w:r>
      <w:r w:rsidRPr="003B6C7F">
        <w:rPr>
          <w:rStyle w:val="Hyperlink"/>
          <w:rFonts w:ascii="Times New Roman" w:hAnsi="Times New Roman" w:cs="Times New Roman"/>
          <w:color w:val="auto"/>
          <w:u w:val="none"/>
        </w:rPr>
        <w:t>&gt; [Accessed: 24 July 2018]</w:t>
      </w:r>
      <w:r w:rsidRPr="003B6C7F">
        <w:rPr>
          <w:rFonts w:ascii="Times New Roman" w:hAnsi="Times New Roman" w:cs="Times New Roman"/>
        </w:rPr>
        <w:t>.</w:t>
      </w:r>
    </w:p>
    <w:p w14:paraId="45F93769" w14:textId="77777777" w:rsidR="003B6C7F" w:rsidRPr="003B6C7F" w:rsidRDefault="003B6C7F" w:rsidP="00CB515C">
      <w:pPr>
        <w:pStyle w:val="FootnoteText"/>
        <w:spacing w:after="160" w:line="480" w:lineRule="auto"/>
        <w:rPr>
          <w:rFonts w:ascii="Times New Roman" w:hAnsi="Times New Roman" w:cs="Times New Roman"/>
        </w:rPr>
      </w:pPr>
    </w:p>
    <w:p w14:paraId="04CF9496"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Clark, G., ‘The Hero of Maldon: </w:t>
      </w:r>
      <w:r w:rsidRPr="003B6C7F">
        <w:rPr>
          <w:rFonts w:ascii="Times New Roman" w:hAnsi="Times New Roman" w:cs="Times New Roman"/>
          <w:i/>
        </w:rPr>
        <w:t>Vir Pius et Strenuus</w:t>
      </w:r>
      <w:r w:rsidRPr="003B6C7F">
        <w:rPr>
          <w:rFonts w:ascii="Times New Roman" w:hAnsi="Times New Roman" w:cs="Times New Roman"/>
        </w:rPr>
        <w:t xml:space="preserve">’, </w:t>
      </w:r>
      <w:r w:rsidRPr="003B6C7F">
        <w:rPr>
          <w:rFonts w:ascii="Times New Roman" w:hAnsi="Times New Roman" w:cs="Times New Roman"/>
          <w:i/>
        </w:rPr>
        <w:t>Speculum</w:t>
      </w:r>
      <w:r w:rsidRPr="003B6C7F">
        <w:rPr>
          <w:rFonts w:ascii="Times New Roman" w:hAnsi="Times New Roman" w:cs="Times New Roman"/>
        </w:rPr>
        <w:t>, 54.2 (April 1979), pp. 257-282 &lt;</w:t>
      </w:r>
      <w:hyperlink r:id="rId10" w:history="1">
        <w:r w:rsidRPr="003B6C7F">
          <w:rPr>
            <w:rFonts w:ascii="Times New Roman" w:hAnsi="Times New Roman" w:cs="Times New Roman"/>
          </w:rPr>
          <w:t>https://www.jstor.org/stable/2854973</w:t>
        </w:r>
      </w:hyperlink>
      <w:r w:rsidRPr="003B6C7F">
        <w:rPr>
          <w:rFonts w:ascii="Times New Roman" w:hAnsi="Times New Roman" w:cs="Times New Roman"/>
        </w:rPr>
        <w:t>&gt; [Accessed</w:t>
      </w:r>
      <w:r w:rsidRPr="003B6C7F">
        <w:rPr>
          <w:rStyle w:val="Hyperlink"/>
          <w:rFonts w:ascii="Times New Roman" w:hAnsi="Times New Roman" w:cs="Times New Roman"/>
          <w:color w:val="auto"/>
          <w:u w:val="none"/>
        </w:rPr>
        <w:t>: 24 July 2018]</w:t>
      </w:r>
      <w:r w:rsidRPr="003B6C7F">
        <w:rPr>
          <w:rFonts w:ascii="Times New Roman" w:hAnsi="Times New Roman" w:cs="Times New Roman"/>
        </w:rPr>
        <w:t>.</w:t>
      </w:r>
    </w:p>
    <w:p w14:paraId="2A83DF03" w14:textId="77777777" w:rsidR="003B6C7F" w:rsidRPr="003B6C7F" w:rsidRDefault="003B6C7F" w:rsidP="00CB515C">
      <w:pPr>
        <w:pStyle w:val="FootnoteText"/>
        <w:spacing w:after="160" w:line="480" w:lineRule="auto"/>
        <w:rPr>
          <w:rFonts w:ascii="Times New Roman" w:hAnsi="Times New Roman" w:cs="Times New Roman"/>
        </w:rPr>
      </w:pPr>
    </w:p>
    <w:p w14:paraId="200F497D"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Clark, G., ‘Reviewed Work: The Battle of Maldon by D.G. Scragg’, </w:t>
      </w:r>
      <w:r w:rsidRPr="003B6C7F">
        <w:rPr>
          <w:rFonts w:ascii="Times New Roman" w:hAnsi="Times New Roman" w:cs="Times New Roman"/>
          <w:i/>
        </w:rPr>
        <w:t>Speculum</w:t>
      </w:r>
      <w:r w:rsidRPr="003B6C7F">
        <w:rPr>
          <w:rFonts w:ascii="Times New Roman" w:hAnsi="Times New Roman" w:cs="Times New Roman"/>
        </w:rPr>
        <w:t>, 58.4 (October 1983), pp. 1082-1086 &lt;</w:t>
      </w:r>
      <w:hyperlink r:id="rId11" w:history="1">
        <w:r w:rsidRPr="003B6C7F">
          <w:rPr>
            <w:rFonts w:ascii="Times New Roman" w:hAnsi="Times New Roman" w:cs="Times New Roman"/>
          </w:rPr>
          <w:t>https://www-jstor-org.ezproxy.uwtsd.ac.uk/stable/2853821</w:t>
        </w:r>
      </w:hyperlink>
      <w:r w:rsidRPr="003B6C7F">
        <w:rPr>
          <w:rFonts w:ascii="Times New Roman" w:hAnsi="Times New Roman" w:cs="Times New Roman"/>
        </w:rPr>
        <w:t>&gt; [Accessed: 25 July 2018].</w:t>
      </w:r>
    </w:p>
    <w:p w14:paraId="0582FA42" w14:textId="77777777" w:rsidR="003B6C7F" w:rsidRPr="003B6C7F" w:rsidRDefault="003B6C7F" w:rsidP="00CB515C">
      <w:pPr>
        <w:pStyle w:val="FootnoteText"/>
        <w:spacing w:after="160" w:line="480" w:lineRule="auto"/>
        <w:rPr>
          <w:rFonts w:ascii="Times New Roman" w:hAnsi="Times New Roman" w:cs="Times New Roman"/>
        </w:rPr>
      </w:pPr>
    </w:p>
    <w:p w14:paraId="0CC77226"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Del Mastro, M.L., ‘The Dream of the Rood and the Militia Christi: Perspective in Paradox’, </w:t>
      </w:r>
      <w:r w:rsidRPr="003B6C7F">
        <w:rPr>
          <w:rFonts w:ascii="Times New Roman" w:hAnsi="Times New Roman" w:cs="Times New Roman"/>
          <w:i/>
          <w:sz w:val="24"/>
          <w:szCs w:val="24"/>
        </w:rPr>
        <w:t>American Benedictine Review,</w:t>
      </w:r>
      <w:r w:rsidRPr="003B6C7F">
        <w:rPr>
          <w:rFonts w:ascii="Times New Roman" w:hAnsi="Times New Roman" w:cs="Times New Roman"/>
          <w:sz w:val="24"/>
          <w:szCs w:val="24"/>
        </w:rPr>
        <w:t xml:space="preserve"> 27 (1976), pp. 171–186.</w:t>
      </w:r>
    </w:p>
    <w:p w14:paraId="5A72C9CF" w14:textId="77777777" w:rsidR="003B6C7F" w:rsidRPr="003B6C7F" w:rsidRDefault="003B6C7F" w:rsidP="00CB515C">
      <w:pPr>
        <w:spacing w:line="480" w:lineRule="auto"/>
        <w:rPr>
          <w:rFonts w:ascii="Times New Roman" w:hAnsi="Times New Roman" w:cs="Times New Roman"/>
          <w:sz w:val="24"/>
          <w:szCs w:val="24"/>
        </w:rPr>
      </w:pPr>
    </w:p>
    <w:p w14:paraId="00B4F846"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Dogra A. and Dogra A., ‘Beowulf – The Anglo Saxon Hero’, </w:t>
      </w:r>
      <w:r w:rsidRPr="003B6C7F">
        <w:rPr>
          <w:rFonts w:ascii="Times New Roman" w:hAnsi="Times New Roman" w:cs="Times New Roman"/>
          <w:i/>
          <w:sz w:val="24"/>
          <w:szCs w:val="24"/>
        </w:rPr>
        <w:t>International Journal on Studies in English Language and Literature</w:t>
      </w:r>
      <w:r w:rsidRPr="003B6C7F">
        <w:rPr>
          <w:rFonts w:ascii="Times New Roman" w:hAnsi="Times New Roman" w:cs="Times New Roman"/>
          <w:sz w:val="24"/>
          <w:szCs w:val="24"/>
        </w:rPr>
        <w:t>, 4.5 (May 2016), pp. 79-81 &lt;</w:t>
      </w:r>
      <w:hyperlink r:id="rId12" w:history="1">
        <w:r w:rsidRPr="003B6C7F">
          <w:rPr>
            <w:rFonts w:ascii="Times New Roman" w:hAnsi="Times New Roman" w:cs="Times New Roman"/>
            <w:sz w:val="24"/>
            <w:szCs w:val="24"/>
          </w:rPr>
          <w:t>http://dx.doi.org/10.20431/2347-3134.0405011</w:t>
        </w:r>
      </w:hyperlink>
      <w:r w:rsidRPr="003B6C7F">
        <w:rPr>
          <w:rFonts w:ascii="Times New Roman" w:hAnsi="Times New Roman" w:cs="Times New Roman"/>
          <w:sz w:val="24"/>
          <w:szCs w:val="24"/>
        </w:rPr>
        <w:t>&gt; [Accessed: 7 June 2018].</w:t>
      </w:r>
    </w:p>
    <w:p w14:paraId="39A54263" w14:textId="77777777" w:rsidR="003B6C7F" w:rsidRPr="003B6C7F" w:rsidRDefault="003B6C7F" w:rsidP="00CB515C">
      <w:pPr>
        <w:spacing w:line="480" w:lineRule="auto"/>
        <w:rPr>
          <w:rFonts w:ascii="Times New Roman" w:hAnsi="Times New Roman" w:cs="Times New Roman"/>
          <w:sz w:val="24"/>
          <w:szCs w:val="24"/>
        </w:rPr>
      </w:pPr>
    </w:p>
    <w:p w14:paraId="13F0A935"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Fell, C., ‘Perceptions of Transcience’, </w:t>
      </w:r>
      <w:r w:rsidRPr="003B6C7F">
        <w:rPr>
          <w:rFonts w:ascii="Times New Roman" w:hAnsi="Times New Roman" w:cs="Times New Roman"/>
          <w:i/>
          <w:sz w:val="24"/>
          <w:szCs w:val="24"/>
        </w:rPr>
        <w:t>The Cambridge Companion to Old English Literature</w:t>
      </w:r>
      <w:r w:rsidRPr="003B6C7F">
        <w:rPr>
          <w:rFonts w:ascii="Times New Roman" w:hAnsi="Times New Roman" w:cs="Times New Roman"/>
          <w:sz w:val="24"/>
          <w:szCs w:val="24"/>
        </w:rPr>
        <w:t xml:space="preserve">, </w:t>
      </w:r>
      <w:proofErr w:type="gramStart"/>
      <w:r w:rsidRPr="003B6C7F">
        <w:rPr>
          <w:rFonts w:ascii="Times New Roman" w:hAnsi="Times New Roman" w:cs="Times New Roman"/>
          <w:sz w:val="24"/>
          <w:szCs w:val="24"/>
        </w:rPr>
        <w:t>eds</w:t>
      </w:r>
      <w:proofErr w:type="gramEnd"/>
      <w:r w:rsidRPr="003B6C7F">
        <w:rPr>
          <w:rFonts w:ascii="Times New Roman" w:hAnsi="Times New Roman" w:cs="Times New Roman"/>
          <w:sz w:val="24"/>
          <w:szCs w:val="24"/>
        </w:rPr>
        <w:t>. Godden, M. and Lapidge, M. (Cambridge: Cambridge University Press, 1986), pp. 172-189.</w:t>
      </w:r>
    </w:p>
    <w:p w14:paraId="12982202" w14:textId="77777777" w:rsidR="003B6C7F" w:rsidRPr="003B6C7F" w:rsidRDefault="003B6C7F" w:rsidP="00CB515C">
      <w:pPr>
        <w:spacing w:line="480" w:lineRule="auto"/>
        <w:rPr>
          <w:rFonts w:ascii="Times New Roman" w:hAnsi="Times New Roman" w:cs="Times New Roman"/>
          <w:sz w:val="24"/>
          <w:szCs w:val="24"/>
        </w:rPr>
      </w:pPr>
    </w:p>
    <w:p w14:paraId="715D72B3"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lastRenderedPageBreak/>
        <w:t xml:space="preserve">Fisher, P.F., ‘The Trials of the Epic Hero in Beowulf’, </w:t>
      </w:r>
      <w:r w:rsidRPr="003B6C7F">
        <w:rPr>
          <w:rFonts w:ascii="Times New Roman" w:hAnsi="Times New Roman" w:cs="Times New Roman"/>
          <w:i/>
          <w:sz w:val="24"/>
          <w:szCs w:val="24"/>
        </w:rPr>
        <w:t>PMLA</w:t>
      </w:r>
      <w:r w:rsidRPr="003B6C7F">
        <w:rPr>
          <w:rFonts w:ascii="Times New Roman" w:hAnsi="Times New Roman" w:cs="Times New Roman"/>
          <w:sz w:val="24"/>
          <w:szCs w:val="24"/>
        </w:rPr>
        <w:t>, 73.3 (June 1958), pp. 171-183 &lt;</w:t>
      </w:r>
      <w:hyperlink r:id="rId13" w:history="1">
        <w:r w:rsidRPr="003B6C7F">
          <w:rPr>
            <w:rFonts w:ascii="Times New Roman" w:hAnsi="Times New Roman" w:cs="Times New Roman"/>
            <w:sz w:val="24"/>
            <w:szCs w:val="24"/>
          </w:rPr>
          <w:t>https://www.jstor.org/stable/460234</w:t>
        </w:r>
      </w:hyperlink>
      <w:r w:rsidRPr="003B6C7F">
        <w:rPr>
          <w:rFonts w:ascii="Times New Roman" w:hAnsi="Times New Roman" w:cs="Times New Roman"/>
          <w:sz w:val="24"/>
          <w:szCs w:val="24"/>
        </w:rPr>
        <w:t xml:space="preserve">&gt; [Accessed: 24 July 2018]. </w:t>
      </w:r>
    </w:p>
    <w:p w14:paraId="29064446" w14:textId="77777777" w:rsidR="003B6C7F" w:rsidRPr="003B6C7F" w:rsidRDefault="003B6C7F" w:rsidP="00CB515C">
      <w:pPr>
        <w:spacing w:line="480" w:lineRule="auto"/>
        <w:rPr>
          <w:rFonts w:ascii="Times New Roman" w:hAnsi="Times New Roman" w:cs="Times New Roman"/>
          <w:sz w:val="24"/>
          <w:szCs w:val="24"/>
        </w:rPr>
      </w:pPr>
    </w:p>
    <w:p w14:paraId="70760605" w14:textId="77777777" w:rsidR="00CB515C"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Fowler, R., ‘A Theme in “The Wanderer”’, </w:t>
      </w:r>
      <w:r w:rsidRPr="003B6C7F">
        <w:rPr>
          <w:rFonts w:ascii="Times New Roman" w:hAnsi="Times New Roman" w:cs="Times New Roman"/>
          <w:i/>
          <w:sz w:val="24"/>
          <w:szCs w:val="24"/>
        </w:rPr>
        <w:t>Medium Aevum</w:t>
      </w:r>
      <w:r w:rsidRPr="003B6C7F">
        <w:rPr>
          <w:rFonts w:ascii="Times New Roman" w:hAnsi="Times New Roman" w:cs="Times New Roman"/>
          <w:sz w:val="24"/>
          <w:szCs w:val="24"/>
        </w:rPr>
        <w:t>, 36.1 (January 1967), pp. 1-14 &lt;</w:t>
      </w:r>
      <w:r w:rsidRPr="003B6C7F">
        <w:rPr>
          <w:rFonts w:ascii="Times New Roman" w:eastAsia="Times New Roman" w:hAnsi="Times New Roman" w:cs="Times New Roman"/>
          <w:sz w:val="24"/>
          <w:szCs w:val="24"/>
          <w:shd w:val="clear" w:color="auto" w:fill="FFFFFF"/>
        </w:rPr>
        <w:t>https://www.jstor.org/stable/43627308</w:t>
      </w:r>
      <w:r w:rsidRPr="003B6C7F">
        <w:rPr>
          <w:rFonts w:ascii="Times New Roman" w:hAnsi="Times New Roman" w:cs="Times New Roman"/>
          <w:sz w:val="24"/>
          <w:szCs w:val="24"/>
        </w:rPr>
        <w:t>&gt; [Accessed: 24 July 2018].</w:t>
      </w:r>
    </w:p>
    <w:p w14:paraId="7AD1F0CA" w14:textId="77777777" w:rsidR="00CB515C" w:rsidRDefault="00CB515C" w:rsidP="00CB515C">
      <w:pPr>
        <w:spacing w:line="480" w:lineRule="auto"/>
        <w:rPr>
          <w:rFonts w:ascii="Times New Roman" w:hAnsi="Times New Roman" w:cs="Times New Roman"/>
          <w:sz w:val="24"/>
          <w:szCs w:val="24"/>
        </w:rPr>
      </w:pPr>
    </w:p>
    <w:p w14:paraId="630F62B4"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Fulk, R.D., </w:t>
      </w:r>
      <w:r w:rsidRPr="003B6C7F">
        <w:rPr>
          <w:rFonts w:ascii="Times New Roman" w:hAnsi="Times New Roman" w:cs="Times New Roman"/>
          <w:i/>
          <w:sz w:val="24"/>
          <w:szCs w:val="24"/>
        </w:rPr>
        <w:t>Interpretations of Beowulf</w:t>
      </w:r>
      <w:r w:rsidRPr="003B6C7F">
        <w:rPr>
          <w:rFonts w:ascii="Times New Roman" w:hAnsi="Times New Roman" w:cs="Times New Roman"/>
          <w:sz w:val="24"/>
          <w:szCs w:val="24"/>
        </w:rPr>
        <w:t xml:space="preserve"> (Indiana: Indiana University Press, 1991). </w:t>
      </w:r>
    </w:p>
    <w:p w14:paraId="604A6DD4" w14:textId="77777777" w:rsidR="003B6C7F" w:rsidRPr="003B6C7F" w:rsidRDefault="003B6C7F" w:rsidP="00CB515C">
      <w:pPr>
        <w:spacing w:line="480" w:lineRule="auto"/>
        <w:rPr>
          <w:rFonts w:ascii="Times New Roman" w:hAnsi="Times New Roman" w:cs="Times New Roman"/>
          <w:sz w:val="24"/>
          <w:szCs w:val="24"/>
        </w:rPr>
      </w:pPr>
    </w:p>
    <w:p w14:paraId="22644113"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Georgianna, L., ‘King Hrethel's Sorrow and the Limits of Heroic Action in Beowulf’, </w:t>
      </w:r>
      <w:r w:rsidRPr="003B6C7F">
        <w:rPr>
          <w:rFonts w:ascii="Times New Roman" w:hAnsi="Times New Roman" w:cs="Times New Roman"/>
          <w:i/>
          <w:sz w:val="24"/>
          <w:szCs w:val="24"/>
        </w:rPr>
        <w:t>Speculum</w:t>
      </w:r>
      <w:r w:rsidRPr="003B6C7F">
        <w:rPr>
          <w:rFonts w:ascii="Times New Roman" w:hAnsi="Times New Roman" w:cs="Times New Roman"/>
          <w:sz w:val="24"/>
          <w:szCs w:val="24"/>
        </w:rPr>
        <w:t>, 62.4 (October 1987), pp. 829-850 &lt;</w:t>
      </w:r>
      <w:hyperlink r:id="rId14" w:history="1">
        <w:r w:rsidRPr="003B6C7F">
          <w:rPr>
            <w:rFonts w:ascii="Times New Roman" w:hAnsi="Times New Roman" w:cs="Times New Roman"/>
            <w:sz w:val="24"/>
            <w:szCs w:val="24"/>
          </w:rPr>
          <w:t>https://www.jstor.org/stable/2851782</w:t>
        </w:r>
      </w:hyperlink>
      <w:r w:rsidRPr="003B6C7F">
        <w:rPr>
          <w:rFonts w:ascii="Times New Roman" w:hAnsi="Times New Roman" w:cs="Times New Roman"/>
          <w:sz w:val="24"/>
          <w:szCs w:val="24"/>
        </w:rPr>
        <w:t>&gt; [Accessed: 24 June 2018].</w:t>
      </w:r>
    </w:p>
    <w:p w14:paraId="7B212E52" w14:textId="77777777" w:rsidR="003B6C7F" w:rsidRPr="003B6C7F" w:rsidRDefault="003B6C7F" w:rsidP="00CB515C">
      <w:pPr>
        <w:pStyle w:val="FootnoteText"/>
        <w:spacing w:after="160" w:line="480" w:lineRule="auto"/>
        <w:rPr>
          <w:rFonts w:ascii="Times New Roman" w:hAnsi="Times New Roman" w:cs="Times New Roman"/>
        </w:rPr>
      </w:pPr>
    </w:p>
    <w:p w14:paraId="42FAF760"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Gneuss, H., ‘“The Battle of Maldon” 89: Byrhtnoð's “Ofermod” Once Again’, </w:t>
      </w:r>
      <w:r w:rsidRPr="003B6C7F">
        <w:rPr>
          <w:rFonts w:ascii="Times New Roman" w:hAnsi="Times New Roman" w:cs="Times New Roman"/>
          <w:i/>
        </w:rPr>
        <w:t>Studies in Philology</w:t>
      </w:r>
      <w:r w:rsidRPr="003B6C7F">
        <w:rPr>
          <w:rFonts w:ascii="Times New Roman" w:hAnsi="Times New Roman" w:cs="Times New Roman"/>
        </w:rPr>
        <w:t>, 73.2 (April 1976), pp. 117-137 &lt;</w:t>
      </w:r>
      <w:hyperlink r:id="rId15" w:history="1">
        <w:r w:rsidRPr="003B6C7F">
          <w:rPr>
            <w:rFonts w:ascii="Times New Roman" w:hAnsi="Times New Roman" w:cs="Times New Roman"/>
          </w:rPr>
          <w:t>https://www.jstor.org/stable/4173900</w:t>
        </w:r>
      </w:hyperlink>
      <w:r w:rsidRPr="003B6C7F">
        <w:rPr>
          <w:rFonts w:ascii="Times New Roman" w:hAnsi="Times New Roman" w:cs="Times New Roman"/>
        </w:rPr>
        <w:t>&gt; [Accessed: 24 July 2018].</w:t>
      </w:r>
    </w:p>
    <w:p w14:paraId="30F0F3D2" w14:textId="77777777" w:rsidR="003B6C7F" w:rsidRPr="003B6C7F" w:rsidRDefault="003B6C7F" w:rsidP="00CB515C">
      <w:pPr>
        <w:pStyle w:val="FootnoteText"/>
        <w:spacing w:after="160" w:line="480" w:lineRule="auto"/>
        <w:rPr>
          <w:rFonts w:ascii="Times New Roman" w:hAnsi="Times New Roman" w:cs="Times New Roman"/>
        </w:rPr>
      </w:pPr>
    </w:p>
    <w:p w14:paraId="26C67FE1"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Godden, M., and Lapidge, M., </w:t>
      </w:r>
      <w:r w:rsidRPr="003B6C7F">
        <w:rPr>
          <w:rFonts w:ascii="Times New Roman" w:hAnsi="Times New Roman" w:cs="Times New Roman"/>
          <w:i/>
        </w:rPr>
        <w:t xml:space="preserve">The Cambridge Companion to Old English Literature </w:t>
      </w:r>
      <w:r w:rsidRPr="003B6C7F">
        <w:rPr>
          <w:rFonts w:ascii="Times New Roman" w:hAnsi="Times New Roman" w:cs="Times New Roman"/>
        </w:rPr>
        <w:t>(Cambridge: Cambridge University Press, 1986).</w:t>
      </w:r>
    </w:p>
    <w:p w14:paraId="2824A43F" w14:textId="77777777" w:rsidR="003B6C7F" w:rsidRPr="003B6C7F" w:rsidRDefault="003B6C7F" w:rsidP="00CB515C">
      <w:pPr>
        <w:pStyle w:val="FootnoteText"/>
        <w:spacing w:after="160" w:line="480" w:lineRule="auto"/>
        <w:rPr>
          <w:rFonts w:ascii="Times New Roman" w:hAnsi="Times New Roman" w:cs="Times New Roman"/>
        </w:rPr>
      </w:pPr>
    </w:p>
    <w:p w14:paraId="20BDBFA2"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Hamer, R., </w:t>
      </w:r>
      <w:r w:rsidRPr="003B6C7F">
        <w:rPr>
          <w:rFonts w:ascii="Times New Roman" w:hAnsi="Times New Roman" w:cs="Times New Roman"/>
          <w:i/>
          <w:sz w:val="24"/>
          <w:szCs w:val="24"/>
        </w:rPr>
        <w:t xml:space="preserve">A Choice of Anglo-Saxon Verse </w:t>
      </w:r>
      <w:r w:rsidRPr="003B6C7F">
        <w:rPr>
          <w:rFonts w:ascii="Times New Roman" w:hAnsi="Times New Roman" w:cs="Times New Roman"/>
          <w:sz w:val="24"/>
          <w:szCs w:val="24"/>
        </w:rPr>
        <w:t>(London: Faber &amp; Faber, 2015).</w:t>
      </w:r>
    </w:p>
    <w:p w14:paraId="2A6D6CEA" w14:textId="77777777" w:rsidR="003B6C7F" w:rsidRPr="003B6C7F" w:rsidRDefault="003B6C7F" w:rsidP="00CB515C">
      <w:pPr>
        <w:spacing w:line="480" w:lineRule="auto"/>
        <w:rPr>
          <w:rFonts w:ascii="Times New Roman" w:hAnsi="Times New Roman" w:cs="Times New Roman"/>
          <w:sz w:val="24"/>
          <w:szCs w:val="24"/>
        </w:rPr>
      </w:pPr>
    </w:p>
    <w:p w14:paraId="42F8164A"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lastRenderedPageBreak/>
        <w:t xml:space="preserve">Hunter Blair, P. </w:t>
      </w:r>
      <w:r w:rsidRPr="003B6C7F">
        <w:rPr>
          <w:rFonts w:ascii="Times New Roman" w:hAnsi="Times New Roman" w:cs="Times New Roman"/>
          <w:i/>
          <w:sz w:val="24"/>
          <w:szCs w:val="24"/>
        </w:rPr>
        <w:t>An Introduction to Anglo-Saxon England</w:t>
      </w:r>
      <w:r w:rsidRPr="003B6C7F">
        <w:rPr>
          <w:rFonts w:ascii="Times New Roman" w:hAnsi="Times New Roman" w:cs="Times New Roman"/>
          <w:sz w:val="24"/>
          <w:szCs w:val="24"/>
        </w:rPr>
        <w:t xml:space="preserve">, (Cambridge: Cambridge University Press, 1977). </w:t>
      </w:r>
    </w:p>
    <w:p w14:paraId="427BE116" w14:textId="77777777" w:rsidR="003B6C7F" w:rsidRPr="003B6C7F" w:rsidRDefault="003B6C7F" w:rsidP="00CB515C">
      <w:pPr>
        <w:spacing w:line="480" w:lineRule="auto"/>
        <w:rPr>
          <w:rFonts w:ascii="Times New Roman" w:hAnsi="Times New Roman" w:cs="Times New Roman"/>
          <w:sz w:val="24"/>
          <w:szCs w:val="24"/>
        </w:rPr>
      </w:pPr>
    </w:p>
    <w:p w14:paraId="2576D86B"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Irvine, S., ‘Adam or Christ? A Pronominal Pun in The Dream of the Rood’, </w:t>
      </w:r>
      <w:r w:rsidRPr="003B6C7F">
        <w:rPr>
          <w:rFonts w:ascii="Times New Roman" w:hAnsi="Times New Roman" w:cs="Times New Roman"/>
          <w:i/>
          <w:sz w:val="24"/>
          <w:szCs w:val="24"/>
        </w:rPr>
        <w:t>The Review of English Studies</w:t>
      </w:r>
      <w:r w:rsidRPr="003B6C7F">
        <w:rPr>
          <w:rFonts w:ascii="Times New Roman" w:hAnsi="Times New Roman" w:cs="Times New Roman"/>
          <w:sz w:val="24"/>
          <w:szCs w:val="24"/>
        </w:rPr>
        <w:t>, 48.192 (November 1997), pp. 433-447 &lt;</w:t>
      </w:r>
      <w:hyperlink r:id="rId16" w:history="1">
        <w:r w:rsidRPr="003B6C7F">
          <w:rPr>
            <w:rFonts w:ascii="Times New Roman" w:hAnsi="Times New Roman" w:cs="Times New Roman"/>
            <w:sz w:val="24"/>
            <w:szCs w:val="24"/>
          </w:rPr>
          <w:t>http://www.jstor.org/stable/518491</w:t>
        </w:r>
      </w:hyperlink>
      <w:r w:rsidRPr="003B6C7F">
        <w:rPr>
          <w:rFonts w:ascii="Times New Roman" w:hAnsi="Times New Roman" w:cs="Times New Roman"/>
          <w:sz w:val="24"/>
          <w:szCs w:val="24"/>
        </w:rPr>
        <w:t>&gt; [Accessed: 2 June 2018].</w:t>
      </w:r>
    </w:p>
    <w:p w14:paraId="5B594907" w14:textId="77777777" w:rsidR="003B6C7F" w:rsidRPr="003B6C7F" w:rsidRDefault="003B6C7F" w:rsidP="00CB515C">
      <w:pPr>
        <w:spacing w:line="480" w:lineRule="auto"/>
        <w:rPr>
          <w:rFonts w:ascii="Times New Roman" w:hAnsi="Times New Roman" w:cs="Times New Roman"/>
          <w:sz w:val="24"/>
          <w:szCs w:val="24"/>
        </w:rPr>
      </w:pPr>
    </w:p>
    <w:p w14:paraId="0B536850"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Irving Jr., E.B., ‘The Heroic Style in “The Battle of Maldon”’, </w:t>
      </w:r>
      <w:r w:rsidRPr="003B6C7F">
        <w:rPr>
          <w:rFonts w:ascii="Times New Roman" w:hAnsi="Times New Roman" w:cs="Times New Roman"/>
          <w:i/>
          <w:sz w:val="24"/>
          <w:szCs w:val="24"/>
        </w:rPr>
        <w:t>Studies in Philology</w:t>
      </w:r>
      <w:r w:rsidRPr="003B6C7F">
        <w:rPr>
          <w:rFonts w:ascii="Times New Roman" w:hAnsi="Times New Roman" w:cs="Times New Roman"/>
          <w:sz w:val="24"/>
          <w:szCs w:val="24"/>
        </w:rPr>
        <w:t>, 58.3 (July 1961), pp. 457-467 &lt;</w:t>
      </w:r>
      <w:hyperlink r:id="rId17" w:history="1">
        <w:r w:rsidRPr="003B6C7F">
          <w:rPr>
            <w:rFonts w:ascii="Times New Roman" w:hAnsi="Times New Roman" w:cs="Times New Roman"/>
            <w:sz w:val="24"/>
            <w:szCs w:val="24"/>
          </w:rPr>
          <w:t>https://www.jstor.org/stable/4173350</w:t>
        </w:r>
      </w:hyperlink>
      <w:r w:rsidRPr="003B6C7F">
        <w:rPr>
          <w:rFonts w:ascii="Times New Roman" w:hAnsi="Times New Roman" w:cs="Times New Roman"/>
          <w:sz w:val="24"/>
          <w:szCs w:val="24"/>
        </w:rPr>
        <w:t>&gt; [Accessed: 24 July 2018].</w:t>
      </w:r>
    </w:p>
    <w:p w14:paraId="19D58594" w14:textId="77777777" w:rsidR="003B6C7F" w:rsidRPr="003B6C7F" w:rsidRDefault="003B6C7F" w:rsidP="00CB515C">
      <w:pPr>
        <w:spacing w:line="480" w:lineRule="auto"/>
        <w:rPr>
          <w:rFonts w:ascii="Times New Roman" w:hAnsi="Times New Roman" w:cs="Times New Roman"/>
          <w:sz w:val="24"/>
          <w:szCs w:val="24"/>
        </w:rPr>
      </w:pPr>
    </w:p>
    <w:p w14:paraId="2F72414E"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Jorgensen, A., ‘Reading Emotion in The Battle of Brunanburh’, </w:t>
      </w:r>
      <w:r w:rsidRPr="003B6C7F">
        <w:rPr>
          <w:rFonts w:ascii="Times New Roman" w:hAnsi="Times New Roman" w:cs="Times New Roman"/>
          <w:i/>
          <w:sz w:val="24"/>
          <w:szCs w:val="24"/>
        </w:rPr>
        <w:t>Neophilologus</w:t>
      </w:r>
      <w:r w:rsidRPr="003B6C7F">
        <w:rPr>
          <w:rFonts w:ascii="Times New Roman" w:hAnsi="Times New Roman" w:cs="Times New Roman"/>
          <w:sz w:val="24"/>
          <w:szCs w:val="24"/>
        </w:rPr>
        <w:t>, 100.4 (2016), pp. 663-676 &lt;https://link.springer.com/article/10.1007%2Fs11061-016-9479-3&gt; [Accessed: 24 June 2018].</w:t>
      </w:r>
    </w:p>
    <w:p w14:paraId="4D400C33" w14:textId="77777777" w:rsidR="003B6C7F" w:rsidRPr="003B6C7F" w:rsidRDefault="003B6C7F" w:rsidP="00CB515C">
      <w:pPr>
        <w:spacing w:line="480" w:lineRule="auto"/>
        <w:rPr>
          <w:rFonts w:ascii="Times New Roman" w:hAnsi="Times New Roman" w:cs="Times New Roman"/>
          <w:sz w:val="24"/>
          <w:szCs w:val="24"/>
        </w:rPr>
      </w:pPr>
    </w:p>
    <w:p w14:paraId="2D20E994"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Kaske, R.E., ‘</w:t>
      </w:r>
      <w:r w:rsidRPr="003B6C7F">
        <w:rPr>
          <w:rFonts w:ascii="Times New Roman" w:hAnsi="Times New Roman" w:cs="Times New Roman"/>
          <w:i/>
          <w:sz w:val="24"/>
          <w:szCs w:val="24"/>
        </w:rPr>
        <w:t>Sapientia et Fortitudo</w:t>
      </w:r>
      <w:r w:rsidRPr="003B6C7F">
        <w:rPr>
          <w:rFonts w:ascii="Times New Roman" w:hAnsi="Times New Roman" w:cs="Times New Roman"/>
          <w:sz w:val="24"/>
          <w:szCs w:val="24"/>
        </w:rPr>
        <w:t xml:space="preserve"> as the controlling theme of Beowulf ‘, in Hamer, R., </w:t>
      </w:r>
      <w:r w:rsidRPr="003B6C7F">
        <w:rPr>
          <w:rFonts w:ascii="Times New Roman" w:hAnsi="Times New Roman" w:cs="Times New Roman"/>
          <w:i/>
          <w:sz w:val="24"/>
          <w:szCs w:val="24"/>
        </w:rPr>
        <w:t xml:space="preserve">A Choice of Anglo-Saxon Verse </w:t>
      </w:r>
      <w:r w:rsidRPr="003B6C7F">
        <w:rPr>
          <w:rFonts w:ascii="Times New Roman" w:hAnsi="Times New Roman" w:cs="Times New Roman"/>
          <w:sz w:val="24"/>
          <w:szCs w:val="24"/>
        </w:rPr>
        <w:t>(London: Faber &amp; Faber, 2015).</w:t>
      </w:r>
    </w:p>
    <w:p w14:paraId="62AD9F91" w14:textId="77777777" w:rsidR="003B6C7F" w:rsidRPr="003B6C7F" w:rsidRDefault="003B6C7F" w:rsidP="00CB515C">
      <w:pPr>
        <w:spacing w:line="480" w:lineRule="auto"/>
        <w:rPr>
          <w:rFonts w:ascii="Times New Roman" w:hAnsi="Times New Roman" w:cs="Times New Roman"/>
          <w:sz w:val="24"/>
          <w:szCs w:val="24"/>
        </w:rPr>
      </w:pPr>
    </w:p>
    <w:p w14:paraId="39CF5E7C"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Klinck, A.L., ‘Christ as Soldier and Servant in The Dream of the Rood’, </w:t>
      </w:r>
      <w:r w:rsidRPr="003B6C7F">
        <w:rPr>
          <w:rFonts w:ascii="Times New Roman" w:hAnsi="Times New Roman" w:cs="Times New Roman"/>
          <w:i/>
          <w:sz w:val="24"/>
          <w:szCs w:val="24"/>
        </w:rPr>
        <w:t>Florilegium</w:t>
      </w:r>
      <w:r w:rsidRPr="003B6C7F">
        <w:rPr>
          <w:rFonts w:ascii="Times New Roman" w:hAnsi="Times New Roman" w:cs="Times New Roman"/>
          <w:sz w:val="24"/>
          <w:szCs w:val="24"/>
        </w:rPr>
        <w:t>, 4 (1982), pp. 109–116 &lt;https://journals.lib.unb.ca/index.php/flor/article/view/15348&gt; [Accessed: 24 July 2018].</w:t>
      </w:r>
    </w:p>
    <w:p w14:paraId="63688899" w14:textId="77777777" w:rsidR="003B6C7F" w:rsidRPr="003B6C7F" w:rsidRDefault="003B6C7F" w:rsidP="00CB515C">
      <w:pPr>
        <w:spacing w:line="480" w:lineRule="auto"/>
        <w:rPr>
          <w:rFonts w:ascii="Times New Roman" w:hAnsi="Times New Roman" w:cs="Times New Roman"/>
          <w:sz w:val="24"/>
          <w:szCs w:val="24"/>
        </w:rPr>
      </w:pPr>
    </w:p>
    <w:p w14:paraId="3C4D2F59"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lastRenderedPageBreak/>
        <w:t xml:space="preserve">Leneghan, F., ‘Preparing the Mind for Prayer: The Wanderer, Hesychasm and Theosis’, </w:t>
      </w:r>
      <w:r w:rsidRPr="003B6C7F">
        <w:rPr>
          <w:rFonts w:ascii="Times New Roman" w:hAnsi="Times New Roman" w:cs="Times New Roman"/>
          <w:i/>
          <w:sz w:val="24"/>
          <w:szCs w:val="24"/>
        </w:rPr>
        <w:t>Neophilologus</w:t>
      </w:r>
      <w:r w:rsidRPr="003B6C7F">
        <w:rPr>
          <w:rFonts w:ascii="Times New Roman" w:hAnsi="Times New Roman" w:cs="Times New Roman"/>
          <w:sz w:val="24"/>
          <w:szCs w:val="24"/>
        </w:rPr>
        <w:t xml:space="preserve">, 100.1 </w:t>
      </w:r>
      <w:r w:rsidRPr="003B6C7F">
        <w:rPr>
          <w:rFonts w:ascii="Times New Roman" w:hAnsi="Times New Roman" w:cs="Times New Roman"/>
          <w:sz w:val="24"/>
          <w:szCs w:val="24"/>
          <w:lang w:val="en"/>
        </w:rPr>
        <w:t>(</w:t>
      </w:r>
      <w:r w:rsidR="005B56AB">
        <w:rPr>
          <w:rFonts w:ascii="Times New Roman" w:hAnsi="Times New Roman" w:cs="Times New Roman"/>
          <w:sz w:val="24"/>
          <w:szCs w:val="24"/>
        </w:rPr>
        <w:t>January 2016), pp. 121-142 &lt;</w:t>
      </w:r>
      <w:r w:rsidRPr="003B6C7F">
        <w:rPr>
          <w:rFonts w:ascii="Times New Roman" w:hAnsi="Times New Roman" w:cs="Times New Roman"/>
          <w:sz w:val="24"/>
          <w:szCs w:val="24"/>
        </w:rPr>
        <w:t>https://link.springer.com/article/10.1007%2Fs11061-015-9455-3&gt; [Accessed: 24 July 2018].</w:t>
      </w:r>
    </w:p>
    <w:p w14:paraId="781E3408" w14:textId="77777777" w:rsidR="003B6C7F" w:rsidRPr="003B6C7F" w:rsidRDefault="003B6C7F" w:rsidP="00CB515C">
      <w:pPr>
        <w:spacing w:line="480" w:lineRule="auto"/>
        <w:rPr>
          <w:rFonts w:ascii="Times New Roman" w:hAnsi="Times New Roman" w:cs="Times New Roman"/>
          <w:sz w:val="24"/>
          <w:szCs w:val="24"/>
        </w:rPr>
      </w:pPr>
    </w:p>
    <w:p w14:paraId="39BF1AC8"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MacRae-Gibson, O.D., ‘How Historical is “The Battle of Maldon”?’, </w:t>
      </w:r>
      <w:r w:rsidRPr="003B6C7F">
        <w:rPr>
          <w:rFonts w:ascii="Times New Roman" w:hAnsi="Times New Roman" w:cs="Times New Roman"/>
          <w:i/>
          <w:sz w:val="24"/>
          <w:szCs w:val="24"/>
        </w:rPr>
        <w:t>Medium Aevum</w:t>
      </w:r>
      <w:r w:rsidRPr="003B6C7F">
        <w:rPr>
          <w:rFonts w:ascii="Times New Roman" w:hAnsi="Times New Roman" w:cs="Times New Roman"/>
          <w:sz w:val="24"/>
          <w:szCs w:val="24"/>
        </w:rPr>
        <w:t>, 39 (January 1970), pp. 89-107 &lt;</w:t>
      </w:r>
      <w:r w:rsidRPr="003B6C7F">
        <w:rPr>
          <w:rFonts w:ascii="Times New Roman" w:eastAsia="Times New Roman" w:hAnsi="Times New Roman" w:cs="Times New Roman"/>
          <w:sz w:val="24"/>
          <w:szCs w:val="24"/>
          <w:shd w:val="clear" w:color="auto" w:fill="FFFFFF"/>
        </w:rPr>
        <w:t>https://www.jstor.org/stable/43631264</w:t>
      </w:r>
      <w:r w:rsidRPr="003B6C7F">
        <w:rPr>
          <w:rFonts w:ascii="Times New Roman" w:eastAsia="Times New Roman" w:hAnsi="Times New Roman" w:cs="Times New Roman"/>
          <w:sz w:val="24"/>
          <w:szCs w:val="24"/>
        </w:rPr>
        <w:t>&gt; [Accessed: 24 July 2018]</w:t>
      </w:r>
      <w:r w:rsidRPr="003B6C7F">
        <w:rPr>
          <w:rFonts w:ascii="Times New Roman" w:hAnsi="Times New Roman" w:cs="Times New Roman"/>
          <w:sz w:val="24"/>
          <w:szCs w:val="24"/>
        </w:rPr>
        <w:t>.</w:t>
      </w:r>
    </w:p>
    <w:p w14:paraId="73733881" w14:textId="77777777" w:rsidR="003B6C7F" w:rsidRPr="003B6C7F" w:rsidRDefault="003B6C7F" w:rsidP="00CB515C">
      <w:pPr>
        <w:spacing w:line="480" w:lineRule="auto"/>
        <w:rPr>
          <w:rFonts w:ascii="Times New Roman" w:hAnsi="Times New Roman" w:cs="Times New Roman"/>
          <w:sz w:val="24"/>
          <w:szCs w:val="24"/>
        </w:rPr>
      </w:pPr>
    </w:p>
    <w:p w14:paraId="264BA281"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Maring, H., ‘Towards a Ritual Poetic: Dream of the Rood as a Case Study’, </w:t>
      </w:r>
      <w:r w:rsidRPr="003B6C7F">
        <w:rPr>
          <w:rFonts w:ascii="Times New Roman" w:hAnsi="Times New Roman" w:cs="Times New Roman"/>
          <w:i/>
          <w:sz w:val="24"/>
          <w:szCs w:val="24"/>
        </w:rPr>
        <w:t>Oral Tradition</w:t>
      </w:r>
      <w:r w:rsidRPr="003B6C7F">
        <w:rPr>
          <w:rFonts w:ascii="Times New Roman" w:hAnsi="Times New Roman" w:cs="Times New Roman"/>
          <w:sz w:val="24"/>
          <w:szCs w:val="24"/>
        </w:rPr>
        <w:t xml:space="preserve"> 26.2 (2011), pp. 391-410 &lt;http://journal.oraltradition.org/files/articles/26ii/09_26.2.pdf&gt; [Accessed: 24 July 2018].</w:t>
      </w:r>
    </w:p>
    <w:p w14:paraId="3EA5E93C" w14:textId="77777777" w:rsidR="003B6C7F" w:rsidRPr="003B6C7F" w:rsidRDefault="003B6C7F" w:rsidP="00CB515C">
      <w:pPr>
        <w:spacing w:line="480" w:lineRule="auto"/>
        <w:rPr>
          <w:rFonts w:ascii="Times New Roman" w:hAnsi="Times New Roman" w:cs="Times New Roman"/>
          <w:sz w:val="24"/>
          <w:szCs w:val="24"/>
        </w:rPr>
      </w:pPr>
    </w:p>
    <w:p w14:paraId="7DF16960"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McNamee, M.B., ‘Beowulf – An Allegory of Salvation?’, </w:t>
      </w:r>
      <w:r w:rsidRPr="003B6C7F">
        <w:rPr>
          <w:rFonts w:ascii="Times New Roman" w:hAnsi="Times New Roman" w:cs="Times New Roman"/>
          <w:i/>
          <w:sz w:val="24"/>
          <w:szCs w:val="24"/>
        </w:rPr>
        <w:t>Interpretations of Beowulf: A Critical Anthology</w:t>
      </w:r>
      <w:r w:rsidRPr="003B6C7F">
        <w:rPr>
          <w:rFonts w:ascii="Times New Roman" w:hAnsi="Times New Roman" w:cs="Times New Roman"/>
          <w:sz w:val="24"/>
          <w:szCs w:val="24"/>
        </w:rPr>
        <w:t xml:space="preserve"> (Indiana: Indiana University Press, 1991), pp. 88-103.</w:t>
      </w:r>
    </w:p>
    <w:p w14:paraId="31648C20" w14:textId="77777777" w:rsidR="003B6C7F" w:rsidRPr="003B6C7F" w:rsidRDefault="003B6C7F" w:rsidP="00CB515C">
      <w:pPr>
        <w:spacing w:line="480" w:lineRule="auto"/>
        <w:rPr>
          <w:rFonts w:ascii="Times New Roman" w:hAnsi="Times New Roman" w:cs="Times New Roman"/>
          <w:sz w:val="24"/>
          <w:szCs w:val="24"/>
        </w:rPr>
      </w:pPr>
    </w:p>
    <w:p w14:paraId="79607207"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Mitchell, B. and Robinson, F., </w:t>
      </w:r>
      <w:r w:rsidRPr="003B6C7F">
        <w:rPr>
          <w:rFonts w:ascii="Times New Roman" w:hAnsi="Times New Roman" w:cs="Times New Roman"/>
          <w:i/>
          <w:sz w:val="24"/>
          <w:szCs w:val="24"/>
        </w:rPr>
        <w:t>A Guide to Old English: Revised with Texts and Glossary</w:t>
      </w:r>
      <w:r w:rsidRPr="003B6C7F">
        <w:rPr>
          <w:rFonts w:ascii="Times New Roman" w:hAnsi="Times New Roman" w:cs="Times New Roman"/>
          <w:sz w:val="24"/>
          <w:szCs w:val="24"/>
        </w:rPr>
        <w:t xml:space="preserve"> (Oxford: Oxford University Press, 1982).</w:t>
      </w:r>
    </w:p>
    <w:p w14:paraId="04035E8C" w14:textId="77777777" w:rsidR="003B6C7F" w:rsidRPr="003B6C7F" w:rsidRDefault="003B6C7F" w:rsidP="00CB515C">
      <w:pPr>
        <w:spacing w:line="480" w:lineRule="auto"/>
        <w:rPr>
          <w:rFonts w:ascii="Times New Roman" w:hAnsi="Times New Roman" w:cs="Times New Roman"/>
          <w:sz w:val="24"/>
          <w:szCs w:val="24"/>
        </w:rPr>
      </w:pPr>
    </w:p>
    <w:p w14:paraId="104ED8D6" w14:textId="77777777" w:rsidR="003B6C7F" w:rsidRPr="003B6C7F" w:rsidRDefault="003B6C7F" w:rsidP="00CB515C">
      <w:pPr>
        <w:spacing w:line="480" w:lineRule="auto"/>
        <w:rPr>
          <w:rFonts w:ascii="Times New Roman" w:eastAsia="Times New Roman" w:hAnsi="Times New Roman" w:cs="Times New Roman"/>
          <w:sz w:val="24"/>
          <w:szCs w:val="24"/>
        </w:rPr>
      </w:pPr>
      <w:r w:rsidRPr="003B6C7F">
        <w:rPr>
          <w:rFonts w:ascii="Times New Roman" w:hAnsi="Times New Roman" w:cs="Times New Roman"/>
          <w:sz w:val="24"/>
          <w:szCs w:val="24"/>
        </w:rPr>
        <w:t xml:space="preserve">Mize, B., ‘The Mental Container and the Cross of Christ: Revelation and Community in The Dream of the Rood’, </w:t>
      </w:r>
      <w:r w:rsidRPr="003B6C7F">
        <w:rPr>
          <w:rFonts w:ascii="Times New Roman" w:hAnsi="Times New Roman" w:cs="Times New Roman"/>
          <w:i/>
          <w:sz w:val="24"/>
          <w:szCs w:val="24"/>
        </w:rPr>
        <w:t>Studies In Philology</w:t>
      </w:r>
      <w:r w:rsidRPr="003B6C7F">
        <w:rPr>
          <w:rFonts w:ascii="Times New Roman" w:hAnsi="Times New Roman" w:cs="Times New Roman"/>
          <w:sz w:val="24"/>
          <w:szCs w:val="24"/>
        </w:rPr>
        <w:t>, 107.2 (2010), pp. 131-178 &lt;</w:t>
      </w:r>
      <w:r w:rsidRPr="003B6C7F">
        <w:rPr>
          <w:rFonts w:ascii="Times New Roman" w:eastAsia="Times New Roman" w:hAnsi="Times New Roman" w:cs="Times New Roman"/>
          <w:sz w:val="24"/>
          <w:szCs w:val="24"/>
        </w:rPr>
        <w:t>https://www.jstor.org/stable/25681414&gt; [Accessed: 24 July 2018].</w:t>
      </w:r>
    </w:p>
    <w:p w14:paraId="3BE13128" w14:textId="77777777" w:rsidR="003B6C7F" w:rsidRPr="003B6C7F" w:rsidRDefault="003B6C7F" w:rsidP="00CB515C">
      <w:pPr>
        <w:spacing w:line="480" w:lineRule="auto"/>
        <w:rPr>
          <w:rFonts w:ascii="Times New Roman" w:eastAsia="Times New Roman" w:hAnsi="Times New Roman" w:cs="Times New Roman"/>
          <w:sz w:val="24"/>
          <w:szCs w:val="24"/>
        </w:rPr>
      </w:pPr>
    </w:p>
    <w:p w14:paraId="492793D6" w14:textId="77777777" w:rsidR="003B6C7F" w:rsidRPr="003B6C7F" w:rsidRDefault="003B6C7F" w:rsidP="00CB515C">
      <w:pPr>
        <w:spacing w:line="480" w:lineRule="auto"/>
        <w:rPr>
          <w:rFonts w:ascii="Times New Roman" w:eastAsia="Times New Roman" w:hAnsi="Times New Roman" w:cs="Times New Roman"/>
          <w:sz w:val="24"/>
          <w:szCs w:val="24"/>
        </w:rPr>
      </w:pPr>
      <w:r w:rsidRPr="003B6C7F">
        <w:rPr>
          <w:rFonts w:ascii="Times New Roman" w:eastAsia="Times New Roman" w:hAnsi="Times New Roman" w:cs="Times New Roman"/>
          <w:sz w:val="24"/>
          <w:szCs w:val="24"/>
        </w:rPr>
        <w:t xml:space="preserve">Neidorf, L., ‘Beowulf before Beowulf: Anglo-Saxon anthroponomy and heroic legend’, </w:t>
      </w:r>
      <w:r w:rsidRPr="003B6C7F">
        <w:rPr>
          <w:rFonts w:ascii="Times New Roman" w:eastAsia="Times New Roman" w:hAnsi="Times New Roman" w:cs="Times New Roman"/>
          <w:i/>
          <w:sz w:val="24"/>
          <w:szCs w:val="24"/>
        </w:rPr>
        <w:t>The Review of English Studies</w:t>
      </w:r>
      <w:r w:rsidRPr="003B6C7F">
        <w:rPr>
          <w:rFonts w:ascii="Times New Roman" w:eastAsia="Times New Roman" w:hAnsi="Times New Roman" w:cs="Times New Roman"/>
          <w:sz w:val="24"/>
          <w:szCs w:val="24"/>
        </w:rPr>
        <w:t>, 64.266 (2013), pp. 553-573 &lt;https://academic.oup.com/res/article-abstract/64/266/553/1561096&gt; [Accessed: 24 June 2018].</w:t>
      </w:r>
    </w:p>
    <w:p w14:paraId="0E5F5D73" w14:textId="77777777" w:rsidR="003B6C7F" w:rsidRPr="003B6C7F" w:rsidRDefault="003B6C7F" w:rsidP="00CB515C">
      <w:pPr>
        <w:spacing w:line="480" w:lineRule="auto"/>
        <w:rPr>
          <w:rFonts w:ascii="Times New Roman" w:eastAsia="Times New Roman" w:hAnsi="Times New Roman" w:cs="Times New Roman"/>
          <w:sz w:val="24"/>
          <w:szCs w:val="24"/>
        </w:rPr>
      </w:pPr>
    </w:p>
    <w:p w14:paraId="7B90BD0C" w14:textId="77777777" w:rsidR="003B6C7F" w:rsidRPr="003B6C7F" w:rsidRDefault="003B6C7F" w:rsidP="00CB515C">
      <w:pPr>
        <w:spacing w:line="480" w:lineRule="auto"/>
        <w:rPr>
          <w:rFonts w:ascii="Times New Roman" w:eastAsia="Times New Roman" w:hAnsi="Times New Roman" w:cs="Times New Roman"/>
          <w:sz w:val="24"/>
          <w:szCs w:val="24"/>
        </w:rPr>
      </w:pPr>
      <w:r w:rsidRPr="003B6C7F">
        <w:rPr>
          <w:rFonts w:ascii="Times New Roman" w:eastAsia="Times New Roman" w:hAnsi="Times New Roman" w:cs="Times New Roman"/>
          <w:sz w:val="24"/>
          <w:szCs w:val="24"/>
        </w:rPr>
        <w:t xml:space="preserve">Nicholson, L.E., </w:t>
      </w:r>
      <w:r w:rsidRPr="003B6C7F">
        <w:rPr>
          <w:rFonts w:ascii="Times New Roman" w:eastAsia="Times New Roman" w:hAnsi="Times New Roman" w:cs="Times New Roman"/>
          <w:i/>
          <w:sz w:val="24"/>
          <w:szCs w:val="24"/>
        </w:rPr>
        <w:t>An Anthology of Beowulf Criticism</w:t>
      </w:r>
      <w:r w:rsidRPr="003B6C7F">
        <w:rPr>
          <w:rFonts w:ascii="Times New Roman" w:eastAsia="Times New Roman" w:hAnsi="Times New Roman" w:cs="Times New Roman"/>
          <w:sz w:val="24"/>
          <w:szCs w:val="24"/>
        </w:rPr>
        <w:t xml:space="preserve"> (Notre Dame: University of Notre Dame Press, 1963).</w:t>
      </w:r>
    </w:p>
    <w:p w14:paraId="7AB15F01" w14:textId="77777777" w:rsidR="003B6C7F" w:rsidRPr="003B6C7F" w:rsidRDefault="003B6C7F" w:rsidP="00CB515C">
      <w:pPr>
        <w:spacing w:line="480" w:lineRule="auto"/>
        <w:rPr>
          <w:rFonts w:ascii="Times New Roman" w:eastAsia="Times New Roman" w:hAnsi="Times New Roman" w:cs="Times New Roman"/>
          <w:sz w:val="24"/>
          <w:szCs w:val="24"/>
        </w:rPr>
      </w:pPr>
    </w:p>
    <w:p w14:paraId="0196AE11" w14:textId="77777777" w:rsidR="003B6C7F" w:rsidRPr="003B6C7F" w:rsidRDefault="003B6C7F" w:rsidP="00CB515C">
      <w:pPr>
        <w:spacing w:line="480" w:lineRule="auto"/>
        <w:rPr>
          <w:rFonts w:ascii="Times New Roman" w:eastAsia="Times New Roman" w:hAnsi="Times New Roman" w:cs="Times New Roman"/>
          <w:sz w:val="24"/>
          <w:szCs w:val="24"/>
        </w:rPr>
      </w:pPr>
      <w:r w:rsidRPr="003B6C7F">
        <w:rPr>
          <w:rFonts w:ascii="Times New Roman" w:hAnsi="Times New Roman" w:cs="Times New Roman"/>
          <w:sz w:val="24"/>
          <w:szCs w:val="24"/>
        </w:rPr>
        <w:t xml:space="preserve">O’Brien O’Keefe, K., ‘Heroic values and Christian ethics’, </w:t>
      </w:r>
      <w:r w:rsidRPr="003B6C7F">
        <w:rPr>
          <w:rFonts w:ascii="Times New Roman" w:hAnsi="Times New Roman" w:cs="Times New Roman"/>
          <w:i/>
          <w:sz w:val="24"/>
          <w:szCs w:val="24"/>
        </w:rPr>
        <w:t>The Cambridge Companion to Old English Literature</w:t>
      </w:r>
      <w:r w:rsidRPr="003B6C7F">
        <w:rPr>
          <w:rFonts w:ascii="Times New Roman" w:hAnsi="Times New Roman" w:cs="Times New Roman"/>
          <w:sz w:val="24"/>
          <w:szCs w:val="24"/>
        </w:rPr>
        <w:t>, eds. Godden, M. and Lapidge, M. (Cambridge: Cambridge University Press, 1986), pp. 107-125.</w:t>
      </w:r>
    </w:p>
    <w:p w14:paraId="0CA069AB" w14:textId="77777777" w:rsidR="003B6C7F" w:rsidRPr="003B6C7F" w:rsidRDefault="003B6C7F" w:rsidP="00CB515C">
      <w:pPr>
        <w:pStyle w:val="FootnoteText"/>
        <w:spacing w:after="160" w:line="480" w:lineRule="auto"/>
        <w:rPr>
          <w:rFonts w:ascii="Times New Roman" w:hAnsi="Times New Roman" w:cs="Times New Roman"/>
        </w:rPr>
      </w:pPr>
    </w:p>
    <w:p w14:paraId="01026E0A"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bCs/>
        </w:rPr>
        <w:t>Palmer, J.M., ‘</w:t>
      </w:r>
      <w:r w:rsidRPr="003B6C7F">
        <w:rPr>
          <w:rFonts w:ascii="Times New Roman" w:hAnsi="Times New Roman" w:cs="Times New Roman"/>
          <w:i/>
          <w:iCs/>
          <w:lang w:val="en"/>
        </w:rPr>
        <w:t>Compunctio</w:t>
      </w:r>
      <w:r w:rsidRPr="003B6C7F">
        <w:rPr>
          <w:rFonts w:ascii="Times New Roman" w:hAnsi="Times New Roman" w:cs="Times New Roman"/>
          <w:lang w:val="en"/>
        </w:rPr>
        <w:t> and the Heart in the Old English Poem </w:t>
      </w:r>
      <w:r w:rsidRPr="003B6C7F">
        <w:rPr>
          <w:rFonts w:ascii="Times New Roman" w:hAnsi="Times New Roman" w:cs="Times New Roman"/>
          <w:i/>
          <w:iCs/>
          <w:lang w:val="en"/>
        </w:rPr>
        <w:t>The Wanderer</w:t>
      </w:r>
      <w:r w:rsidRPr="003B6C7F">
        <w:rPr>
          <w:rFonts w:ascii="Times New Roman" w:hAnsi="Times New Roman" w:cs="Times New Roman"/>
          <w:bCs/>
        </w:rPr>
        <w:t xml:space="preserve">’, </w:t>
      </w:r>
      <w:r w:rsidRPr="003B6C7F">
        <w:rPr>
          <w:rFonts w:ascii="Times New Roman" w:hAnsi="Times New Roman" w:cs="Times New Roman"/>
          <w:i/>
        </w:rPr>
        <w:t>Neophilologus</w:t>
      </w:r>
      <w:r w:rsidRPr="003B6C7F">
        <w:rPr>
          <w:rFonts w:ascii="Times New Roman" w:hAnsi="Times New Roman" w:cs="Times New Roman"/>
        </w:rPr>
        <w:t>, 88.3</w:t>
      </w:r>
      <w:r w:rsidRPr="003B6C7F">
        <w:rPr>
          <w:rFonts w:ascii="Times New Roman" w:hAnsi="Times New Roman" w:cs="Times New Roman"/>
          <w:lang w:val="en"/>
        </w:rPr>
        <w:t xml:space="preserve"> (</w:t>
      </w:r>
      <w:r w:rsidRPr="003B6C7F">
        <w:rPr>
          <w:rFonts w:ascii="Times New Roman" w:hAnsi="Times New Roman" w:cs="Times New Roman"/>
        </w:rPr>
        <w:t>July 2004), pp. 447–460 &lt;https://link.springer.com/article/10.1023/B:NEOP.0000027476.71092.9d&gt; [Accessed: 24 July 2018].</w:t>
      </w:r>
    </w:p>
    <w:p w14:paraId="554414FD" w14:textId="77777777" w:rsidR="003B6C7F" w:rsidRPr="003B6C7F" w:rsidRDefault="003B6C7F" w:rsidP="00CB515C">
      <w:pPr>
        <w:pStyle w:val="FootnoteText"/>
        <w:spacing w:after="160" w:line="480" w:lineRule="auto"/>
        <w:rPr>
          <w:rFonts w:ascii="Times New Roman" w:hAnsi="Times New Roman" w:cs="Times New Roman"/>
        </w:rPr>
      </w:pPr>
    </w:p>
    <w:p w14:paraId="2FE61B92"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Patch, H., ‘Liturgical Influence in the Dream of the Rood’, </w:t>
      </w:r>
      <w:r w:rsidRPr="003B6C7F">
        <w:rPr>
          <w:rFonts w:ascii="Times New Roman" w:hAnsi="Times New Roman" w:cs="Times New Roman"/>
          <w:i/>
          <w:sz w:val="24"/>
          <w:szCs w:val="24"/>
        </w:rPr>
        <w:t>PMLA</w:t>
      </w:r>
      <w:r w:rsidRPr="003B6C7F">
        <w:rPr>
          <w:rFonts w:ascii="Times New Roman" w:hAnsi="Times New Roman" w:cs="Times New Roman"/>
          <w:sz w:val="24"/>
          <w:szCs w:val="24"/>
        </w:rPr>
        <w:t>, 34.2 (1919), pp. 233-257 &lt;</w:t>
      </w:r>
      <w:hyperlink r:id="rId18" w:history="1">
        <w:r w:rsidRPr="003B6C7F">
          <w:rPr>
            <w:rFonts w:ascii="Times New Roman" w:hAnsi="Times New Roman" w:cs="Times New Roman"/>
            <w:sz w:val="24"/>
            <w:szCs w:val="24"/>
          </w:rPr>
          <w:t>http://www.jstor.org/stable/457062</w:t>
        </w:r>
      </w:hyperlink>
      <w:r w:rsidRPr="003B6C7F">
        <w:rPr>
          <w:rFonts w:ascii="Times New Roman" w:hAnsi="Times New Roman" w:cs="Times New Roman"/>
          <w:sz w:val="24"/>
          <w:szCs w:val="24"/>
        </w:rPr>
        <w:t>&gt; [Accessed: 2 June 2018].</w:t>
      </w:r>
    </w:p>
    <w:p w14:paraId="29BC7BB8" w14:textId="77777777" w:rsidR="003B6C7F" w:rsidRPr="003B6C7F" w:rsidRDefault="003B6C7F" w:rsidP="00CB515C">
      <w:pPr>
        <w:spacing w:line="480" w:lineRule="auto"/>
        <w:rPr>
          <w:rFonts w:ascii="Times New Roman" w:hAnsi="Times New Roman" w:cs="Times New Roman"/>
          <w:sz w:val="24"/>
          <w:szCs w:val="24"/>
        </w:rPr>
      </w:pPr>
    </w:p>
    <w:p w14:paraId="3EE306DA"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Petty, Jr., G.R. and Petty, S., ‘Geology and the Battle of Maldon’, Speculum, 51.3 (July 1976), pp. 435-446 &lt;</w:t>
      </w:r>
      <w:hyperlink r:id="rId19" w:history="1">
        <w:r w:rsidRPr="003B6C7F">
          <w:rPr>
            <w:rFonts w:ascii="Times New Roman" w:hAnsi="Times New Roman" w:cs="Times New Roman"/>
            <w:sz w:val="24"/>
            <w:szCs w:val="24"/>
          </w:rPr>
          <w:t>https://www.jstor.org/stable/2851706</w:t>
        </w:r>
      </w:hyperlink>
      <w:r w:rsidRPr="003B6C7F">
        <w:rPr>
          <w:rFonts w:ascii="Times New Roman" w:hAnsi="Times New Roman" w:cs="Times New Roman"/>
          <w:sz w:val="24"/>
          <w:szCs w:val="24"/>
        </w:rPr>
        <w:t>&gt; [Accessed: 25 July 2018].</w:t>
      </w:r>
    </w:p>
    <w:p w14:paraId="268ABE33" w14:textId="77777777" w:rsidR="003B6C7F" w:rsidRPr="003B6C7F" w:rsidRDefault="003B6C7F" w:rsidP="00CB515C">
      <w:pPr>
        <w:pStyle w:val="FootnoteText"/>
        <w:spacing w:after="160" w:line="480" w:lineRule="auto"/>
        <w:rPr>
          <w:rFonts w:ascii="Times New Roman" w:hAnsi="Times New Roman" w:cs="Times New Roman"/>
        </w:rPr>
      </w:pPr>
    </w:p>
    <w:p w14:paraId="33AF7EAC"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Raw, B.C., ‘Biblical literature’, </w:t>
      </w:r>
      <w:r w:rsidRPr="003B6C7F">
        <w:rPr>
          <w:rFonts w:ascii="Times New Roman" w:hAnsi="Times New Roman" w:cs="Times New Roman"/>
          <w:i/>
        </w:rPr>
        <w:t>The Cambridge Companion to Old English Literature</w:t>
      </w:r>
      <w:r w:rsidRPr="003B6C7F">
        <w:rPr>
          <w:rFonts w:ascii="Times New Roman" w:hAnsi="Times New Roman" w:cs="Times New Roman"/>
        </w:rPr>
        <w:t>, eds. Godden, M. and Lapidge, M. (Cambridge: Cambridge University Press, 1986), pp. 227-242.</w:t>
      </w:r>
    </w:p>
    <w:p w14:paraId="6E9B65A6" w14:textId="77777777" w:rsidR="003B6C7F" w:rsidRPr="003B6C7F" w:rsidRDefault="003B6C7F" w:rsidP="00CB515C">
      <w:pPr>
        <w:pStyle w:val="FootnoteText"/>
        <w:spacing w:after="160" w:line="480" w:lineRule="auto"/>
        <w:rPr>
          <w:rFonts w:ascii="Times New Roman" w:hAnsi="Times New Roman" w:cs="Times New Roman"/>
        </w:rPr>
      </w:pPr>
    </w:p>
    <w:p w14:paraId="5A9770FD"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Raw, B.C., ‘“The Dream of the Rood” and its Connections with Early Christian Art,’ </w:t>
      </w:r>
      <w:r w:rsidRPr="003B6C7F">
        <w:rPr>
          <w:rFonts w:ascii="Times New Roman" w:hAnsi="Times New Roman" w:cs="Times New Roman"/>
          <w:i/>
        </w:rPr>
        <w:t>Medium Aevum</w:t>
      </w:r>
      <w:r w:rsidRPr="003B6C7F">
        <w:rPr>
          <w:rFonts w:ascii="Times New Roman" w:hAnsi="Times New Roman" w:cs="Times New Roman"/>
        </w:rPr>
        <w:t>, 39 (January 1970), pp. 239-253.</w:t>
      </w:r>
    </w:p>
    <w:p w14:paraId="7ED67219" w14:textId="77777777" w:rsidR="003B6C7F" w:rsidRPr="003B6C7F" w:rsidRDefault="003B6C7F" w:rsidP="00CB515C">
      <w:pPr>
        <w:pStyle w:val="FootnoteText"/>
        <w:spacing w:after="160" w:line="480" w:lineRule="auto"/>
        <w:rPr>
          <w:rFonts w:ascii="Times New Roman" w:hAnsi="Times New Roman" w:cs="Times New Roman"/>
        </w:rPr>
      </w:pPr>
    </w:p>
    <w:p w14:paraId="03E42145" w14:textId="77777777" w:rsidR="003B6C7F" w:rsidRPr="003B6C7F" w:rsidRDefault="003B6C7F" w:rsidP="00CB515C">
      <w:pPr>
        <w:pStyle w:val="FootnoteText"/>
        <w:spacing w:after="160" w:line="480" w:lineRule="auto"/>
        <w:rPr>
          <w:rFonts w:ascii="Times New Roman" w:hAnsi="Times New Roman" w:cs="Times New Roman"/>
        </w:rPr>
      </w:pPr>
      <w:r w:rsidRPr="003B6C7F">
        <w:rPr>
          <w:rFonts w:ascii="Times New Roman" w:hAnsi="Times New Roman" w:cs="Times New Roman"/>
        </w:rPr>
        <w:t xml:space="preserve">Robinson, F.C., ‘Beowulf in the Twentieth Century’, </w:t>
      </w:r>
      <w:r w:rsidRPr="003B6C7F">
        <w:rPr>
          <w:rFonts w:ascii="Times New Roman" w:hAnsi="Times New Roman" w:cs="Times New Roman"/>
          <w:i/>
        </w:rPr>
        <w:t>Proceedings of the British Academy</w:t>
      </w:r>
      <w:r w:rsidRPr="003B6C7F">
        <w:rPr>
          <w:rFonts w:ascii="Times New Roman" w:hAnsi="Times New Roman" w:cs="Times New Roman"/>
        </w:rPr>
        <w:t>, 94, pp. 45-62 &lt;https://www.britac.ac.uk/pubs/proc/files/94p045.pdf&gt; [Accessed: 24 July 2018].</w:t>
      </w:r>
    </w:p>
    <w:p w14:paraId="61DD1507" w14:textId="77777777" w:rsidR="003B6C7F" w:rsidRPr="003B6C7F" w:rsidRDefault="003B6C7F" w:rsidP="00CB515C">
      <w:pPr>
        <w:pStyle w:val="FootnoteText"/>
        <w:spacing w:after="160" w:line="480" w:lineRule="auto"/>
        <w:rPr>
          <w:rFonts w:ascii="Times New Roman" w:hAnsi="Times New Roman" w:cs="Times New Roman"/>
        </w:rPr>
      </w:pPr>
    </w:p>
    <w:p w14:paraId="797C99E3"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Scribner, M., ‘Tree and Technology: Articulating the Ecological in The Dream</w:t>
      </w:r>
    </w:p>
    <w:p w14:paraId="3C288C55" w14:textId="77777777" w:rsidR="003B6C7F" w:rsidRPr="003B6C7F" w:rsidRDefault="003B6C7F" w:rsidP="00CB515C">
      <w:pPr>
        <w:widowControl w:val="0"/>
        <w:autoSpaceDE w:val="0"/>
        <w:autoSpaceDN w:val="0"/>
        <w:adjustRightInd w:val="0"/>
        <w:spacing w:line="480" w:lineRule="auto"/>
        <w:rPr>
          <w:rFonts w:ascii="Times New Roman" w:eastAsiaTheme="minorEastAsia" w:hAnsi="Times New Roman" w:cs="Times New Roman"/>
          <w:i/>
          <w:position w:val="21"/>
          <w:sz w:val="24"/>
          <w:szCs w:val="24"/>
          <w:lang w:val="en-US"/>
        </w:rPr>
      </w:pPr>
      <w:r w:rsidRPr="003B6C7F">
        <w:rPr>
          <w:rFonts w:ascii="Times New Roman" w:hAnsi="Times New Roman" w:cs="Times New Roman"/>
          <w:sz w:val="24"/>
          <w:szCs w:val="24"/>
        </w:rPr>
        <w:t xml:space="preserve">of the Rood’, </w:t>
      </w:r>
      <w:r w:rsidRPr="003B6C7F">
        <w:rPr>
          <w:rStyle w:val="Emphasis"/>
          <w:rFonts w:ascii="Times New Roman" w:eastAsia="Times New Roman" w:hAnsi="Times New Roman" w:cs="Times New Roman"/>
          <w:sz w:val="24"/>
          <w:szCs w:val="24"/>
          <w:bdr w:val="none" w:sz="0" w:space="0" w:color="auto" w:frame="1"/>
        </w:rPr>
        <w:t>Interdisciplinary Studies in Literature and Environment</w:t>
      </w:r>
      <w:r w:rsidRPr="003B6C7F">
        <w:rPr>
          <w:rFonts w:ascii="Times New Roman" w:eastAsia="Times New Roman" w:hAnsi="Times New Roman" w:cs="Times New Roman"/>
          <w:sz w:val="24"/>
          <w:szCs w:val="24"/>
        </w:rPr>
        <w:t>, 23.2 (September 2016), pp. 240–258</w:t>
      </w:r>
      <w:r w:rsidRPr="003B6C7F">
        <w:rPr>
          <w:rStyle w:val="apple-converted-space"/>
          <w:rFonts w:ascii="Times New Roman" w:eastAsia="Times New Roman" w:hAnsi="Times New Roman" w:cs="Times New Roman"/>
          <w:sz w:val="24"/>
          <w:szCs w:val="24"/>
        </w:rPr>
        <w:t> &lt;</w:t>
      </w:r>
      <w:r w:rsidRPr="003B6C7F">
        <w:rPr>
          <w:rFonts w:ascii="Times New Roman" w:eastAsia="Times New Roman" w:hAnsi="Times New Roman" w:cs="Times New Roman"/>
          <w:sz w:val="24"/>
          <w:szCs w:val="24"/>
          <w:bdr w:val="none" w:sz="0" w:space="0" w:color="auto" w:frame="1"/>
        </w:rPr>
        <w:t>https://doi.org/10.1093/isle/isv065</w:t>
      </w:r>
      <w:r w:rsidRPr="003B6C7F">
        <w:rPr>
          <w:rFonts w:ascii="Times New Roman" w:eastAsia="Times New Roman" w:hAnsi="Times New Roman" w:cs="Times New Roman"/>
          <w:sz w:val="24"/>
          <w:szCs w:val="24"/>
        </w:rPr>
        <w:t>&gt; [Accessed: 24 June 2018].</w:t>
      </w:r>
    </w:p>
    <w:p w14:paraId="7A9C5DE2" w14:textId="77777777" w:rsidR="003B6C7F" w:rsidRPr="003B6C7F" w:rsidRDefault="003B6C7F" w:rsidP="00CB515C">
      <w:pPr>
        <w:pStyle w:val="FootnoteText"/>
        <w:spacing w:after="160" w:line="480" w:lineRule="auto"/>
        <w:rPr>
          <w:rFonts w:ascii="Times New Roman" w:hAnsi="Times New Roman" w:cs="Times New Roman"/>
        </w:rPr>
      </w:pPr>
    </w:p>
    <w:p w14:paraId="5BCAB278"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Sharma, M., ‘Heroic Subject and Cultural Substance in The Wanderer’, </w:t>
      </w:r>
      <w:r w:rsidRPr="003B6C7F">
        <w:rPr>
          <w:rFonts w:ascii="Times New Roman" w:hAnsi="Times New Roman" w:cs="Times New Roman"/>
          <w:i/>
          <w:sz w:val="24"/>
          <w:szCs w:val="24"/>
        </w:rPr>
        <w:t>Neophilologus</w:t>
      </w:r>
      <w:r w:rsidRPr="003B6C7F">
        <w:rPr>
          <w:rFonts w:ascii="Times New Roman" w:hAnsi="Times New Roman" w:cs="Times New Roman"/>
          <w:sz w:val="24"/>
          <w:szCs w:val="24"/>
        </w:rPr>
        <w:t>, 96.</w:t>
      </w:r>
      <w:r w:rsidR="005B56AB">
        <w:rPr>
          <w:rFonts w:ascii="Times New Roman" w:hAnsi="Times New Roman" w:cs="Times New Roman"/>
          <w:sz w:val="24"/>
          <w:szCs w:val="24"/>
        </w:rPr>
        <w:t>4 (October 2012), pp. 611-629 &lt;</w:t>
      </w:r>
      <w:r w:rsidRPr="003B6C7F">
        <w:rPr>
          <w:rFonts w:ascii="Times New Roman" w:hAnsi="Times New Roman" w:cs="Times New Roman"/>
          <w:sz w:val="24"/>
          <w:szCs w:val="24"/>
        </w:rPr>
        <w:t>https://link.springer.com/article/10.1007/s11061-011-9278-9&gt; [Accessed: 24 July 2018].</w:t>
      </w:r>
    </w:p>
    <w:p w14:paraId="0A2D79BE" w14:textId="77777777" w:rsidR="003B6C7F" w:rsidRPr="003B6C7F" w:rsidRDefault="003B6C7F" w:rsidP="00CB515C">
      <w:pPr>
        <w:spacing w:line="480" w:lineRule="auto"/>
        <w:rPr>
          <w:rFonts w:ascii="Times New Roman" w:hAnsi="Times New Roman" w:cs="Times New Roman"/>
          <w:sz w:val="24"/>
          <w:szCs w:val="24"/>
        </w:rPr>
      </w:pPr>
    </w:p>
    <w:p w14:paraId="0DA420D4"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Stanton, R., ‘Book Review of Ó Carragáin, É., </w:t>
      </w:r>
      <w:r w:rsidRPr="003B6C7F">
        <w:rPr>
          <w:rFonts w:ascii="Times New Roman" w:hAnsi="Times New Roman" w:cs="Times New Roman"/>
          <w:i/>
          <w:sz w:val="24"/>
          <w:szCs w:val="24"/>
        </w:rPr>
        <w:t>Ritual and the Rood: Liturgical Images and the Old English Poems of the Dream of the Rood Tradition</w:t>
      </w:r>
      <w:r w:rsidRPr="003B6C7F">
        <w:rPr>
          <w:rFonts w:ascii="Times New Roman" w:hAnsi="Times New Roman" w:cs="Times New Roman"/>
          <w:sz w:val="24"/>
          <w:szCs w:val="24"/>
        </w:rPr>
        <w:t xml:space="preserve"> (London and Toronto: The British Library and University of Toronto Press, 2005)’, </w:t>
      </w:r>
      <w:r w:rsidRPr="003B6C7F">
        <w:rPr>
          <w:rFonts w:ascii="Times New Roman" w:hAnsi="Times New Roman" w:cs="Times New Roman"/>
          <w:i/>
          <w:sz w:val="24"/>
          <w:szCs w:val="24"/>
        </w:rPr>
        <w:t>Religion and the Arts</w:t>
      </w:r>
      <w:r w:rsidRPr="003B6C7F">
        <w:rPr>
          <w:rFonts w:ascii="Times New Roman" w:hAnsi="Times New Roman" w:cs="Times New Roman"/>
          <w:sz w:val="24"/>
          <w:szCs w:val="24"/>
        </w:rPr>
        <w:t>, 12.4 (2008), pp. 620-</w:t>
      </w:r>
      <w:r w:rsidR="005B56AB">
        <w:rPr>
          <w:rFonts w:ascii="Times New Roman" w:hAnsi="Times New Roman" w:cs="Times New Roman"/>
          <w:sz w:val="24"/>
          <w:szCs w:val="24"/>
        </w:rPr>
        <w:lastRenderedPageBreak/>
        <w:t>622 &lt;</w:t>
      </w:r>
      <w:r w:rsidRPr="003B6C7F">
        <w:rPr>
          <w:rFonts w:ascii="Times New Roman" w:hAnsi="Times New Roman" w:cs="Times New Roman"/>
          <w:sz w:val="24"/>
          <w:szCs w:val="24"/>
        </w:rPr>
        <w:t>http://booksandjournals.brillonline.com/content/journals/10.1163/156852908x357498&gt; [Accessed: 24 July 2018].</w:t>
      </w:r>
    </w:p>
    <w:p w14:paraId="6C8C1E55" w14:textId="77777777" w:rsidR="003B6C7F" w:rsidRPr="003B6C7F" w:rsidRDefault="003B6C7F" w:rsidP="00CB515C">
      <w:pPr>
        <w:spacing w:line="480" w:lineRule="auto"/>
        <w:rPr>
          <w:rFonts w:ascii="Times New Roman" w:hAnsi="Times New Roman" w:cs="Times New Roman"/>
          <w:sz w:val="24"/>
          <w:szCs w:val="24"/>
        </w:rPr>
      </w:pPr>
    </w:p>
    <w:p w14:paraId="5674A15B"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Swanton, M,</w:t>
      </w:r>
      <w:r w:rsidRPr="003B6C7F">
        <w:rPr>
          <w:rFonts w:ascii="Times New Roman" w:hAnsi="Times New Roman" w:cs="Times New Roman"/>
          <w:i/>
          <w:sz w:val="24"/>
          <w:szCs w:val="24"/>
        </w:rPr>
        <w:t xml:space="preserve"> Beowulf </w:t>
      </w:r>
      <w:r w:rsidRPr="003B6C7F">
        <w:rPr>
          <w:rFonts w:ascii="Times New Roman" w:hAnsi="Times New Roman" w:cs="Times New Roman"/>
          <w:sz w:val="24"/>
          <w:szCs w:val="24"/>
        </w:rPr>
        <w:t>(Manchester: Manchester University Press, 1997).</w:t>
      </w:r>
    </w:p>
    <w:p w14:paraId="535F1146" w14:textId="77777777" w:rsidR="003B6C7F" w:rsidRPr="003B6C7F" w:rsidRDefault="003B6C7F" w:rsidP="00CB515C">
      <w:pPr>
        <w:spacing w:line="480" w:lineRule="auto"/>
        <w:rPr>
          <w:rFonts w:ascii="Times New Roman" w:hAnsi="Times New Roman" w:cs="Times New Roman"/>
          <w:sz w:val="24"/>
          <w:szCs w:val="24"/>
        </w:rPr>
      </w:pPr>
    </w:p>
    <w:p w14:paraId="012695E2"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Swanton, M., </w:t>
      </w:r>
      <w:r w:rsidRPr="003B6C7F">
        <w:rPr>
          <w:rFonts w:ascii="Times New Roman" w:hAnsi="Times New Roman" w:cs="Times New Roman"/>
          <w:i/>
          <w:sz w:val="24"/>
          <w:szCs w:val="24"/>
        </w:rPr>
        <w:t>The Dream of the Rood </w:t>
      </w:r>
      <w:r w:rsidRPr="003B6C7F">
        <w:rPr>
          <w:rFonts w:ascii="Times New Roman" w:hAnsi="Times New Roman" w:cs="Times New Roman"/>
          <w:sz w:val="24"/>
          <w:szCs w:val="24"/>
        </w:rPr>
        <w:t>(Liverpool: Liverpool University Press, 2016).</w:t>
      </w:r>
    </w:p>
    <w:p w14:paraId="40509E59"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w:t>
      </w:r>
    </w:p>
    <w:p w14:paraId="6FD78C5B"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Welch, M., </w:t>
      </w:r>
      <w:r w:rsidRPr="003B6C7F">
        <w:rPr>
          <w:rFonts w:ascii="Times New Roman" w:hAnsi="Times New Roman" w:cs="Times New Roman"/>
          <w:i/>
          <w:sz w:val="24"/>
          <w:szCs w:val="24"/>
        </w:rPr>
        <w:t>Anglo-Saxon England</w:t>
      </w:r>
      <w:r w:rsidRPr="003B6C7F">
        <w:rPr>
          <w:rFonts w:ascii="Times New Roman" w:hAnsi="Times New Roman" w:cs="Times New Roman"/>
          <w:sz w:val="24"/>
          <w:szCs w:val="24"/>
        </w:rPr>
        <w:t xml:space="preserve"> (London: B.T. Batsford, 1992).</w:t>
      </w:r>
    </w:p>
    <w:p w14:paraId="3B306410" w14:textId="77777777" w:rsidR="003B6C7F" w:rsidRPr="003B6C7F" w:rsidRDefault="003B6C7F" w:rsidP="00CB515C">
      <w:pPr>
        <w:spacing w:line="480" w:lineRule="auto"/>
        <w:rPr>
          <w:rFonts w:ascii="Times New Roman" w:hAnsi="Times New Roman" w:cs="Times New Roman"/>
          <w:sz w:val="24"/>
          <w:szCs w:val="24"/>
        </w:rPr>
      </w:pPr>
    </w:p>
    <w:p w14:paraId="4A7B8DF5" w14:textId="77777777" w:rsidR="003B6C7F" w:rsidRPr="003B6C7F" w:rsidRDefault="003B6C7F" w:rsidP="00CB515C">
      <w:pPr>
        <w:spacing w:line="480" w:lineRule="auto"/>
        <w:rPr>
          <w:rFonts w:ascii="Times New Roman" w:hAnsi="Times New Roman" w:cs="Times New Roman"/>
          <w:sz w:val="24"/>
          <w:szCs w:val="24"/>
        </w:rPr>
      </w:pPr>
      <w:r w:rsidRPr="003B6C7F">
        <w:rPr>
          <w:rFonts w:ascii="Times New Roman" w:hAnsi="Times New Roman" w:cs="Times New Roman"/>
          <w:sz w:val="24"/>
          <w:szCs w:val="24"/>
        </w:rPr>
        <w:t xml:space="preserve">Woolf, R., ‘Doctrinal influences on The Dream of the Rood’, </w:t>
      </w:r>
      <w:r w:rsidRPr="003B6C7F">
        <w:rPr>
          <w:rFonts w:ascii="Times New Roman" w:hAnsi="Times New Roman" w:cs="Times New Roman"/>
          <w:i/>
          <w:sz w:val="24"/>
          <w:szCs w:val="24"/>
        </w:rPr>
        <w:t>Medium Aevum</w:t>
      </w:r>
      <w:r w:rsidRPr="003B6C7F">
        <w:rPr>
          <w:rFonts w:ascii="Times New Roman" w:hAnsi="Times New Roman" w:cs="Times New Roman"/>
          <w:sz w:val="24"/>
          <w:szCs w:val="24"/>
        </w:rPr>
        <w:t>, 27 (January 1958).</w:t>
      </w:r>
    </w:p>
    <w:p w14:paraId="0101C92C" w14:textId="77777777" w:rsidR="003B6C7F" w:rsidRPr="003B6C7F" w:rsidRDefault="003B6C7F" w:rsidP="00CB515C">
      <w:pPr>
        <w:widowControl w:val="0"/>
        <w:autoSpaceDE w:val="0"/>
        <w:autoSpaceDN w:val="0"/>
        <w:adjustRightInd w:val="0"/>
        <w:spacing w:line="480" w:lineRule="auto"/>
        <w:rPr>
          <w:rFonts w:ascii="Times New Roman" w:hAnsi="Times New Roman" w:cs="Times New Roman"/>
          <w:sz w:val="24"/>
          <w:szCs w:val="24"/>
        </w:rPr>
      </w:pPr>
    </w:p>
    <w:p w14:paraId="3C8F564E" w14:textId="77777777" w:rsidR="00B902D4" w:rsidRPr="003B6C7F" w:rsidRDefault="00B902D4" w:rsidP="00CB515C">
      <w:pPr>
        <w:widowControl w:val="0"/>
        <w:autoSpaceDE w:val="0"/>
        <w:autoSpaceDN w:val="0"/>
        <w:adjustRightInd w:val="0"/>
        <w:spacing w:line="480" w:lineRule="auto"/>
        <w:rPr>
          <w:rFonts w:ascii="Times New Roman" w:hAnsi="Times New Roman" w:cs="Times New Roman"/>
          <w:sz w:val="24"/>
          <w:szCs w:val="24"/>
        </w:rPr>
      </w:pPr>
    </w:p>
    <w:p w14:paraId="61EEC673" w14:textId="77777777" w:rsidR="00B902D4" w:rsidRPr="003B6C7F" w:rsidRDefault="00B902D4" w:rsidP="00CB515C">
      <w:pPr>
        <w:widowControl w:val="0"/>
        <w:autoSpaceDE w:val="0"/>
        <w:autoSpaceDN w:val="0"/>
        <w:adjustRightInd w:val="0"/>
        <w:spacing w:line="480" w:lineRule="auto"/>
        <w:rPr>
          <w:rFonts w:ascii="Times New Roman" w:hAnsi="Times New Roman" w:cs="Times New Roman"/>
          <w:sz w:val="24"/>
          <w:szCs w:val="24"/>
        </w:rPr>
      </w:pPr>
    </w:p>
    <w:p w14:paraId="20402676" w14:textId="77777777" w:rsidR="00B902D4" w:rsidRPr="003B6C7F" w:rsidRDefault="00B902D4" w:rsidP="003B6C7F">
      <w:pPr>
        <w:widowControl w:val="0"/>
        <w:autoSpaceDE w:val="0"/>
        <w:autoSpaceDN w:val="0"/>
        <w:adjustRightInd w:val="0"/>
        <w:spacing w:line="480" w:lineRule="auto"/>
        <w:rPr>
          <w:rFonts w:ascii="Times New Roman" w:hAnsi="Times New Roman" w:cs="Times New Roman"/>
          <w:sz w:val="24"/>
          <w:szCs w:val="24"/>
        </w:rPr>
      </w:pPr>
    </w:p>
    <w:sectPr w:rsidR="00B902D4" w:rsidRPr="003B6C7F" w:rsidSect="00E64F6C">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DC9DE2" w14:textId="77777777" w:rsidR="005B6AB5" w:rsidRDefault="005B6AB5" w:rsidP="001F1D88">
      <w:pPr>
        <w:spacing w:after="0" w:line="240" w:lineRule="auto"/>
      </w:pPr>
      <w:r>
        <w:separator/>
      </w:r>
    </w:p>
  </w:endnote>
  <w:endnote w:type="continuationSeparator" w:id="0">
    <w:p w14:paraId="142F0959" w14:textId="77777777" w:rsidR="005B6AB5" w:rsidRDefault="005B6AB5" w:rsidP="001F1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Yu Gothic Light">
    <w:charset w:val="80"/>
    <w:family w:val="auto"/>
    <w:pitch w:val="variable"/>
    <w:sig w:usb0="E00002FF" w:usb1="2AC7FDFF" w:usb2="00000016"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MS Mincho">
    <w:altName w:val="ＭＳ 明朝"/>
    <w:charset w:val="80"/>
    <w:family w:val="modern"/>
    <w:pitch w:val="fixed"/>
    <w:sig w:usb0="E00002FF" w:usb1="6AC7FDFB" w:usb2="08000012" w:usb3="00000000" w:csb0="0002009F" w:csb1="00000000"/>
  </w:font>
  <w:font w:name="MS Gothic">
    <w:altName w:val="ＭＳ ゴシック"/>
    <w:charset w:val="80"/>
    <w:family w:val="modern"/>
    <w:pitch w:val="fixed"/>
    <w:sig w:usb0="E00002FF" w:usb1="6AC7FDFB" w:usb2="08000012"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7DFF5A" w14:textId="77777777" w:rsidR="00CB515C" w:rsidRDefault="00CB515C" w:rsidP="007A4068">
    <w:pPr>
      <w:pStyle w:val="Footer"/>
      <w:framePr w:wrap="around" w:vAnchor="text" w:hAnchor="margin" w:xAlign="right" w:y="1"/>
      <w:rPr>
        <w:rStyle w:val="PageNumber0"/>
      </w:rPr>
    </w:pPr>
    <w:r>
      <w:rPr>
        <w:rStyle w:val="PageNumber0"/>
      </w:rPr>
      <w:fldChar w:fldCharType="begin"/>
    </w:r>
    <w:r>
      <w:rPr>
        <w:rStyle w:val="PageNumber0"/>
      </w:rPr>
      <w:instrText xml:space="preserve">PAGE  </w:instrText>
    </w:r>
    <w:r>
      <w:rPr>
        <w:rStyle w:val="PageNumber0"/>
      </w:rPr>
      <w:fldChar w:fldCharType="end"/>
    </w:r>
  </w:p>
  <w:p w14:paraId="62B9DA10" w14:textId="77777777" w:rsidR="00CB515C" w:rsidRDefault="00CB515C" w:rsidP="001F242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5C4E45D" w14:textId="77777777" w:rsidR="00CB515C" w:rsidRPr="00741F34" w:rsidRDefault="00CB515C" w:rsidP="007A4068">
    <w:pPr>
      <w:pStyle w:val="Footer"/>
      <w:framePr w:wrap="around" w:vAnchor="text" w:hAnchor="margin" w:xAlign="right" w:y="1"/>
      <w:rPr>
        <w:rStyle w:val="PageNumber0"/>
        <w:rFonts w:ascii="Times New Roman" w:hAnsi="Times New Roman" w:cs="Times New Roman"/>
        <w:sz w:val="24"/>
        <w:szCs w:val="24"/>
      </w:rPr>
    </w:pPr>
    <w:r w:rsidRPr="00741F34">
      <w:rPr>
        <w:rStyle w:val="PageNumber0"/>
        <w:rFonts w:ascii="Times New Roman" w:hAnsi="Times New Roman" w:cs="Times New Roman"/>
        <w:sz w:val="24"/>
        <w:szCs w:val="24"/>
      </w:rPr>
      <w:fldChar w:fldCharType="begin"/>
    </w:r>
    <w:r w:rsidRPr="00741F34">
      <w:rPr>
        <w:rStyle w:val="PageNumber0"/>
        <w:rFonts w:ascii="Times New Roman" w:hAnsi="Times New Roman" w:cs="Times New Roman"/>
        <w:sz w:val="24"/>
        <w:szCs w:val="24"/>
      </w:rPr>
      <w:instrText xml:space="preserve">PAGE  </w:instrText>
    </w:r>
    <w:r w:rsidRPr="00741F34">
      <w:rPr>
        <w:rStyle w:val="PageNumber0"/>
        <w:rFonts w:ascii="Times New Roman" w:hAnsi="Times New Roman" w:cs="Times New Roman"/>
        <w:sz w:val="24"/>
        <w:szCs w:val="24"/>
      </w:rPr>
      <w:fldChar w:fldCharType="separate"/>
    </w:r>
    <w:r w:rsidR="00AC0D99">
      <w:rPr>
        <w:rStyle w:val="PageNumber0"/>
        <w:rFonts w:ascii="Times New Roman" w:hAnsi="Times New Roman" w:cs="Times New Roman"/>
        <w:noProof/>
        <w:sz w:val="24"/>
        <w:szCs w:val="24"/>
      </w:rPr>
      <w:t>27</w:t>
    </w:r>
    <w:r w:rsidRPr="00741F34">
      <w:rPr>
        <w:rStyle w:val="PageNumber0"/>
        <w:rFonts w:ascii="Times New Roman" w:hAnsi="Times New Roman" w:cs="Times New Roman"/>
        <w:sz w:val="24"/>
        <w:szCs w:val="24"/>
      </w:rPr>
      <w:fldChar w:fldCharType="end"/>
    </w:r>
  </w:p>
  <w:p w14:paraId="3D798E1D" w14:textId="77777777" w:rsidR="00CB515C" w:rsidRPr="00741F34" w:rsidRDefault="00CB515C" w:rsidP="001F2427">
    <w:pPr>
      <w:pStyle w:val="Footer"/>
      <w:ind w:right="360"/>
      <w:rPr>
        <w:rFonts w:ascii="Times New Roman" w:hAnsi="Times New Roman" w:cs="Times New Roman"/>
        <w:sz w:val="24"/>
        <w:szCs w:val="24"/>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B186BF9" w14:textId="77777777" w:rsidR="005B6AB5" w:rsidRDefault="005B6AB5" w:rsidP="001F1D88">
      <w:pPr>
        <w:spacing w:after="0" w:line="240" w:lineRule="auto"/>
      </w:pPr>
      <w:r>
        <w:separator/>
      </w:r>
    </w:p>
  </w:footnote>
  <w:footnote w:type="continuationSeparator" w:id="0">
    <w:p w14:paraId="506AE93D" w14:textId="77777777" w:rsidR="005B6AB5" w:rsidRDefault="005B6AB5" w:rsidP="001F1D88">
      <w:pPr>
        <w:spacing w:after="0" w:line="240" w:lineRule="auto"/>
      </w:pPr>
      <w:r>
        <w:continuationSeparator/>
      </w:r>
    </w:p>
  </w:footnote>
  <w:footnote w:id="1">
    <w:p w14:paraId="4CDD75E7" w14:textId="77777777" w:rsidR="00CB515C" w:rsidRPr="00314656" w:rsidRDefault="00CB515C" w:rsidP="00B42944">
      <w:pPr>
        <w:pStyle w:val="FootnoteText"/>
        <w:contextualSpacing/>
        <w:rPr>
          <w:rFonts w:ascii="Times New Roman" w:hAnsi="Times New Roman" w:cs="Times New Roman"/>
          <w:sz w:val="20"/>
          <w:szCs w:val="20"/>
        </w:rPr>
      </w:pPr>
      <w:r w:rsidRPr="00314656">
        <w:rPr>
          <w:rStyle w:val="FootnoteReference"/>
          <w:rFonts w:ascii="Times New Roman" w:hAnsi="Times New Roman" w:cs="Times New Roman"/>
          <w:sz w:val="20"/>
          <w:szCs w:val="20"/>
        </w:rPr>
        <w:footnoteRef/>
      </w:r>
      <w:r w:rsidRPr="00314656">
        <w:rPr>
          <w:rFonts w:ascii="Times New Roman" w:hAnsi="Times New Roman" w:cs="Times New Roman"/>
          <w:sz w:val="20"/>
          <w:szCs w:val="20"/>
        </w:rPr>
        <w:t xml:space="preserve"> M. Godden and M. Lapidge, </w:t>
      </w:r>
      <w:r w:rsidRPr="00314656">
        <w:rPr>
          <w:rFonts w:ascii="Times New Roman" w:hAnsi="Times New Roman" w:cs="Times New Roman"/>
          <w:i/>
          <w:sz w:val="20"/>
          <w:szCs w:val="20"/>
        </w:rPr>
        <w:t>The Cambridge Companion to Old English Literature</w:t>
      </w:r>
      <w:r w:rsidRPr="00314656">
        <w:rPr>
          <w:rFonts w:ascii="Times New Roman" w:hAnsi="Times New Roman" w:cs="Times New Roman"/>
          <w:sz w:val="20"/>
          <w:szCs w:val="20"/>
        </w:rPr>
        <w:t xml:space="preserve"> (Cambridge: Cambridge University Press, 1986), p. ix.</w:t>
      </w:r>
    </w:p>
  </w:footnote>
  <w:footnote w:id="2">
    <w:p w14:paraId="6700F8C1" w14:textId="77777777" w:rsidR="00CB515C" w:rsidRPr="00314656" w:rsidRDefault="00CB515C" w:rsidP="00B42944">
      <w:pPr>
        <w:spacing w:after="0" w:line="240" w:lineRule="auto"/>
        <w:contextualSpacing/>
        <w:rPr>
          <w:rFonts w:ascii="Times New Roman" w:hAnsi="Times New Roman" w:cs="Times New Roman"/>
          <w:sz w:val="20"/>
          <w:szCs w:val="20"/>
        </w:rPr>
      </w:pPr>
      <w:r w:rsidRPr="00314656">
        <w:rPr>
          <w:rStyle w:val="FootnoteReference"/>
          <w:rFonts w:ascii="Times New Roman" w:hAnsi="Times New Roman" w:cs="Times New Roman"/>
          <w:sz w:val="20"/>
          <w:szCs w:val="20"/>
        </w:rPr>
        <w:footnoteRef/>
      </w:r>
      <w:r w:rsidRPr="00314656">
        <w:rPr>
          <w:rFonts w:ascii="Times New Roman" w:hAnsi="Times New Roman" w:cs="Times New Roman"/>
          <w:sz w:val="20"/>
          <w:szCs w:val="20"/>
        </w:rPr>
        <w:t xml:space="preserve"> N.F. </w:t>
      </w:r>
      <w:r w:rsidRPr="00314656">
        <w:rPr>
          <w:rFonts w:ascii="Times New Roman" w:hAnsi="Times New Roman" w:cs="Times New Roman"/>
          <w:color w:val="000000"/>
          <w:sz w:val="20"/>
          <w:szCs w:val="20"/>
        </w:rPr>
        <w:t xml:space="preserve">Blake, ‘The Battle of Maldon’, </w:t>
      </w:r>
      <w:r w:rsidRPr="00314656">
        <w:rPr>
          <w:rFonts w:ascii="Times New Roman" w:hAnsi="Times New Roman" w:cs="Times New Roman"/>
          <w:i/>
          <w:color w:val="000000"/>
          <w:sz w:val="20"/>
          <w:szCs w:val="20"/>
        </w:rPr>
        <w:t>Neophilologus</w:t>
      </w:r>
      <w:r w:rsidRPr="00314656">
        <w:rPr>
          <w:rFonts w:ascii="Times New Roman" w:hAnsi="Times New Roman" w:cs="Times New Roman"/>
          <w:color w:val="000000"/>
          <w:sz w:val="20"/>
          <w:szCs w:val="20"/>
        </w:rPr>
        <w:t>, 49 (1965), 332-345, p. 332.</w:t>
      </w:r>
    </w:p>
  </w:footnote>
  <w:footnote w:id="3">
    <w:p w14:paraId="2B53FC26" w14:textId="77777777" w:rsidR="00CB515C" w:rsidRPr="00314656" w:rsidRDefault="00CB515C" w:rsidP="00B42944">
      <w:pPr>
        <w:pStyle w:val="FootnoteText"/>
        <w:contextualSpacing/>
        <w:rPr>
          <w:rFonts w:ascii="Times New Roman" w:hAnsi="Times New Roman" w:cs="Times New Roman"/>
          <w:sz w:val="20"/>
          <w:szCs w:val="20"/>
        </w:rPr>
      </w:pPr>
      <w:r w:rsidRPr="00314656">
        <w:rPr>
          <w:rStyle w:val="FootnoteReference"/>
          <w:rFonts w:ascii="Times New Roman" w:hAnsi="Times New Roman" w:cs="Times New Roman"/>
          <w:sz w:val="20"/>
          <w:szCs w:val="20"/>
        </w:rPr>
        <w:footnoteRef/>
      </w:r>
      <w:r w:rsidRPr="00314656">
        <w:rPr>
          <w:rFonts w:ascii="Times New Roman" w:hAnsi="Times New Roman" w:cs="Times New Roman"/>
          <w:sz w:val="20"/>
          <w:szCs w:val="20"/>
        </w:rPr>
        <w:t xml:space="preserve"> K. O’Brien O’Keefe, ‘Heroic values and Christian ethics’, </w:t>
      </w:r>
      <w:r w:rsidRPr="00314656">
        <w:rPr>
          <w:rFonts w:ascii="Times New Roman" w:hAnsi="Times New Roman" w:cs="Times New Roman"/>
          <w:i/>
          <w:sz w:val="20"/>
          <w:szCs w:val="20"/>
        </w:rPr>
        <w:t>The Cambridge Companion to Old English Literature</w:t>
      </w:r>
      <w:r w:rsidRPr="00314656">
        <w:rPr>
          <w:rFonts w:ascii="Times New Roman" w:hAnsi="Times New Roman" w:cs="Times New Roman"/>
          <w:sz w:val="20"/>
          <w:szCs w:val="20"/>
        </w:rPr>
        <w:t>, eds. M. Godden and M. Lapidge (Cambridge: Cambridge University Press, 1986), 107-125, p. 117.</w:t>
      </w:r>
    </w:p>
  </w:footnote>
  <w:footnote w:id="4">
    <w:p w14:paraId="4FFD1732" w14:textId="77777777" w:rsidR="00CB515C" w:rsidRPr="00314656" w:rsidRDefault="00CB515C" w:rsidP="00B42944">
      <w:pPr>
        <w:spacing w:after="0" w:line="240" w:lineRule="auto"/>
        <w:contextualSpacing/>
        <w:rPr>
          <w:rFonts w:ascii="Times New Roman" w:hAnsi="Times New Roman" w:cs="Times New Roman"/>
          <w:color w:val="000000"/>
          <w:sz w:val="20"/>
          <w:szCs w:val="20"/>
        </w:rPr>
      </w:pPr>
      <w:r w:rsidRPr="00314656">
        <w:rPr>
          <w:rStyle w:val="FootnoteReference"/>
          <w:rFonts w:ascii="Times New Roman" w:hAnsi="Times New Roman" w:cs="Times New Roman"/>
          <w:sz w:val="20"/>
          <w:szCs w:val="20"/>
        </w:rPr>
        <w:footnoteRef/>
      </w:r>
      <w:r w:rsidRPr="00314656">
        <w:rPr>
          <w:rFonts w:ascii="Times New Roman" w:hAnsi="Times New Roman" w:cs="Times New Roman"/>
          <w:sz w:val="20"/>
          <w:szCs w:val="20"/>
        </w:rPr>
        <w:t xml:space="preserve"> Ibid and D. </w:t>
      </w:r>
      <w:r w:rsidRPr="00314656">
        <w:rPr>
          <w:rFonts w:ascii="Times New Roman" w:hAnsi="Times New Roman" w:cs="Times New Roman"/>
          <w:color w:val="000000"/>
          <w:sz w:val="20"/>
          <w:szCs w:val="20"/>
        </w:rPr>
        <w:t xml:space="preserve">Beard, ‘The Battle of Maldon’, </w:t>
      </w:r>
      <w:r w:rsidRPr="00314656">
        <w:rPr>
          <w:rFonts w:ascii="Times New Roman" w:hAnsi="Times New Roman" w:cs="Times New Roman"/>
          <w:i/>
          <w:color w:val="000000"/>
          <w:sz w:val="20"/>
          <w:szCs w:val="20"/>
        </w:rPr>
        <w:t xml:space="preserve">Medieval World, </w:t>
      </w:r>
      <w:r w:rsidRPr="00314656">
        <w:rPr>
          <w:rFonts w:ascii="Times New Roman" w:hAnsi="Times New Roman" w:cs="Times New Roman"/>
          <w:color w:val="000000"/>
          <w:sz w:val="20"/>
          <w:szCs w:val="20"/>
        </w:rPr>
        <w:t>(July/August 1991), 10-14 &lt;</w:t>
      </w:r>
      <w:r w:rsidRPr="00314656">
        <w:rPr>
          <w:rFonts w:ascii="Times New Roman" w:hAnsi="Times New Roman" w:cs="Times New Roman"/>
          <w:sz w:val="20"/>
          <w:szCs w:val="20"/>
        </w:rPr>
        <w:t xml:space="preserve"> </w:t>
      </w:r>
      <w:r w:rsidRPr="00314656">
        <w:rPr>
          <w:rFonts w:ascii="Times New Roman" w:hAnsi="Times New Roman" w:cs="Times New Roman"/>
          <w:color w:val="000000"/>
          <w:sz w:val="20"/>
          <w:szCs w:val="20"/>
        </w:rPr>
        <w:t>http://poppy.nsms.ox.ac.uk/woruldhord/files/original/8b36efe05b1ca1474f94555f715ab6b9.pdf&gt; [accessed: 24 July 2018], p. 10.</w:t>
      </w:r>
    </w:p>
  </w:footnote>
  <w:footnote w:id="5">
    <w:p w14:paraId="3B6FA764" w14:textId="77777777" w:rsidR="00CB515C" w:rsidRPr="00241DBD" w:rsidRDefault="00CB515C" w:rsidP="00241DBD">
      <w:pPr>
        <w:spacing w:after="0" w:line="240" w:lineRule="auto"/>
        <w:contextualSpacing/>
        <w:rPr>
          <w:rFonts w:ascii="Times New Roman" w:hAnsi="Times New Roman" w:cs="Times New Roman"/>
          <w:sz w:val="20"/>
          <w:szCs w:val="20"/>
        </w:rPr>
      </w:pPr>
      <w:r w:rsidRPr="00241DBD">
        <w:rPr>
          <w:rStyle w:val="FootnoteReference"/>
          <w:rFonts w:ascii="Times New Roman" w:hAnsi="Times New Roman" w:cs="Times New Roman"/>
          <w:sz w:val="20"/>
          <w:szCs w:val="20"/>
        </w:rPr>
        <w:footnoteRef/>
      </w:r>
      <w:r w:rsidRPr="00241DBD">
        <w:rPr>
          <w:rFonts w:ascii="Times New Roman" w:hAnsi="Times New Roman" w:cs="Times New Roman"/>
          <w:sz w:val="20"/>
          <w:szCs w:val="20"/>
        </w:rPr>
        <w:t xml:space="preserve"> G. Clark, ‘The Battle of Maldon: A Heroic Poem’, </w:t>
      </w:r>
      <w:r w:rsidRPr="00241DBD">
        <w:rPr>
          <w:rFonts w:ascii="Times New Roman" w:hAnsi="Times New Roman" w:cs="Times New Roman"/>
          <w:i/>
          <w:sz w:val="20"/>
          <w:szCs w:val="20"/>
        </w:rPr>
        <w:t>Speculum</w:t>
      </w:r>
      <w:r w:rsidRPr="00241DBD">
        <w:rPr>
          <w:rFonts w:ascii="Times New Roman" w:hAnsi="Times New Roman" w:cs="Times New Roman"/>
          <w:sz w:val="20"/>
          <w:szCs w:val="20"/>
        </w:rPr>
        <w:t xml:space="preserve">, 43.1 (January 1968), 52-71 &lt;https://www.jstor.org/stable/2854798&gt; [accessed: 24 July 2018], p. 54. </w:t>
      </w:r>
    </w:p>
  </w:footnote>
  <w:footnote w:id="6">
    <w:p w14:paraId="45757315" w14:textId="77777777" w:rsidR="00CB515C" w:rsidRPr="00241DBD" w:rsidRDefault="00CB515C" w:rsidP="00241DBD">
      <w:pPr>
        <w:spacing w:after="0" w:line="240" w:lineRule="auto"/>
        <w:contextualSpacing/>
        <w:rPr>
          <w:rFonts w:ascii="Times New Roman" w:hAnsi="Times New Roman" w:cs="Times New Roman"/>
          <w:sz w:val="20"/>
          <w:szCs w:val="20"/>
        </w:rPr>
      </w:pPr>
      <w:r w:rsidRPr="00241DBD">
        <w:rPr>
          <w:rStyle w:val="FootnoteReference"/>
          <w:rFonts w:ascii="Times New Roman" w:hAnsi="Times New Roman" w:cs="Times New Roman"/>
          <w:sz w:val="20"/>
          <w:szCs w:val="20"/>
        </w:rPr>
        <w:footnoteRef/>
      </w:r>
      <w:r w:rsidRPr="00241DBD">
        <w:rPr>
          <w:rFonts w:ascii="Times New Roman" w:hAnsi="Times New Roman" w:cs="Times New Roman"/>
          <w:sz w:val="20"/>
          <w:szCs w:val="20"/>
        </w:rPr>
        <w:t xml:space="preserve"> Ibid.</w:t>
      </w:r>
    </w:p>
  </w:footnote>
  <w:footnote w:id="7">
    <w:p w14:paraId="45CCB89B" w14:textId="77777777" w:rsidR="00CB515C" w:rsidRPr="00241DBD" w:rsidRDefault="00CB515C" w:rsidP="00241DBD">
      <w:pPr>
        <w:spacing w:after="0" w:line="240" w:lineRule="auto"/>
        <w:contextualSpacing/>
        <w:rPr>
          <w:rFonts w:ascii="Times New Roman" w:hAnsi="Times New Roman" w:cs="Times New Roman"/>
          <w:sz w:val="20"/>
          <w:szCs w:val="20"/>
        </w:rPr>
      </w:pPr>
      <w:r w:rsidRPr="00241DBD">
        <w:rPr>
          <w:rStyle w:val="FootnoteReference"/>
          <w:rFonts w:ascii="Times New Roman" w:hAnsi="Times New Roman" w:cs="Times New Roman"/>
          <w:sz w:val="20"/>
          <w:szCs w:val="20"/>
        </w:rPr>
        <w:footnoteRef/>
      </w:r>
      <w:r w:rsidRPr="00241DBD">
        <w:rPr>
          <w:rFonts w:ascii="Times New Roman" w:hAnsi="Times New Roman" w:cs="Times New Roman"/>
          <w:sz w:val="20"/>
          <w:szCs w:val="20"/>
        </w:rPr>
        <w:t xml:space="preserve"> Ibid.</w:t>
      </w:r>
    </w:p>
  </w:footnote>
  <w:footnote w:id="8">
    <w:p w14:paraId="59D2F331" w14:textId="77777777" w:rsidR="00CB515C" w:rsidRPr="00241DBD" w:rsidRDefault="00CB515C" w:rsidP="00241DBD">
      <w:pPr>
        <w:spacing w:after="0" w:line="240" w:lineRule="auto"/>
        <w:contextualSpacing/>
        <w:rPr>
          <w:rFonts w:ascii="Times New Roman" w:hAnsi="Times New Roman" w:cs="Times New Roman"/>
          <w:sz w:val="20"/>
          <w:szCs w:val="20"/>
        </w:rPr>
      </w:pPr>
      <w:r w:rsidRPr="00241DBD">
        <w:rPr>
          <w:rStyle w:val="FootnoteReference"/>
          <w:rFonts w:ascii="Times New Roman" w:hAnsi="Times New Roman" w:cs="Times New Roman"/>
          <w:sz w:val="20"/>
          <w:szCs w:val="20"/>
        </w:rPr>
        <w:footnoteRef/>
      </w:r>
      <w:r w:rsidRPr="00241DBD">
        <w:rPr>
          <w:rFonts w:ascii="Times New Roman" w:hAnsi="Times New Roman" w:cs="Times New Roman"/>
          <w:sz w:val="20"/>
          <w:szCs w:val="20"/>
        </w:rPr>
        <w:t xml:space="preserve"> Ibid.</w:t>
      </w:r>
    </w:p>
  </w:footnote>
  <w:footnote w:id="9">
    <w:p w14:paraId="0CC87353" w14:textId="77777777" w:rsidR="00CB515C" w:rsidRPr="001F6A3A" w:rsidRDefault="00CB515C" w:rsidP="00241DBD">
      <w:pPr>
        <w:pStyle w:val="FootnoteText"/>
        <w:contextualSpacing/>
        <w:rPr>
          <w:rFonts w:ascii="Times New Roman" w:hAnsi="Times New Roman" w:cs="Times New Roman"/>
          <w:sz w:val="20"/>
          <w:szCs w:val="20"/>
        </w:rPr>
      </w:pPr>
      <w:r w:rsidRPr="00241DBD">
        <w:rPr>
          <w:rStyle w:val="FootnoteReference"/>
          <w:rFonts w:ascii="Times New Roman" w:hAnsi="Times New Roman" w:cs="Times New Roman"/>
          <w:sz w:val="20"/>
          <w:szCs w:val="20"/>
        </w:rPr>
        <w:footnoteRef/>
      </w:r>
      <w:r w:rsidRPr="00241DBD">
        <w:rPr>
          <w:rFonts w:ascii="Times New Roman" w:hAnsi="Times New Roman" w:cs="Times New Roman"/>
          <w:sz w:val="20"/>
          <w:szCs w:val="20"/>
        </w:rPr>
        <w:t xml:space="preserve"> R. Hamer, </w:t>
      </w:r>
      <w:r w:rsidRPr="00241DBD">
        <w:rPr>
          <w:rFonts w:ascii="Times New Roman" w:hAnsi="Times New Roman" w:cs="Times New Roman"/>
          <w:i/>
          <w:sz w:val="20"/>
          <w:szCs w:val="20"/>
        </w:rPr>
        <w:t xml:space="preserve">A Choice of Anglo-Saxon Verse </w:t>
      </w:r>
      <w:r w:rsidRPr="00241DBD">
        <w:rPr>
          <w:rFonts w:ascii="Times New Roman" w:hAnsi="Times New Roman" w:cs="Times New Roman"/>
          <w:sz w:val="20"/>
          <w:szCs w:val="20"/>
        </w:rPr>
        <w:t>(London: Faber &amp; Faber, 2015), p. 46.</w:t>
      </w:r>
    </w:p>
  </w:footnote>
  <w:footnote w:id="10">
    <w:p w14:paraId="00FCE670"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Beard, ‘The Battle of Maldon’, p. 14.</w:t>
      </w:r>
    </w:p>
  </w:footnote>
  <w:footnote w:id="11">
    <w:p w14:paraId="0120FB68" w14:textId="77777777" w:rsidR="00CB515C" w:rsidRPr="00B902D4" w:rsidRDefault="00CB515C" w:rsidP="00B401C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52.</w:t>
      </w:r>
    </w:p>
  </w:footnote>
  <w:footnote w:id="12">
    <w:p w14:paraId="69597868"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52 and G. Clark, ‘The Hero of Maldon: </w:t>
      </w:r>
      <w:r w:rsidRPr="00B902D4">
        <w:rPr>
          <w:rFonts w:ascii="Times New Roman" w:hAnsi="Times New Roman" w:cs="Times New Roman"/>
          <w:i/>
          <w:sz w:val="20"/>
          <w:szCs w:val="20"/>
        </w:rPr>
        <w:t>Vir Pius et Strenuus</w:t>
      </w:r>
      <w:r w:rsidRPr="00B902D4">
        <w:rPr>
          <w:rFonts w:ascii="Times New Roman" w:hAnsi="Times New Roman" w:cs="Times New Roman"/>
          <w:sz w:val="20"/>
          <w:szCs w:val="20"/>
        </w:rPr>
        <w:t xml:space="preserve">’, </w:t>
      </w:r>
      <w:r w:rsidRPr="00B902D4">
        <w:rPr>
          <w:rFonts w:ascii="Times New Roman" w:hAnsi="Times New Roman" w:cs="Times New Roman"/>
          <w:i/>
          <w:sz w:val="20"/>
          <w:szCs w:val="20"/>
        </w:rPr>
        <w:t>Speculum</w:t>
      </w:r>
      <w:r w:rsidRPr="00B902D4">
        <w:rPr>
          <w:rFonts w:ascii="Times New Roman" w:hAnsi="Times New Roman" w:cs="Times New Roman"/>
          <w:sz w:val="20"/>
          <w:szCs w:val="20"/>
        </w:rPr>
        <w:t>, 54.2 (April 1979),  257-282 &lt;</w:t>
      </w:r>
      <w:hyperlink r:id="rId1" w:history="1">
        <w:r w:rsidRPr="00B902D4">
          <w:rPr>
            <w:rFonts w:ascii="Times New Roman" w:hAnsi="Times New Roman" w:cs="Times New Roman"/>
            <w:sz w:val="20"/>
            <w:szCs w:val="20"/>
          </w:rPr>
          <w:t>https://www.jstor.org/stable/2854973</w:t>
        </w:r>
      </w:hyperlink>
      <w:r w:rsidRPr="00B902D4">
        <w:rPr>
          <w:rFonts w:ascii="Times New Roman" w:hAnsi="Times New Roman" w:cs="Times New Roman"/>
          <w:sz w:val="20"/>
          <w:szCs w:val="20"/>
        </w:rPr>
        <w:t>&gt; [accessed</w:t>
      </w:r>
      <w:r w:rsidRPr="00B902D4">
        <w:rPr>
          <w:rStyle w:val="Hyperlink"/>
          <w:rFonts w:ascii="Times New Roman" w:hAnsi="Times New Roman" w:cs="Times New Roman"/>
          <w:color w:val="auto"/>
          <w:sz w:val="20"/>
          <w:szCs w:val="20"/>
          <w:u w:val="none"/>
        </w:rPr>
        <w:t>: 24 July 2018]</w:t>
      </w:r>
      <w:r w:rsidRPr="00B902D4">
        <w:rPr>
          <w:rFonts w:ascii="Times New Roman" w:hAnsi="Times New Roman" w:cs="Times New Roman"/>
          <w:sz w:val="20"/>
          <w:szCs w:val="20"/>
        </w:rPr>
        <w:t>, pp. 257 and 269.</w:t>
      </w:r>
    </w:p>
  </w:footnote>
  <w:footnote w:id="13">
    <w:p w14:paraId="286D18E4"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Hero of Maldon: </w:t>
      </w:r>
      <w:r w:rsidRPr="00B902D4">
        <w:rPr>
          <w:rFonts w:ascii="Times New Roman" w:hAnsi="Times New Roman" w:cs="Times New Roman"/>
          <w:i/>
          <w:sz w:val="20"/>
          <w:szCs w:val="20"/>
        </w:rPr>
        <w:t>Vir Pius et Strenuus</w:t>
      </w:r>
      <w:r w:rsidRPr="00B902D4">
        <w:rPr>
          <w:rFonts w:ascii="Times New Roman" w:hAnsi="Times New Roman" w:cs="Times New Roman"/>
          <w:sz w:val="20"/>
          <w:szCs w:val="20"/>
        </w:rPr>
        <w:t>’, pp. 257-258.</w:t>
      </w:r>
    </w:p>
  </w:footnote>
  <w:footnote w:id="14">
    <w:p w14:paraId="7C60ABA8" w14:textId="77777777" w:rsidR="00CB515C" w:rsidRPr="00B902D4" w:rsidRDefault="00CB515C" w:rsidP="00B401C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52.</w:t>
      </w:r>
    </w:p>
  </w:footnote>
  <w:footnote w:id="15">
    <w:p w14:paraId="23A63B27"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Hero of Maldon: </w:t>
      </w:r>
      <w:r w:rsidRPr="00B902D4">
        <w:rPr>
          <w:rFonts w:ascii="Times New Roman" w:hAnsi="Times New Roman" w:cs="Times New Roman"/>
          <w:i/>
          <w:sz w:val="20"/>
          <w:szCs w:val="20"/>
        </w:rPr>
        <w:t>Vir Pius et Strenuus</w:t>
      </w:r>
      <w:r w:rsidRPr="00B902D4">
        <w:rPr>
          <w:rFonts w:ascii="Times New Roman" w:hAnsi="Times New Roman" w:cs="Times New Roman"/>
          <w:sz w:val="20"/>
          <w:szCs w:val="20"/>
        </w:rPr>
        <w:t>’, p. 259.</w:t>
      </w:r>
    </w:p>
  </w:footnote>
  <w:footnote w:id="16">
    <w:p w14:paraId="3B380908"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119.</w:t>
      </w:r>
    </w:p>
  </w:footnote>
  <w:footnote w:id="17">
    <w:p w14:paraId="6FBF44C8" w14:textId="77777777" w:rsidR="00CB515C" w:rsidRPr="00B902D4"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18">
    <w:p w14:paraId="17BE946F" w14:textId="77777777" w:rsidR="00CB515C" w:rsidRPr="001F6A3A" w:rsidRDefault="00CB515C" w:rsidP="00B401C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19">
    <w:p w14:paraId="05512FD5" w14:textId="77777777" w:rsidR="00CB515C" w:rsidRPr="00B902D4" w:rsidRDefault="00CB515C" w:rsidP="007C5DC3">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58.</w:t>
      </w:r>
    </w:p>
  </w:footnote>
  <w:footnote w:id="20">
    <w:p w14:paraId="16A4B920" w14:textId="77777777" w:rsidR="00CB515C" w:rsidRPr="00B902D4" w:rsidRDefault="00CB515C" w:rsidP="007C5DC3">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H. Gneuss, ‘“The Battle of Maldon” 89: Byrhtnoð's “Ofermod” Once Again’, </w:t>
      </w:r>
      <w:r w:rsidRPr="00B902D4">
        <w:rPr>
          <w:rFonts w:ascii="Times New Roman" w:hAnsi="Times New Roman" w:cs="Times New Roman"/>
          <w:i/>
          <w:sz w:val="20"/>
          <w:szCs w:val="20"/>
        </w:rPr>
        <w:t>Studies in Philology</w:t>
      </w:r>
      <w:r w:rsidRPr="00B902D4">
        <w:rPr>
          <w:rFonts w:ascii="Times New Roman" w:hAnsi="Times New Roman" w:cs="Times New Roman"/>
          <w:sz w:val="20"/>
          <w:szCs w:val="20"/>
        </w:rPr>
        <w:t>, 73.2 (April 1976), 117-137 &lt;</w:t>
      </w:r>
      <w:hyperlink r:id="rId2" w:history="1">
        <w:r w:rsidRPr="00B902D4">
          <w:rPr>
            <w:rFonts w:ascii="Times New Roman" w:hAnsi="Times New Roman" w:cs="Times New Roman"/>
            <w:sz w:val="20"/>
            <w:szCs w:val="20"/>
          </w:rPr>
          <w:t>https://www.jstor.org/stable/4173900</w:t>
        </w:r>
      </w:hyperlink>
      <w:r w:rsidRPr="00B902D4">
        <w:rPr>
          <w:rFonts w:ascii="Times New Roman" w:hAnsi="Times New Roman" w:cs="Times New Roman"/>
          <w:sz w:val="20"/>
          <w:szCs w:val="20"/>
        </w:rPr>
        <w:t>&gt; [accessed: 24 July 2018], p. 118.</w:t>
      </w:r>
    </w:p>
  </w:footnote>
  <w:footnote w:id="21">
    <w:p w14:paraId="485EC3B0" w14:textId="77777777" w:rsidR="00CB515C" w:rsidRPr="00B902D4" w:rsidRDefault="00CB515C" w:rsidP="007C5DC3">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119.</w:t>
      </w:r>
    </w:p>
  </w:footnote>
  <w:footnote w:id="22">
    <w:p w14:paraId="76860037" w14:textId="77777777" w:rsidR="00CB515C" w:rsidRPr="00B902D4" w:rsidRDefault="00CB515C" w:rsidP="007C5DC3">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O.D. MacRae-Gibson, ‘How Historical is “The Battle of Maldon”?’, </w:t>
      </w:r>
      <w:r w:rsidRPr="00B902D4">
        <w:rPr>
          <w:rFonts w:ascii="Times New Roman" w:hAnsi="Times New Roman" w:cs="Times New Roman"/>
          <w:i/>
          <w:sz w:val="20"/>
          <w:szCs w:val="20"/>
        </w:rPr>
        <w:t>Medium Aevum</w:t>
      </w:r>
      <w:r w:rsidRPr="00B902D4">
        <w:rPr>
          <w:rFonts w:ascii="Times New Roman" w:hAnsi="Times New Roman" w:cs="Times New Roman"/>
          <w:sz w:val="20"/>
          <w:szCs w:val="20"/>
        </w:rPr>
        <w:t>, 39 (January 1970), 89-107 &lt;</w:t>
      </w:r>
      <w:r w:rsidRPr="00B902D4">
        <w:rPr>
          <w:rFonts w:ascii="Times New Roman" w:eastAsia="Times New Roman" w:hAnsi="Times New Roman" w:cs="Times New Roman"/>
          <w:sz w:val="20"/>
          <w:szCs w:val="20"/>
          <w:shd w:val="clear" w:color="auto" w:fill="FFFFFF"/>
        </w:rPr>
        <w:t xml:space="preserve"> https://www.jstor.org/stable/43631264</w:t>
      </w:r>
      <w:r w:rsidRPr="00B902D4">
        <w:rPr>
          <w:rFonts w:ascii="Times New Roman" w:eastAsia="Times New Roman" w:hAnsi="Times New Roman" w:cs="Times New Roman"/>
          <w:sz w:val="20"/>
          <w:szCs w:val="20"/>
        </w:rPr>
        <w:t>&gt; [accessed: 24 July 2018]</w:t>
      </w:r>
      <w:r w:rsidRPr="00B902D4">
        <w:rPr>
          <w:rFonts w:ascii="Times New Roman" w:hAnsi="Times New Roman" w:cs="Times New Roman"/>
          <w:sz w:val="20"/>
          <w:szCs w:val="20"/>
        </w:rPr>
        <w:t>, p. 89.</w:t>
      </w:r>
    </w:p>
  </w:footnote>
  <w:footnote w:id="23">
    <w:p w14:paraId="0DC3308D" w14:textId="77777777" w:rsidR="00CB515C" w:rsidRPr="00B902D4" w:rsidRDefault="00CB515C" w:rsidP="007C5DC3">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M.W. Bloomfield, ‘Beowulf, Byrhtnoth, and the Judgment of God: Trial by Combat in Anglo-Saxon England’, </w:t>
      </w:r>
      <w:r w:rsidRPr="00B902D4">
        <w:rPr>
          <w:rFonts w:ascii="Times New Roman" w:hAnsi="Times New Roman" w:cs="Times New Roman"/>
          <w:i/>
          <w:sz w:val="20"/>
          <w:szCs w:val="20"/>
        </w:rPr>
        <w:t>Speculum</w:t>
      </w:r>
      <w:r w:rsidRPr="00B902D4">
        <w:rPr>
          <w:rFonts w:ascii="Times New Roman" w:hAnsi="Times New Roman" w:cs="Times New Roman"/>
          <w:sz w:val="20"/>
          <w:szCs w:val="20"/>
        </w:rPr>
        <w:t>, 44.4 (October 1969), 545-559 &lt;</w:t>
      </w:r>
      <w:hyperlink r:id="rId3" w:history="1">
        <w:r w:rsidRPr="00B902D4">
          <w:rPr>
            <w:rFonts w:ascii="Times New Roman" w:hAnsi="Times New Roman" w:cs="Times New Roman"/>
            <w:sz w:val="20"/>
            <w:szCs w:val="20"/>
          </w:rPr>
          <w:t>https://www.jstor.org/stable/2850382</w:t>
        </w:r>
      </w:hyperlink>
      <w:r w:rsidRPr="00B902D4">
        <w:rPr>
          <w:rFonts w:ascii="Times New Roman" w:hAnsi="Times New Roman" w:cs="Times New Roman"/>
          <w:sz w:val="20"/>
          <w:szCs w:val="20"/>
        </w:rPr>
        <w:t>&gt; [accessed: 25 July 2018], p. 547 and Gneuss, ‘“The Battle of Maldon” 89: Byrhtnoð's “Ofermod” Once Again’, p. 119.</w:t>
      </w:r>
    </w:p>
  </w:footnote>
  <w:footnote w:id="24">
    <w:p w14:paraId="142A3A5C" w14:textId="77777777" w:rsidR="00CB515C" w:rsidRPr="00B902D4" w:rsidRDefault="00CB515C" w:rsidP="007C5DC3">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Gneuss, ‘“The Battle of Maldon” 89: Byrhtnoð's “Ofermod” Once Again’, p. 119.</w:t>
      </w:r>
    </w:p>
  </w:footnote>
  <w:footnote w:id="25">
    <w:p w14:paraId="330DAA8C" w14:textId="77777777" w:rsidR="00CB515C" w:rsidRPr="00B902D4" w:rsidRDefault="00CB515C" w:rsidP="007C5DC3">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119.</w:t>
      </w:r>
    </w:p>
  </w:footnote>
  <w:footnote w:id="26">
    <w:p w14:paraId="2E548F82" w14:textId="77777777" w:rsidR="00CB515C" w:rsidRPr="00B902D4" w:rsidRDefault="00CB515C" w:rsidP="007C5DC3">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52.</w:t>
      </w:r>
    </w:p>
  </w:footnote>
  <w:footnote w:id="27">
    <w:p w14:paraId="7D122F1C" w14:textId="77777777" w:rsidR="00CB515C" w:rsidRPr="00B902D4" w:rsidRDefault="00CB515C" w:rsidP="007C5DC3">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119 and MacRae-Gibson, ‘How Historical is “The Battle of Maldon”?’, p. 105.</w:t>
      </w:r>
    </w:p>
  </w:footnote>
  <w:footnote w:id="28">
    <w:p w14:paraId="3DA650EA" w14:textId="77777777" w:rsidR="00CB515C" w:rsidRPr="00B902D4"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Gneuss, ‘“The Battle of Maldon” 89: Byrhtnoð's “Ofermod” Once Again’, p. 131 and Clark, ‘The Hero of Maldon: </w:t>
      </w:r>
      <w:r w:rsidRPr="00B902D4">
        <w:rPr>
          <w:rFonts w:ascii="Times New Roman" w:hAnsi="Times New Roman" w:cs="Times New Roman"/>
          <w:i/>
          <w:sz w:val="20"/>
          <w:szCs w:val="20"/>
        </w:rPr>
        <w:t>Vir Pius et Strenuus</w:t>
      </w:r>
      <w:r w:rsidRPr="00B902D4">
        <w:rPr>
          <w:rFonts w:ascii="Times New Roman" w:hAnsi="Times New Roman" w:cs="Times New Roman"/>
          <w:sz w:val="20"/>
          <w:szCs w:val="20"/>
        </w:rPr>
        <w:t>’, p. 265.</w:t>
      </w:r>
    </w:p>
  </w:footnote>
  <w:footnote w:id="29">
    <w:p w14:paraId="307AF1B5" w14:textId="77777777" w:rsidR="00CB515C" w:rsidRPr="007F1119"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Hero of Maldon: </w:t>
      </w:r>
      <w:r w:rsidRPr="00B902D4">
        <w:rPr>
          <w:rFonts w:ascii="Times New Roman" w:hAnsi="Times New Roman" w:cs="Times New Roman"/>
          <w:i/>
          <w:sz w:val="20"/>
          <w:szCs w:val="20"/>
        </w:rPr>
        <w:t>Vir Pius et Strenuus</w:t>
      </w:r>
      <w:r w:rsidRPr="00B902D4">
        <w:rPr>
          <w:rFonts w:ascii="Times New Roman" w:hAnsi="Times New Roman" w:cs="Times New Roman"/>
          <w:sz w:val="20"/>
          <w:szCs w:val="20"/>
        </w:rPr>
        <w:t>’, p. 265.</w:t>
      </w:r>
    </w:p>
  </w:footnote>
  <w:footnote w:id="30">
    <w:p w14:paraId="77977847" w14:textId="77777777" w:rsidR="00CB515C" w:rsidRPr="00B902D4" w:rsidRDefault="00CB515C" w:rsidP="00B42944">
      <w:pPr>
        <w:pStyle w:val="NormalWeb"/>
        <w:spacing w:before="0" w:beforeAutospacing="0" w:after="0" w:afterAutospacing="0"/>
        <w:contextualSpacing/>
        <w:rPr>
          <w:sz w:val="20"/>
          <w:szCs w:val="20"/>
        </w:rPr>
      </w:pPr>
      <w:r w:rsidRPr="00B902D4">
        <w:rPr>
          <w:rStyle w:val="FootnoteReference"/>
          <w:sz w:val="20"/>
          <w:szCs w:val="20"/>
        </w:rPr>
        <w:footnoteRef/>
      </w:r>
      <w:r w:rsidRPr="00B902D4">
        <w:rPr>
          <w:sz w:val="20"/>
          <w:szCs w:val="20"/>
        </w:rPr>
        <w:t xml:space="preserve"> Bloomfield, ‘Beowulf, Byrhtnoth, and the Judgment of God: Trial by Combat in Anglo-Saxon England’, p. 547.</w:t>
      </w:r>
    </w:p>
  </w:footnote>
  <w:footnote w:id="31">
    <w:p w14:paraId="08EE3F98" w14:textId="77777777" w:rsidR="00CB515C" w:rsidRPr="00B902D4" w:rsidRDefault="00CB515C" w:rsidP="00B42944">
      <w:pPr>
        <w:pStyle w:val="FootnoteText"/>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57.</w:t>
      </w:r>
    </w:p>
  </w:footnote>
  <w:footnote w:id="32">
    <w:p w14:paraId="370A712D" w14:textId="77777777" w:rsidR="00CB515C" w:rsidRPr="00B902D4" w:rsidRDefault="00CB515C" w:rsidP="00B42944">
      <w:pPr>
        <w:pStyle w:val="NormalWeb"/>
        <w:spacing w:before="0" w:beforeAutospacing="0" w:after="0" w:afterAutospacing="0"/>
        <w:contextualSpacing/>
        <w:rPr>
          <w:sz w:val="20"/>
          <w:szCs w:val="20"/>
        </w:rPr>
      </w:pPr>
      <w:r w:rsidRPr="00B902D4">
        <w:rPr>
          <w:rStyle w:val="FootnoteReference"/>
          <w:sz w:val="20"/>
          <w:szCs w:val="20"/>
        </w:rPr>
        <w:footnoteRef/>
      </w:r>
      <w:r w:rsidRPr="00B902D4">
        <w:rPr>
          <w:sz w:val="20"/>
          <w:szCs w:val="20"/>
        </w:rPr>
        <w:t xml:space="preserve"> Bloomfield, ‘Beowulf, Byrhtnoth, and the Judgment of God: Trial by Combat in Anglo-Saxon England’, p. 547.</w:t>
      </w:r>
    </w:p>
  </w:footnote>
  <w:footnote w:id="33">
    <w:p w14:paraId="26A4A5B7" w14:textId="77777777" w:rsidR="00CB515C" w:rsidRPr="00B902D4" w:rsidRDefault="00CB515C" w:rsidP="00B42944">
      <w:pPr>
        <w:pStyle w:val="NormalWeb"/>
        <w:spacing w:before="0" w:beforeAutospacing="0" w:after="0" w:afterAutospacing="0"/>
        <w:contextualSpacing/>
        <w:rPr>
          <w:sz w:val="20"/>
          <w:szCs w:val="20"/>
        </w:rPr>
      </w:pPr>
      <w:r w:rsidRPr="00B902D4">
        <w:rPr>
          <w:rStyle w:val="FootnoteReference"/>
          <w:sz w:val="20"/>
          <w:szCs w:val="20"/>
        </w:rPr>
        <w:footnoteRef/>
      </w:r>
      <w:r w:rsidRPr="00B902D4">
        <w:rPr>
          <w:sz w:val="20"/>
          <w:szCs w:val="20"/>
        </w:rPr>
        <w:t xml:space="preserve"> Ibid.</w:t>
      </w:r>
    </w:p>
  </w:footnote>
  <w:footnote w:id="34">
    <w:p w14:paraId="15761335" w14:textId="77777777" w:rsidR="00CB515C" w:rsidRPr="00B902D4" w:rsidRDefault="00CB515C" w:rsidP="00B42944">
      <w:pPr>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E.B. Irving Jr., ‘The Heroic Style in “The Battle of Maldon”’, </w:t>
      </w:r>
      <w:r w:rsidRPr="00B902D4">
        <w:rPr>
          <w:rFonts w:ascii="Times New Roman" w:hAnsi="Times New Roman" w:cs="Times New Roman"/>
          <w:i/>
          <w:sz w:val="20"/>
          <w:szCs w:val="20"/>
        </w:rPr>
        <w:t>Studies in Philology</w:t>
      </w:r>
      <w:r w:rsidRPr="00B902D4">
        <w:rPr>
          <w:rFonts w:ascii="Times New Roman" w:hAnsi="Times New Roman" w:cs="Times New Roman"/>
          <w:sz w:val="20"/>
          <w:szCs w:val="20"/>
        </w:rPr>
        <w:t>, 58.3 (July 1961), 457-467 &lt;</w:t>
      </w:r>
      <w:hyperlink r:id="rId4" w:history="1">
        <w:r w:rsidRPr="00B902D4">
          <w:rPr>
            <w:rFonts w:ascii="Times New Roman" w:hAnsi="Times New Roman" w:cs="Times New Roman"/>
            <w:sz w:val="20"/>
            <w:szCs w:val="20"/>
          </w:rPr>
          <w:t>https://www.jstor.org/stable/4173350</w:t>
        </w:r>
      </w:hyperlink>
      <w:r w:rsidRPr="00B902D4">
        <w:rPr>
          <w:rFonts w:ascii="Times New Roman" w:hAnsi="Times New Roman" w:cs="Times New Roman"/>
          <w:sz w:val="20"/>
          <w:szCs w:val="20"/>
        </w:rPr>
        <w:t>&gt; [accessed: 24 July 2018], p. 458.</w:t>
      </w:r>
    </w:p>
  </w:footnote>
  <w:footnote w:id="35">
    <w:p w14:paraId="6DCB94CB" w14:textId="77777777" w:rsidR="00CB515C" w:rsidRPr="007F1119" w:rsidRDefault="00CB515C" w:rsidP="00B42944">
      <w:pPr>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57.</w:t>
      </w:r>
    </w:p>
  </w:footnote>
  <w:footnote w:id="36">
    <w:p w14:paraId="361826F5" w14:textId="77777777" w:rsidR="00CB515C" w:rsidRPr="00B902D4" w:rsidRDefault="00CB515C" w:rsidP="00B902D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Bloomfield, ‘Beowulf, Byrhtnoth, and the Judgment of God: Trial by Combat in Anglo-Saxon England’, p. 548.</w:t>
      </w:r>
    </w:p>
  </w:footnote>
  <w:footnote w:id="37">
    <w:p w14:paraId="579B5E8B"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58.</w:t>
      </w:r>
    </w:p>
  </w:footnote>
  <w:footnote w:id="38">
    <w:p w14:paraId="7E86D6A8"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Clark, ‘The Battle of Maldon: A Heroic Poem’</w:t>
      </w:r>
      <w:r w:rsidRPr="00B902D4">
        <w:rPr>
          <w:rStyle w:val="Hyperlink"/>
          <w:rFonts w:ascii="Times New Roman" w:hAnsi="Times New Roman" w:cs="Times New Roman"/>
          <w:color w:val="auto"/>
          <w:sz w:val="20"/>
          <w:szCs w:val="20"/>
          <w:u w:val="none"/>
        </w:rPr>
        <w:t>,</w:t>
      </w:r>
      <w:r w:rsidRPr="00B902D4">
        <w:rPr>
          <w:rFonts w:ascii="Times New Roman" w:hAnsi="Times New Roman" w:cs="Times New Roman"/>
          <w:sz w:val="20"/>
          <w:szCs w:val="20"/>
        </w:rPr>
        <w:t xml:space="preserve"> p. 71.</w:t>
      </w:r>
    </w:p>
  </w:footnote>
  <w:footnote w:id="39">
    <w:p w14:paraId="15E5D4E8"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107.</w:t>
      </w:r>
    </w:p>
  </w:footnote>
  <w:footnote w:id="40">
    <w:p w14:paraId="2D259516"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J.M. </w:t>
      </w:r>
      <w:r w:rsidRPr="00B902D4">
        <w:rPr>
          <w:rFonts w:ascii="Times New Roman" w:hAnsi="Times New Roman" w:cs="Times New Roman"/>
          <w:bCs/>
          <w:sz w:val="20"/>
          <w:szCs w:val="20"/>
        </w:rPr>
        <w:t>Palmer, ‘</w:t>
      </w:r>
      <w:r w:rsidRPr="00B902D4">
        <w:rPr>
          <w:rFonts w:ascii="Times New Roman" w:hAnsi="Times New Roman" w:cs="Times New Roman"/>
          <w:i/>
          <w:iCs/>
          <w:sz w:val="20"/>
          <w:szCs w:val="20"/>
          <w:lang w:val="en"/>
        </w:rPr>
        <w:t>Compunctio</w:t>
      </w:r>
      <w:r w:rsidRPr="00B902D4">
        <w:rPr>
          <w:rFonts w:ascii="Times New Roman" w:hAnsi="Times New Roman" w:cs="Times New Roman"/>
          <w:sz w:val="20"/>
          <w:szCs w:val="20"/>
          <w:lang w:val="en"/>
        </w:rPr>
        <w:t> and the Heart in the Old English Poem </w:t>
      </w:r>
      <w:r w:rsidRPr="00B902D4">
        <w:rPr>
          <w:rFonts w:ascii="Times New Roman" w:hAnsi="Times New Roman" w:cs="Times New Roman"/>
          <w:i/>
          <w:iCs/>
          <w:sz w:val="20"/>
          <w:szCs w:val="20"/>
          <w:lang w:val="en"/>
        </w:rPr>
        <w:t>The Wanderer</w:t>
      </w:r>
      <w:r w:rsidRPr="00B902D4">
        <w:rPr>
          <w:rFonts w:ascii="Times New Roman" w:hAnsi="Times New Roman" w:cs="Times New Roman"/>
          <w:bCs/>
          <w:sz w:val="20"/>
          <w:szCs w:val="20"/>
        </w:rPr>
        <w:t xml:space="preserve">’, </w:t>
      </w:r>
      <w:r w:rsidRPr="00B902D4">
        <w:rPr>
          <w:rFonts w:ascii="Times New Roman" w:hAnsi="Times New Roman" w:cs="Times New Roman"/>
          <w:i/>
          <w:sz w:val="20"/>
          <w:szCs w:val="20"/>
        </w:rPr>
        <w:t>Neophilologus</w:t>
      </w:r>
      <w:r w:rsidRPr="00B902D4">
        <w:rPr>
          <w:rFonts w:ascii="Times New Roman" w:hAnsi="Times New Roman" w:cs="Times New Roman"/>
          <w:sz w:val="20"/>
          <w:szCs w:val="20"/>
        </w:rPr>
        <w:t>, 88.3</w:t>
      </w:r>
      <w:r w:rsidRPr="00B902D4">
        <w:rPr>
          <w:rFonts w:ascii="Times New Roman" w:hAnsi="Times New Roman" w:cs="Times New Roman"/>
          <w:sz w:val="20"/>
          <w:szCs w:val="20"/>
          <w:lang w:val="en"/>
        </w:rPr>
        <w:t xml:space="preserve"> (</w:t>
      </w:r>
      <w:r w:rsidRPr="00B902D4">
        <w:rPr>
          <w:rFonts w:ascii="Times New Roman" w:hAnsi="Times New Roman" w:cs="Times New Roman"/>
          <w:sz w:val="20"/>
          <w:szCs w:val="20"/>
        </w:rPr>
        <w:t xml:space="preserve">July 2004), 447–460 &lt;https://link.springer.com/article/10.1023/B:NEOP.0000027476.71092.9d&gt; [accessed: 24 July 2018], p. 447; F. Leneghan, ‘Preparing the Mind for Prayer: The Wanderer, Hesychasm and Theosis’, </w:t>
      </w:r>
      <w:r w:rsidRPr="00B902D4">
        <w:rPr>
          <w:rFonts w:ascii="Times New Roman" w:hAnsi="Times New Roman" w:cs="Times New Roman"/>
          <w:i/>
          <w:sz w:val="20"/>
          <w:szCs w:val="20"/>
        </w:rPr>
        <w:t>Neophilologus</w:t>
      </w:r>
      <w:r w:rsidRPr="00B902D4">
        <w:rPr>
          <w:rFonts w:ascii="Times New Roman" w:hAnsi="Times New Roman" w:cs="Times New Roman"/>
          <w:sz w:val="20"/>
          <w:szCs w:val="20"/>
        </w:rPr>
        <w:t xml:space="preserve">, 100.1 </w:t>
      </w:r>
      <w:r w:rsidRPr="00B902D4">
        <w:rPr>
          <w:rFonts w:ascii="Times New Roman" w:hAnsi="Times New Roman" w:cs="Times New Roman"/>
          <w:sz w:val="20"/>
          <w:szCs w:val="20"/>
          <w:lang w:val="en"/>
        </w:rPr>
        <w:t>(</w:t>
      </w:r>
      <w:r w:rsidRPr="00B902D4">
        <w:rPr>
          <w:rFonts w:ascii="Times New Roman" w:hAnsi="Times New Roman" w:cs="Times New Roman"/>
          <w:sz w:val="20"/>
          <w:szCs w:val="20"/>
        </w:rPr>
        <w:t xml:space="preserve">January 2016), 121-142 &lt; https://link.springer.com/article/10.1007%2Fs11061-015-9455-3&gt; [accessed: 24 July 2018], p. 123 and C. Fell, ‘Perceptions of Transcience’, </w:t>
      </w:r>
      <w:r w:rsidRPr="00B902D4">
        <w:rPr>
          <w:rFonts w:ascii="Times New Roman" w:hAnsi="Times New Roman" w:cs="Times New Roman"/>
          <w:i/>
          <w:sz w:val="20"/>
          <w:szCs w:val="20"/>
        </w:rPr>
        <w:t>The Cambridge Companion to Old English Literature</w:t>
      </w:r>
      <w:r w:rsidRPr="00B902D4">
        <w:rPr>
          <w:rFonts w:ascii="Times New Roman" w:hAnsi="Times New Roman" w:cs="Times New Roman"/>
          <w:sz w:val="20"/>
          <w:szCs w:val="20"/>
        </w:rPr>
        <w:t>, eds. M. Godden and M. Lapidge (Cambridge: Cambridge University Press, 1986), 172-189, p. 174.</w:t>
      </w:r>
    </w:p>
  </w:footnote>
  <w:footnote w:id="41">
    <w:p w14:paraId="15D52770" w14:textId="77777777" w:rsidR="00CB515C" w:rsidRPr="00404D55"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 Fowler, ‘A Theme in “The Wanderer”’, </w:t>
      </w:r>
      <w:r w:rsidRPr="00B902D4">
        <w:rPr>
          <w:rFonts w:ascii="Times New Roman" w:hAnsi="Times New Roman" w:cs="Times New Roman"/>
          <w:i/>
          <w:sz w:val="20"/>
          <w:szCs w:val="20"/>
        </w:rPr>
        <w:t>Medium Aevum</w:t>
      </w:r>
      <w:r w:rsidRPr="00B902D4">
        <w:rPr>
          <w:rFonts w:ascii="Times New Roman" w:hAnsi="Times New Roman" w:cs="Times New Roman"/>
          <w:sz w:val="20"/>
          <w:szCs w:val="20"/>
        </w:rPr>
        <w:t xml:space="preserve">, 36.1 (January 1967), 1-14 &lt; </w:t>
      </w:r>
      <w:r w:rsidRPr="00B902D4">
        <w:rPr>
          <w:rFonts w:ascii="Times New Roman" w:eastAsia="Times New Roman" w:hAnsi="Times New Roman" w:cs="Times New Roman"/>
          <w:sz w:val="20"/>
          <w:szCs w:val="20"/>
          <w:shd w:val="clear" w:color="auto" w:fill="FFFFFF"/>
        </w:rPr>
        <w:t>https://www.jstor.org/stable/43627308</w:t>
      </w:r>
      <w:r w:rsidRPr="00B902D4">
        <w:rPr>
          <w:rFonts w:ascii="Times New Roman" w:hAnsi="Times New Roman" w:cs="Times New Roman"/>
          <w:sz w:val="20"/>
          <w:szCs w:val="20"/>
        </w:rPr>
        <w:t>&gt; [accessed: 24 July 2018], p. 1.</w:t>
      </w:r>
    </w:p>
  </w:footnote>
  <w:footnote w:id="42">
    <w:p w14:paraId="2D56C13D"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107.</w:t>
      </w:r>
    </w:p>
  </w:footnote>
  <w:footnote w:id="43">
    <w:p w14:paraId="74401AEC" w14:textId="77777777" w:rsidR="00CB515C" w:rsidRPr="00B902D4" w:rsidRDefault="00CB515C" w:rsidP="00B902D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44">
    <w:p w14:paraId="5A55C0CD"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 Sharma, ‘Heroic Subject and Cultural Substance in The Wanderer’, </w:t>
      </w:r>
      <w:r w:rsidRPr="00B902D4">
        <w:rPr>
          <w:rFonts w:ascii="Times New Roman" w:hAnsi="Times New Roman" w:cs="Times New Roman"/>
          <w:i/>
          <w:sz w:val="20"/>
          <w:szCs w:val="20"/>
        </w:rPr>
        <w:t>Neophilologus</w:t>
      </w:r>
      <w:r w:rsidRPr="00B902D4">
        <w:rPr>
          <w:rFonts w:ascii="Times New Roman" w:hAnsi="Times New Roman" w:cs="Times New Roman"/>
          <w:sz w:val="20"/>
          <w:szCs w:val="20"/>
        </w:rPr>
        <w:t>, 96.4 (October 2012), 611-629 &lt; https://link.springer.com/article/10.1007/s11061-011-9278-9&gt; [accessed: 24 July 2018], p. 611.</w:t>
      </w:r>
    </w:p>
  </w:footnote>
  <w:footnote w:id="45">
    <w:p w14:paraId="26D2560F"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46">
    <w:p w14:paraId="6E3C5244" w14:textId="77777777" w:rsidR="00CB515C" w:rsidRPr="005E2269"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Sharma, ‘Heroic Subject and Cultural Substance in The Wanderer’, p. 613.</w:t>
      </w:r>
    </w:p>
  </w:footnote>
  <w:footnote w:id="47">
    <w:p w14:paraId="1B2CEC39"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Sharma, ‘Heroic Subject and Cultural Substance in The Wanderer’, pp. 611-612.</w:t>
      </w:r>
    </w:p>
  </w:footnote>
  <w:footnote w:id="48">
    <w:p w14:paraId="256F0161"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Sharma, ‘Heroic Subject and Cultural Substance in The Wanderer’, p. 612.</w:t>
      </w:r>
    </w:p>
  </w:footnote>
  <w:footnote w:id="49">
    <w:p w14:paraId="2E94A255" w14:textId="77777777" w:rsidR="00CB515C" w:rsidRPr="00B902D4" w:rsidRDefault="00CB515C" w:rsidP="00B902D4">
      <w:pPr>
        <w:widowControl w:val="0"/>
        <w:autoSpaceDE w:val="0"/>
        <w:autoSpaceDN w:val="0"/>
        <w:adjustRightInd w:val="0"/>
        <w:spacing w:after="0" w:line="240" w:lineRule="auto"/>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w:t>
      </w:r>
      <w:r w:rsidRPr="00B902D4">
        <w:rPr>
          <w:rFonts w:ascii="Times New Roman" w:hAnsi="Times New Roman" w:cs="Times New Roman"/>
          <w:bCs/>
          <w:sz w:val="20"/>
          <w:szCs w:val="20"/>
        </w:rPr>
        <w:t>Palmer, ‘</w:t>
      </w:r>
      <w:r w:rsidRPr="00B902D4">
        <w:rPr>
          <w:rFonts w:ascii="Times New Roman" w:hAnsi="Times New Roman" w:cs="Times New Roman"/>
          <w:i/>
          <w:iCs/>
          <w:sz w:val="20"/>
          <w:szCs w:val="20"/>
          <w:lang w:val="en"/>
        </w:rPr>
        <w:t>Compunctio</w:t>
      </w:r>
      <w:r w:rsidRPr="00B902D4">
        <w:rPr>
          <w:rFonts w:ascii="Times New Roman" w:hAnsi="Times New Roman" w:cs="Times New Roman"/>
          <w:sz w:val="20"/>
          <w:szCs w:val="20"/>
          <w:lang w:val="en"/>
        </w:rPr>
        <w:t> and the Heart in the Old English Poem </w:t>
      </w:r>
      <w:r w:rsidRPr="00B902D4">
        <w:rPr>
          <w:rFonts w:ascii="Times New Roman" w:hAnsi="Times New Roman" w:cs="Times New Roman"/>
          <w:i/>
          <w:iCs/>
          <w:sz w:val="20"/>
          <w:szCs w:val="20"/>
          <w:lang w:val="en"/>
        </w:rPr>
        <w:t>The Wanderer</w:t>
      </w:r>
      <w:r w:rsidRPr="00B902D4">
        <w:rPr>
          <w:rFonts w:ascii="Times New Roman" w:hAnsi="Times New Roman" w:cs="Times New Roman"/>
          <w:bCs/>
          <w:sz w:val="20"/>
          <w:szCs w:val="20"/>
        </w:rPr>
        <w:t>’</w:t>
      </w:r>
      <w:r w:rsidRPr="00B902D4">
        <w:rPr>
          <w:rFonts w:ascii="Times New Roman" w:hAnsi="Times New Roman" w:cs="Times New Roman"/>
          <w:sz w:val="20"/>
          <w:szCs w:val="20"/>
        </w:rPr>
        <w:t>, p. 457.</w:t>
      </w:r>
    </w:p>
  </w:footnote>
  <w:footnote w:id="50">
    <w:p w14:paraId="17246448"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51">
    <w:p w14:paraId="6A27E9FB"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52">
    <w:p w14:paraId="18483B7F" w14:textId="77777777" w:rsidR="00CB515C" w:rsidRPr="001B2B91"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140.</w:t>
      </w:r>
    </w:p>
  </w:footnote>
  <w:footnote w:id="53">
    <w:p w14:paraId="261F2D89"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123.</w:t>
      </w:r>
    </w:p>
  </w:footnote>
  <w:footnote w:id="54">
    <w:p w14:paraId="1522B5AB"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124.</w:t>
      </w:r>
    </w:p>
  </w:footnote>
  <w:footnote w:id="55">
    <w:p w14:paraId="6FA00CE0"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126.</w:t>
      </w:r>
    </w:p>
  </w:footnote>
  <w:footnote w:id="56">
    <w:p w14:paraId="6A1AF092"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124.</w:t>
      </w:r>
    </w:p>
  </w:footnote>
  <w:footnote w:id="57">
    <w:p w14:paraId="268C1357" w14:textId="77777777" w:rsidR="00CB515C" w:rsidRPr="00B902D4" w:rsidRDefault="00CB515C" w:rsidP="00B42944">
      <w:pPr>
        <w:pStyle w:val="FootnoteText"/>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pp. 124 and 126.</w:t>
      </w:r>
    </w:p>
  </w:footnote>
  <w:footnote w:id="58">
    <w:p w14:paraId="66CEC592"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138.</w:t>
      </w:r>
    </w:p>
  </w:footnote>
  <w:footnote w:id="59">
    <w:p w14:paraId="257E717E" w14:textId="77777777" w:rsidR="00CB515C" w:rsidRPr="00A7749F"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130.</w:t>
      </w:r>
    </w:p>
  </w:footnote>
  <w:footnote w:id="60">
    <w:p w14:paraId="7ED4C77C" w14:textId="77777777" w:rsidR="00CB515C" w:rsidRPr="00B902D4"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B. Mize, ‘The Mental Container and the Cross of Christ: Revelation and Community in The Dream of the Rood’, </w:t>
      </w:r>
      <w:r w:rsidRPr="00B902D4">
        <w:rPr>
          <w:rFonts w:ascii="Times New Roman" w:hAnsi="Times New Roman" w:cs="Times New Roman"/>
          <w:i/>
          <w:sz w:val="20"/>
          <w:szCs w:val="20"/>
        </w:rPr>
        <w:t>Studies In Philology</w:t>
      </w:r>
      <w:r w:rsidRPr="00B902D4">
        <w:rPr>
          <w:rFonts w:ascii="Times New Roman" w:hAnsi="Times New Roman" w:cs="Times New Roman"/>
          <w:sz w:val="20"/>
          <w:szCs w:val="20"/>
        </w:rPr>
        <w:t>, 107.2 (2010), 131-178 &lt;</w:t>
      </w:r>
      <w:r w:rsidRPr="00B902D4">
        <w:rPr>
          <w:rFonts w:ascii="Times New Roman" w:eastAsia="Times New Roman" w:hAnsi="Times New Roman" w:cs="Times New Roman"/>
          <w:sz w:val="20"/>
          <w:szCs w:val="20"/>
        </w:rPr>
        <w:t xml:space="preserve"> https://www.jstor.org/stable/25681414&gt; [accessed: 24 July 2018], pp. </w:t>
      </w:r>
      <w:r w:rsidRPr="00B902D4">
        <w:rPr>
          <w:rFonts w:ascii="Times New Roman" w:hAnsi="Times New Roman" w:cs="Times New Roman"/>
          <w:sz w:val="20"/>
          <w:szCs w:val="20"/>
        </w:rPr>
        <w:t>131-134.</w:t>
      </w:r>
    </w:p>
  </w:footnote>
  <w:footnote w:id="61">
    <w:p w14:paraId="43F5E2A6" w14:textId="77777777" w:rsidR="00CB515C" w:rsidRPr="00B902D4" w:rsidRDefault="00CB515C" w:rsidP="00B902D4">
      <w:pPr>
        <w:spacing w:after="0" w:line="240" w:lineRule="auto"/>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 Stanton, ‘Book Review of Ó Carragáin, É., </w:t>
      </w:r>
      <w:r w:rsidRPr="00B902D4">
        <w:rPr>
          <w:rFonts w:ascii="Times New Roman" w:hAnsi="Times New Roman" w:cs="Times New Roman"/>
          <w:i/>
          <w:sz w:val="20"/>
          <w:szCs w:val="20"/>
        </w:rPr>
        <w:t>Ritual and the Rood: Liturgical Images and the Old English Poems of the Dream of the Rood Tradition</w:t>
      </w:r>
      <w:r w:rsidRPr="00B902D4">
        <w:rPr>
          <w:rFonts w:ascii="Times New Roman" w:hAnsi="Times New Roman" w:cs="Times New Roman"/>
          <w:sz w:val="20"/>
          <w:szCs w:val="20"/>
        </w:rPr>
        <w:t xml:space="preserve"> (London and Toronto: The British Library and University of Toronto Press, 2005)’, </w:t>
      </w:r>
      <w:r w:rsidRPr="00B902D4">
        <w:rPr>
          <w:rFonts w:ascii="Times New Roman" w:hAnsi="Times New Roman" w:cs="Times New Roman"/>
          <w:i/>
          <w:sz w:val="20"/>
          <w:szCs w:val="20"/>
        </w:rPr>
        <w:t>Religion and the Arts</w:t>
      </w:r>
      <w:r w:rsidRPr="00B902D4">
        <w:rPr>
          <w:rFonts w:ascii="Times New Roman" w:hAnsi="Times New Roman" w:cs="Times New Roman"/>
          <w:sz w:val="20"/>
          <w:szCs w:val="20"/>
        </w:rPr>
        <w:t>, 12.4 (2008), 620-622 &lt; http://booksandjournals.brillonline.com/content/journals/10.1163/156852908x357498&gt; [accessed: 24 July 2018], p. 621.</w:t>
      </w:r>
    </w:p>
  </w:footnote>
  <w:footnote w:id="62">
    <w:p w14:paraId="4B04C4DC"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A.L. Klinck, ‘Christ as Soldier and Servant in The Dream of the Rood’, </w:t>
      </w:r>
      <w:r w:rsidRPr="00B902D4">
        <w:rPr>
          <w:rFonts w:ascii="Times New Roman" w:hAnsi="Times New Roman" w:cs="Times New Roman"/>
          <w:i/>
          <w:sz w:val="20"/>
          <w:szCs w:val="20"/>
        </w:rPr>
        <w:t>Florilegium</w:t>
      </w:r>
      <w:r w:rsidRPr="00B902D4">
        <w:rPr>
          <w:rFonts w:ascii="Times New Roman" w:hAnsi="Times New Roman" w:cs="Times New Roman"/>
          <w:sz w:val="20"/>
          <w:szCs w:val="20"/>
        </w:rPr>
        <w:t>, 4 (1982), 109–116 &lt;https://journals.lib.unb.ca/index.php/flor/article/view/15348&gt; [accessed: 24 July 2018], p. 109.</w:t>
      </w:r>
    </w:p>
  </w:footnote>
  <w:footnote w:id="63">
    <w:p w14:paraId="1100FB80"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64">
    <w:p w14:paraId="6DBD0D3A"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65">
    <w:p w14:paraId="08B15EF6"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M.L. del Mastro, ‘The Dream of the Rood and the Militia Christi: Perspective in Paradox’, </w:t>
      </w:r>
      <w:r w:rsidRPr="00B902D4">
        <w:rPr>
          <w:rFonts w:ascii="Times New Roman" w:hAnsi="Times New Roman" w:cs="Times New Roman"/>
          <w:i/>
          <w:sz w:val="20"/>
          <w:szCs w:val="20"/>
        </w:rPr>
        <w:t>American Benedictine Review,</w:t>
      </w:r>
      <w:r w:rsidRPr="00B902D4">
        <w:rPr>
          <w:rFonts w:ascii="Times New Roman" w:hAnsi="Times New Roman" w:cs="Times New Roman"/>
          <w:sz w:val="20"/>
          <w:szCs w:val="20"/>
        </w:rPr>
        <w:t xml:space="preserve"> 27 (1976), 171–186, pp. 172 and 175 and B.C. Raw, ‘Biblical literature’, </w:t>
      </w:r>
      <w:r w:rsidRPr="00B902D4">
        <w:rPr>
          <w:rFonts w:ascii="Times New Roman" w:hAnsi="Times New Roman" w:cs="Times New Roman"/>
          <w:i/>
          <w:sz w:val="20"/>
          <w:szCs w:val="20"/>
        </w:rPr>
        <w:t>The Cambridge Companion to Old English Literature</w:t>
      </w:r>
      <w:r w:rsidRPr="00B902D4">
        <w:rPr>
          <w:rFonts w:ascii="Times New Roman" w:hAnsi="Times New Roman" w:cs="Times New Roman"/>
          <w:sz w:val="20"/>
          <w:szCs w:val="20"/>
        </w:rPr>
        <w:t>, eds. M. Godden and M. Lapidge (Cambridge: Cambridge University Press, 1986), 227-242, p. 239.</w:t>
      </w:r>
    </w:p>
  </w:footnote>
  <w:footnote w:id="66">
    <w:p w14:paraId="1794C4A2" w14:textId="77777777" w:rsidR="00CB515C" w:rsidRPr="00A7749F"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Del Mastro, ‘The Dream of the Rood and the Militia Christi: Perspective in Paradox’, p. 171.</w:t>
      </w:r>
    </w:p>
  </w:footnote>
  <w:footnote w:id="67">
    <w:p w14:paraId="41483658" w14:textId="77777777" w:rsidR="00CB515C" w:rsidRPr="00A7749F" w:rsidRDefault="00CB515C" w:rsidP="00B902D4">
      <w:pPr>
        <w:pStyle w:val="FootnoteText"/>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Ibid.</w:t>
      </w:r>
    </w:p>
  </w:footnote>
  <w:footnote w:id="68">
    <w:p w14:paraId="0A59B05A" w14:textId="77777777" w:rsidR="00CB515C" w:rsidRPr="00A7749F" w:rsidRDefault="00CB515C" w:rsidP="00B902D4">
      <w:pPr>
        <w:pStyle w:val="FootnoteText"/>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Del Mastro, ‘The Dream of the Rood and the Militia Christi: Perspective in Paradox’, p. 172.</w:t>
      </w:r>
    </w:p>
  </w:footnote>
  <w:footnote w:id="69">
    <w:p w14:paraId="2DCF3321" w14:textId="77777777" w:rsidR="00CB515C" w:rsidRPr="00085B49" w:rsidRDefault="00CB515C" w:rsidP="00B902D4">
      <w:pPr>
        <w:pStyle w:val="FootnoteText"/>
        <w:contextualSpacing/>
        <w:rPr>
          <w:rFonts w:ascii="Times New Roman" w:hAnsi="Times New Roman" w:cs="Times New Roman"/>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Del Mastro, ‘The Dream of the Rood and the Militia Christi: Perspective in Paradox’, pp. 174 and 176.</w:t>
      </w:r>
    </w:p>
  </w:footnote>
  <w:footnote w:id="70">
    <w:p w14:paraId="00E948F1" w14:textId="77777777" w:rsidR="00CB515C" w:rsidRPr="00A7749F" w:rsidRDefault="00CB515C" w:rsidP="00B902D4">
      <w:pPr>
        <w:spacing w:after="0" w:line="240" w:lineRule="auto"/>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H. Maring, ‘Towards a Ritual Poetic: Dream of the Rood as a Case Study’, </w:t>
      </w:r>
      <w:r w:rsidRPr="00A7749F">
        <w:rPr>
          <w:rFonts w:ascii="Times New Roman" w:hAnsi="Times New Roman" w:cs="Times New Roman"/>
          <w:i/>
          <w:sz w:val="20"/>
          <w:szCs w:val="20"/>
        </w:rPr>
        <w:t>Oral Tradition</w:t>
      </w:r>
      <w:r w:rsidRPr="00A7749F">
        <w:rPr>
          <w:rFonts w:ascii="Times New Roman" w:hAnsi="Times New Roman" w:cs="Times New Roman"/>
          <w:sz w:val="20"/>
          <w:szCs w:val="20"/>
        </w:rPr>
        <w:t xml:space="preserve"> 26.2 (2011), 391-410 &lt;http://journal.oraltradition.org/files/articles/26ii/09_26.2.pdf&gt; [accessed: 24 July 2018], p. 394.</w:t>
      </w:r>
    </w:p>
  </w:footnote>
  <w:footnote w:id="71">
    <w:p w14:paraId="109FF1C3" w14:textId="77777777" w:rsidR="00CB515C" w:rsidRPr="00A7749F" w:rsidRDefault="00CB515C" w:rsidP="00B902D4">
      <w:pPr>
        <w:spacing w:after="0" w:line="240" w:lineRule="auto"/>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H. Patch, ‘Liturgical Influence in the Dream of the Rood’, </w:t>
      </w:r>
      <w:r w:rsidRPr="00A7749F">
        <w:rPr>
          <w:rFonts w:ascii="Times New Roman" w:hAnsi="Times New Roman" w:cs="Times New Roman"/>
          <w:i/>
          <w:sz w:val="20"/>
          <w:szCs w:val="20"/>
        </w:rPr>
        <w:t>PMLA</w:t>
      </w:r>
      <w:r w:rsidRPr="00A7749F">
        <w:rPr>
          <w:rFonts w:ascii="Times New Roman" w:hAnsi="Times New Roman" w:cs="Times New Roman"/>
          <w:sz w:val="20"/>
          <w:szCs w:val="20"/>
        </w:rPr>
        <w:t>, 34.2 (1919), 233-257 &lt;</w:t>
      </w:r>
      <w:hyperlink r:id="rId5" w:history="1">
        <w:r w:rsidRPr="00A7749F">
          <w:rPr>
            <w:rFonts w:ascii="Times New Roman" w:hAnsi="Times New Roman" w:cs="Times New Roman"/>
            <w:sz w:val="20"/>
            <w:szCs w:val="20"/>
          </w:rPr>
          <w:t>http://www.jstor.org/stable/457062</w:t>
        </w:r>
      </w:hyperlink>
      <w:r w:rsidRPr="00A7749F">
        <w:rPr>
          <w:rFonts w:ascii="Times New Roman" w:hAnsi="Times New Roman" w:cs="Times New Roman"/>
          <w:sz w:val="20"/>
          <w:szCs w:val="20"/>
        </w:rPr>
        <w:t>&gt; [accessed: 2 June 2018], p. 233.</w:t>
      </w:r>
    </w:p>
  </w:footnote>
  <w:footnote w:id="72">
    <w:p w14:paraId="630A7FC2" w14:textId="77777777" w:rsidR="00CB515C" w:rsidRPr="00A7749F" w:rsidRDefault="00CB515C" w:rsidP="00B902D4">
      <w:pPr>
        <w:pStyle w:val="FootnoteText"/>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M. Swanton, </w:t>
      </w:r>
      <w:r w:rsidRPr="00A7749F">
        <w:rPr>
          <w:rFonts w:ascii="Times New Roman" w:hAnsi="Times New Roman" w:cs="Times New Roman"/>
          <w:i/>
          <w:sz w:val="20"/>
          <w:szCs w:val="20"/>
        </w:rPr>
        <w:t>The Dream of the Rood </w:t>
      </w:r>
      <w:r w:rsidRPr="00A7749F">
        <w:rPr>
          <w:rFonts w:ascii="Times New Roman" w:hAnsi="Times New Roman" w:cs="Times New Roman"/>
          <w:sz w:val="20"/>
          <w:szCs w:val="20"/>
        </w:rPr>
        <w:t>(Liverpool: Liverpool University Press, 2016), pp. 42 and 44.</w:t>
      </w:r>
    </w:p>
  </w:footnote>
  <w:footnote w:id="73">
    <w:p w14:paraId="24D42A7B" w14:textId="77777777" w:rsidR="00CB515C" w:rsidRPr="00A7749F" w:rsidRDefault="00CB515C" w:rsidP="00B902D4">
      <w:pPr>
        <w:pStyle w:val="FootnoteText"/>
        <w:contextualSpacing/>
        <w:rPr>
          <w:rFonts w:ascii="Times New Roman" w:hAnsi="Times New Roman" w:cs="Times New Roman"/>
          <w:sz w:val="20"/>
          <w:szCs w:val="20"/>
        </w:rPr>
      </w:pPr>
      <w:r w:rsidRPr="00A7749F">
        <w:rPr>
          <w:rStyle w:val="FootnoteReference"/>
          <w:rFonts w:ascii="Times New Roman" w:hAnsi="Times New Roman" w:cs="Times New Roman"/>
          <w:sz w:val="20"/>
          <w:szCs w:val="20"/>
        </w:rPr>
        <w:footnoteRef/>
      </w:r>
      <w:r w:rsidRPr="00A7749F">
        <w:rPr>
          <w:rFonts w:ascii="Times New Roman" w:hAnsi="Times New Roman" w:cs="Times New Roman"/>
          <w:sz w:val="20"/>
          <w:szCs w:val="20"/>
        </w:rPr>
        <w:t xml:space="preserve"> Swanton, </w:t>
      </w:r>
      <w:r w:rsidRPr="00A7749F">
        <w:rPr>
          <w:rFonts w:ascii="Times New Roman" w:hAnsi="Times New Roman" w:cs="Times New Roman"/>
          <w:i/>
          <w:sz w:val="20"/>
          <w:szCs w:val="20"/>
        </w:rPr>
        <w:t xml:space="preserve">The Dream of the Rood, </w:t>
      </w:r>
      <w:r w:rsidRPr="00A7749F">
        <w:rPr>
          <w:rFonts w:ascii="Times New Roman" w:hAnsi="Times New Roman" w:cs="Times New Roman"/>
          <w:sz w:val="20"/>
          <w:szCs w:val="20"/>
        </w:rPr>
        <w:t>p. 50.</w:t>
      </w:r>
    </w:p>
  </w:footnote>
  <w:footnote w:id="74">
    <w:p w14:paraId="7A6E692D" w14:textId="77777777" w:rsidR="00CB515C" w:rsidRPr="00B902D4"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Mize, ‘The Mental Container and the Cross of Christ: Revelation and Community in The Dream of the Rood’</w:t>
      </w:r>
      <w:r w:rsidRPr="00B902D4">
        <w:rPr>
          <w:rFonts w:ascii="Times New Roman" w:eastAsia="Times New Roman" w:hAnsi="Times New Roman" w:cs="Times New Roman"/>
          <w:sz w:val="20"/>
          <w:szCs w:val="20"/>
        </w:rPr>
        <w:t xml:space="preserve">, pp. </w:t>
      </w:r>
      <w:r w:rsidRPr="00B902D4">
        <w:rPr>
          <w:rFonts w:ascii="Times New Roman" w:hAnsi="Times New Roman" w:cs="Times New Roman"/>
          <w:sz w:val="20"/>
          <w:szCs w:val="20"/>
        </w:rPr>
        <w:t>137 and 142.</w:t>
      </w:r>
    </w:p>
  </w:footnote>
  <w:footnote w:id="75">
    <w:p w14:paraId="78C5E1E6" w14:textId="77777777" w:rsidR="00CB515C" w:rsidRPr="00B902D4" w:rsidRDefault="00CB515C" w:rsidP="00B4294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Mize, ‘The Mental Container and the Cross of Christ: Revelation and Community in The Dream of the Rood’</w:t>
      </w:r>
      <w:r w:rsidRPr="00B902D4">
        <w:rPr>
          <w:rFonts w:ascii="Times New Roman" w:eastAsia="Times New Roman" w:hAnsi="Times New Roman" w:cs="Times New Roman"/>
          <w:sz w:val="20"/>
          <w:szCs w:val="20"/>
        </w:rPr>
        <w:t xml:space="preserve">, p. </w:t>
      </w:r>
      <w:r w:rsidRPr="00B902D4">
        <w:rPr>
          <w:rFonts w:ascii="Times New Roman" w:hAnsi="Times New Roman" w:cs="Times New Roman"/>
          <w:sz w:val="20"/>
          <w:szCs w:val="20"/>
        </w:rPr>
        <w:t>149.</w:t>
      </w:r>
    </w:p>
  </w:footnote>
  <w:footnote w:id="76">
    <w:p w14:paraId="5A782CD0" w14:textId="77777777" w:rsidR="00CB515C" w:rsidRPr="00B902D4"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Mize, ‘The Mental Container and the Cross of Christ: Revelation and Community in The Dream of the Rood’</w:t>
      </w:r>
      <w:r w:rsidRPr="00B902D4">
        <w:rPr>
          <w:rFonts w:ascii="Times New Roman" w:eastAsia="Times New Roman" w:hAnsi="Times New Roman" w:cs="Times New Roman"/>
          <w:sz w:val="20"/>
          <w:szCs w:val="20"/>
        </w:rPr>
        <w:t xml:space="preserve">, p. </w:t>
      </w:r>
      <w:r w:rsidRPr="00B902D4">
        <w:rPr>
          <w:rFonts w:ascii="Times New Roman" w:hAnsi="Times New Roman" w:cs="Times New Roman"/>
          <w:sz w:val="20"/>
          <w:szCs w:val="20"/>
        </w:rPr>
        <w:t>178.</w:t>
      </w:r>
    </w:p>
  </w:footnote>
  <w:footnote w:id="77">
    <w:p w14:paraId="4F5C15EE" w14:textId="77777777" w:rsidR="00CB515C" w:rsidRPr="00D726CE"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78">
    <w:p w14:paraId="1AC23AA8"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Raw, ‘Biblical literature’, p. 240.</w:t>
      </w:r>
    </w:p>
  </w:footnote>
  <w:footnote w:id="79">
    <w:p w14:paraId="285107CA"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Del Mastro, ‘The Dream of the Rood and the Militia Christi: Perspective in Paradox’, p. 176.</w:t>
      </w:r>
    </w:p>
  </w:footnote>
  <w:footnote w:id="80">
    <w:p w14:paraId="47A4922B" w14:textId="77777777" w:rsidR="00CB515C" w:rsidRPr="00B902D4" w:rsidRDefault="00CB515C" w:rsidP="00B42944">
      <w:pPr>
        <w:pStyle w:val="FootnoteText"/>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Raw, ‘Biblical literature’, p. 241.</w:t>
      </w:r>
      <w:r w:rsidRPr="00B902D4">
        <w:rPr>
          <w:rFonts w:ascii="Times New Roman" w:hAnsi="Times New Roman" w:cs="Times New Roman"/>
        </w:rPr>
        <w:t xml:space="preserve"> </w:t>
      </w:r>
    </w:p>
  </w:footnote>
  <w:footnote w:id="81">
    <w:p w14:paraId="0F8867E5"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Del Mastro, ‘The Dream of the Rood and the Militia Christi: Perspective in Paradox’, p. 186.</w:t>
      </w:r>
    </w:p>
  </w:footnote>
  <w:footnote w:id="82">
    <w:p w14:paraId="7F0681B9" w14:textId="77777777" w:rsidR="00CB515C" w:rsidRPr="00B902D4"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F.C. Robinson, ‘Beowulf in the Twentieth Century’, </w:t>
      </w:r>
      <w:r w:rsidRPr="00B902D4">
        <w:rPr>
          <w:rFonts w:ascii="Times New Roman" w:hAnsi="Times New Roman" w:cs="Times New Roman"/>
          <w:i/>
          <w:sz w:val="20"/>
          <w:szCs w:val="20"/>
        </w:rPr>
        <w:t>Proceedings of the British Academy</w:t>
      </w:r>
      <w:r w:rsidRPr="00B902D4">
        <w:rPr>
          <w:rFonts w:ascii="Times New Roman" w:hAnsi="Times New Roman" w:cs="Times New Roman"/>
          <w:sz w:val="20"/>
          <w:szCs w:val="20"/>
        </w:rPr>
        <w:t>, 94, 45-62 &lt;https://www.britac.ac.uk/pubs/proc/files/94p045.pdf&gt; [accessed: 24 July 2018], p. 46.</w:t>
      </w:r>
    </w:p>
  </w:footnote>
  <w:footnote w:id="83">
    <w:p w14:paraId="37AB85A0" w14:textId="77777777" w:rsidR="00CB515C" w:rsidRPr="00D726CE" w:rsidRDefault="00CB515C" w:rsidP="00B42944">
      <w:pPr>
        <w:pStyle w:val="FootnoteText"/>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84">
    <w:p w14:paraId="4A3228DC"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85">
    <w:p w14:paraId="015662AE"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86">
    <w:p w14:paraId="6A14701F"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Robinson, ‘Beowulf in the Twentieth Century’, p. 62.</w:t>
      </w:r>
    </w:p>
  </w:footnote>
  <w:footnote w:id="87">
    <w:p w14:paraId="2D1E36F9"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R.E. Kaske, ‘</w:t>
      </w:r>
      <w:r w:rsidRPr="00B902D4">
        <w:rPr>
          <w:rFonts w:ascii="Times New Roman" w:hAnsi="Times New Roman" w:cs="Times New Roman"/>
          <w:i/>
          <w:sz w:val="20"/>
          <w:szCs w:val="20"/>
        </w:rPr>
        <w:t>Sapientia et Fortitudo</w:t>
      </w:r>
      <w:r w:rsidRPr="00B902D4">
        <w:rPr>
          <w:rFonts w:ascii="Times New Roman" w:hAnsi="Times New Roman" w:cs="Times New Roman"/>
          <w:sz w:val="20"/>
          <w:szCs w:val="20"/>
        </w:rPr>
        <w:t xml:space="preserve"> as the controlling theme of Beowulf ‘, in Hamer, R., </w:t>
      </w:r>
      <w:r w:rsidRPr="00B902D4">
        <w:rPr>
          <w:rFonts w:ascii="Times New Roman" w:hAnsi="Times New Roman" w:cs="Times New Roman"/>
          <w:i/>
          <w:sz w:val="20"/>
          <w:szCs w:val="20"/>
        </w:rPr>
        <w:t xml:space="preserve">A Choice of Anglo-Saxon Verse </w:t>
      </w:r>
      <w:r w:rsidRPr="00B902D4">
        <w:rPr>
          <w:rFonts w:ascii="Times New Roman" w:hAnsi="Times New Roman" w:cs="Times New Roman"/>
          <w:sz w:val="20"/>
          <w:szCs w:val="20"/>
        </w:rPr>
        <w:t>(London: Faber &amp; Faber, 2015), p. 269.</w:t>
      </w:r>
    </w:p>
  </w:footnote>
  <w:footnote w:id="88">
    <w:p w14:paraId="7B2FA800" w14:textId="77777777" w:rsidR="00CB515C" w:rsidRPr="00B902D4" w:rsidRDefault="00CB515C" w:rsidP="00B902D4">
      <w:pPr>
        <w:spacing w:after="0" w:line="240" w:lineRule="auto"/>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A. Dogra and A. Dogra, ‘Beowulf – The Anglo Saxon Hero’, </w:t>
      </w:r>
      <w:r w:rsidRPr="00B902D4">
        <w:rPr>
          <w:rFonts w:ascii="Times New Roman" w:hAnsi="Times New Roman" w:cs="Times New Roman"/>
          <w:i/>
          <w:sz w:val="20"/>
          <w:szCs w:val="20"/>
        </w:rPr>
        <w:t>International Journal on Studies in English Language and Literature</w:t>
      </w:r>
      <w:r w:rsidRPr="00B902D4">
        <w:rPr>
          <w:rFonts w:ascii="Times New Roman" w:hAnsi="Times New Roman" w:cs="Times New Roman"/>
          <w:sz w:val="20"/>
          <w:szCs w:val="20"/>
        </w:rPr>
        <w:t>, 4.5 (May 2016), 79-81 &lt;</w:t>
      </w:r>
      <w:hyperlink r:id="rId6" w:history="1">
        <w:r w:rsidRPr="00B902D4">
          <w:rPr>
            <w:rFonts w:ascii="Times New Roman" w:hAnsi="Times New Roman" w:cs="Times New Roman"/>
            <w:sz w:val="20"/>
            <w:szCs w:val="20"/>
          </w:rPr>
          <w:t>http://dx.doi.org/10.20431/2347-3134.0405011</w:t>
        </w:r>
      </w:hyperlink>
      <w:r w:rsidRPr="00B902D4">
        <w:rPr>
          <w:rFonts w:ascii="Times New Roman" w:hAnsi="Times New Roman" w:cs="Times New Roman"/>
          <w:sz w:val="20"/>
          <w:szCs w:val="20"/>
        </w:rPr>
        <w:t>&gt; [accessed: 7 June 2018], p. 79.</w:t>
      </w:r>
    </w:p>
  </w:footnote>
  <w:footnote w:id="89">
    <w:p w14:paraId="6E4CF505" w14:textId="77777777" w:rsidR="00CB515C" w:rsidRPr="00D726CE" w:rsidRDefault="00CB515C" w:rsidP="00B902D4">
      <w:pPr>
        <w:spacing w:after="0" w:line="240" w:lineRule="auto"/>
        <w:contextualSpacing/>
        <w:rPr>
          <w:rFonts w:ascii="Times New Roman" w:eastAsia="Times New Roman" w:hAnsi="Times New Roman" w:cs="Times New Roman"/>
          <w:color w:val="333333"/>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 </w:t>
      </w:r>
      <w:r w:rsidRPr="00B902D4">
        <w:rPr>
          <w:rFonts w:ascii="Times New Roman" w:eastAsia="Times New Roman" w:hAnsi="Times New Roman" w:cs="Times New Roman"/>
          <w:sz w:val="20"/>
          <w:szCs w:val="20"/>
        </w:rPr>
        <w:t xml:space="preserve">Neidorf, ‘Beowulf before Beowulf: Anglo-Saxon anthroponomy and heroic legend’, </w:t>
      </w:r>
      <w:r w:rsidRPr="00B902D4">
        <w:rPr>
          <w:rFonts w:ascii="Times New Roman" w:eastAsia="Times New Roman" w:hAnsi="Times New Roman" w:cs="Times New Roman"/>
          <w:i/>
          <w:sz w:val="20"/>
          <w:szCs w:val="20"/>
        </w:rPr>
        <w:t>The Review of English Studies</w:t>
      </w:r>
      <w:r w:rsidRPr="00B902D4">
        <w:rPr>
          <w:rFonts w:ascii="Times New Roman" w:eastAsia="Times New Roman" w:hAnsi="Times New Roman" w:cs="Times New Roman"/>
          <w:sz w:val="20"/>
          <w:szCs w:val="20"/>
        </w:rPr>
        <w:t xml:space="preserve">, 64.266 (2013), 553-573 &lt;https://academic.oup.com/res/article-abstract/64/266/553/1561096&gt; [accessed: 24 June 2018], </w:t>
      </w:r>
      <w:r w:rsidRPr="00B902D4">
        <w:rPr>
          <w:rFonts w:ascii="Times New Roman" w:hAnsi="Times New Roman" w:cs="Times New Roman"/>
          <w:sz w:val="20"/>
          <w:szCs w:val="20"/>
        </w:rPr>
        <w:t>pp. 554 and 565.</w:t>
      </w:r>
    </w:p>
  </w:footnote>
  <w:footnote w:id="90">
    <w:p w14:paraId="1960A5BF"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Fisher, ‘The Trials of the Epic Hero in Beowulf’, p. 172.</w:t>
      </w:r>
    </w:p>
  </w:footnote>
  <w:footnote w:id="91">
    <w:p w14:paraId="2BC35DA4"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Fowler, ‘A Theme in “The Wanderer”’, p. 1.</w:t>
      </w:r>
    </w:p>
  </w:footnote>
  <w:footnote w:id="92">
    <w:p w14:paraId="00EC1A79" w14:textId="77777777" w:rsidR="00CB515C" w:rsidRPr="00B902D4" w:rsidRDefault="00CB515C" w:rsidP="00B902D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 </w:t>
      </w:r>
      <w:r w:rsidRPr="00B902D4">
        <w:rPr>
          <w:rFonts w:ascii="Times New Roman" w:eastAsia="Times New Roman" w:hAnsi="Times New Roman" w:cs="Times New Roman"/>
          <w:sz w:val="20"/>
          <w:szCs w:val="20"/>
        </w:rPr>
        <w:t xml:space="preserve">Neidorf, ‘Beowulf before Beowulf: Anglo-Saxon anthroponomy and heroic legend’, </w:t>
      </w:r>
      <w:r w:rsidRPr="00B902D4">
        <w:rPr>
          <w:rFonts w:ascii="Times New Roman" w:eastAsia="Times New Roman" w:hAnsi="Times New Roman" w:cs="Times New Roman"/>
          <w:i/>
          <w:sz w:val="20"/>
          <w:szCs w:val="20"/>
        </w:rPr>
        <w:t>The Review of English Studies</w:t>
      </w:r>
      <w:r w:rsidRPr="00B902D4">
        <w:rPr>
          <w:rFonts w:ascii="Times New Roman" w:eastAsia="Times New Roman" w:hAnsi="Times New Roman" w:cs="Times New Roman"/>
          <w:sz w:val="20"/>
          <w:szCs w:val="20"/>
        </w:rPr>
        <w:t xml:space="preserve">, 64.266 (2013), 553-573 &lt;https://academic.oup.com/res/article-abstract/64/266/553/1561096&gt; [accessed: 24 June 2018], </w:t>
      </w:r>
      <w:r w:rsidRPr="00B902D4">
        <w:rPr>
          <w:rFonts w:ascii="Times New Roman" w:hAnsi="Times New Roman" w:cs="Times New Roman"/>
          <w:sz w:val="20"/>
          <w:szCs w:val="20"/>
        </w:rPr>
        <w:t>p. 570.</w:t>
      </w:r>
    </w:p>
  </w:footnote>
  <w:footnote w:id="93">
    <w:p w14:paraId="7CC048C7" w14:textId="77777777" w:rsidR="00CB515C" w:rsidRPr="00B902D4"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109.</w:t>
      </w:r>
    </w:p>
  </w:footnote>
  <w:footnote w:id="94">
    <w:p w14:paraId="77B4FCAB" w14:textId="77777777" w:rsidR="00CB515C" w:rsidRPr="00D726CE"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w:t>
      </w:r>
      <w:r w:rsidRPr="00B902D4">
        <w:rPr>
          <w:rFonts w:ascii="Times New Roman" w:eastAsia="Times New Roman" w:hAnsi="Times New Roman" w:cs="Times New Roman"/>
          <w:sz w:val="20"/>
          <w:szCs w:val="20"/>
        </w:rPr>
        <w:t>Ibid.</w:t>
      </w:r>
    </w:p>
  </w:footnote>
  <w:footnote w:id="95">
    <w:p w14:paraId="754E1398"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96">
    <w:p w14:paraId="4F52A893"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Dogra and Dogra, ‘Beowulf – The Anglo Saxon Hero’, p. 79.</w:t>
      </w:r>
    </w:p>
  </w:footnote>
  <w:footnote w:id="97">
    <w:p w14:paraId="311A0112" w14:textId="77777777" w:rsidR="00CB515C" w:rsidRPr="00B902D4" w:rsidRDefault="00CB515C" w:rsidP="00B902D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w:t>
      </w:r>
      <w:r w:rsidRPr="00B902D4">
        <w:rPr>
          <w:rFonts w:ascii="Times New Roman" w:hAnsi="Times New Roman" w:cs="Times New Roman"/>
          <w:i/>
          <w:sz w:val="20"/>
          <w:szCs w:val="20"/>
        </w:rPr>
        <w:t>Beowulf</w:t>
      </w:r>
      <w:r w:rsidRPr="00B902D4">
        <w:rPr>
          <w:rFonts w:ascii="Times New Roman" w:hAnsi="Times New Roman" w:cs="Times New Roman"/>
          <w:sz w:val="20"/>
          <w:szCs w:val="20"/>
        </w:rPr>
        <w:t>, VII, 8-10.</w:t>
      </w:r>
    </w:p>
  </w:footnote>
  <w:footnote w:id="98">
    <w:p w14:paraId="4DA7D812"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Dogra and Dogra, ‘Beowulf – The Anglo Saxon Hero’, p. 79.</w:t>
      </w:r>
    </w:p>
  </w:footnote>
  <w:footnote w:id="99">
    <w:p w14:paraId="3B18FDC9" w14:textId="77777777" w:rsidR="00CB515C" w:rsidRPr="00D726CE"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108.</w:t>
      </w:r>
    </w:p>
  </w:footnote>
  <w:footnote w:id="100">
    <w:p w14:paraId="48CCDA4A" w14:textId="77777777" w:rsidR="00CB515C" w:rsidRPr="00B902D4"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101">
    <w:p w14:paraId="75DF33A7" w14:textId="77777777" w:rsidR="00CB515C" w:rsidRPr="00B902D4" w:rsidRDefault="00CB515C" w:rsidP="00B4294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Kaske, ‘</w:t>
      </w:r>
      <w:r w:rsidRPr="00B902D4">
        <w:rPr>
          <w:rFonts w:ascii="Times New Roman" w:hAnsi="Times New Roman" w:cs="Times New Roman"/>
          <w:i/>
          <w:sz w:val="20"/>
          <w:szCs w:val="20"/>
        </w:rPr>
        <w:t>Sapientia et Fortitudo</w:t>
      </w:r>
      <w:r w:rsidRPr="00B902D4">
        <w:rPr>
          <w:rFonts w:ascii="Times New Roman" w:hAnsi="Times New Roman" w:cs="Times New Roman"/>
          <w:sz w:val="20"/>
          <w:szCs w:val="20"/>
        </w:rPr>
        <w:t xml:space="preserve"> as the controlling theme of Beowulf ‘ p. 272. </w:t>
      </w:r>
    </w:p>
  </w:footnote>
  <w:footnote w:id="102">
    <w:p w14:paraId="0ECD87A8" w14:textId="77777777" w:rsidR="00CB515C" w:rsidRPr="00085B49" w:rsidRDefault="00CB515C" w:rsidP="00B42944">
      <w:pPr>
        <w:pStyle w:val="FootnoteText"/>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Ibid.</w:t>
      </w:r>
    </w:p>
  </w:footnote>
  <w:footnote w:id="103">
    <w:p w14:paraId="7DD9E06A"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P.F. Fisher, ‘The Trials of the Epic Hero in Beowulf’, </w:t>
      </w:r>
      <w:r w:rsidRPr="00B902D4">
        <w:rPr>
          <w:rFonts w:ascii="Times New Roman" w:hAnsi="Times New Roman" w:cs="Times New Roman"/>
          <w:i/>
          <w:sz w:val="20"/>
          <w:szCs w:val="20"/>
        </w:rPr>
        <w:t>PMLA</w:t>
      </w:r>
      <w:r w:rsidRPr="00B902D4">
        <w:rPr>
          <w:rFonts w:ascii="Times New Roman" w:hAnsi="Times New Roman" w:cs="Times New Roman"/>
          <w:sz w:val="20"/>
          <w:szCs w:val="20"/>
        </w:rPr>
        <w:t>, 73.3 (June 1958), 171-183 &lt;</w:t>
      </w:r>
      <w:hyperlink r:id="rId7" w:history="1">
        <w:r w:rsidRPr="00B902D4">
          <w:rPr>
            <w:rFonts w:ascii="Times New Roman" w:hAnsi="Times New Roman" w:cs="Times New Roman"/>
            <w:sz w:val="20"/>
            <w:szCs w:val="20"/>
          </w:rPr>
          <w:t>https://www.jstor.org/stable/460234</w:t>
        </w:r>
      </w:hyperlink>
      <w:r w:rsidRPr="00B902D4">
        <w:rPr>
          <w:rFonts w:ascii="Times New Roman" w:hAnsi="Times New Roman" w:cs="Times New Roman"/>
          <w:sz w:val="20"/>
          <w:szCs w:val="20"/>
        </w:rPr>
        <w:t>&gt; [accessed: 24 July 2018], p. 173.</w:t>
      </w:r>
    </w:p>
  </w:footnote>
  <w:footnote w:id="104">
    <w:p w14:paraId="2A833F0A" w14:textId="77777777" w:rsidR="00CB515C" w:rsidRPr="00B902D4" w:rsidRDefault="00CB515C" w:rsidP="00B902D4">
      <w:pPr>
        <w:spacing w:after="0" w:line="240" w:lineRule="auto"/>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M.B. McNamee, ‘Beowulf – An Allegory of Salvation?’, </w:t>
      </w:r>
      <w:r w:rsidRPr="00B902D4">
        <w:rPr>
          <w:rFonts w:ascii="Times New Roman" w:hAnsi="Times New Roman" w:cs="Times New Roman"/>
          <w:i/>
          <w:sz w:val="20"/>
          <w:szCs w:val="20"/>
        </w:rPr>
        <w:t>Interpretations of Beowulf: A Critical Anthology</w:t>
      </w:r>
      <w:r w:rsidRPr="00B902D4">
        <w:rPr>
          <w:rFonts w:ascii="Times New Roman" w:hAnsi="Times New Roman" w:cs="Times New Roman"/>
          <w:sz w:val="20"/>
          <w:szCs w:val="20"/>
        </w:rPr>
        <w:t xml:space="preserve"> (Indiana: Indiana University Press, 1991), 88-103, p. 88.</w:t>
      </w:r>
    </w:p>
  </w:footnote>
  <w:footnote w:id="105">
    <w:p w14:paraId="08163848"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Fisher, ‘The Trials of the Epic Hero in Beowulf’, p. 172.</w:t>
      </w:r>
    </w:p>
  </w:footnote>
  <w:footnote w:id="106">
    <w:p w14:paraId="5779C6DF" w14:textId="77777777" w:rsidR="00CB515C" w:rsidRPr="00085B49" w:rsidRDefault="00CB515C" w:rsidP="00B902D4">
      <w:pPr>
        <w:spacing w:after="0" w:line="240" w:lineRule="auto"/>
        <w:contextualSpacing/>
        <w:rPr>
          <w:rFonts w:ascii="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McNamee, ‘Beowulf – An Allegory of Salvation?’, p. 94.</w:t>
      </w:r>
    </w:p>
  </w:footnote>
  <w:footnote w:id="107">
    <w:p w14:paraId="75CF32FF"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Sharma, ‘Heroic Subject and Cultural Substance in The Wanderer’, p. 613.</w:t>
      </w:r>
    </w:p>
  </w:footnote>
  <w:footnote w:id="108">
    <w:p w14:paraId="28E4669C"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Del Mastro, ‘The Dream of the Rood and the Militia Christi: Perspective in Paradox’, p. 186.</w:t>
      </w:r>
    </w:p>
  </w:footnote>
  <w:footnote w:id="109">
    <w:p w14:paraId="5D413FD1"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108.</w:t>
      </w:r>
    </w:p>
  </w:footnote>
  <w:footnote w:id="110">
    <w:p w14:paraId="2B3A2A44" w14:textId="77777777" w:rsidR="00CB515C" w:rsidRPr="00B902D4" w:rsidRDefault="00CB515C" w:rsidP="00B902D4">
      <w:pPr>
        <w:spacing w:after="0" w:line="240" w:lineRule="auto"/>
        <w:contextualSpacing/>
        <w:rPr>
          <w:rFonts w:ascii="Times New Roman" w:eastAsia="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O’Keefe, ‘Heroic values and Christian ethics’, p. 111.</w:t>
      </w:r>
    </w:p>
  </w:footnote>
  <w:footnote w:id="111">
    <w:p w14:paraId="71743769" w14:textId="77777777" w:rsidR="00CB515C" w:rsidRPr="00B902D4" w:rsidRDefault="00CB515C" w:rsidP="00B902D4">
      <w:pPr>
        <w:pStyle w:val="FootnoteText"/>
        <w:contextualSpacing/>
        <w:rPr>
          <w:rFonts w:ascii="Times New Roman" w:hAnsi="Times New Roman" w:cs="Times New Roman"/>
          <w:sz w:val="20"/>
          <w:szCs w:val="20"/>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Leneghan, ‘Preparing the Mind for Prayer: The Wanderer, Hesychasm and Theosis’, p. 140.</w:t>
      </w:r>
    </w:p>
  </w:footnote>
  <w:footnote w:id="112">
    <w:p w14:paraId="127EA6A4" w14:textId="77777777" w:rsidR="00CB515C" w:rsidRPr="00085B49" w:rsidRDefault="00CB515C" w:rsidP="00B902D4">
      <w:pPr>
        <w:spacing w:after="0" w:line="240" w:lineRule="auto"/>
        <w:contextualSpacing/>
        <w:rPr>
          <w:rFonts w:ascii="Times New Roman" w:eastAsia="Times New Roman" w:hAnsi="Times New Roman" w:cs="Times New Roman"/>
        </w:rPr>
      </w:pPr>
      <w:r w:rsidRPr="00B902D4">
        <w:rPr>
          <w:rStyle w:val="FootnoteReference"/>
          <w:rFonts w:ascii="Times New Roman" w:hAnsi="Times New Roman" w:cs="Times New Roman"/>
          <w:sz w:val="20"/>
          <w:szCs w:val="20"/>
        </w:rPr>
        <w:footnoteRef/>
      </w:r>
      <w:r w:rsidRPr="00B902D4">
        <w:rPr>
          <w:rFonts w:ascii="Times New Roman" w:hAnsi="Times New Roman" w:cs="Times New Roman"/>
          <w:sz w:val="20"/>
          <w:szCs w:val="20"/>
        </w:rPr>
        <w:t xml:space="preserve"> Fisher, ‘The Trials of the Epic Hero in Beowulf’, p. 172.</w:t>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A969C0"/>
    <w:multiLevelType w:val="hybridMultilevel"/>
    <w:tmpl w:val="696E2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F5A23EB"/>
    <w:multiLevelType w:val="multilevel"/>
    <w:tmpl w:val="6E4E1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513613"/>
    <w:multiLevelType w:val="hybridMultilevel"/>
    <w:tmpl w:val="89EA6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6F0539"/>
    <w:multiLevelType w:val="hybridMultilevel"/>
    <w:tmpl w:val="FC34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7112"/>
    <w:rsid w:val="000001E3"/>
    <w:rsid w:val="00010BF2"/>
    <w:rsid w:val="00010C07"/>
    <w:rsid w:val="000118E6"/>
    <w:rsid w:val="0001414D"/>
    <w:rsid w:val="00016096"/>
    <w:rsid w:val="0001762A"/>
    <w:rsid w:val="00020CCD"/>
    <w:rsid w:val="000215D6"/>
    <w:rsid w:val="000225C0"/>
    <w:rsid w:val="0002284E"/>
    <w:rsid w:val="000326E4"/>
    <w:rsid w:val="00034023"/>
    <w:rsid w:val="00034A31"/>
    <w:rsid w:val="0004066F"/>
    <w:rsid w:val="00044BC7"/>
    <w:rsid w:val="00045C5D"/>
    <w:rsid w:val="00047F85"/>
    <w:rsid w:val="00052059"/>
    <w:rsid w:val="00060645"/>
    <w:rsid w:val="000606B9"/>
    <w:rsid w:val="00060F67"/>
    <w:rsid w:val="00061183"/>
    <w:rsid w:val="00065312"/>
    <w:rsid w:val="00065E6E"/>
    <w:rsid w:val="00067B02"/>
    <w:rsid w:val="00070205"/>
    <w:rsid w:val="00070B3D"/>
    <w:rsid w:val="00071067"/>
    <w:rsid w:val="000726ED"/>
    <w:rsid w:val="000769C9"/>
    <w:rsid w:val="00077B4E"/>
    <w:rsid w:val="0008019E"/>
    <w:rsid w:val="00080B36"/>
    <w:rsid w:val="00081D34"/>
    <w:rsid w:val="00081F83"/>
    <w:rsid w:val="000834BE"/>
    <w:rsid w:val="00086345"/>
    <w:rsid w:val="00086C9C"/>
    <w:rsid w:val="00094D1B"/>
    <w:rsid w:val="00095EE1"/>
    <w:rsid w:val="0009651D"/>
    <w:rsid w:val="00096BD4"/>
    <w:rsid w:val="000A4B07"/>
    <w:rsid w:val="000B138F"/>
    <w:rsid w:val="000B244B"/>
    <w:rsid w:val="000B283E"/>
    <w:rsid w:val="000B5AF9"/>
    <w:rsid w:val="000C057A"/>
    <w:rsid w:val="000C36E6"/>
    <w:rsid w:val="000C3915"/>
    <w:rsid w:val="000C7174"/>
    <w:rsid w:val="000D0A4A"/>
    <w:rsid w:val="000D16E7"/>
    <w:rsid w:val="000D3E02"/>
    <w:rsid w:val="000D5223"/>
    <w:rsid w:val="000D63C7"/>
    <w:rsid w:val="000E04FF"/>
    <w:rsid w:val="000E0738"/>
    <w:rsid w:val="000E15BB"/>
    <w:rsid w:val="000E3F8C"/>
    <w:rsid w:val="000E5BBE"/>
    <w:rsid w:val="000E7755"/>
    <w:rsid w:val="000F1B05"/>
    <w:rsid w:val="000F23FE"/>
    <w:rsid w:val="000F423B"/>
    <w:rsid w:val="000F5D3C"/>
    <w:rsid w:val="000F63E1"/>
    <w:rsid w:val="000F6E0E"/>
    <w:rsid w:val="000F7564"/>
    <w:rsid w:val="000F7A09"/>
    <w:rsid w:val="00101D8E"/>
    <w:rsid w:val="00102A63"/>
    <w:rsid w:val="001051B8"/>
    <w:rsid w:val="001062F7"/>
    <w:rsid w:val="00107AC9"/>
    <w:rsid w:val="00110671"/>
    <w:rsid w:val="00112B79"/>
    <w:rsid w:val="001132B2"/>
    <w:rsid w:val="0011424C"/>
    <w:rsid w:val="00116070"/>
    <w:rsid w:val="00121232"/>
    <w:rsid w:val="0012319A"/>
    <w:rsid w:val="00126963"/>
    <w:rsid w:val="001302B9"/>
    <w:rsid w:val="001316DC"/>
    <w:rsid w:val="001342FF"/>
    <w:rsid w:val="001351DF"/>
    <w:rsid w:val="00136BF2"/>
    <w:rsid w:val="00142464"/>
    <w:rsid w:val="00144CB4"/>
    <w:rsid w:val="00145718"/>
    <w:rsid w:val="001461CB"/>
    <w:rsid w:val="00146657"/>
    <w:rsid w:val="0014686B"/>
    <w:rsid w:val="0014776E"/>
    <w:rsid w:val="00150860"/>
    <w:rsid w:val="00153278"/>
    <w:rsid w:val="00154443"/>
    <w:rsid w:val="00157E90"/>
    <w:rsid w:val="001611AB"/>
    <w:rsid w:val="001617FE"/>
    <w:rsid w:val="001619B3"/>
    <w:rsid w:val="0016469A"/>
    <w:rsid w:val="0016660C"/>
    <w:rsid w:val="001673A3"/>
    <w:rsid w:val="00172F08"/>
    <w:rsid w:val="00175C75"/>
    <w:rsid w:val="00177049"/>
    <w:rsid w:val="0018032B"/>
    <w:rsid w:val="0018049A"/>
    <w:rsid w:val="00182A6B"/>
    <w:rsid w:val="00182FA7"/>
    <w:rsid w:val="00183D77"/>
    <w:rsid w:val="001844D9"/>
    <w:rsid w:val="00186DB1"/>
    <w:rsid w:val="0018776F"/>
    <w:rsid w:val="00187C85"/>
    <w:rsid w:val="0019107A"/>
    <w:rsid w:val="00191BFF"/>
    <w:rsid w:val="00191E25"/>
    <w:rsid w:val="001975E9"/>
    <w:rsid w:val="0019781A"/>
    <w:rsid w:val="0019797A"/>
    <w:rsid w:val="00197D1F"/>
    <w:rsid w:val="001A2FE4"/>
    <w:rsid w:val="001B20F7"/>
    <w:rsid w:val="001B3B66"/>
    <w:rsid w:val="001B412D"/>
    <w:rsid w:val="001B4CDF"/>
    <w:rsid w:val="001C0160"/>
    <w:rsid w:val="001C1C2A"/>
    <w:rsid w:val="001C243D"/>
    <w:rsid w:val="001C3524"/>
    <w:rsid w:val="001C506D"/>
    <w:rsid w:val="001D126F"/>
    <w:rsid w:val="001D18AA"/>
    <w:rsid w:val="001D2B24"/>
    <w:rsid w:val="001D3E68"/>
    <w:rsid w:val="001D5F7E"/>
    <w:rsid w:val="001D605D"/>
    <w:rsid w:val="001D6FD5"/>
    <w:rsid w:val="001E4163"/>
    <w:rsid w:val="001E564E"/>
    <w:rsid w:val="001F050B"/>
    <w:rsid w:val="001F1D88"/>
    <w:rsid w:val="001F2427"/>
    <w:rsid w:val="001F2541"/>
    <w:rsid w:val="001F7795"/>
    <w:rsid w:val="00202722"/>
    <w:rsid w:val="00203087"/>
    <w:rsid w:val="00207434"/>
    <w:rsid w:val="002126AF"/>
    <w:rsid w:val="00212DC2"/>
    <w:rsid w:val="00213652"/>
    <w:rsid w:val="002231EC"/>
    <w:rsid w:val="00223E40"/>
    <w:rsid w:val="002243CB"/>
    <w:rsid w:val="00232C0D"/>
    <w:rsid w:val="00235D65"/>
    <w:rsid w:val="002361FB"/>
    <w:rsid w:val="0024190B"/>
    <w:rsid w:val="00241DBD"/>
    <w:rsid w:val="0024477F"/>
    <w:rsid w:val="00252239"/>
    <w:rsid w:val="002522A2"/>
    <w:rsid w:val="00252722"/>
    <w:rsid w:val="00254CC6"/>
    <w:rsid w:val="0025551D"/>
    <w:rsid w:val="00256107"/>
    <w:rsid w:val="002576FF"/>
    <w:rsid w:val="0025784A"/>
    <w:rsid w:val="00261BD3"/>
    <w:rsid w:val="00263A8C"/>
    <w:rsid w:val="00264E8D"/>
    <w:rsid w:val="00265F4D"/>
    <w:rsid w:val="00266037"/>
    <w:rsid w:val="0027091C"/>
    <w:rsid w:val="00273859"/>
    <w:rsid w:val="002744C2"/>
    <w:rsid w:val="00275AE0"/>
    <w:rsid w:val="00277E7E"/>
    <w:rsid w:val="0028014E"/>
    <w:rsid w:val="002829F3"/>
    <w:rsid w:val="002905C8"/>
    <w:rsid w:val="00290DD0"/>
    <w:rsid w:val="00292015"/>
    <w:rsid w:val="00292149"/>
    <w:rsid w:val="0029485E"/>
    <w:rsid w:val="00296F56"/>
    <w:rsid w:val="002A6950"/>
    <w:rsid w:val="002A7742"/>
    <w:rsid w:val="002A7C7A"/>
    <w:rsid w:val="002A7DA0"/>
    <w:rsid w:val="002B4B98"/>
    <w:rsid w:val="002B4FA8"/>
    <w:rsid w:val="002B52F3"/>
    <w:rsid w:val="002C0491"/>
    <w:rsid w:val="002C2616"/>
    <w:rsid w:val="002C37E2"/>
    <w:rsid w:val="002D2BB1"/>
    <w:rsid w:val="002D3157"/>
    <w:rsid w:val="002D33F8"/>
    <w:rsid w:val="002D5AA5"/>
    <w:rsid w:val="002D6D00"/>
    <w:rsid w:val="002D7EB1"/>
    <w:rsid w:val="002E10F0"/>
    <w:rsid w:val="002E1DEC"/>
    <w:rsid w:val="002E249F"/>
    <w:rsid w:val="002E50AE"/>
    <w:rsid w:val="002E6179"/>
    <w:rsid w:val="002E7BA3"/>
    <w:rsid w:val="002E7FF3"/>
    <w:rsid w:val="002F07C4"/>
    <w:rsid w:val="002F527E"/>
    <w:rsid w:val="002F6ADA"/>
    <w:rsid w:val="0030207C"/>
    <w:rsid w:val="0030334B"/>
    <w:rsid w:val="00304A0F"/>
    <w:rsid w:val="00306867"/>
    <w:rsid w:val="00312539"/>
    <w:rsid w:val="00312AD3"/>
    <w:rsid w:val="00312B1B"/>
    <w:rsid w:val="00312E1D"/>
    <w:rsid w:val="00314656"/>
    <w:rsid w:val="0031649D"/>
    <w:rsid w:val="0031774C"/>
    <w:rsid w:val="003210DD"/>
    <w:rsid w:val="003219A5"/>
    <w:rsid w:val="00322491"/>
    <w:rsid w:val="0032600D"/>
    <w:rsid w:val="00330B5A"/>
    <w:rsid w:val="00330CF9"/>
    <w:rsid w:val="00332E07"/>
    <w:rsid w:val="00335D04"/>
    <w:rsid w:val="00335F74"/>
    <w:rsid w:val="00341529"/>
    <w:rsid w:val="0034238D"/>
    <w:rsid w:val="003434B4"/>
    <w:rsid w:val="00344E48"/>
    <w:rsid w:val="003453AC"/>
    <w:rsid w:val="003456CA"/>
    <w:rsid w:val="00347522"/>
    <w:rsid w:val="0034784D"/>
    <w:rsid w:val="003479AD"/>
    <w:rsid w:val="0035542F"/>
    <w:rsid w:val="003578AA"/>
    <w:rsid w:val="00357D07"/>
    <w:rsid w:val="00360F40"/>
    <w:rsid w:val="003636F2"/>
    <w:rsid w:val="003647A5"/>
    <w:rsid w:val="00365D8F"/>
    <w:rsid w:val="0036700E"/>
    <w:rsid w:val="00371725"/>
    <w:rsid w:val="00373031"/>
    <w:rsid w:val="00376B0C"/>
    <w:rsid w:val="00376E79"/>
    <w:rsid w:val="00380276"/>
    <w:rsid w:val="00381CFB"/>
    <w:rsid w:val="003847DE"/>
    <w:rsid w:val="0039340B"/>
    <w:rsid w:val="00393619"/>
    <w:rsid w:val="003A15F9"/>
    <w:rsid w:val="003A7B08"/>
    <w:rsid w:val="003A7DA4"/>
    <w:rsid w:val="003B1D15"/>
    <w:rsid w:val="003B25AB"/>
    <w:rsid w:val="003B64CE"/>
    <w:rsid w:val="003B6C7F"/>
    <w:rsid w:val="003C01C3"/>
    <w:rsid w:val="003C0DC7"/>
    <w:rsid w:val="003C4C52"/>
    <w:rsid w:val="003C5C7D"/>
    <w:rsid w:val="003D0B06"/>
    <w:rsid w:val="003D347B"/>
    <w:rsid w:val="003D5A28"/>
    <w:rsid w:val="003D6C5C"/>
    <w:rsid w:val="003E2698"/>
    <w:rsid w:val="003E2A4D"/>
    <w:rsid w:val="003E5D63"/>
    <w:rsid w:val="003F3B68"/>
    <w:rsid w:val="003F46DC"/>
    <w:rsid w:val="003F4CF4"/>
    <w:rsid w:val="003F7B77"/>
    <w:rsid w:val="0040033A"/>
    <w:rsid w:val="00401B65"/>
    <w:rsid w:val="004023A6"/>
    <w:rsid w:val="00404821"/>
    <w:rsid w:val="00406397"/>
    <w:rsid w:val="0040727A"/>
    <w:rsid w:val="00407E59"/>
    <w:rsid w:val="004138A0"/>
    <w:rsid w:val="004142D5"/>
    <w:rsid w:val="00416413"/>
    <w:rsid w:val="00416CC4"/>
    <w:rsid w:val="004174D0"/>
    <w:rsid w:val="00420864"/>
    <w:rsid w:val="00422E05"/>
    <w:rsid w:val="004243CA"/>
    <w:rsid w:val="00424F1C"/>
    <w:rsid w:val="004276A5"/>
    <w:rsid w:val="004343ED"/>
    <w:rsid w:val="00436049"/>
    <w:rsid w:val="00443FC3"/>
    <w:rsid w:val="0044434F"/>
    <w:rsid w:val="00450587"/>
    <w:rsid w:val="00450CDC"/>
    <w:rsid w:val="00451BCE"/>
    <w:rsid w:val="00452942"/>
    <w:rsid w:val="00452CE6"/>
    <w:rsid w:val="00453E1E"/>
    <w:rsid w:val="0045532B"/>
    <w:rsid w:val="0046145C"/>
    <w:rsid w:val="0046175D"/>
    <w:rsid w:val="00466345"/>
    <w:rsid w:val="00470EC1"/>
    <w:rsid w:val="00471B9C"/>
    <w:rsid w:val="00474603"/>
    <w:rsid w:val="004760C2"/>
    <w:rsid w:val="00477F17"/>
    <w:rsid w:val="00482858"/>
    <w:rsid w:val="00483AAD"/>
    <w:rsid w:val="004866D5"/>
    <w:rsid w:val="0049009E"/>
    <w:rsid w:val="00491067"/>
    <w:rsid w:val="00497986"/>
    <w:rsid w:val="004A1ACA"/>
    <w:rsid w:val="004A42FA"/>
    <w:rsid w:val="004A4A66"/>
    <w:rsid w:val="004B03F7"/>
    <w:rsid w:val="004B05B8"/>
    <w:rsid w:val="004B4D15"/>
    <w:rsid w:val="004B5549"/>
    <w:rsid w:val="004B5CA9"/>
    <w:rsid w:val="004B68C7"/>
    <w:rsid w:val="004B7079"/>
    <w:rsid w:val="004B7FEC"/>
    <w:rsid w:val="004C3E54"/>
    <w:rsid w:val="004D157B"/>
    <w:rsid w:val="004D1C83"/>
    <w:rsid w:val="004D2752"/>
    <w:rsid w:val="004D7728"/>
    <w:rsid w:val="004E231E"/>
    <w:rsid w:val="004E4237"/>
    <w:rsid w:val="004E6C11"/>
    <w:rsid w:val="004F3015"/>
    <w:rsid w:val="004F7116"/>
    <w:rsid w:val="005002AD"/>
    <w:rsid w:val="005033C2"/>
    <w:rsid w:val="00503987"/>
    <w:rsid w:val="00504BF8"/>
    <w:rsid w:val="00505302"/>
    <w:rsid w:val="005068BD"/>
    <w:rsid w:val="005068EA"/>
    <w:rsid w:val="00506EED"/>
    <w:rsid w:val="005109E5"/>
    <w:rsid w:val="0051151F"/>
    <w:rsid w:val="00513064"/>
    <w:rsid w:val="0052692C"/>
    <w:rsid w:val="00526A3E"/>
    <w:rsid w:val="005279B7"/>
    <w:rsid w:val="00530563"/>
    <w:rsid w:val="00531BB4"/>
    <w:rsid w:val="00533BDC"/>
    <w:rsid w:val="00535817"/>
    <w:rsid w:val="00537B93"/>
    <w:rsid w:val="00537BFC"/>
    <w:rsid w:val="00543C34"/>
    <w:rsid w:val="005445CD"/>
    <w:rsid w:val="00546F54"/>
    <w:rsid w:val="0054722A"/>
    <w:rsid w:val="00547D57"/>
    <w:rsid w:val="00551B77"/>
    <w:rsid w:val="005536FB"/>
    <w:rsid w:val="00554C2A"/>
    <w:rsid w:val="0055637D"/>
    <w:rsid w:val="00556AA6"/>
    <w:rsid w:val="00562AF0"/>
    <w:rsid w:val="0056386C"/>
    <w:rsid w:val="00563F2B"/>
    <w:rsid w:val="0056513D"/>
    <w:rsid w:val="0056688D"/>
    <w:rsid w:val="00572987"/>
    <w:rsid w:val="00574D5F"/>
    <w:rsid w:val="00576C7C"/>
    <w:rsid w:val="00577B6E"/>
    <w:rsid w:val="00582536"/>
    <w:rsid w:val="00583F58"/>
    <w:rsid w:val="00585B6D"/>
    <w:rsid w:val="0059084C"/>
    <w:rsid w:val="00591AD1"/>
    <w:rsid w:val="00594725"/>
    <w:rsid w:val="00595006"/>
    <w:rsid w:val="005979E9"/>
    <w:rsid w:val="005A1850"/>
    <w:rsid w:val="005A230F"/>
    <w:rsid w:val="005A2AA3"/>
    <w:rsid w:val="005A3ED1"/>
    <w:rsid w:val="005A4987"/>
    <w:rsid w:val="005A4CB0"/>
    <w:rsid w:val="005A5CD2"/>
    <w:rsid w:val="005A5D9C"/>
    <w:rsid w:val="005A6A82"/>
    <w:rsid w:val="005B1933"/>
    <w:rsid w:val="005B222F"/>
    <w:rsid w:val="005B56AB"/>
    <w:rsid w:val="005B5B8E"/>
    <w:rsid w:val="005B6AB5"/>
    <w:rsid w:val="005C04C4"/>
    <w:rsid w:val="005C0715"/>
    <w:rsid w:val="005C0D7E"/>
    <w:rsid w:val="005C15FC"/>
    <w:rsid w:val="005C18EF"/>
    <w:rsid w:val="005C2393"/>
    <w:rsid w:val="005C36A0"/>
    <w:rsid w:val="005C63CD"/>
    <w:rsid w:val="005C6A79"/>
    <w:rsid w:val="005C74EB"/>
    <w:rsid w:val="005C78EE"/>
    <w:rsid w:val="005D104C"/>
    <w:rsid w:val="005D49EC"/>
    <w:rsid w:val="005D5A49"/>
    <w:rsid w:val="005D5C3F"/>
    <w:rsid w:val="005D73BA"/>
    <w:rsid w:val="005D796B"/>
    <w:rsid w:val="005E112F"/>
    <w:rsid w:val="005E2463"/>
    <w:rsid w:val="005E249D"/>
    <w:rsid w:val="005E3113"/>
    <w:rsid w:val="005E568D"/>
    <w:rsid w:val="005E692C"/>
    <w:rsid w:val="005E6D26"/>
    <w:rsid w:val="005F0CA2"/>
    <w:rsid w:val="005F11F2"/>
    <w:rsid w:val="005F1CA4"/>
    <w:rsid w:val="005F297D"/>
    <w:rsid w:val="005F2A14"/>
    <w:rsid w:val="005F3413"/>
    <w:rsid w:val="005F506E"/>
    <w:rsid w:val="005F5376"/>
    <w:rsid w:val="005F5FDE"/>
    <w:rsid w:val="005F7B1A"/>
    <w:rsid w:val="00602D9D"/>
    <w:rsid w:val="00603878"/>
    <w:rsid w:val="00603E28"/>
    <w:rsid w:val="00606C35"/>
    <w:rsid w:val="00607169"/>
    <w:rsid w:val="0060740D"/>
    <w:rsid w:val="0060782F"/>
    <w:rsid w:val="00611BE1"/>
    <w:rsid w:val="00612658"/>
    <w:rsid w:val="0061479F"/>
    <w:rsid w:val="006151FE"/>
    <w:rsid w:val="006174C8"/>
    <w:rsid w:val="006204EA"/>
    <w:rsid w:val="0062073A"/>
    <w:rsid w:val="00621477"/>
    <w:rsid w:val="00621C28"/>
    <w:rsid w:val="00622420"/>
    <w:rsid w:val="00623519"/>
    <w:rsid w:val="00624A07"/>
    <w:rsid w:val="00625511"/>
    <w:rsid w:val="00627F23"/>
    <w:rsid w:val="006313B7"/>
    <w:rsid w:val="0063239F"/>
    <w:rsid w:val="006338A5"/>
    <w:rsid w:val="00635FC1"/>
    <w:rsid w:val="00636213"/>
    <w:rsid w:val="00637DEC"/>
    <w:rsid w:val="0064045B"/>
    <w:rsid w:val="00640B4D"/>
    <w:rsid w:val="00642276"/>
    <w:rsid w:val="0064294D"/>
    <w:rsid w:val="00643EE4"/>
    <w:rsid w:val="00644CCF"/>
    <w:rsid w:val="00645EDF"/>
    <w:rsid w:val="006500ED"/>
    <w:rsid w:val="00651CDA"/>
    <w:rsid w:val="00652C08"/>
    <w:rsid w:val="00653E78"/>
    <w:rsid w:val="00654227"/>
    <w:rsid w:val="00655FB4"/>
    <w:rsid w:val="00657B54"/>
    <w:rsid w:val="00662373"/>
    <w:rsid w:val="0066242C"/>
    <w:rsid w:val="006629C6"/>
    <w:rsid w:val="00662B03"/>
    <w:rsid w:val="00663DDA"/>
    <w:rsid w:val="00665B61"/>
    <w:rsid w:val="00670342"/>
    <w:rsid w:val="0067083C"/>
    <w:rsid w:val="00670880"/>
    <w:rsid w:val="006762E1"/>
    <w:rsid w:val="00677097"/>
    <w:rsid w:val="006811EF"/>
    <w:rsid w:val="00683490"/>
    <w:rsid w:val="00696A59"/>
    <w:rsid w:val="006A1921"/>
    <w:rsid w:val="006A1B5B"/>
    <w:rsid w:val="006A2B26"/>
    <w:rsid w:val="006A3A42"/>
    <w:rsid w:val="006A4639"/>
    <w:rsid w:val="006B2862"/>
    <w:rsid w:val="006B5905"/>
    <w:rsid w:val="006B5D60"/>
    <w:rsid w:val="006B75D4"/>
    <w:rsid w:val="006C00F2"/>
    <w:rsid w:val="006C03A6"/>
    <w:rsid w:val="006C0702"/>
    <w:rsid w:val="006C2016"/>
    <w:rsid w:val="006C2373"/>
    <w:rsid w:val="006C3D18"/>
    <w:rsid w:val="006C5B49"/>
    <w:rsid w:val="006C64F7"/>
    <w:rsid w:val="006D7D78"/>
    <w:rsid w:val="006E5FE3"/>
    <w:rsid w:val="006E66DD"/>
    <w:rsid w:val="006E790A"/>
    <w:rsid w:val="006F0AEC"/>
    <w:rsid w:val="006F2104"/>
    <w:rsid w:val="006F2A6A"/>
    <w:rsid w:val="006F47C9"/>
    <w:rsid w:val="006F7598"/>
    <w:rsid w:val="007000BD"/>
    <w:rsid w:val="0070040B"/>
    <w:rsid w:val="0070070E"/>
    <w:rsid w:val="0070337A"/>
    <w:rsid w:val="0070759A"/>
    <w:rsid w:val="007116ED"/>
    <w:rsid w:val="00712C51"/>
    <w:rsid w:val="00717507"/>
    <w:rsid w:val="007233A9"/>
    <w:rsid w:val="00725D95"/>
    <w:rsid w:val="00733792"/>
    <w:rsid w:val="0073557F"/>
    <w:rsid w:val="00736F1E"/>
    <w:rsid w:val="00737B7D"/>
    <w:rsid w:val="00741F34"/>
    <w:rsid w:val="00742FC4"/>
    <w:rsid w:val="0074381F"/>
    <w:rsid w:val="00745420"/>
    <w:rsid w:val="007470B1"/>
    <w:rsid w:val="007471C7"/>
    <w:rsid w:val="00750D2B"/>
    <w:rsid w:val="00754480"/>
    <w:rsid w:val="00754DFB"/>
    <w:rsid w:val="007567C3"/>
    <w:rsid w:val="00757692"/>
    <w:rsid w:val="007602EF"/>
    <w:rsid w:val="00760CFC"/>
    <w:rsid w:val="00760F86"/>
    <w:rsid w:val="00761879"/>
    <w:rsid w:val="007626DF"/>
    <w:rsid w:val="00765601"/>
    <w:rsid w:val="0076586D"/>
    <w:rsid w:val="00766DB7"/>
    <w:rsid w:val="00771DDE"/>
    <w:rsid w:val="0077550B"/>
    <w:rsid w:val="00776AC3"/>
    <w:rsid w:val="00776FDC"/>
    <w:rsid w:val="00777F84"/>
    <w:rsid w:val="007809CF"/>
    <w:rsid w:val="00784E1A"/>
    <w:rsid w:val="0078703C"/>
    <w:rsid w:val="00787296"/>
    <w:rsid w:val="00790ED3"/>
    <w:rsid w:val="00792B24"/>
    <w:rsid w:val="00792DCC"/>
    <w:rsid w:val="007931A0"/>
    <w:rsid w:val="0079331C"/>
    <w:rsid w:val="00795BC4"/>
    <w:rsid w:val="007A3BB8"/>
    <w:rsid w:val="007A4068"/>
    <w:rsid w:val="007A6120"/>
    <w:rsid w:val="007A7109"/>
    <w:rsid w:val="007A7343"/>
    <w:rsid w:val="007B6737"/>
    <w:rsid w:val="007B7A38"/>
    <w:rsid w:val="007C3328"/>
    <w:rsid w:val="007C33CB"/>
    <w:rsid w:val="007C519A"/>
    <w:rsid w:val="007C5DC3"/>
    <w:rsid w:val="007C60F8"/>
    <w:rsid w:val="007C6FC7"/>
    <w:rsid w:val="007D1743"/>
    <w:rsid w:val="007D2DDA"/>
    <w:rsid w:val="007E0663"/>
    <w:rsid w:val="007E1EA4"/>
    <w:rsid w:val="007E33DA"/>
    <w:rsid w:val="007E3E05"/>
    <w:rsid w:val="007E53B1"/>
    <w:rsid w:val="007F1A05"/>
    <w:rsid w:val="007F1ADB"/>
    <w:rsid w:val="007F1E39"/>
    <w:rsid w:val="007F321C"/>
    <w:rsid w:val="007F47D0"/>
    <w:rsid w:val="007F4B62"/>
    <w:rsid w:val="007F64CE"/>
    <w:rsid w:val="007F7592"/>
    <w:rsid w:val="00801081"/>
    <w:rsid w:val="0080440D"/>
    <w:rsid w:val="00804C4C"/>
    <w:rsid w:val="0080539A"/>
    <w:rsid w:val="00805EB6"/>
    <w:rsid w:val="00810320"/>
    <w:rsid w:val="0081095E"/>
    <w:rsid w:val="008137AD"/>
    <w:rsid w:val="00813F4A"/>
    <w:rsid w:val="00814DE8"/>
    <w:rsid w:val="0081536E"/>
    <w:rsid w:val="00824C81"/>
    <w:rsid w:val="008251EF"/>
    <w:rsid w:val="008262DA"/>
    <w:rsid w:val="00830B81"/>
    <w:rsid w:val="00831454"/>
    <w:rsid w:val="00831598"/>
    <w:rsid w:val="00836E4F"/>
    <w:rsid w:val="008419C6"/>
    <w:rsid w:val="00842219"/>
    <w:rsid w:val="00842A43"/>
    <w:rsid w:val="008432F9"/>
    <w:rsid w:val="00846D02"/>
    <w:rsid w:val="00855429"/>
    <w:rsid w:val="00856168"/>
    <w:rsid w:val="00860578"/>
    <w:rsid w:val="00860819"/>
    <w:rsid w:val="00861AFB"/>
    <w:rsid w:val="008634DE"/>
    <w:rsid w:val="008645FC"/>
    <w:rsid w:val="00864C40"/>
    <w:rsid w:val="00867860"/>
    <w:rsid w:val="00867B92"/>
    <w:rsid w:val="008711BE"/>
    <w:rsid w:val="00874BFD"/>
    <w:rsid w:val="00876957"/>
    <w:rsid w:val="00876CEE"/>
    <w:rsid w:val="00876D89"/>
    <w:rsid w:val="00877032"/>
    <w:rsid w:val="008845DE"/>
    <w:rsid w:val="00890BA4"/>
    <w:rsid w:val="00892312"/>
    <w:rsid w:val="00892488"/>
    <w:rsid w:val="00892A07"/>
    <w:rsid w:val="00893A49"/>
    <w:rsid w:val="00893BFB"/>
    <w:rsid w:val="00894F65"/>
    <w:rsid w:val="00896125"/>
    <w:rsid w:val="0089618E"/>
    <w:rsid w:val="008A0338"/>
    <w:rsid w:val="008A1B77"/>
    <w:rsid w:val="008A214B"/>
    <w:rsid w:val="008A2E65"/>
    <w:rsid w:val="008A4EA7"/>
    <w:rsid w:val="008B0B02"/>
    <w:rsid w:val="008B1D09"/>
    <w:rsid w:val="008B4C92"/>
    <w:rsid w:val="008C0C72"/>
    <w:rsid w:val="008C2547"/>
    <w:rsid w:val="008C2B71"/>
    <w:rsid w:val="008C3CD6"/>
    <w:rsid w:val="008C4260"/>
    <w:rsid w:val="008C7319"/>
    <w:rsid w:val="008D092C"/>
    <w:rsid w:val="008D16DC"/>
    <w:rsid w:val="008D5AE4"/>
    <w:rsid w:val="008D750C"/>
    <w:rsid w:val="008D7C21"/>
    <w:rsid w:val="008E048E"/>
    <w:rsid w:val="008E34A4"/>
    <w:rsid w:val="008E6B5B"/>
    <w:rsid w:val="008E6EEB"/>
    <w:rsid w:val="008F313C"/>
    <w:rsid w:val="008F35A3"/>
    <w:rsid w:val="008F532A"/>
    <w:rsid w:val="008F7456"/>
    <w:rsid w:val="009002CF"/>
    <w:rsid w:val="009003B6"/>
    <w:rsid w:val="009013CB"/>
    <w:rsid w:val="0090162C"/>
    <w:rsid w:val="00902226"/>
    <w:rsid w:val="00907334"/>
    <w:rsid w:val="00910158"/>
    <w:rsid w:val="009105EE"/>
    <w:rsid w:val="0091173C"/>
    <w:rsid w:val="00912F16"/>
    <w:rsid w:val="0091412B"/>
    <w:rsid w:val="00915717"/>
    <w:rsid w:val="0091632A"/>
    <w:rsid w:val="0092017F"/>
    <w:rsid w:val="00921A3B"/>
    <w:rsid w:val="009255AE"/>
    <w:rsid w:val="009321E0"/>
    <w:rsid w:val="009330D8"/>
    <w:rsid w:val="00937DBD"/>
    <w:rsid w:val="009421EB"/>
    <w:rsid w:val="00946173"/>
    <w:rsid w:val="009479E0"/>
    <w:rsid w:val="00950CF9"/>
    <w:rsid w:val="00951948"/>
    <w:rsid w:val="00952577"/>
    <w:rsid w:val="00954F07"/>
    <w:rsid w:val="009555AB"/>
    <w:rsid w:val="00960976"/>
    <w:rsid w:val="00962A61"/>
    <w:rsid w:val="00962DB0"/>
    <w:rsid w:val="009651EE"/>
    <w:rsid w:val="00965570"/>
    <w:rsid w:val="00965BA6"/>
    <w:rsid w:val="00965DD8"/>
    <w:rsid w:val="009749F0"/>
    <w:rsid w:val="009759A4"/>
    <w:rsid w:val="00980512"/>
    <w:rsid w:val="00985CE2"/>
    <w:rsid w:val="00987B65"/>
    <w:rsid w:val="00993964"/>
    <w:rsid w:val="00994B98"/>
    <w:rsid w:val="009A1559"/>
    <w:rsid w:val="009A3393"/>
    <w:rsid w:val="009A421C"/>
    <w:rsid w:val="009A6E85"/>
    <w:rsid w:val="009B0C9F"/>
    <w:rsid w:val="009B0F37"/>
    <w:rsid w:val="009B67B1"/>
    <w:rsid w:val="009B724A"/>
    <w:rsid w:val="009C27DE"/>
    <w:rsid w:val="009C454E"/>
    <w:rsid w:val="009C4D7F"/>
    <w:rsid w:val="009C4F00"/>
    <w:rsid w:val="009C5AA8"/>
    <w:rsid w:val="009D40A3"/>
    <w:rsid w:val="009E0F73"/>
    <w:rsid w:val="009E18B9"/>
    <w:rsid w:val="009E2783"/>
    <w:rsid w:val="009E311F"/>
    <w:rsid w:val="009E38EC"/>
    <w:rsid w:val="009E6082"/>
    <w:rsid w:val="009E63E4"/>
    <w:rsid w:val="009E6FEB"/>
    <w:rsid w:val="009F3FBF"/>
    <w:rsid w:val="009F5182"/>
    <w:rsid w:val="009F7FBC"/>
    <w:rsid w:val="00A011C6"/>
    <w:rsid w:val="00A012F8"/>
    <w:rsid w:val="00A07EB1"/>
    <w:rsid w:val="00A11A01"/>
    <w:rsid w:val="00A11F99"/>
    <w:rsid w:val="00A1352B"/>
    <w:rsid w:val="00A13B9B"/>
    <w:rsid w:val="00A14A7A"/>
    <w:rsid w:val="00A15D8B"/>
    <w:rsid w:val="00A15DA3"/>
    <w:rsid w:val="00A16290"/>
    <w:rsid w:val="00A17881"/>
    <w:rsid w:val="00A2044D"/>
    <w:rsid w:val="00A20508"/>
    <w:rsid w:val="00A20AF9"/>
    <w:rsid w:val="00A213BD"/>
    <w:rsid w:val="00A31B94"/>
    <w:rsid w:val="00A330AB"/>
    <w:rsid w:val="00A33FBA"/>
    <w:rsid w:val="00A35746"/>
    <w:rsid w:val="00A366DF"/>
    <w:rsid w:val="00A3780A"/>
    <w:rsid w:val="00A37EB0"/>
    <w:rsid w:val="00A40CFF"/>
    <w:rsid w:val="00A45E1B"/>
    <w:rsid w:val="00A4604C"/>
    <w:rsid w:val="00A46EE3"/>
    <w:rsid w:val="00A52A3E"/>
    <w:rsid w:val="00A52FFF"/>
    <w:rsid w:val="00A5439F"/>
    <w:rsid w:val="00A5557D"/>
    <w:rsid w:val="00A568BD"/>
    <w:rsid w:val="00A5737C"/>
    <w:rsid w:val="00A62E9E"/>
    <w:rsid w:val="00A63179"/>
    <w:rsid w:val="00A6623A"/>
    <w:rsid w:val="00A666FA"/>
    <w:rsid w:val="00A674EA"/>
    <w:rsid w:val="00A67F5D"/>
    <w:rsid w:val="00A75291"/>
    <w:rsid w:val="00A754B3"/>
    <w:rsid w:val="00A76618"/>
    <w:rsid w:val="00A803D0"/>
    <w:rsid w:val="00A805F4"/>
    <w:rsid w:val="00A81569"/>
    <w:rsid w:val="00A82175"/>
    <w:rsid w:val="00A82F5C"/>
    <w:rsid w:val="00A8533C"/>
    <w:rsid w:val="00A86570"/>
    <w:rsid w:val="00A86D9A"/>
    <w:rsid w:val="00A87E7C"/>
    <w:rsid w:val="00A92DA6"/>
    <w:rsid w:val="00A92E79"/>
    <w:rsid w:val="00A94A99"/>
    <w:rsid w:val="00A95B6D"/>
    <w:rsid w:val="00A95D62"/>
    <w:rsid w:val="00AA26AF"/>
    <w:rsid w:val="00AA3097"/>
    <w:rsid w:val="00AA3459"/>
    <w:rsid w:val="00AA4C88"/>
    <w:rsid w:val="00AA5F13"/>
    <w:rsid w:val="00AA6A83"/>
    <w:rsid w:val="00AA6F34"/>
    <w:rsid w:val="00AB1E6B"/>
    <w:rsid w:val="00AB3909"/>
    <w:rsid w:val="00AB4BC9"/>
    <w:rsid w:val="00AB6E12"/>
    <w:rsid w:val="00AB6EA0"/>
    <w:rsid w:val="00AB7E41"/>
    <w:rsid w:val="00AC0D99"/>
    <w:rsid w:val="00AC1022"/>
    <w:rsid w:val="00AC1F23"/>
    <w:rsid w:val="00AC5669"/>
    <w:rsid w:val="00AC5CA6"/>
    <w:rsid w:val="00AC653F"/>
    <w:rsid w:val="00AC6AD6"/>
    <w:rsid w:val="00AD0188"/>
    <w:rsid w:val="00AD0ED7"/>
    <w:rsid w:val="00AE0B75"/>
    <w:rsid w:val="00AE0D0C"/>
    <w:rsid w:val="00AE2968"/>
    <w:rsid w:val="00AE2F5D"/>
    <w:rsid w:val="00AE517F"/>
    <w:rsid w:val="00AE6030"/>
    <w:rsid w:val="00AF02B7"/>
    <w:rsid w:val="00AF3271"/>
    <w:rsid w:val="00AF3EA4"/>
    <w:rsid w:val="00B025BB"/>
    <w:rsid w:val="00B05638"/>
    <w:rsid w:val="00B05C63"/>
    <w:rsid w:val="00B07FF6"/>
    <w:rsid w:val="00B11E01"/>
    <w:rsid w:val="00B15EEA"/>
    <w:rsid w:val="00B16D8B"/>
    <w:rsid w:val="00B17B3E"/>
    <w:rsid w:val="00B20727"/>
    <w:rsid w:val="00B23743"/>
    <w:rsid w:val="00B23A4F"/>
    <w:rsid w:val="00B23C3C"/>
    <w:rsid w:val="00B23FB2"/>
    <w:rsid w:val="00B24188"/>
    <w:rsid w:val="00B26ACF"/>
    <w:rsid w:val="00B27E3E"/>
    <w:rsid w:val="00B33A0B"/>
    <w:rsid w:val="00B3404D"/>
    <w:rsid w:val="00B34A11"/>
    <w:rsid w:val="00B34FDF"/>
    <w:rsid w:val="00B3667F"/>
    <w:rsid w:val="00B401C4"/>
    <w:rsid w:val="00B41CB6"/>
    <w:rsid w:val="00B42944"/>
    <w:rsid w:val="00B4334D"/>
    <w:rsid w:val="00B45D1F"/>
    <w:rsid w:val="00B46652"/>
    <w:rsid w:val="00B47762"/>
    <w:rsid w:val="00B47B62"/>
    <w:rsid w:val="00B47EDA"/>
    <w:rsid w:val="00B50379"/>
    <w:rsid w:val="00B516DC"/>
    <w:rsid w:val="00B51BD6"/>
    <w:rsid w:val="00B53367"/>
    <w:rsid w:val="00B54917"/>
    <w:rsid w:val="00B6226D"/>
    <w:rsid w:val="00B6334A"/>
    <w:rsid w:val="00B6389E"/>
    <w:rsid w:val="00B640B1"/>
    <w:rsid w:val="00B672AB"/>
    <w:rsid w:val="00B706AA"/>
    <w:rsid w:val="00B70AFE"/>
    <w:rsid w:val="00B71A28"/>
    <w:rsid w:val="00B725A0"/>
    <w:rsid w:val="00B742CD"/>
    <w:rsid w:val="00B76766"/>
    <w:rsid w:val="00B777EF"/>
    <w:rsid w:val="00B8218B"/>
    <w:rsid w:val="00B829B7"/>
    <w:rsid w:val="00B843A3"/>
    <w:rsid w:val="00B902D4"/>
    <w:rsid w:val="00B90E26"/>
    <w:rsid w:val="00B91613"/>
    <w:rsid w:val="00B964B0"/>
    <w:rsid w:val="00B97112"/>
    <w:rsid w:val="00B97FDF"/>
    <w:rsid w:val="00BA147B"/>
    <w:rsid w:val="00BA536A"/>
    <w:rsid w:val="00BA5586"/>
    <w:rsid w:val="00BA765D"/>
    <w:rsid w:val="00BA7E8C"/>
    <w:rsid w:val="00BB0196"/>
    <w:rsid w:val="00BB27C9"/>
    <w:rsid w:val="00BC0093"/>
    <w:rsid w:val="00BC347C"/>
    <w:rsid w:val="00BC54D4"/>
    <w:rsid w:val="00BD0BAD"/>
    <w:rsid w:val="00BD1B3E"/>
    <w:rsid w:val="00BD20AF"/>
    <w:rsid w:val="00BD2860"/>
    <w:rsid w:val="00BD684A"/>
    <w:rsid w:val="00BD7BEA"/>
    <w:rsid w:val="00BE3177"/>
    <w:rsid w:val="00BE57FD"/>
    <w:rsid w:val="00BE5C3C"/>
    <w:rsid w:val="00BF2883"/>
    <w:rsid w:val="00BF4A94"/>
    <w:rsid w:val="00BF68B8"/>
    <w:rsid w:val="00BF7C28"/>
    <w:rsid w:val="00C050A7"/>
    <w:rsid w:val="00C0693E"/>
    <w:rsid w:val="00C06E70"/>
    <w:rsid w:val="00C13D7C"/>
    <w:rsid w:val="00C157FC"/>
    <w:rsid w:val="00C15BFE"/>
    <w:rsid w:val="00C1740F"/>
    <w:rsid w:val="00C17ABE"/>
    <w:rsid w:val="00C20B0A"/>
    <w:rsid w:val="00C224A2"/>
    <w:rsid w:val="00C224CC"/>
    <w:rsid w:val="00C231DC"/>
    <w:rsid w:val="00C2320B"/>
    <w:rsid w:val="00C25354"/>
    <w:rsid w:val="00C25A8A"/>
    <w:rsid w:val="00C25E10"/>
    <w:rsid w:val="00C273CF"/>
    <w:rsid w:val="00C338C7"/>
    <w:rsid w:val="00C33BE9"/>
    <w:rsid w:val="00C33F06"/>
    <w:rsid w:val="00C37038"/>
    <w:rsid w:val="00C37729"/>
    <w:rsid w:val="00C37C75"/>
    <w:rsid w:val="00C45BBD"/>
    <w:rsid w:val="00C47F71"/>
    <w:rsid w:val="00C50528"/>
    <w:rsid w:val="00C515AF"/>
    <w:rsid w:val="00C51B0F"/>
    <w:rsid w:val="00C5458A"/>
    <w:rsid w:val="00C550A3"/>
    <w:rsid w:val="00C5512C"/>
    <w:rsid w:val="00C555DD"/>
    <w:rsid w:val="00C5620E"/>
    <w:rsid w:val="00C5729A"/>
    <w:rsid w:val="00C6024D"/>
    <w:rsid w:val="00C62381"/>
    <w:rsid w:val="00C63278"/>
    <w:rsid w:val="00C640A8"/>
    <w:rsid w:val="00C644AB"/>
    <w:rsid w:val="00C64572"/>
    <w:rsid w:val="00C71698"/>
    <w:rsid w:val="00C73338"/>
    <w:rsid w:val="00C73827"/>
    <w:rsid w:val="00C76449"/>
    <w:rsid w:val="00C80058"/>
    <w:rsid w:val="00C803CC"/>
    <w:rsid w:val="00C81300"/>
    <w:rsid w:val="00C83D6C"/>
    <w:rsid w:val="00C909AC"/>
    <w:rsid w:val="00C93438"/>
    <w:rsid w:val="00C96745"/>
    <w:rsid w:val="00C971C4"/>
    <w:rsid w:val="00C972CC"/>
    <w:rsid w:val="00C97464"/>
    <w:rsid w:val="00CA0595"/>
    <w:rsid w:val="00CA1090"/>
    <w:rsid w:val="00CA1B88"/>
    <w:rsid w:val="00CA21B2"/>
    <w:rsid w:val="00CA4141"/>
    <w:rsid w:val="00CA7620"/>
    <w:rsid w:val="00CB1581"/>
    <w:rsid w:val="00CB31F1"/>
    <w:rsid w:val="00CB3CA0"/>
    <w:rsid w:val="00CB515C"/>
    <w:rsid w:val="00CC24D8"/>
    <w:rsid w:val="00CC41EC"/>
    <w:rsid w:val="00CC6098"/>
    <w:rsid w:val="00CC6572"/>
    <w:rsid w:val="00CD78EF"/>
    <w:rsid w:val="00CE065D"/>
    <w:rsid w:val="00CE0780"/>
    <w:rsid w:val="00CE0B96"/>
    <w:rsid w:val="00CE1A74"/>
    <w:rsid w:val="00CE7E5F"/>
    <w:rsid w:val="00CF01F9"/>
    <w:rsid w:val="00CF2757"/>
    <w:rsid w:val="00CF2B6F"/>
    <w:rsid w:val="00CF3381"/>
    <w:rsid w:val="00CF6B86"/>
    <w:rsid w:val="00CF7D10"/>
    <w:rsid w:val="00D000E7"/>
    <w:rsid w:val="00D00572"/>
    <w:rsid w:val="00D0067D"/>
    <w:rsid w:val="00D0261B"/>
    <w:rsid w:val="00D14BCC"/>
    <w:rsid w:val="00D16035"/>
    <w:rsid w:val="00D174BE"/>
    <w:rsid w:val="00D229AD"/>
    <w:rsid w:val="00D233C0"/>
    <w:rsid w:val="00D23466"/>
    <w:rsid w:val="00D243DE"/>
    <w:rsid w:val="00D25BD6"/>
    <w:rsid w:val="00D26C50"/>
    <w:rsid w:val="00D30608"/>
    <w:rsid w:val="00D322B8"/>
    <w:rsid w:val="00D32DCE"/>
    <w:rsid w:val="00D403FD"/>
    <w:rsid w:val="00D40B0F"/>
    <w:rsid w:val="00D41322"/>
    <w:rsid w:val="00D43F07"/>
    <w:rsid w:val="00D4758C"/>
    <w:rsid w:val="00D50D80"/>
    <w:rsid w:val="00D53E5E"/>
    <w:rsid w:val="00D55EF6"/>
    <w:rsid w:val="00D5699C"/>
    <w:rsid w:val="00D57B6D"/>
    <w:rsid w:val="00D6109A"/>
    <w:rsid w:val="00D6190F"/>
    <w:rsid w:val="00D61E8C"/>
    <w:rsid w:val="00D62D2B"/>
    <w:rsid w:val="00D62DB5"/>
    <w:rsid w:val="00D64225"/>
    <w:rsid w:val="00D704CD"/>
    <w:rsid w:val="00D70584"/>
    <w:rsid w:val="00D7122E"/>
    <w:rsid w:val="00D71F36"/>
    <w:rsid w:val="00D734F8"/>
    <w:rsid w:val="00D7533B"/>
    <w:rsid w:val="00D76717"/>
    <w:rsid w:val="00D76D15"/>
    <w:rsid w:val="00D80BFE"/>
    <w:rsid w:val="00D81196"/>
    <w:rsid w:val="00D83129"/>
    <w:rsid w:val="00D8349B"/>
    <w:rsid w:val="00D83F97"/>
    <w:rsid w:val="00D84341"/>
    <w:rsid w:val="00D90E00"/>
    <w:rsid w:val="00D926EA"/>
    <w:rsid w:val="00D930D4"/>
    <w:rsid w:val="00D93ABC"/>
    <w:rsid w:val="00D93C1D"/>
    <w:rsid w:val="00D947B7"/>
    <w:rsid w:val="00D958C3"/>
    <w:rsid w:val="00D9675F"/>
    <w:rsid w:val="00D97255"/>
    <w:rsid w:val="00DA0BA1"/>
    <w:rsid w:val="00DA1819"/>
    <w:rsid w:val="00DA1A67"/>
    <w:rsid w:val="00DA3ED5"/>
    <w:rsid w:val="00DA5537"/>
    <w:rsid w:val="00DA5DC0"/>
    <w:rsid w:val="00DA6A6A"/>
    <w:rsid w:val="00DB0B5F"/>
    <w:rsid w:val="00DB238F"/>
    <w:rsid w:val="00DB2851"/>
    <w:rsid w:val="00DB672A"/>
    <w:rsid w:val="00DB78C7"/>
    <w:rsid w:val="00DC23AD"/>
    <w:rsid w:val="00DD0AB8"/>
    <w:rsid w:val="00DD5B55"/>
    <w:rsid w:val="00DE700B"/>
    <w:rsid w:val="00DF03EC"/>
    <w:rsid w:val="00DF1D25"/>
    <w:rsid w:val="00DF4A50"/>
    <w:rsid w:val="00DF57E9"/>
    <w:rsid w:val="00E0015B"/>
    <w:rsid w:val="00E00C9E"/>
    <w:rsid w:val="00E02051"/>
    <w:rsid w:val="00E02632"/>
    <w:rsid w:val="00E02D28"/>
    <w:rsid w:val="00E031B5"/>
    <w:rsid w:val="00E11E6D"/>
    <w:rsid w:val="00E152C7"/>
    <w:rsid w:val="00E159A5"/>
    <w:rsid w:val="00E15DD8"/>
    <w:rsid w:val="00E16089"/>
    <w:rsid w:val="00E1785B"/>
    <w:rsid w:val="00E2077C"/>
    <w:rsid w:val="00E20A0E"/>
    <w:rsid w:val="00E20B6C"/>
    <w:rsid w:val="00E23AE2"/>
    <w:rsid w:val="00E2573E"/>
    <w:rsid w:val="00E278CF"/>
    <w:rsid w:val="00E3107F"/>
    <w:rsid w:val="00E31812"/>
    <w:rsid w:val="00E325BD"/>
    <w:rsid w:val="00E35062"/>
    <w:rsid w:val="00E44FE2"/>
    <w:rsid w:val="00E529E2"/>
    <w:rsid w:val="00E5574C"/>
    <w:rsid w:val="00E61402"/>
    <w:rsid w:val="00E62C1E"/>
    <w:rsid w:val="00E64048"/>
    <w:rsid w:val="00E641F2"/>
    <w:rsid w:val="00E64F6C"/>
    <w:rsid w:val="00E668E1"/>
    <w:rsid w:val="00E71664"/>
    <w:rsid w:val="00E7363D"/>
    <w:rsid w:val="00E73B97"/>
    <w:rsid w:val="00E76045"/>
    <w:rsid w:val="00E77714"/>
    <w:rsid w:val="00E82481"/>
    <w:rsid w:val="00E83D59"/>
    <w:rsid w:val="00E83DC0"/>
    <w:rsid w:val="00E86939"/>
    <w:rsid w:val="00E86D53"/>
    <w:rsid w:val="00E907DA"/>
    <w:rsid w:val="00E90D4B"/>
    <w:rsid w:val="00E94497"/>
    <w:rsid w:val="00E949C7"/>
    <w:rsid w:val="00E95FA0"/>
    <w:rsid w:val="00E97705"/>
    <w:rsid w:val="00E977B7"/>
    <w:rsid w:val="00EA127D"/>
    <w:rsid w:val="00EA4C7E"/>
    <w:rsid w:val="00EA5286"/>
    <w:rsid w:val="00EA75D3"/>
    <w:rsid w:val="00EB0D46"/>
    <w:rsid w:val="00EB1E44"/>
    <w:rsid w:val="00EB3C4F"/>
    <w:rsid w:val="00EB3CD9"/>
    <w:rsid w:val="00EB3D48"/>
    <w:rsid w:val="00EB4140"/>
    <w:rsid w:val="00EB4DE0"/>
    <w:rsid w:val="00EB75B8"/>
    <w:rsid w:val="00EC420C"/>
    <w:rsid w:val="00EC55F6"/>
    <w:rsid w:val="00EC6BB8"/>
    <w:rsid w:val="00EC77F5"/>
    <w:rsid w:val="00ED13B9"/>
    <w:rsid w:val="00ED260F"/>
    <w:rsid w:val="00ED5DD7"/>
    <w:rsid w:val="00EE1224"/>
    <w:rsid w:val="00EE21C7"/>
    <w:rsid w:val="00EE31B6"/>
    <w:rsid w:val="00EE748B"/>
    <w:rsid w:val="00EF0FFA"/>
    <w:rsid w:val="00EF26FF"/>
    <w:rsid w:val="00EF58D1"/>
    <w:rsid w:val="00EF5FFD"/>
    <w:rsid w:val="00EF6206"/>
    <w:rsid w:val="00F00919"/>
    <w:rsid w:val="00F00C2E"/>
    <w:rsid w:val="00F016D3"/>
    <w:rsid w:val="00F0692C"/>
    <w:rsid w:val="00F103C8"/>
    <w:rsid w:val="00F12933"/>
    <w:rsid w:val="00F14D3C"/>
    <w:rsid w:val="00F155F7"/>
    <w:rsid w:val="00F205DF"/>
    <w:rsid w:val="00F22755"/>
    <w:rsid w:val="00F22B9A"/>
    <w:rsid w:val="00F2482A"/>
    <w:rsid w:val="00F251A0"/>
    <w:rsid w:val="00F26B77"/>
    <w:rsid w:val="00F30E07"/>
    <w:rsid w:val="00F343AE"/>
    <w:rsid w:val="00F348C1"/>
    <w:rsid w:val="00F3719F"/>
    <w:rsid w:val="00F3749A"/>
    <w:rsid w:val="00F37AE7"/>
    <w:rsid w:val="00F40855"/>
    <w:rsid w:val="00F41C87"/>
    <w:rsid w:val="00F420AF"/>
    <w:rsid w:val="00F4210E"/>
    <w:rsid w:val="00F434CA"/>
    <w:rsid w:val="00F51B5E"/>
    <w:rsid w:val="00F5241A"/>
    <w:rsid w:val="00F52C10"/>
    <w:rsid w:val="00F544A0"/>
    <w:rsid w:val="00F57638"/>
    <w:rsid w:val="00F62DD4"/>
    <w:rsid w:val="00F63985"/>
    <w:rsid w:val="00F645BB"/>
    <w:rsid w:val="00F64CA8"/>
    <w:rsid w:val="00F6573A"/>
    <w:rsid w:val="00F82E27"/>
    <w:rsid w:val="00F9012F"/>
    <w:rsid w:val="00F922AF"/>
    <w:rsid w:val="00F95370"/>
    <w:rsid w:val="00F976B3"/>
    <w:rsid w:val="00F97985"/>
    <w:rsid w:val="00F97D50"/>
    <w:rsid w:val="00FA22BE"/>
    <w:rsid w:val="00FA268A"/>
    <w:rsid w:val="00FA3473"/>
    <w:rsid w:val="00FA3ABC"/>
    <w:rsid w:val="00FA634C"/>
    <w:rsid w:val="00FA747A"/>
    <w:rsid w:val="00FB06E9"/>
    <w:rsid w:val="00FB166A"/>
    <w:rsid w:val="00FB4DA4"/>
    <w:rsid w:val="00FB6ECA"/>
    <w:rsid w:val="00FC1EBF"/>
    <w:rsid w:val="00FC4CCF"/>
    <w:rsid w:val="00FC52F3"/>
    <w:rsid w:val="00FC5488"/>
    <w:rsid w:val="00FC5C06"/>
    <w:rsid w:val="00FC5E07"/>
    <w:rsid w:val="00FC6347"/>
    <w:rsid w:val="00FC7BF9"/>
    <w:rsid w:val="00FD056F"/>
    <w:rsid w:val="00FD6DD6"/>
    <w:rsid w:val="00FD74AC"/>
    <w:rsid w:val="00FE1998"/>
    <w:rsid w:val="00FE3BDF"/>
    <w:rsid w:val="00FE4236"/>
    <w:rsid w:val="00FE68C4"/>
    <w:rsid w:val="00FF3621"/>
    <w:rsid w:val="00FF4464"/>
    <w:rsid w:val="00FF71C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14:docId w14:val="1CC57B20"/>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26ED"/>
    <w:pPr>
      <w:spacing w:after="160" w:line="259" w:lineRule="auto"/>
    </w:pPr>
    <w:rPr>
      <w:sz w:val="22"/>
      <w:szCs w:val="22"/>
    </w:rPr>
  </w:style>
  <w:style w:type="paragraph" w:styleId="Heading1">
    <w:name w:val="heading 1"/>
    <w:basedOn w:val="Normal"/>
    <w:link w:val="Heading1Char"/>
    <w:uiPriority w:val="9"/>
    <w:qFormat/>
    <w:rsid w:val="00CD78EF"/>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6237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4C2"/>
    <w:pPr>
      <w:ind w:left="720"/>
      <w:contextualSpacing/>
    </w:pPr>
  </w:style>
  <w:style w:type="paragraph" w:styleId="FootnoteText">
    <w:name w:val="footnote text"/>
    <w:basedOn w:val="Normal"/>
    <w:link w:val="FootnoteTextChar"/>
    <w:uiPriority w:val="99"/>
    <w:unhideWhenUsed/>
    <w:rsid w:val="001F1D88"/>
    <w:pPr>
      <w:spacing w:after="0" w:line="240" w:lineRule="auto"/>
    </w:pPr>
    <w:rPr>
      <w:sz w:val="24"/>
      <w:szCs w:val="24"/>
    </w:rPr>
  </w:style>
  <w:style w:type="character" w:customStyle="1" w:styleId="FootnoteTextChar">
    <w:name w:val="Footnote Text Char"/>
    <w:basedOn w:val="DefaultParagraphFont"/>
    <w:link w:val="FootnoteText"/>
    <w:uiPriority w:val="99"/>
    <w:rsid w:val="001F1D88"/>
  </w:style>
  <w:style w:type="character" w:styleId="FootnoteReference">
    <w:name w:val="footnote reference"/>
    <w:basedOn w:val="DefaultParagraphFont"/>
    <w:uiPriority w:val="99"/>
    <w:unhideWhenUsed/>
    <w:rsid w:val="001F1D88"/>
    <w:rPr>
      <w:vertAlign w:val="superscript"/>
    </w:rPr>
  </w:style>
  <w:style w:type="paragraph" w:styleId="NormalWeb">
    <w:name w:val="Normal (Web)"/>
    <w:basedOn w:val="Normal"/>
    <w:uiPriority w:val="99"/>
    <w:unhideWhenUsed/>
    <w:rsid w:val="00801081"/>
    <w:pPr>
      <w:spacing w:before="100" w:beforeAutospacing="1" w:after="100" w:afterAutospacing="1" w:line="240" w:lineRule="auto"/>
    </w:pPr>
    <w:rPr>
      <w:rFonts w:ascii="Times New Roman" w:hAnsi="Times New Roman" w:cs="Times New Roman"/>
      <w:sz w:val="24"/>
      <w:szCs w:val="24"/>
      <w:lang w:eastAsia="en-GB"/>
    </w:rPr>
  </w:style>
  <w:style w:type="paragraph" w:styleId="DocumentMap">
    <w:name w:val="Document Map"/>
    <w:basedOn w:val="Normal"/>
    <w:link w:val="DocumentMapChar"/>
    <w:uiPriority w:val="99"/>
    <w:semiHidden/>
    <w:unhideWhenUsed/>
    <w:rsid w:val="00FC5488"/>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FC5488"/>
    <w:rPr>
      <w:rFonts w:ascii="Times New Roman" w:hAnsi="Times New Roman" w:cs="Times New Roman"/>
    </w:rPr>
  </w:style>
  <w:style w:type="character" w:customStyle="1" w:styleId="apple-converted-space">
    <w:name w:val="apple-converted-space"/>
    <w:basedOn w:val="DefaultParagraphFont"/>
    <w:rsid w:val="001D605D"/>
  </w:style>
  <w:style w:type="character" w:styleId="Hyperlink">
    <w:name w:val="Hyperlink"/>
    <w:basedOn w:val="DefaultParagraphFont"/>
    <w:uiPriority w:val="99"/>
    <w:unhideWhenUsed/>
    <w:rsid w:val="001C3524"/>
    <w:rPr>
      <w:color w:val="0563C1" w:themeColor="hyperlink"/>
      <w:u w:val="single"/>
    </w:rPr>
  </w:style>
  <w:style w:type="paragraph" w:customStyle="1" w:styleId="tweettextsize">
    <w:name w:val="tweettextsize"/>
    <w:basedOn w:val="Normal"/>
    <w:rsid w:val="00A805F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invisible">
    <w:name w:val="invisible"/>
    <w:basedOn w:val="DefaultParagraphFont"/>
    <w:rsid w:val="00A805F4"/>
  </w:style>
  <w:style w:type="character" w:customStyle="1" w:styleId="js-display-url">
    <w:name w:val="js-display-url"/>
    <w:basedOn w:val="DefaultParagraphFont"/>
    <w:rsid w:val="00A805F4"/>
  </w:style>
  <w:style w:type="character" w:styleId="Emphasis">
    <w:name w:val="Emphasis"/>
    <w:basedOn w:val="DefaultParagraphFont"/>
    <w:uiPriority w:val="20"/>
    <w:qFormat/>
    <w:rsid w:val="00A14A7A"/>
    <w:rPr>
      <w:i/>
      <w:iCs/>
    </w:rPr>
  </w:style>
  <w:style w:type="character" w:customStyle="1" w:styleId="Heading1Char">
    <w:name w:val="Heading 1 Char"/>
    <w:basedOn w:val="DefaultParagraphFont"/>
    <w:link w:val="Heading1"/>
    <w:uiPriority w:val="9"/>
    <w:rsid w:val="00CD78EF"/>
    <w:rPr>
      <w:rFonts w:ascii="Times New Roman" w:hAnsi="Times New Roman" w:cs="Times New Roman"/>
      <w:b/>
      <w:bCs/>
      <w:kern w:val="36"/>
      <w:sz w:val="48"/>
      <w:szCs w:val="48"/>
      <w:lang w:eastAsia="en-GB"/>
    </w:rPr>
  </w:style>
  <w:style w:type="character" w:customStyle="1" w:styleId="pagenumber">
    <w:name w:val="pagenumber"/>
    <w:basedOn w:val="DefaultParagraphFont"/>
    <w:rsid w:val="00CD78EF"/>
  </w:style>
  <w:style w:type="character" w:styleId="FollowedHyperlink">
    <w:name w:val="FollowedHyperlink"/>
    <w:basedOn w:val="DefaultParagraphFont"/>
    <w:uiPriority w:val="99"/>
    <w:semiHidden/>
    <w:unhideWhenUsed/>
    <w:rsid w:val="001B20F7"/>
    <w:rPr>
      <w:color w:val="954F72" w:themeColor="followedHyperlink"/>
      <w:u w:val="single"/>
    </w:rPr>
  </w:style>
  <w:style w:type="character" w:customStyle="1" w:styleId="m-107880305223648139msofootnotereference">
    <w:name w:val="m_-107880305223648139msofootnotereference"/>
    <w:basedOn w:val="DefaultParagraphFont"/>
    <w:rsid w:val="00183D77"/>
  </w:style>
  <w:style w:type="paragraph" w:styleId="Footer">
    <w:name w:val="footer"/>
    <w:basedOn w:val="Normal"/>
    <w:link w:val="FooterChar"/>
    <w:uiPriority w:val="99"/>
    <w:unhideWhenUsed/>
    <w:rsid w:val="001F2427"/>
    <w:pPr>
      <w:tabs>
        <w:tab w:val="center" w:pos="4320"/>
        <w:tab w:val="right" w:pos="8640"/>
      </w:tabs>
      <w:spacing w:after="0" w:line="240" w:lineRule="auto"/>
    </w:pPr>
  </w:style>
  <w:style w:type="character" w:customStyle="1" w:styleId="FooterChar">
    <w:name w:val="Footer Char"/>
    <w:basedOn w:val="DefaultParagraphFont"/>
    <w:link w:val="Footer"/>
    <w:uiPriority w:val="99"/>
    <w:rsid w:val="001F2427"/>
    <w:rPr>
      <w:sz w:val="22"/>
      <w:szCs w:val="22"/>
    </w:rPr>
  </w:style>
  <w:style w:type="character" w:styleId="PageNumber0">
    <w:name w:val="page number"/>
    <w:basedOn w:val="DefaultParagraphFont"/>
    <w:uiPriority w:val="99"/>
    <w:semiHidden/>
    <w:unhideWhenUsed/>
    <w:rsid w:val="001F2427"/>
  </w:style>
  <w:style w:type="character" w:customStyle="1" w:styleId="Heading3Char">
    <w:name w:val="Heading 3 Char"/>
    <w:basedOn w:val="DefaultParagraphFont"/>
    <w:link w:val="Heading3"/>
    <w:uiPriority w:val="9"/>
    <w:semiHidden/>
    <w:rsid w:val="00662373"/>
    <w:rPr>
      <w:rFonts w:asciiTheme="majorHAnsi" w:eastAsiaTheme="majorEastAsia" w:hAnsiTheme="majorHAnsi" w:cstheme="majorBidi"/>
      <w:b/>
      <w:bCs/>
      <w:color w:val="4472C4" w:themeColor="accent1"/>
      <w:sz w:val="22"/>
      <w:szCs w:val="22"/>
    </w:rPr>
  </w:style>
  <w:style w:type="paragraph" w:styleId="BalloonText">
    <w:name w:val="Balloon Text"/>
    <w:basedOn w:val="Normal"/>
    <w:link w:val="BalloonTextChar"/>
    <w:uiPriority w:val="99"/>
    <w:semiHidden/>
    <w:unhideWhenUsed/>
    <w:rsid w:val="0066237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2373"/>
    <w:rPr>
      <w:rFonts w:ascii="Lucida Grande" w:hAnsi="Lucida Grande" w:cs="Lucida Grande"/>
      <w:sz w:val="18"/>
      <w:szCs w:val="18"/>
    </w:rPr>
  </w:style>
  <w:style w:type="paragraph" w:styleId="Header">
    <w:name w:val="header"/>
    <w:basedOn w:val="Normal"/>
    <w:link w:val="HeaderChar"/>
    <w:uiPriority w:val="99"/>
    <w:unhideWhenUsed/>
    <w:rsid w:val="00741F34"/>
    <w:pPr>
      <w:tabs>
        <w:tab w:val="center" w:pos="4320"/>
        <w:tab w:val="right" w:pos="8640"/>
      </w:tabs>
      <w:spacing w:after="0" w:line="240" w:lineRule="auto"/>
    </w:pPr>
  </w:style>
  <w:style w:type="character" w:customStyle="1" w:styleId="HeaderChar">
    <w:name w:val="Header Char"/>
    <w:basedOn w:val="DefaultParagraphFont"/>
    <w:link w:val="Header"/>
    <w:uiPriority w:val="99"/>
    <w:rsid w:val="00741F34"/>
    <w:rPr>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26ED"/>
    <w:pPr>
      <w:spacing w:after="160" w:line="259" w:lineRule="auto"/>
    </w:pPr>
    <w:rPr>
      <w:sz w:val="22"/>
      <w:szCs w:val="22"/>
    </w:rPr>
  </w:style>
  <w:style w:type="paragraph" w:styleId="Heading1">
    <w:name w:val="heading 1"/>
    <w:basedOn w:val="Normal"/>
    <w:link w:val="Heading1Char"/>
    <w:uiPriority w:val="9"/>
    <w:qFormat/>
    <w:rsid w:val="00CD78EF"/>
    <w:pPr>
      <w:spacing w:before="100" w:beforeAutospacing="1" w:after="100" w:afterAutospacing="1" w:line="240" w:lineRule="auto"/>
      <w:outlineLvl w:val="0"/>
    </w:pPr>
    <w:rPr>
      <w:rFonts w:ascii="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662373"/>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4C2"/>
    <w:pPr>
      <w:ind w:left="720"/>
      <w:contextualSpacing/>
    </w:pPr>
  </w:style>
  <w:style w:type="paragraph" w:styleId="FootnoteText">
    <w:name w:val="footnote text"/>
    <w:basedOn w:val="Normal"/>
    <w:link w:val="FootnoteTextChar"/>
    <w:uiPriority w:val="99"/>
    <w:unhideWhenUsed/>
    <w:rsid w:val="001F1D88"/>
    <w:pPr>
      <w:spacing w:after="0" w:line="240" w:lineRule="auto"/>
    </w:pPr>
    <w:rPr>
      <w:sz w:val="24"/>
      <w:szCs w:val="24"/>
    </w:rPr>
  </w:style>
  <w:style w:type="character" w:customStyle="1" w:styleId="FootnoteTextChar">
    <w:name w:val="Footnote Text Char"/>
    <w:basedOn w:val="DefaultParagraphFont"/>
    <w:link w:val="FootnoteText"/>
    <w:uiPriority w:val="99"/>
    <w:rsid w:val="001F1D88"/>
  </w:style>
  <w:style w:type="character" w:styleId="FootnoteReference">
    <w:name w:val="footnote reference"/>
    <w:basedOn w:val="DefaultParagraphFont"/>
    <w:uiPriority w:val="99"/>
    <w:unhideWhenUsed/>
    <w:rsid w:val="001F1D88"/>
    <w:rPr>
      <w:vertAlign w:val="superscript"/>
    </w:rPr>
  </w:style>
  <w:style w:type="paragraph" w:styleId="NormalWeb">
    <w:name w:val="Normal (Web)"/>
    <w:basedOn w:val="Normal"/>
    <w:uiPriority w:val="99"/>
    <w:unhideWhenUsed/>
    <w:rsid w:val="00801081"/>
    <w:pPr>
      <w:spacing w:before="100" w:beforeAutospacing="1" w:after="100" w:afterAutospacing="1" w:line="240" w:lineRule="auto"/>
    </w:pPr>
    <w:rPr>
      <w:rFonts w:ascii="Times New Roman" w:hAnsi="Times New Roman" w:cs="Times New Roman"/>
      <w:sz w:val="24"/>
      <w:szCs w:val="24"/>
      <w:lang w:eastAsia="en-GB"/>
    </w:rPr>
  </w:style>
  <w:style w:type="paragraph" w:styleId="DocumentMap">
    <w:name w:val="Document Map"/>
    <w:basedOn w:val="Normal"/>
    <w:link w:val="DocumentMapChar"/>
    <w:uiPriority w:val="99"/>
    <w:semiHidden/>
    <w:unhideWhenUsed/>
    <w:rsid w:val="00FC5488"/>
    <w:pPr>
      <w:spacing w:after="0" w:line="240" w:lineRule="auto"/>
    </w:pPr>
    <w:rPr>
      <w:rFonts w:ascii="Times New Roman" w:hAnsi="Times New Roman" w:cs="Times New Roman"/>
      <w:sz w:val="24"/>
      <w:szCs w:val="24"/>
    </w:rPr>
  </w:style>
  <w:style w:type="character" w:customStyle="1" w:styleId="DocumentMapChar">
    <w:name w:val="Document Map Char"/>
    <w:basedOn w:val="DefaultParagraphFont"/>
    <w:link w:val="DocumentMap"/>
    <w:uiPriority w:val="99"/>
    <w:semiHidden/>
    <w:rsid w:val="00FC5488"/>
    <w:rPr>
      <w:rFonts w:ascii="Times New Roman" w:hAnsi="Times New Roman" w:cs="Times New Roman"/>
    </w:rPr>
  </w:style>
  <w:style w:type="character" w:customStyle="1" w:styleId="apple-converted-space">
    <w:name w:val="apple-converted-space"/>
    <w:basedOn w:val="DefaultParagraphFont"/>
    <w:rsid w:val="001D605D"/>
  </w:style>
  <w:style w:type="character" w:styleId="Hyperlink">
    <w:name w:val="Hyperlink"/>
    <w:basedOn w:val="DefaultParagraphFont"/>
    <w:uiPriority w:val="99"/>
    <w:unhideWhenUsed/>
    <w:rsid w:val="001C3524"/>
    <w:rPr>
      <w:color w:val="0563C1" w:themeColor="hyperlink"/>
      <w:u w:val="single"/>
    </w:rPr>
  </w:style>
  <w:style w:type="paragraph" w:customStyle="1" w:styleId="tweettextsize">
    <w:name w:val="tweettextsize"/>
    <w:basedOn w:val="Normal"/>
    <w:rsid w:val="00A805F4"/>
    <w:pPr>
      <w:spacing w:before="100" w:beforeAutospacing="1" w:after="100" w:afterAutospacing="1" w:line="240" w:lineRule="auto"/>
    </w:pPr>
    <w:rPr>
      <w:rFonts w:ascii="Times New Roman" w:hAnsi="Times New Roman" w:cs="Times New Roman"/>
      <w:sz w:val="24"/>
      <w:szCs w:val="24"/>
      <w:lang w:eastAsia="en-GB"/>
    </w:rPr>
  </w:style>
  <w:style w:type="character" w:customStyle="1" w:styleId="invisible">
    <w:name w:val="invisible"/>
    <w:basedOn w:val="DefaultParagraphFont"/>
    <w:rsid w:val="00A805F4"/>
  </w:style>
  <w:style w:type="character" w:customStyle="1" w:styleId="js-display-url">
    <w:name w:val="js-display-url"/>
    <w:basedOn w:val="DefaultParagraphFont"/>
    <w:rsid w:val="00A805F4"/>
  </w:style>
  <w:style w:type="character" w:styleId="Emphasis">
    <w:name w:val="Emphasis"/>
    <w:basedOn w:val="DefaultParagraphFont"/>
    <w:uiPriority w:val="20"/>
    <w:qFormat/>
    <w:rsid w:val="00A14A7A"/>
    <w:rPr>
      <w:i/>
      <w:iCs/>
    </w:rPr>
  </w:style>
  <w:style w:type="character" w:customStyle="1" w:styleId="Heading1Char">
    <w:name w:val="Heading 1 Char"/>
    <w:basedOn w:val="DefaultParagraphFont"/>
    <w:link w:val="Heading1"/>
    <w:uiPriority w:val="9"/>
    <w:rsid w:val="00CD78EF"/>
    <w:rPr>
      <w:rFonts w:ascii="Times New Roman" w:hAnsi="Times New Roman" w:cs="Times New Roman"/>
      <w:b/>
      <w:bCs/>
      <w:kern w:val="36"/>
      <w:sz w:val="48"/>
      <w:szCs w:val="48"/>
      <w:lang w:eastAsia="en-GB"/>
    </w:rPr>
  </w:style>
  <w:style w:type="character" w:customStyle="1" w:styleId="pagenumber">
    <w:name w:val="pagenumber"/>
    <w:basedOn w:val="DefaultParagraphFont"/>
    <w:rsid w:val="00CD78EF"/>
  </w:style>
  <w:style w:type="character" w:styleId="FollowedHyperlink">
    <w:name w:val="FollowedHyperlink"/>
    <w:basedOn w:val="DefaultParagraphFont"/>
    <w:uiPriority w:val="99"/>
    <w:semiHidden/>
    <w:unhideWhenUsed/>
    <w:rsid w:val="001B20F7"/>
    <w:rPr>
      <w:color w:val="954F72" w:themeColor="followedHyperlink"/>
      <w:u w:val="single"/>
    </w:rPr>
  </w:style>
  <w:style w:type="character" w:customStyle="1" w:styleId="m-107880305223648139msofootnotereference">
    <w:name w:val="m_-107880305223648139msofootnotereference"/>
    <w:basedOn w:val="DefaultParagraphFont"/>
    <w:rsid w:val="00183D77"/>
  </w:style>
  <w:style w:type="paragraph" w:styleId="Footer">
    <w:name w:val="footer"/>
    <w:basedOn w:val="Normal"/>
    <w:link w:val="FooterChar"/>
    <w:uiPriority w:val="99"/>
    <w:unhideWhenUsed/>
    <w:rsid w:val="001F2427"/>
    <w:pPr>
      <w:tabs>
        <w:tab w:val="center" w:pos="4320"/>
        <w:tab w:val="right" w:pos="8640"/>
      </w:tabs>
      <w:spacing w:after="0" w:line="240" w:lineRule="auto"/>
    </w:pPr>
  </w:style>
  <w:style w:type="character" w:customStyle="1" w:styleId="FooterChar">
    <w:name w:val="Footer Char"/>
    <w:basedOn w:val="DefaultParagraphFont"/>
    <w:link w:val="Footer"/>
    <w:uiPriority w:val="99"/>
    <w:rsid w:val="001F2427"/>
    <w:rPr>
      <w:sz w:val="22"/>
      <w:szCs w:val="22"/>
    </w:rPr>
  </w:style>
  <w:style w:type="character" w:styleId="PageNumber0">
    <w:name w:val="page number"/>
    <w:basedOn w:val="DefaultParagraphFont"/>
    <w:uiPriority w:val="99"/>
    <w:semiHidden/>
    <w:unhideWhenUsed/>
    <w:rsid w:val="001F2427"/>
  </w:style>
  <w:style w:type="character" w:customStyle="1" w:styleId="Heading3Char">
    <w:name w:val="Heading 3 Char"/>
    <w:basedOn w:val="DefaultParagraphFont"/>
    <w:link w:val="Heading3"/>
    <w:uiPriority w:val="9"/>
    <w:semiHidden/>
    <w:rsid w:val="00662373"/>
    <w:rPr>
      <w:rFonts w:asciiTheme="majorHAnsi" w:eastAsiaTheme="majorEastAsia" w:hAnsiTheme="majorHAnsi" w:cstheme="majorBidi"/>
      <w:b/>
      <w:bCs/>
      <w:color w:val="4472C4" w:themeColor="accent1"/>
      <w:sz w:val="22"/>
      <w:szCs w:val="22"/>
    </w:rPr>
  </w:style>
  <w:style w:type="paragraph" w:styleId="BalloonText">
    <w:name w:val="Balloon Text"/>
    <w:basedOn w:val="Normal"/>
    <w:link w:val="BalloonTextChar"/>
    <w:uiPriority w:val="99"/>
    <w:semiHidden/>
    <w:unhideWhenUsed/>
    <w:rsid w:val="00662373"/>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2373"/>
    <w:rPr>
      <w:rFonts w:ascii="Lucida Grande" w:hAnsi="Lucida Grande" w:cs="Lucida Grande"/>
      <w:sz w:val="18"/>
      <w:szCs w:val="18"/>
    </w:rPr>
  </w:style>
  <w:style w:type="paragraph" w:styleId="Header">
    <w:name w:val="header"/>
    <w:basedOn w:val="Normal"/>
    <w:link w:val="HeaderChar"/>
    <w:uiPriority w:val="99"/>
    <w:unhideWhenUsed/>
    <w:rsid w:val="00741F34"/>
    <w:pPr>
      <w:tabs>
        <w:tab w:val="center" w:pos="4320"/>
        <w:tab w:val="right" w:pos="8640"/>
      </w:tabs>
      <w:spacing w:after="0" w:line="240" w:lineRule="auto"/>
    </w:pPr>
  </w:style>
  <w:style w:type="character" w:customStyle="1" w:styleId="HeaderChar">
    <w:name w:val="Header Char"/>
    <w:basedOn w:val="DefaultParagraphFont"/>
    <w:link w:val="Header"/>
    <w:uiPriority w:val="99"/>
    <w:rsid w:val="00741F34"/>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874796">
      <w:bodyDiv w:val="1"/>
      <w:marLeft w:val="0"/>
      <w:marRight w:val="0"/>
      <w:marTop w:val="0"/>
      <w:marBottom w:val="0"/>
      <w:divBdr>
        <w:top w:val="none" w:sz="0" w:space="0" w:color="auto"/>
        <w:left w:val="none" w:sz="0" w:space="0" w:color="auto"/>
        <w:bottom w:val="none" w:sz="0" w:space="0" w:color="auto"/>
        <w:right w:val="none" w:sz="0" w:space="0" w:color="auto"/>
      </w:divBdr>
    </w:div>
    <w:div w:id="80834268">
      <w:bodyDiv w:val="1"/>
      <w:marLeft w:val="0"/>
      <w:marRight w:val="0"/>
      <w:marTop w:val="0"/>
      <w:marBottom w:val="0"/>
      <w:divBdr>
        <w:top w:val="none" w:sz="0" w:space="0" w:color="auto"/>
        <w:left w:val="none" w:sz="0" w:space="0" w:color="auto"/>
        <w:bottom w:val="none" w:sz="0" w:space="0" w:color="auto"/>
        <w:right w:val="none" w:sz="0" w:space="0" w:color="auto"/>
      </w:divBdr>
    </w:div>
    <w:div w:id="99572787">
      <w:bodyDiv w:val="1"/>
      <w:marLeft w:val="0"/>
      <w:marRight w:val="0"/>
      <w:marTop w:val="0"/>
      <w:marBottom w:val="0"/>
      <w:divBdr>
        <w:top w:val="none" w:sz="0" w:space="0" w:color="auto"/>
        <w:left w:val="none" w:sz="0" w:space="0" w:color="auto"/>
        <w:bottom w:val="none" w:sz="0" w:space="0" w:color="auto"/>
        <w:right w:val="none" w:sz="0" w:space="0" w:color="auto"/>
      </w:divBdr>
      <w:divsChild>
        <w:div w:id="64836444">
          <w:marLeft w:val="0"/>
          <w:marRight w:val="0"/>
          <w:marTop w:val="0"/>
          <w:marBottom w:val="0"/>
          <w:divBdr>
            <w:top w:val="none" w:sz="0" w:space="0" w:color="auto"/>
            <w:left w:val="none" w:sz="0" w:space="0" w:color="auto"/>
            <w:bottom w:val="none" w:sz="0" w:space="0" w:color="auto"/>
            <w:right w:val="none" w:sz="0" w:space="0" w:color="auto"/>
          </w:divBdr>
          <w:divsChild>
            <w:div w:id="1792746145">
              <w:marLeft w:val="0"/>
              <w:marRight w:val="0"/>
              <w:marTop w:val="0"/>
              <w:marBottom w:val="0"/>
              <w:divBdr>
                <w:top w:val="none" w:sz="0" w:space="0" w:color="auto"/>
                <w:left w:val="none" w:sz="0" w:space="0" w:color="auto"/>
                <w:bottom w:val="none" w:sz="0" w:space="0" w:color="auto"/>
                <w:right w:val="none" w:sz="0" w:space="0" w:color="auto"/>
              </w:divBdr>
              <w:divsChild>
                <w:div w:id="76330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171663">
      <w:bodyDiv w:val="1"/>
      <w:marLeft w:val="0"/>
      <w:marRight w:val="0"/>
      <w:marTop w:val="0"/>
      <w:marBottom w:val="0"/>
      <w:divBdr>
        <w:top w:val="none" w:sz="0" w:space="0" w:color="auto"/>
        <w:left w:val="none" w:sz="0" w:space="0" w:color="auto"/>
        <w:bottom w:val="none" w:sz="0" w:space="0" w:color="auto"/>
        <w:right w:val="none" w:sz="0" w:space="0" w:color="auto"/>
      </w:divBdr>
    </w:div>
    <w:div w:id="227032897">
      <w:bodyDiv w:val="1"/>
      <w:marLeft w:val="0"/>
      <w:marRight w:val="0"/>
      <w:marTop w:val="0"/>
      <w:marBottom w:val="0"/>
      <w:divBdr>
        <w:top w:val="none" w:sz="0" w:space="0" w:color="auto"/>
        <w:left w:val="none" w:sz="0" w:space="0" w:color="auto"/>
        <w:bottom w:val="none" w:sz="0" w:space="0" w:color="auto"/>
        <w:right w:val="none" w:sz="0" w:space="0" w:color="auto"/>
      </w:divBdr>
      <w:divsChild>
        <w:div w:id="1356229823">
          <w:marLeft w:val="0"/>
          <w:marRight w:val="0"/>
          <w:marTop w:val="0"/>
          <w:marBottom w:val="0"/>
          <w:divBdr>
            <w:top w:val="none" w:sz="0" w:space="0" w:color="auto"/>
            <w:left w:val="none" w:sz="0" w:space="0" w:color="auto"/>
            <w:bottom w:val="none" w:sz="0" w:space="0" w:color="auto"/>
            <w:right w:val="none" w:sz="0" w:space="0" w:color="auto"/>
          </w:divBdr>
          <w:divsChild>
            <w:div w:id="279997253">
              <w:marLeft w:val="0"/>
              <w:marRight w:val="0"/>
              <w:marTop w:val="0"/>
              <w:marBottom w:val="0"/>
              <w:divBdr>
                <w:top w:val="none" w:sz="0" w:space="0" w:color="auto"/>
                <w:left w:val="none" w:sz="0" w:space="0" w:color="auto"/>
                <w:bottom w:val="none" w:sz="0" w:space="0" w:color="auto"/>
                <w:right w:val="none" w:sz="0" w:space="0" w:color="auto"/>
              </w:divBdr>
              <w:divsChild>
                <w:div w:id="155296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722209">
      <w:bodyDiv w:val="1"/>
      <w:marLeft w:val="0"/>
      <w:marRight w:val="0"/>
      <w:marTop w:val="0"/>
      <w:marBottom w:val="0"/>
      <w:divBdr>
        <w:top w:val="none" w:sz="0" w:space="0" w:color="auto"/>
        <w:left w:val="none" w:sz="0" w:space="0" w:color="auto"/>
        <w:bottom w:val="none" w:sz="0" w:space="0" w:color="auto"/>
        <w:right w:val="none" w:sz="0" w:space="0" w:color="auto"/>
      </w:divBdr>
      <w:divsChild>
        <w:div w:id="1471510160">
          <w:marLeft w:val="0"/>
          <w:marRight w:val="0"/>
          <w:marTop w:val="0"/>
          <w:marBottom w:val="0"/>
          <w:divBdr>
            <w:top w:val="none" w:sz="0" w:space="0" w:color="auto"/>
            <w:left w:val="none" w:sz="0" w:space="0" w:color="auto"/>
            <w:bottom w:val="none" w:sz="0" w:space="0" w:color="auto"/>
            <w:right w:val="none" w:sz="0" w:space="0" w:color="auto"/>
          </w:divBdr>
          <w:divsChild>
            <w:div w:id="1301764458">
              <w:marLeft w:val="0"/>
              <w:marRight w:val="0"/>
              <w:marTop w:val="0"/>
              <w:marBottom w:val="0"/>
              <w:divBdr>
                <w:top w:val="none" w:sz="0" w:space="0" w:color="auto"/>
                <w:left w:val="none" w:sz="0" w:space="0" w:color="auto"/>
                <w:bottom w:val="none" w:sz="0" w:space="0" w:color="auto"/>
                <w:right w:val="none" w:sz="0" w:space="0" w:color="auto"/>
              </w:divBdr>
              <w:divsChild>
                <w:div w:id="54279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572158">
      <w:bodyDiv w:val="1"/>
      <w:marLeft w:val="0"/>
      <w:marRight w:val="0"/>
      <w:marTop w:val="0"/>
      <w:marBottom w:val="0"/>
      <w:divBdr>
        <w:top w:val="none" w:sz="0" w:space="0" w:color="auto"/>
        <w:left w:val="none" w:sz="0" w:space="0" w:color="auto"/>
        <w:bottom w:val="none" w:sz="0" w:space="0" w:color="auto"/>
        <w:right w:val="none" w:sz="0" w:space="0" w:color="auto"/>
      </w:divBdr>
      <w:divsChild>
        <w:div w:id="1122725212">
          <w:marLeft w:val="0"/>
          <w:marRight w:val="0"/>
          <w:marTop w:val="0"/>
          <w:marBottom w:val="0"/>
          <w:divBdr>
            <w:top w:val="none" w:sz="0" w:space="0" w:color="auto"/>
            <w:left w:val="none" w:sz="0" w:space="0" w:color="auto"/>
            <w:bottom w:val="none" w:sz="0" w:space="0" w:color="auto"/>
            <w:right w:val="none" w:sz="0" w:space="0" w:color="auto"/>
          </w:divBdr>
          <w:divsChild>
            <w:div w:id="232009936">
              <w:marLeft w:val="0"/>
              <w:marRight w:val="0"/>
              <w:marTop w:val="0"/>
              <w:marBottom w:val="0"/>
              <w:divBdr>
                <w:top w:val="none" w:sz="0" w:space="0" w:color="auto"/>
                <w:left w:val="none" w:sz="0" w:space="0" w:color="auto"/>
                <w:bottom w:val="none" w:sz="0" w:space="0" w:color="auto"/>
                <w:right w:val="none" w:sz="0" w:space="0" w:color="auto"/>
              </w:divBdr>
              <w:divsChild>
                <w:div w:id="46631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473836">
      <w:bodyDiv w:val="1"/>
      <w:marLeft w:val="0"/>
      <w:marRight w:val="0"/>
      <w:marTop w:val="0"/>
      <w:marBottom w:val="0"/>
      <w:divBdr>
        <w:top w:val="none" w:sz="0" w:space="0" w:color="auto"/>
        <w:left w:val="none" w:sz="0" w:space="0" w:color="auto"/>
        <w:bottom w:val="none" w:sz="0" w:space="0" w:color="auto"/>
        <w:right w:val="none" w:sz="0" w:space="0" w:color="auto"/>
      </w:divBdr>
    </w:div>
    <w:div w:id="489442292">
      <w:bodyDiv w:val="1"/>
      <w:marLeft w:val="0"/>
      <w:marRight w:val="0"/>
      <w:marTop w:val="0"/>
      <w:marBottom w:val="0"/>
      <w:divBdr>
        <w:top w:val="none" w:sz="0" w:space="0" w:color="auto"/>
        <w:left w:val="none" w:sz="0" w:space="0" w:color="auto"/>
        <w:bottom w:val="none" w:sz="0" w:space="0" w:color="auto"/>
        <w:right w:val="none" w:sz="0" w:space="0" w:color="auto"/>
      </w:divBdr>
    </w:div>
    <w:div w:id="547843497">
      <w:bodyDiv w:val="1"/>
      <w:marLeft w:val="0"/>
      <w:marRight w:val="0"/>
      <w:marTop w:val="0"/>
      <w:marBottom w:val="0"/>
      <w:divBdr>
        <w:top w:val="none" w:sz="0" w:space="0" w:color="auto"/>
        <w:left w:val="none" w:sz="0" w:space="0" w:color="auto"/>
        <w:bottom w:val="none" w:sz="0" w:space="0" w:color="auto"/>
        <w:right w:val="none" w:sz="0" w:space="0" w:color="auto"/>
      </w:divBdr>
    </w:div>
    <w:div w:id="609435593">
      <w:bodyDiv w:val="1"/>
      <w:marLeft w:val="0"/>
      <w:marRight w:val="0"/>
      <w:marTop w:val="0"/>
      <w:marBottom w:val="0"/>
      <w:divBdr>
        <w:top w:val="none" w:sz="0" w:space="0" w:color="auto"/>
        <w:left w:val="none" w:sz="0" w:space="0" w:color="auto"/>
        <w:bottom w:val="none" w:sz="0" w:space="0" w:color="auto"/>
        <w:right w:val="none" w:sz="0" w:space="0" w:color="auto"/>
      </w:divBdr>
    </w:div>
    <w:div w:id="666980010">
      <w:bodyDiv w:val="1"/>
      <w:marLeft w:val="0"/>
      <w:marRight w:val="0"/>
      <w:marTop w:val="0"/>
      <w:marBottom w:val="0"/>
      <w:divBdr>
        <w:top w:val="none" w:sz="0" w:space="0" w:color="auto"/>
        <w:left w:val="none" w:sz="0" w:space="0" w:color="auto"/>
        <w:bottom w:val="none" w:sz="0" w:space="0" w:color="auto"/>
        <w:right w:val="none" w:sz="0" w:space="0" w:color="auto"/>
      </w:divBdr>
      <w:divsChild>
        <w:div w:id="1041592462">
          <w:marLeft w:val="0"/>
          <w:marRight w:val="0"/>
          <w:marTop w:val="0"/>
          <w:marBottom w:val="0"/>
          <w:divBdr>
            <w:top w:val="none" w:sz="0" w:space="0" w:color="auto"/>
            <w:left w:val="none" w:sz="0" w:space="0" w:color="auto"/>
            <w:bottom w:val="none" w:sz="0" w:space="0" w:color="auto"/>
            <w:right w:val="none" w:sz="0" w:space="0" w:color="auto"/>
          </w:divBdr>
          <w:divsChild>
            <w:div w:id="1374429421">
              <w:marLeft w:val="0"/>
              <w:marRight w:val="0"/>
              <w:marTop w:val="0"/>
              <w:marBottom w:val="0"/>
              <w:divBdr>
                <w:top w:val="none" w:sz="0" w:space="0" w:color="auto"/>
                <w:left w:val="none" w:sz="0" w:space="0" w:color="auto"/>
                <w:bottom w:val="none" w:sz="0" w:space="0" w:color="auto"/>
                <w:right w:val="none" w:sz="0" w:space="0" w:color="auto"/>
              </w:divBdr>
              <w:divsChild>
                <w:div w:id="99773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3433867">
      <w:bodyDiv w:val="1"/>
      <w:marLeft w:val="0"/>
      <w:marRight w:val="0"/>
      <w:marTop w:val="0"/>
      <w:marBottom w:val="0"/>
      <w:divBdr>
        <w:top w:val="none" w:sz="0" w:space="0" w:color="auto"/>
        <w:left w:val="none" w:sz="0" w:space="0" w:color="auto"/>
        <w:bottom w:val="none" w:sz="0" w:space="0" w:color="auto"/>
        <w:right w:val="none" w:sz="0" w:space="0" w:color="auto"/>
      </w:divBdr>
      <w:divsChild>
        <w:div w:id="402915379">
          <w:marLeft w:val="0"/>
          <w:marRight w:val="0"/>
          <w:marTop w:val="0"/>
          <w:marBottom w:val="0"/>
          <w:divBdr>
            <w:top w:val="none" w:sz="0" w:space="0" w:color="auto"/>
            <w:left w:val="none" w:sz="0" w:space="0" w:color="auto"/>
            <w:bottom w:val="none" w:sz="0" w:space="0" w:color="auto"/>
            <w:right w:val="none" w:sz="0" w:space="0" w:color="auto"/>
          </w:divBdr>
          <w:divsChild>
            <w:div w:id="1295722676">
              <w:marLeft w:val="0"/>
              <w:marRight w:val="0"/>
              <w:marTop w:val="0"/>
              <w:marBottom w:val="0"/>
              <w:divBdr>
                <w:top w:val="none" w:sz="0" w:space="0" w:color="auto"/>
                <w:left w:val="none" w:sz="0" w:space="0" w:color="auto"/>
                <w:bottom w:val="none" w:sz="0" w:space="0" w:color="auto"/>
                <w:right w:val="none" w:sz="0" w:space="0" w:color="auto"/>
              </w:divBdr>
              <w:divsChild>
                <w:div w:id="1458721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074150">
      <w:bodyDiv w:val="1"/>
      <w:marLeft w:val="0"/>
      <w:marRight w:val="0"/>
      <w:marTop w:val="0"/>
      <w:marBottom w:val="0"/>
      <w:divBdr>
        <w:top w:val="none" w:sz="0" w:space="0" w:color="auto"/>
        <w:left w:val="none" w:sz="0" w:space="0" w:color="auto"/>
        <w:bottom w:val="none" w:sz="0" w:space="0" w:color="auto"/>
        <w:right w:val="none" w:sz="0" w:space="0" w:color="auto"/>
      </w:divBdr>
    </w:div>
    <w:div w:id="713847948">
      <w:bodyDiv w:val="1"/>
      <w:marLeft w:val="0"/>
      <w:marRight w:val="0"/>
      <w:marTop w:val="0"/>
      <w:marBottom w:val="0"/>
      <w:divBdr>
        <w:top w:val="none" w:sz="0" w:space="0" w:color="auto"/>
        <w:left w:val="none" w:sz="0" w:space="0" w:color="auto"/>
        <w:bottom w:val="none" w:sz="0" w:space="0" w:color="auto"/>
        <w:right w:val="none" w:sz="0" w:space="0" w:color="auto"/>
      </w:divBdr>
    </w:div>
    <w:div w:id="723137805">
      <w:bodyDiv w:val="1"/>
      <w:marLeft w:val="0"/>
      <w:marRight w:val="0"/>
      <w:marTop w:val="0"/>
      <w:marBottom w:val="0"/>
      <w:divBdr>
        <w:top w:val="none" w:sz="0" w:space="0" w:color="auto"/>
        <w:left w:val="none" w:sz="0" w:space="0" w:color="auto"/>
        <w:bottom w:val="none" w:sz="0" w:space="0" w:color="auto"/>
        <w:right w:val="none" w:sz="0" w:space="0" w:color="auto"/>
      </w:divBdr>
    </w:div>
    <w:div w:id="853541908">
      <w:bodyDiv w:val="1"/>
      <w:marLeft w:val="0"/>
      <w:marRight w:val="0"/>
      <w:marTop w:val="0"/>
      <w:marBottom w:val="0"/>
      <w:divBdr>
        <w:top w:val="none" w:sz="0" w:space="0" w:color="auto"/>
        <w:left w:val="none" w:sz="0" w:space="0" w:color="auto"/>
        <w:bottom w:val="none" w:sz="0" w:space="0" w:color="auto"/>
        <w:right w:val="none" w:sz="0" w:space="0" w:color="auto"/>
      </w:divBdr>
      <w:divsChild>
        <w:div w:id="1747847700">
          <w:marLeft w:val="0"/>
          <w:marRight w:val="0"/>
          <w:marTop w:val="0"/>
          <w:marBottom w:val="0"/>
          <w:divBdr>
            <w:top w:val="none" w:sz="0" w:space="0" w:color="auto"/>
            <w:left w:val="none" w:sz="0" w:space="0" w:color="auto"/>
            <w:bottom w:val="none" w:sz="0" w:space="0" w:color="auto"/>
            <w:right w:val="none" w:sz="0" w:space="0" w:color="auto"/>
          </w:divBdr>
          <w:divsChild>
            <w:div w:id="857891346">
              <w:marLeft w:val="0"/>
              <w:marRight w:val="0"/>
              <w:marTop w:val="0"/>
              <w:marBottom w:val="0"/>
              <w:divBdr>
                <w:top w:val="none" w:sz="0" w:space="0" w:color="auto"/>
                <w:left w:val="none" w:sz="0" w:space="0" w:color="auto"/>
                <w:bottom w:val="none" w:sz="0" w:space="0" w:color="auto"/>
                <w:right w:val="none" w:sz="0" w:space="0" w:color="auto"/>
              </w:divBdr>
              <w:divsChild>
                <w:div w:id="43040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615099">
      <w:bodyDiv w:val="1"/>
      <w:marLeft w:val="0"/>
      <w:marRight w:val="0"/>
      <w:marTop w:val="0"/>
      <w:marBottom w:val="0"/>
      <w:divBdr>
        <w:top w:val="none" w:sz="0" w:space="0" w:color="auto"/>
        <w:left w:val="none" w:sz="0" w:space="0" w:color="auto"/>
        <w:bottom w:val="none" w:sz="0" w:space="0" w:color="auto"/>
        <w:right w:val="none" w:sz="0" w:space="0" w:color="auto"/>
      </w:divBdr>
      <w:divsChild>
        <w:div w:id="2094158815">
          <w:marLeft w:val="0"/>
          <w:marRight w:val="0"/>
          <w:marTop w:val="0"/>
          <w:marBottom w:val="0"/>
          <w:divBdr>
            <w:top w:val="none" w:sz="0" w:space="0" w:color="auto"/>
            <w:left w:val="none" w:sz="0" w:space="0" w:color="auto"/>
            <w:bottom w:val="none" w:sz="0" w:space="0" w:color="auto"/>
            <w:right w:val="none" w:sz="0" w:space="0" w:color="auto"/>
          </w:divBdr>
          <w:divsChild>
            <w:div w:id="1893347958">
              <w:marLeft w:val="0"/>
              <w:marRight w:val="0"/>
              <w:marTop w:val="0"/>
              <w:marBottom w:val="0"/>
              <w:divBdr>
                <w:top w:val="none" w:sz="0" w:space="0" w:color="auto"/>
                <w:left w:val="none" w:sz="0" w:space="0" w:color="auto"/>
                <w:bottom w:val="none" w:sz="0" w:space="0" w:color="auto"/>
                <w:right w:val="none" w:sz="0" w:space="0" w:color="auto"/>
              </w:divBdr>
              <w:divsChild>
                <w:div w:id="138872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884925">
      <w:bodyDiv w:val="1"/>
      <w:marLeft w:val="0"/>
      <w:marRight w:val="0"/>
      <w:marTop w:val="0"/>
      <w:marBottom w:val="0"/>
      <w:divBdr>
        <w:top w:val="none" w:sz="0" w:space="0" w:color="auto"/>
        <w:left w:val="none" w:sz="0" w:space="0" w:color="auto"/>
        <w:bottom w:val="none" w:sz="0" w:space="0" w:color="auto"/>
        <w:right w:val="none" w:sz="0" w:space="0" w:color="auto"/>
      </w:divBdr>
      <w:divsChild>
        <w:div w:id="1580481018">
          <w:marLeft w:val="0"/>
          <w:marRight w:val="0"/>
          <w:marTop w:val="0"/>
          <w:marBottom w:val="0"/>
          <w:divBdr>
            <w:top w:val="none" w:sz="0" w:space="0" w:color="auto"/>
            <w:left w:val="none" w:sz="0" w:space="0" w:color="auto"/>
            <w:bottom w:val="none" w:sz="0" w:space="0" w:color="auto"/>
            <w:right w:val="none" w:sz="0" w:space="0" w:color="auto"/>
          </w:divBdr>
          <w:divsChild>
            <w:div w:id="1895041347">
              <w:marLeft w:val="0"/>
              <w:marRight w:val="0"/>
              <w:marTop w:val="0"/>
              <w:marBottom w:val="0"/>
              <w:divBdr>
                <w:top w:val="none" w:sz="0" w:space="0" w:color="auto"/>
                <w:left w:val="none" w:sz="0" w:space="0" w:color="auto"/>
                <w:bottom w:val="none" w:sz="0" w:space="0" w:color="auto"/>
                <w:right w:val="none" w:sz="0" w:space="0" w:color="auto"/>
              </w:divBdr>
              <w:divsChild>
                <w:div w:id="209770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200822">
      <w:bodyDiv w:val="1"/>
      <w:marLeft w:val="0"/>
      <w:marRight w:val="0"/>
      <w:marTop w:val="0"/>
      <w:marBottom w:val="0"/>
      <w:divBdr>
        <w:top w:val="none" w:sz="0" w:space="0" w:color="auto"/>
        <w:left w:val="none" w:sz="0" w:space="0" w:color="auto"/>
        <w:bottom w:val="none" w:sz="0" w:space="0" w:color="auto"/>
        <w:right w:val="none" w:sz="0" w:space="0" w:color="auto"/>
      </w:divBdr>
    </w:div>
    <w:div w:id="1074007793">
      <w:bodyDiv w:val="1"/>
      <w:marLeft w:val="0"/>
      <w:marRight w:val="0"/>
      <w:marTop w:val="0"/>
      <w:marBottom w:val="0"/>
      <w:divBdr>
        <w:top w:val="none" w:sz="0" w:space="0" w:color="auto"/>
        <w:left w:val="none" w:sz="0" w:space="0" w:color="auto"/>
        <w:bottom w:val="none" w:sz="0" w:space="0" w:color="auto"/>
        <w:right w:val="none" w:sz="0" w:space="0" w:color="auto"/>
      </w:divBdr>
      <w:divsChild>
        <w:div w:id="1826241522">
          <w:marLeft w:val="0"/>
          <w:marRight w:val="0"/>
          <w:marTop w:val="0"/>
          <w:marBottom w:val="0"/>
          <w:divBdr>
            <w:top w:val="none" w:sz="0" w:space="0" w:color="auto"/>
            <w:left w:val="none" w:sz="0" w:space="0" w:color="auto"/>
            <w:bottom w:val="none" w:sz="0" w:space="0" w:color="auto"/>
            <w:right w:val="none" w:sz="0" w:space="0" w:color="auto"/>
          </w:divBdr>
          <w:divsChild>
            <w:div w:id="1815490870">
              <w:marLeft w:val="0"/>
              <w:marRight w:val="0"/>
              <w:marTop w:val="0"/>
              <w:marBottom w:val="0"/>
              <w:divBdr>
                <w:top w:val="none" w:sz="0" w:space="0" w:color="auto"/>
                <w:left w:val="none" w:sz="0" w:space="0" w:color="auto"/>
                <w:bottom w:val="none" w:sz="0" w:space="0" w:color="auto"/>
                <w:right w:val="none" w:sz="0" w:space="0" w:color="auto"/>
              </w:divBdr>
              <w:divsChild>
                <w:div w:id="99479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267894">
      <w:bodyDiv w:val="1"/>
      <w:marLeft w:val="0"/>
      <w:marRight w:val="0"/>
      <w:marTop w:val="0"/>
      <w:marBottom w:val="0"/>
      <w:divBdr>
        <w:top w:val="none" w:sz="0" w:space="0" w:color="auto"/>
        <w:left w:val="none" w:sz="0" w:space="0" w:color="auto"/>
        <w:bottom w:val="none" w:sz="0" w:space="0" w:color="auto"/>
        <w:right w:val="none" w:sz="0" w:space="0" w:color="auto"/>
      </w:divBdr>
    </w:div>
    <w:div w:id="1134448108">
      <w:bodyDiv w:val="1"/>
      <w:marLeft w:val="0"/>
      <w:marRight w:val="0"/>
      <w:marTop w:val="0"/>
      <w:marBottom w:val="0"/>
      <w:divBdr>
        <w:top w:val="none" w:sz="0" w:space="0" w:color="auto"/>
        <w:left w:val="none" w:sz="0" w:space="0" w:color="auto"/>
        <w:bottom w:val="none" w:sz="0" w:space="0" w:color="auto"/>
        <w:right w:val="none" w:sz="0" w:space="0" w:color="auto"/>
      </w:divBdr>
    </w:div>
    <w:div w:id="1176000490">
      <w:bodyDiv w:val="1"/>
      <w:marLeft w:val="0"/>
      <w:marRight w:val="0"/>
      <w:marTop w:val="0"/>
      <w:marBottom w:val="0"/>
      <w:divBdr>
        <w:top w:val="none" w:sz="0" w:space="0" w:color="auto"/>
        <w:left w:val="none" w:sz="0" w:space="0" w:color="auto"/>
        <w:bottom w:val="none" w:sz="0" w:space="0" w:color="auto"/>
        <w:right w:val="none" w:sz="0" w:space="0" w:color="auto"/>
      </w:divBdr>
    </w:div>
    <w:div w:id="1190492966">
      <w:bodyDiv w:val="1"/>
      <w:marLeft w:val="0"/>
      <w:marRight w:val="0"/>
      <w:marTop w:val="0"/>
      <w:marBottom w:val="0"/>
      <w:divBdr>
        <w:top w:val="none" w:sz="0" w:space="0" w:color="auto"/>
        <w:left w:val="none" w:sz="0" w:space="0" w:color="auto"/>
        <w:bottom w:val="none" w:sz="0" w:space="0" w:color="auto"/>
        <w:right w:val="none" w:sz="0" w:space="0" w:color="auto"/>
      </w:divBdr>
    </w:div>
    <w:div w:id="1196039212">
      <w:bodyDiv w:val="1"/>
      <w:marLeft w:val="0"/>
      <w:marRight w:val="0"/>
      <w:marTop w:val="0"/>
      <w:marBottom w:val="0"/>
      <w:divBdr>
        <w:top w:val="none" w:sz="0" w:space="0" w:color="auto"/>
        <w:left w:val="none" w:sz="0" w:space="0" w:color="auto"/>
        <w:bottom w:val="none" w:sz="0" w:space="0" w:color="auto"/>
        <w:right w:val="none" w:sz="0" w:space="0" w:color="auto"/>
      </w:divBdr>
      <w:divsChild>
        <w:div w:id="43914323">
          <w:marLeft w:val="0"/>
          <w:marRight w:val="0"/>
          <w:marTop w:val="0"/>
          <w:marBottom w:val="0"/>
          <w:divBdr>
            <w:top w:val="none" w:sz="0" w:space="0" w:color="auto"/>
            <w:left w:val="none" w:sz="0" w:space="0" w:color="auto"/>
            <w:bottom w:val="none" w:sz="0" w:space="0" w:color="auto"/>
            <w:right w:val="none" w:sz="0" w:space="0" w:color="auto"/>
          </w:divBdr>
          <w:divsChild>
            <w:div w:id="330566707">
              <w:marLeft w:val="0"/>
              <w:marRight w:val="0"/>
              <w:marTop w:val="0"/>
              <w:marBottom w:val="0"/>
              <w:divBdr>
                <w:top w:val="none" w:sz="0" w:space="0" w:color="auto"/>
                <w:left w:val="none" w:sz="0" w:space="0" w:color="auto"/>
                <w:bottom w:val="none" w:sz="0" w:space="0" w:color="auto"/>
                <w:right w:val="none" w:sz="0" w:space="0" w:color="auto"/>
              </w:divBdr>
              <w:divsChild>
                <w:div w:id="1102803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715821">
      <w:bodyDiv w:val="1"/>
      <w:marLeft w:val="0"/>
      <w:marRight w:val="0"/>
      <w:marTop w:val="0"/>
      <w:marBottom w:val="0"/>
      <w:divBdr>
        <w:top w:val="none" w:sz="0" w:space="0" w:color="auto"/>
        <w:left w:val="none" w:sz="0" w:space="0" w:color="auto"/>
        <w:bottom w:val="none" w:sz="0" w:space="0" w:color="auto"/>
        <w:right w:val="none" w:sz="0" w:space="0" w:color="auto"/>
      </w:divBdr>
    </w:div>
    <w:div w:id="1208563091">
      <w:bodyDiv w:val="1"/>
      <w:marLeft w:val="0"/>
      <w:marRight w:val="0"/>
      <w:marTop w:val="0"/>
      <w:marBottom w:val="0"/>
      <w:divBdr>
        <w:top w:val="none" w:sz="0" w:space="0" w:color="auto"/>
        <w:left w:val="none" w:sz="0" w:space="0" w:color="auto"/>
        <w:bottom w:val="none" w:sz="0" w:space="0" w:color="auto"/>
        <w:right w:val="none" w:sz="0" w:space="0" w:color="auto"/>
      </w:divBdr>
    </w:div>
    <w:div w:id="1234320605">
      <w:bodyDiv w:val="1"/>
      <w:marLeft w:val="0"/>
      <w:marRight w:val="0"/>
      <w:marTop w:val="0"/>
      <w:marBottom w:val="0"/>
      <w:divBdr>
        <w:top w:val="none" w:sz="0" w:space="0" w:color="auto"/>
        <w:left w:val="none" w:sz="0" w:space="0" w:color="auto"/>
        <w:bottom w:val="none" w:sz="0" w:space="0" w:color="auto"/>
        <w:right w:val="none" w:sz="0" w:space="0" w:color="auto"/>
      </w:divBdr>
      <w:divsChild>
        <w:div w:id="1393655272">
          <w:marLeft w:val="0"/>
          <w:marRight w:val="0"/>
          <w:marTop w:val="0"/>
          <w:marBottom w:val="0"/>
          <w:divBdr>
            <w:top w:val="none" w:sz="0" w:space="0" w:color="auto"/>
            <w:left w:val="none" w:sz="0" w:space="0" w:color="auto"/>
            <w:bottom w:val="none" w:sz="0" w:space="0" w:color="auto"/>
            <w:right w:val="none" w:sz="0" w:space="0" w:color="auto"/>
          </w:divBdr>
          <w:divsChild>
            <w:div w:id="811560206">
              <w:marLeft w:val="0"/>
              <w:marRight w:val="0"/>
              <w:marTop w:val="0"/>
              <w:marBottom w:val="0"/>
              <w:divBdr>
                <w:top w:val="none" w:sz="0" w:space="0" w:color="auto"/>
                <w:left w:val="none" w:sz="0" w:space="0" w:color="auto"/>
                <w:bottom w:val="none" w:sz="0" w:space="0" w:color="auto"/>
                <w:right w:val="none" w:sz="0" w:space="0" w:color="auto"/>
              </w:divBdr>
              <w:divsChild>
                <w:div w:id="1691758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202259">
      <w:bodyDiv w:val="1"/>
      <w:marLeft w:val="0"/>
      <w:marRight w:val="0"/>
      <w:marTop w:val="0"/>
      <w:marBottom w:val="0"/>
      <w:divBdr>
        <w:top w:val="none" w:sz="0" w:space="0" w:color="auto"/>
        <w:left w:val="none" w:sz="0" w:space="0" w:color="auto"/>
        <w:bottom w:val="none" w:sz="0" w:space="0" w:color="auto"/>
        <w:right w:val="none" w:sz="0" w:space="0" w:color="auto"/>
      </w:divBdr>
    </w:div>
    <w:div w:id="1308166546">
      <w:bodyDiv w:val="1"/>
      <w:marLeft w:val="0"/>
      <w:marRight w:val="0"/>
      <w:marTop w:val="0"/>
      <w:marBottom w:val="0"/>
      <w:divBdr>
        <w:top w:val="none" w:sz="0" w:space="0" w:color="auto"/>
        <w:left w:val="none" w:sz="0" w:space="0" w:color="auto"/>
        <w:bottom w:val="none" w:sz="0" w:space="0" w:color="auto"/>
        <w:right w:val="none" w:sz="0" w:space="0" w:color="auto"/>
      </w:divBdr>
      <w:divsChild>
        <w:div w:id="380446731">
          <w:marLeft w:val="0"/>
          <w:marRight w:val="0"/>
          <w:marTop w:val="0"/>
          <w:marBottom w:val="0"/>
          <w:divBdr>
            <w:top w:val="none" w:sz="0" w:space="0" w:color="auto"/>
            <w:left w:val="none" w:sz="0" w:space="0" w:color="auto"/>
            <w:bottom w:val="none" w:sz="0" w:space="0" w:color="auto"/>
            <w:right w:val="none" w:sz="0" w:space="0" w:color="auto"/>
          </w:divBdr>
          <w:divsChild>
            <w:div w:id="1374038493">
              <w:marLeft w:val="0"/>
              <w:marRight w:val="0"/>
              <w:marTop w:val="0"/>
              <w:marBottom w:val="0"/>
              <w:divBdr>
                <w:top w:val="none" w:sz="0" w:space="0" w:color="auto"/>
                <w:left w:val="none" w:sz="0" w:space="0" w:color="auto"/>
                <w:bottom w:val="none" w:sz="0" w:space="0" w:color="auto"/>
                <w:right w:val="none" w:sz="0" w:space="0" w:color="auto"/>
              </w:divBdr>
              <w:divsChild>
                <w:div w:id="1436704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733434">
      <w:bodyDiv w:val="1"/>
      <w:marLeft w:val="0"/>
      <w:marRight w:val="0"/>
      <w:marTop w:val="0"/>
      <w:marBottom w:val="0"/>
      <w:divBdr>
        <w:top w:val="none" w:sz="0" w:space="0" w:color="auto"/>
        <w:left w:val="none" w:sz="0" w:space="0" w:color="auto"/>
        <w:bottom w:val="none" w:sz="0" w:space="0" w:color="auto"/>
        <w:right w:val="none" w:sz="0" w:space="0" w:color="auto"/>
      </w:divBdr>
      <w:divsChild>
        <w:div w:id="1747342024">
          <w:marLeft w:val="0"/>
          <w:marRight w:val="0"/>
          <w:marTop w:val="0"/>
          <w:marBottom w:val="0"/>
          <w:divBdr>
            <w:top w:val="none" w:sz="0" w:space="0" w:color="auto"/>
            <w:left w:val="none" w:sz="0" w:space="0" w:color="auto"/>
            <w:bottom w:val="none" w:sz="0" w:space="0" w:color="auto"/>
            <w:right w:val="none" w:sz="0" w:space="0" w:color="auto"/>
          </w:divBdr>
        </w:div>
        <w:div w:id="1654291300">
          <w:marLeft w:val="0"/>
          <w:marRight w:val="0"/>
          <w:marTop w:val="0"/>
          <w:marBottom w:val="0"/>
          <w:divBdr>
            <w:top w:val="none" w:sz="0" w:space="0" w:color="auto"/>
            <w:left w:val="none" w:sz="0" w:space="0" w:color="auto"/>
            <w:bottom w:val="none" w:sz="0" w:space="0" w:color="auto"/>
            <w:right w:val="none" w:sz="0" w:space="0" w:color="auto"/>
          </w:divBdr>
        </w:div>
        <w:div w:id="1775006195">
          <w:marLeft w:val="0"/>
          <w:marRight w:val="0"/>
          <w:marTop w:val="0"/>
          <w:marBottom w:val="0"/>
          <w:divBdr>
            <w:top w:val="none" w:sz="0" w:space="0" w:color="auto"/>
            <w:left w:val="none" w:sz="0" w:space="0" w:color="auto"/>
            <w:bottom w:val="none" w:sz="0" w:space="0" w:color="auto"/>
            <w:right w:val="none" w:sz="0" w:space="0" w:color="auto"/>
          </w:divBdr>
        </w:div>
        <w:div w:id="682901792">
          <w:marLeft w:val="0"/>
          <w:marRight w:val="0"/>
          <w:marTop w:val="0"/>
          <w:marBottom w:val="0"/>
          <w:divBdr>
            <w:top w:val="none" w:sz="0" w:space="0" w:color="auto"/>
            <w:left w:val="none" w:sz="0" w:space="0" w:color="auto"/>
            <w:bottom w:val="none" w:sz="0" w:space="0" w:color="auto"/>
            <w:right w:val="none" w:sz="0" w:space="0" w:color="auto"/>
          </w:divBdr>
        </w:div>
        <w:div w:id="1943222885">
          <w:marLeft w:val="0"/>
          <w:marRight w:val="0"/>
          <w:marTop w:val="0"/>
          <w:marBottom w:val="0"/>
          <w:divBdr>
            <w:top w:val="none" w:sz="0" w:space="0" w:color="auto"/>
            <w:left w:val="none" w:sz="0" w:space="0" w:color="auto"/>
            <w:bottom w:val="none" w:sz="0" w:space="0" w:color="auto"/>
            <w:right w:val="none" w:sz="0" w:space="0" w:color="auto"/>
          </w:divBdr>
        </w:div>
        <w:div w:id="1164928376">
          <w:marLeft w:val="0"/>
          <w:marRight w:val="0"/>
          <w:marTop w:val="0"/>
          <w:marBottom w:val="0"/>
          <w:divBdr>
            <w:top w:val="none" w:sz="0" w:space="0" w:color="auto"/>
            <w:left w:val="none" w:sz="0" w:space="0" w:color="auto"/>
            <w:bottom w:val="none" w:sz="0" w:space="0" w:color="auto"/>
            <w:right w:val="none" w:sz="0" w:space="0" w:color="auto"/>
          </w:divBdr>
        </w:div>
        <w:div w:id="1668823506">
          <w:marLeft w:val="0"/>
          <w:marRight w:val="0"/>
          <w:marTop w:val="0"/>
          <w:marBottom w:val="0"/>
          <w:divBdr>
            <w:top w:val="none" w:sz="0" w:space="0" w:color="auto"/>
            <w:left w:val="none" w:sz="0" w:space="0" w:color="auto"/>
            <w:bottom w:val="none" w:sz="0" w:space="0" w:color="auto"/>
            <w:right w:val="none" w:sz="0" w:space="0" w:color="auto"/>
          </w:divBdr>
        </w:div>
      </w:divsChild>
    </w:div>
    <w:div w:id="1456438475">
      <w:bodyDiv w:val="1"/>
      <w:marLeft w:val="0"/>
      <w:marRight w:val="0"/>
      <w:marTop w:val="0"/>
      <w:marBottom w:val="0"/>
      <w:divBdr>
        <w:top w:val="none" w:sz="0" w:space="0" w:color="auto"/>
        <w:left w:val="none" w:sz="0" w:space="0" w:color="auto"/>
        <w:bottom w:val="none" w:sz="0" w:space="0" w:color="auto"/>
        <w:right w:val="none" w:sz="0" w:space="0" w:color="auto"/>
      </w:divBdr>
    </w:div>
    <w:div w:id="1514759418">
      <w:bodyDiv w:val="1"/>
      <w:marLeft w:val="0"/>
      <w:marRight w:val="0"/>
      <w:marTop w:val="0"/>
      <w:marBottom w:val="0"/>
      <w:divBdr>
        <w:top w:val="none" w:sz="0" w:space="0" w:color="auto"/>
        <w:left w:val="none" w:sz="0" w:space="0" w:color="auto"/>
        <w:bottom w:val="none" w:sz="0" w:space="0" w:color="auto"/>
        <w:right w:val="none" w:sz="0" w:space="0" w:color="auto"/>
      </w:divBdr>
      <w:divsChild>
        <w:div w:id="1856504162">
          <w:marLeft w:val="0"/>
          <w:marRight w:val="0"/>
          <w:marTop w:val="0"/>
          <w:marBottom w:val="0"/>
          <w:divBdr>
            <w:top w:val="none" w:sz="0" w:space="0" w:color="auto"/>
            <w:left w:val="none" w:sz="0" w:space="0" w:color="auto"/>
            <w:bottom w:val="none" w:sz="0" w:space="0" w:color="auto"/>
            <w:right w:val="none" w:sz="0" w:space="0" w:color="auto"/>
          </w:divBdr>
          <w:divsChild>
            <w:div w:id="799617581">
              <w:marLeft w:val="0"/>
              <w:marRight w:val="0"/>
              <w:marTop w:val="0"/>
              <w:marBottom w:val="0"/>
              <w:divBdr>
                <w:top w:val="none" w:sz="0" w:space="0" w:color="auto"/>
                <w:left w:val="none" w:sz="0" w:space="0" w:color="auto"/>
                <w:bottom w:val="none" w:sz="0" w:space="0" w:color="auto"/>
                <w:right w:val="none" w:sz="0" w:space="0" w:color="auto"/>
              </w:divBdr>
              <w:divsChild>
                <w:div w:id="119900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520826">
          <w:marLeft w:val="0"/>
          <w:marRight w:val="0"/>
          <w:marTop w:val="0"/>
          <w:marBottom w:val="0"/>
          <w:divBdr>
            <w:top w:val="none" w:sz="0" w:space="0" w:color="auto"/>
            <w:left w:val="none" w:sz="0" w:space="0" w:color="auto"/>
            <w:bottom w:val="none" w:sz="0" w:space="0" w:color="auto"/>
            <w:right w:val="none" w:sz="0" w:space="0" w:color="auto"/>
          </w:divBdr>
          <w:divsChild>
            <w:div w:id="654720728">
              <w:marLeft w:val="0"/>
              <w:marRight w:val="0"/>
              <w:marTop w:val="0"/>
              <w:marBottom w:val="0"/>
              <w:divBdr>
                <w:top w:val="none" w:sz="0" w:space="0" w:color="auto"/>
                <w:left w:val="none" w:sz="0" w:space="0" w:color="auto"/>
                <w:bottom w:val="none" w:sz="0" w:space="0" w:color="auto"/>
                <w:right w:val="none" w:sz="0" w:space="0" w:color="auto"/>
              </w:divBdr>
              <w:divsChild>
                <w:div w:id="17946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75890">
          <w:marLeft w:val="0"/>
          <w:marRight w:val="0"/>
          <w:marTop w:val="0"/>
          <w:marBottom w:val="0"/>
          <w:divBdr>
            <w:top w:val="none" w:sz="0" w:space="0" w:color="auto"/>
            <w:left w:val="none" w:sz="0" w:space="0" w:color="auto"/>
            <w:bottom w:val="none" w:sz="0" w:space="0" w:color="auto"/>
            <w:right w:val="none" w:sz="0" w:space="0" w:color="auto"/>
          </w:divBdr>
          <w:divsChild>
            <w:div w:id="906263694">
              <w:marLeft w:val="0"/>
              <w:marRight w:val="0"/>
              <w:marTop w:val="0"/>
              <w:marBottom w:val="0"/>
              <w:divBdr>
                <w:top w:val="none" w:sz="0" w:space="0" w:color="auto"/>
                <w:left w:val="none" w:sz="0" w:space="0" w:color="auto"/>
                <w:bottom w:val="none" w:sz="0" w:space="0" w:color="auto"/>
                <w:right w:val="none" w:sz="0" w:space="0" w:color="auto"/>
              </w:divBdr>
              <w:divsChild>
                <w:div w:id="171465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740591">
      <w:bodyDiv w:val="1"/>
      <w:marLeft w:val="0"/>
      <w:marRight w:val="0"/>
      <w:marTop w:val="0"/>
      <w:marBottom w:val="0"/>
      <w:divBdr>
        <w:top w:val="none" w:sz="0" w:space="0" w:color="auto"/>
        <w:left w:val="none" w:sz="0" w:space="0" w:color="auto"/>
        <w:bottom w:val="none" w:sz="0" w:space="0" w:color="auto"/>
        <w:right w:val="none" w:sz="0" w:space="0" w:color="auto"/>
      </w:divBdr>
      <w:divsChild>
        <w:div w:id="90250054">
          <w:marLeft w:val="0"/>
          <w:marRight w:val="0"/>
          <w:marTop w:val="0"/>
          <w:marBottom w:val="0"/>
          <w:divBdr>
            <w:top w:val="none" w:sz="0" w:space="0" w:color="auto"/>
            <w:left w:val="none" w:sz="0" w:space="0" w:color="auto"/>
            <w:bottom w:val="none" w:sz="0" w:space="0" w:color="auto"/>
            <w:right w:val="none" w:sz="0" w:space="0" w:color="auto"/>
          </w:divBdr>
          <w:divsChild>
            <w:div w:id="2077196070">
              <w:marLeft w:val="0"/>
              <w:marRight w:val="0"/>
              <w:marTop w:val="0"/>
              <w:marBottom w:val="0"/>
              <w:divBdr>
                <w:top w:val="none" w:sz="0" w:space="0" w:color="auto"/>
                <w:left w:val="none" w:sz="0" w:space="0" w:color="auto"/>
                <w:bottom w:val="none" w:sz="0" w:space="0" w:color="auto"/>
                <w:right w:val="none" w:sz="0" w:space="0" w:color="auto"/>
              </w:divBdr>
              <w:divsChild>
                <w:div w:id="75760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281937">
      <w:bodyDiv w:val="1"/>
      <w:marLeft w:val="0"/>
      <w:marRight w:val="0"/>
      <w:marTop w:val="0"/>
      <w:marBottom w:val="0"/>
      <w:divBdr>
        <w:top w:val="none" w:sz="0" w:space="0" w:color="auto"/>
        <w:left w:val="none" w:sz="0" w:space="0" w:color="auto"/>
        <w:bottom w:val="none" w:sz="0" w:space="0" w:color="auto"/>
        <w:right w:val="none" w:sz="0" w:space="0" w:color="auto"/>
      </w:divBdr>
    </w:div>
    <w:div w:id="1550341590">
      <w:bodyDiv w:val="1"/>
      <w:marLeft w:val="0"/>
      <w:marRight w:val="0"/>
      <w:marTop w:val="0"/>
      <w:marBottom w:val="0"/>
      <w:divBdr>
        <w:top w:val="none" w:sz="0" w:space="0" w:color="auto"/>
        <w:left w:val="none" w:sz="0" w:space="0" w:color="auto"/>
        <w:bottom w:val="none" w:sz="0" w:space="0" w:color="auto"/>
        <w:right w:val="none" w:sz="0" w:space="0" w:color="auto"/>
      </w:divBdr>
    </w:div>
    <w:div w:id="1588541167">
      <w:bodyDiv w:val="1"/>
      <w:marLeft w:val="0"/>
      <w:marRight w:val="0"/>
      <w:marTop w:val="0"/>
      <w:marBottom w:val="0"/>
      <w:divBdr>
        <w:top w:val="none" w:sz="0" w:space="0" w:color="auto"/>
        <w:left w:val="none" w:sz="0" w:space="0" w:color="auto"/>
        <w:bottom w:val="none" w:sz="0" w:space="0" w:color="auto"/>
        <w:right w:val="none" w:sz="0" w:space="0" w:color="auto"/>
      </w:divBdr>
    </w:div>
    <w:div w:id="1594850752">
      <w:bodyDiv w:val="1"/>
      <w:marLeft w:val="0"/>
      <w:marRight w:val="0"/>
      <w:marTop w:val="0"/>
      <w:marBottom w:val="0"/>
      <w:divBdr>
        <w:top w:val="none" w:sz="0" w:space="0" w:color="auto"/>
        <w:left w:val="none" w:sz="0" w:space="0" w:color="auto"/>
        <w:bottom w:val="none" w:sz="0" w:space="0" w:color="auto"/>
        <w:right w:val="none" w:sz="0" w:space="0" w:color="auto"/>
      </w:divBdr>
      <w:divsChild>
        <w:div w:id="1483540500">
          <w:marLeft w:val="0"/>
          <w:marRight w:val="0"/>
          <w:marTop w:val="0"/>
          <w:marBottom w:val="0"/>
          <w:divBdr>
            <w:top w:val="none" w:sz="0" w:space="0" w:color="auto"/>
            <w:left w:val="none" w:sz="0" w:space="0" w:color="auto"/>
            <w:bottom w:val="none" w:sz="0" w:space="0" w:color="auto"/>
            <w:right w:val="none" w:sz="0" w:space="0" w:color="auto"/>
          </w:divBdr>
          <w:divsChild>
            <w:div w:id="173694381">
              <w:marLeft w:val="0"/>
              <w:marRight w:val="0"/>
              <w:marTop w:val="0"/>
              <w:marBottom w:val="0"/>
              <w:divBdr>
                <w:top w:val="none" w:sz="0" w:space="0" w:color="auto"/>
                <w:left w:val="none" w:sz="0" w:space="0" w:color="auto"/>
                <w:bottom w:val="none" w:sz="0" w:space="0" w:color="auto"/>
                <w:right w:val="none" w:sz="0" w:space="0" w:color="auto"/>
              </w:divBdr>
              <w:divsChild>
                <w:div w:id="1483739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561481">
      <w:bodyDiv w:val="1"/>
      <w:marLeft w:val="0"/>
      <w:marRight w:val="0"/>
      <w:marTop w:val="0"/>
      <w:marBottom w:val="0"/>
      <w:divBdr>
        <w:top w:val="none" w:sz="0" w:space="0" w:color="auto"/>
        <w:left w:val="none" w:sz="0" w:space="0" w:color="auto"/>
        <w:bottom w:val="none" w:sz="0" w:space="0" w:color="auto"/>
        <w:right w:val="none" w:sz="0" w:space="0" w:color="auto"/>
      </w:divBdr>
      <w:divsChild>
        <w:div w:id="297103660">
          <w:marLeft w:val="0"/>
          <w:marRight w:val="0"/>
          <w:marTop w:val="0"/>
          <w:marBottom w:val="0"/>
          <w:divBdr>
            <w:top w:val="none" w:sz="0" w:space="0" w:color="auto"/>
            <w:left w:val="none" w:sz="0" w:space="0" w:color="auto"/>
            <w:bottom w:val="none" w:sz="0" w:space="0" w:color="auto"/>
            <w:right w:val="none" w:sz="0" w:space="0" w:color="auto"/>
          </w:divBdr>
          <w:divsChild>
            <w:div w:id="1726754426">
              <w:marLeft w:val="0"/>
              <w:marRight w:val="0"/>
              <w:marTop w:val="0"/>
              <w:marBottom w:val="0"/>
              <w:divBdr>
                <w:top w:val="none" w:sz="0" w:space="0" w:color="auto"/>
                <w:left w:val="none" w:sz="0" w:space="0" w:color="auto"/>
                <w:bottom w:val="none" w:sz="0" w:space="0" w:color="auto"/>
                <w:right w:val="none" w:sz="0" w:space="0" w:color="auto"/>
              </w:divBdr>
              <w:divsChild>
                <w:div w:id="782193356">
                  <w:marLeft w:val="0"/>
                  <w:marRight w:val="0"/>
                  <w:marTop w:val="0"/>
                  <w:marBottom w:val="0"/>
                  <w:divBdr>
                    <w:top w:val="none" w:sz="0" w:space="0" w:color="auto"/>
                    <w:left w:val="none" w:sz="0" w:space="0" w:color="auto"/>
                    <w:bottom w:val="none" w:sz="0" w:space="0" w:color="auto"/>
                    <w:right w:val="none" w:sz="0" w:space="0" w:color="auto"/>
                  </w:divBdr>
                </w:div>
                <w:div w:id="180473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597397">
      <w:bodyDiv w:val="1"/>
      <w:marLeft w:val="0"/>
      <w:marRight w:val="0"/>
      <w:marTop w:val="0"/>
      <w:marBottom w:val="0"/>
      <w:divBdr>
        <w:top w:val="none" w:sz="0" w:space="0" w:color="auto"/>
        <w:left w:val="none" w:sz="0" w:space="0" w:color="auto"/>
        <w:bottom w:val="none" w:sz="0" w:space="0" w:color="auto"/>
        <w:right w:val="none" w:sz="0" w:space="0" w:color="auto"/>
      </w:divBdr>
      <w:divsChild>
        <w:div w:id="1227304678">
          <w:marLeft w:val="0"/>
          <w:marRight w:val="0"/>
          <w:marTop w:val="0"/>
          <w:marBottom w:val="0"/>
          <w:divBdr>
            <w:top w:val="none" w:sz="0" w:space="0" w:color="auto"/>
            <w:left w:val="none" w:sz="0" w:space="0" w:color="auto"/>
            <w:bottom w:val="none" w:sz="0" w:space="0" w:color="auto"/>
            <w:right w:val="none" w:sz="0" w:space="0" w:color="auto"/>
          </w:divBdr>
        </w:div>
        <w:div w:id="1445424015">
          <w:marLeft w:val="0"/>
          <w:marRight w:val="0"/>
          <w:marTop w:val="0"/>
          <w:marBottom w:val="0"/>
          <w:divBdr>
            <w:top w:val="none" w:sz="0" w:space="0" w:color="auto"/>
            <w:left w:val="none" w:sz="0" w:space="0" w:color="auto"/>
            <w:bottom w:val="none" w:sz="0" w:space="0" w:color="auto"/>
            <w:right w:val="none" w:sz="0" w:space="0" w:color="auto"/>
          </w:divBdr>
        </w:div>
      </w:divsChild>
    </w:div>
    <w:div w:id="1667903323">
      <w:bodyDiv w:val="1"/>
      <w:marLeft w:val="0"/>
      <w:marRight w:val="0"/>
      <w:marTop w:val="0"/>
      <w:marBottom w:val="0"/>
      <w:divBdr>
        <w:top w:val="none" w:sz="0" w:space="0" w:color="auto"/>
        <w:left w:val="none" w:sz="0" w:space="0" w:color="auto"/>
        <w:bottom w:val="none" w:sz="0" w:space="0" w:color="auto"/>
        <w:right w:val="none" w:sz="0" w:space="0" w:color="auto"/>
      </w:divBdr>
    </w:div>
    <w:div w:id="1718629420">
      <w:bodyDiv w:val="1"/>
      <w:marLeft w:val="0"/>
      <w:marRight w:val="0"/>
      <w:marTop w:val="0"/>
      <w:marBottom w:val="0"/>
      <w:divBdr>
        <w:top w:val="none" w:sz="0" w:space="0" w:color="auto"/>
        <w:left w:val="none" w:sz="0" w:space="0" w:color="auto"/>
        <w:bottom w:val="none" w:sz="0" w:space="0" w:color="auto"/>
        <w:right w:val="none" w:sz="0" w:space="0" w:color="auto"/>
      </w:divBdr>
    </w:div>
    <w:div w:id="1775513686">
      <w:bodyDiv w:val="1"/>
      <w:marLeft w:val="0"/>
      <w:marRight w:val="0"/>
      <w:marTop w:val="0"/>
      <w:marBottom w:val="0"/>
      <w:divBdr>
        <w:top w:val="none" w:sz="0" w:space="0" w:color="auto"/>
        <w:left w:val="none" w:sz="0" w:space="0" w:color="auto"/>
        <w:bottom w:val="none" w:sz="0" w:space="0" w:color="auto"/>
        <w:right w:val="none" w:sz="0" w:space="0" w:color="auto"/>
      </w:divBdr>
    </w:div>
    <w:div w:id="1783374298">
      <w:bodyDiv w:val="1"/>
      <w:marLeft w:val="0"/>
      <w:marRight w:val="0"/>
      <w:marTop w:val="0"/>
      <w:marBottom w:val="0"/>
      <w:divBdr>
        <w:top w:val="none" w:sz="0" w:space="0" w:color="auto"/>
        <w:left w:val="none" w:sz="0" w:space="0" w:color="auto"/>
        <w:bottom w:val="none" w:sz="0" w:space="0" w:color="auto"/>
        <w:right w:val="none" w:sz="0" w:space="0" w:color="auto"/>
      </w:divBdr>
    </w:div>
    <w:div w:id="1810245511">
      <w:bodyDiv w:val="1"/>
      <w:marLeft w:val="0"/>
      <w:marRight w:val="0"/>
      <w:marTop w:val="0"/>
      <w:marBottom w:val="0"/>
      <w:divBdr>
        <w:top w:val="none" w:sz="0" w:space="0" w:color="auto"/>
        <w:left w:val="none" w:sz="0" w:space="0" w:color="auto"/>
        <w:bottom w:val="none" w:sz="0" w:space="0" w:color="auto"/>
        <w:right w:val="none" w:sz="0" w:space="0" w:color="auto"/>
      </w:divBdr>
    </w:div>
    <w:div w:id="1840266343">
      <w:bodyDiv w:val="1"/>
      <w:marLeft w:val="0"/>
      <w:marRight w:val="0"/>
      <w:marTop w:val="0"/>
      <w:marBottom w:val="0"/>
      <w:divBdr>
        <w:top w:val="none" w:sz="0" w:space="0" w:color="auto"/>
        <w:left w:val="none" w:sz="0" w:space="0" w:color="auto"/>
        <w:bottom w:val="none" w:sz="0" w:space="0" w:color="auto"/>
        <w:right w:val="none" w:sz="0" w:space="0" w:color="auto"/>
      </w:divBdr>
      <w:divsChild>
        <w:div w:id="1383947875">
          <w:marLeft w:val="0"/>
          <w:marRight w:val="0"/>
          <w:marTop w:val="0"/>
          <w:marBottom w:val="0"/>
          <w:divBdr>
            <w:top w:val="none" w:sz="0" w:space="0" w:color="auto"/>
            <w:left w:val="none" w:sz="0" w:space="0" w:color="auto"/>
            <w:bottom w:val="none" w:sz="0" w:space="0" w:color="auto"/>
            <w:right w:val="none" w:sz="0" w:space="0" w:color="auto"/>
          </w:divBdr>
          <w:divsChild>
            <w:div w:id="1309826714">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412358503">
          <w:marLeft w:val="0"/>
          <w:marRight w:val="0"/>
          <w:marTop w:val="0"/>
          <w:marBottom w:val="0"/>
          <w:divBdr>
            <w:top w:val="none" w:sz="0" w:space="0" w:color="auto"/>
            <w:left w:val="none" w:sz="0" w:space="0" w:color="auto"/>
            <w:bottom w:val="none" w:sz="0" w:space="0" w:color="auto"/>
            <w:right w:val="none" w:sz="0" w:space="0" w:color="auto"/>
          </w:divBdr>
        </w:div>
        <w:div w:id="1015814634">
          <w:marLeft w:val="0"/>
          <w:marRight w:val="0"/>
          <w:marTop w:val="0"/>
          <w:marBottom w:val="0"/>
          <w:divBdr>
            <w:top w:val="none" w:sz="0" w:space="0" w:color="auto"/>
            <w:left w:val="none" w:sz="0" w:space="0" w:color="auto"/>
            <w:bottom w:val="none" w:sz="0" w:space="0" w:color="auto"/>
            <w:right w:val="none" w:sz="0" w:space="0" w:color="auto"/>
          </w:divBdr>
          <w:divsChild>
            <w:div w:id="1749620709">
              <w:blockQuote w:val="1"/>
              <w:marLeft w:val="0"/>
              <w:marRight w:val="0"/>
              <w:marTop w:val="0"/>
              <w:marBottom w:val="225"/>
              <w:divBdr>
                <w:top w:val="none" w:sz="0" w:space="0" w:color="auto"/>
                <w:left w:val="none" w:sz="0" w:space="0" w:color="auto"/>
                <w:bottom w:val="none" w:sz="0" w:space="0" w:color="auto"/>
                <w:right w:val="none" w:sz="0" w:space="0" w:color="auto"/>
              </w:divBdr>
            </w:div>
          </w:divsChild>
        </w:div>
        <w:div w:id="604579820">
          <w:marLeft w:val="0"/>
          <w:marRight w:val="0"/>
          <w:marTop w:val="0"/>
          <w:marBottom w:val="0"/>
          <w:divBdr>
            <w:top w:val="none" w:sz="0" w:space="0" w:color="auto"/>
            <w:left w:val="none" w:sz="0" w:space="0" w:color="auto"/>
            <w:bottom w:val="none" w:sz="0" w:space="0" w:color="auto"/>
            <w:right w:val="none" w:sz="0" w:space="0" w:color="auto"/>
          </w:divBdr>
        </w:div>
        <w:div w:id="253707808">
          <w:marLeft w:val="0"/>
          <w:marRight w:val="0"/>
          <w:marTop w:val="0"/>
          <w:marBottom w:val="0"/>
          <w:divBdr>
            <w:top w:val="none" w:sz="0" w:space="0" w:color="auto"/>
            <w:left w:val="none" w:sz="0" w:space="0" w:color="auto"/>
            <w:bottom w:val="none" w:sz="0" w:space="0" w:color="auto"/>
            <w:right w:val="none" w:sz="0" w:space="0" w:color="auto"/>
          </w:divBdr>
        </w:div>
        <w:div w:id="1521429256">
          <w:marLeft w:val="0"/>
          <w:marRight w:val="0"/>
          <w:marTop w:val="0"/>
          <w:marBottom w:val="0"/>
          <w:divBdr>
            <w:top w:val="none" w:sz="0" w:space="0" w:color="auto"/>
            <w:left w:val="none" w:sz="0" w:space="0" w:color="auto"/>
            <w:bottom w:val="none" w:sz="0" w:space="0" w:color="auto"/>
            <w:right w:val="none" w:sz="0" w:space="0" w:color="auto"/>
          </w:divBdr>
        </w:div>
      </w:divsChild>
    </w:div>
    <w:div w:id="1853640518">
      <w:bodyDiv w:val="1"/>
      <w:marLeft w:val="0"/>
      <w:marRight w:val="0"/>
      <w:marTop w:val="0"/>
      <w:marBottom w:val="0"/>
      <w:divBdr>
        <w:top w:val="none" w:sz="0" w:space="0" w:color="auto"/>
        <w:left w:val="none" w:sz="0" w:space="0" w:color="auto"/>
        <w:bottom w:val="none" w:sz="0" w:space="0" w:color="auto"/>
        <w:right w:val="none" w:sz="0" w:space="0" w:color="auto"/>
      </w:divBdr>
    </w:div>
    <w:div w:id="1881547295">
      <w:bodyDiv w:val="1"/>
      <w:marLeft w:val="0"/>
      <w:marRight w:val="0"/>
      <w:marTop w:val="0"/>
      <w:marBottom w:val="0"/>
      <w:divBdr>
        <w:top w:val="none" w:sz="0" w:space="0" w:color="auto"/>
        <w:left w:val="none" w:sz="0" w:space="0" w:color="auto"/>
        <w:bottom w:val="none" w:sz="0" w:space="0" w:color="auto"/>
        <w:right w:val="none" w:sz="0" w:space="0" w:color="auto"/>
      </w:divBdr>
    </w:div>
    <w:div w:id="1884174425">
      <w:bodyDiv w:val="1"/>
      <w:marLeft w:val="0"/>
      <w:marRight w:val="0"/>
      <w:marTop w:val="0"/>
      <w:marBottom w:val="0"/>
      <w:divBdr>
        <w:top w:val="none" w:sz="0" w:space="0" w:color="auto"/>
        <w:left w:val="none" w:sz="0" w:space="0" w:color="auto"/>
        <w:bottom w:val="none" w:sz="0" w:space="0" w:color="auto"/>
        <w:right w:val="none" w:sz="0" w:space="0" w:color="auto"/>
      </w:divBdr>
    </w:div>
    <w:div w:id="1924028072">
      <w:bodyDiv w:val="1"/>
      <w:marLeft w:val="0"/>
      <w:marRight w:val="0"/>
      <w:marTop w:val="0"/>
      <w:marBottom w:val="0"/>
      <w:divBdr>
        <w:top w:val="none" w:sz="0" w:space="0" w:color="auto"/>
        <w:left w:val="none" w:sz="0" w:space="0" w:color="auto"/>
        <w:bottom w:val="none" w:sz="0" w:space="0" w:color="auto"/>
        <w:right w:val="none" w:sz="0" w:space="0" w:color="auto"/>
      </w:divBdr>
      <w:divsChild>
        <w:div w:id="665860923">
          <w:marLeft w:val="0"/>
          <w:marRight w:val="0"/>
          <w:marTop w:val="0"/>
          <w:marBottom w:val="0"/>
          <w:divBdr>
            <w:top w:val="none" w:sz="0" w:space="0" w:color="auto"/>
            <w:left w:val="none" w:sz="0" w:space="0" w:color="auto"/>
            <w:bottom w:val="none" w:sz="0" w:space="0" w:color="auto"/>
            <w:right w:val="none" w:sz="0" w:space="0" w:color="auto"/>
          </w:divBdr>
          <w:divsChild>
            <w:div w:id="220216779">
              <w:marLeft w:val="0"/>
              <w:marRight w:val="0"/>
              <w:marTop w:val="0"/>
              <w:marBottom w:val="0"/>
              <w:divBdr>
                <w:top w:val="none" w:sz="0" w:space="0" w:color="auto"/>
                <w:left w:val="none" w:sz="0" w:space="0" w:color="auto"/>
                <w:bottom w:val="none" w:sz="0" w:space="0" w:color="auto"/>
                <w:right w:val="none" w:sz="0" w:space="0" w:color="auto"/>
              </w:divBdr>
              <w:divsChild>
                <w:div w:id="213003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646604">
      <w:bodyDiv w:val="1"/>
      <w:marLeft w:val="0"/>
      <w:marRight w:val="0"/>
      <w:marTop w:val="0"/>
      <w:marBottom w:val="0"/>
      <w:divBdr>
        <w:top w:val="none" w:sz="0" w:space="0" w:color="auto"/>
        <w:left w:val="none" w:sz="0" w:space="0" w:color="auto"/>
        <w:bottom w:val="none" w:sz="0" w:space="0" w:color="auto"/>
        <w:right w:val="none" w:sz="0" w:space="0" w:color="auto"/>
      </w:divBdr>
    </w:div>
    <w:div w:id="1981350100">
      <w:bodyDiv w:val="1"/>
      <w:marLeft w:val="0"/>
      <w:marRight w:val="0"/>
      <w:marTop w:val="0"/>
      <w:marBottom w:val="0"/>
      <w:divBdr>
        <w:top w:val="none" w:sz="0" w:space="0" w:color="auto"/>
        <w:left w:val="none" w:sz="0" w:space="0" w:color="auto"/>
        <w:bottom w:val="none" w:sz="0" w:space="0" w:color="auto"/>
        <w:right w:val="none" w:sz="0" w:space="0" w:color="auto"/>
      </w:divBdr>
      <w:divsChild>
        <w:div w:id="15666573">
          <w:marLeft w:val="0"/>
          <w:marRight w:val="0"/>
          <w:marTop w:val="0"/>
          <w:marBottom w:val="0"/>
          <w:divBdr>
            <w:top w:val="none" w:sz="0" w:space="0" w:color="auto"/>
            <w:left w:val="none" w:sz="0" w:space="0" w:color="auto"/>
            <w:bottom w:val="none" w:sz="0" w:space="0" w:color="auto"/>
            <w:right w:val="none" w:sz="0" w:space="0" w:color="auto"/>
          </w:divBdr>
        </w:div>
      </w:divsChild>
    </w:div>
    <w:div w:id="2077387020">
      <w:bodyDiv w:val="1"/>
      <w:marLeft w:val="0"/>
      <w:marRight w:val="0"/>
      <w:marTop w:val="0"/>
      <w:marBottom w:val="0"/>
      <w:divBdr>
        <w:top w:val="none" w:sz="0" w:space="0" w:color="auto"/>
        <w:left w:val="none" w:sz="0" w:space="0" w:color="auto"/>
        <w:bottom w:val="none" w:sz="0" w:space="0" w:color="auto"/>
        <w:right w:val="none" w:sz="0" w:space="0" w:color="auto"/>
      </w:divBdr>
      <w:divsChild>
        <w:div w:id="183397246">
          <w:marLeft w:val="0"/>
          <w:marRight w:val="0"/>
          <w:marTop w:val="0"/>
          <w:marBottom w:val="0"/>
          <w:divBdr>
            <w:top w:val="none" w:sz="0" w:space="0" w:color="auto"/>
            <w:left w:val="none" w:sz="0" w:space="0" w:color="auto"/>
            <w:bottom w:val="none" w:sz="0" w:space="0" w:color="auto"/>
            <w:right w:val="none" w:sz="0" w:space="0" w:color="auto"/>
          </w:divBdr>
          <w:divsChild>
            <w:div w:id="2118137717">
              <w:marLeft w:val="0"/>
              <w:marRight w:val="0"/>
              <w:marTop w:val="0"/>
              <w:marBottom w:val="0"/>
              <w:divBdr>
                <w:top w:val="none" w:sz="0" w:space="0" w:color="auto"/>
                <w:left w:val="none" w:sz="0" w:space="0" w:color="auto"/>
                <w:bottom w:val="none" w:sz="0" w:space="0" w:color="auto"/>
                <w:right w:val="none" w:sz="0" w:space="0" w:color="auto"/>
              </w:divBdr>
              <w:divsChild>
                <w:div w:id="128249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753397">
      <w:bodyDiv w:val="1"/>
      <w:marLeft w:val="0"/>
      <w:marRight w:val="0"/>
      <w:marTop w:val="0"/>
      <w:marBottom w:val="0"/>
      <w:divBdr>
        <w:top w:val="none" w:sz="0" w:space="0" w:color="auto"/>
        <w:left w:val="none" w:sz="0" w:space="0" w:color="auto"/>
        <w:bottom w:val="none" w:sz="0" w:space="0" w:color="auto"/>
        <w:right w:val="none" w:sz="0" w:space="0" w:color="auto"/>
      </w:divBdr>
      <w:divsChild>
        <w:div w:id="391120473">
          <w:marLeft w:val="0"/>
          <w:marRight w:val="0"/>
          <w:marTop w:val="0"/>
          <w:marBottom w:val="0"/>
          <w:divBdr>
            <w:top w:val="none" w:sz="0" w:space="0" w:color="auto"/>
            <w:left w:val="none" w:sz="0" w:space="0" w:color="auto"/>
            <w:bottom w:val="none" w:sz="0" w:space="0" w:color="auto"/>
            <w:right w:val="none" w:sz="0" w:space="0" w:color="auto"/>
          </w:divBdr>
          <w:divsChild>
            <w:div w:id="98068641">
              <w:marLeft w:val="0"/>
              <w:marRight w:val="0"/>
              <w:marTop w:val="0"/>
              <w:marBottom w:val="0"/>
              <w:divBdr>
                <w:top w:val="none" w:sz="0" w:space="0" w:color="auto"/>
                <w:left w:val="none" w:sz="0" w:space="0" w:color="auto"/>
                <w:bottom w:val="none" w:sz="0" w:space="0" w:color="auto"/>
                <w:right w:val="none" w:sz="0" w:space="0" w:color="auto"/>
              </w:divBdr>
              <w:divsChild>
                <w:div w:id="134290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www.jstor.org/stable/2850382" TargetMode="External"/><Relationship Id="rId20" Type="http://schemas.openxmlformats.org/officeDocument/2006/relationships/footer" Target="footer1.xml"/><Relationship Id="rId21" Type="http://schemas.openxmlformats.org/officeDocument/2006/relationships/footer" Target="footer2.xml"/><Relationship Id="rId22" Type="http://schemas.openxmlformats.org/officeDocument/2006/relationships/fontTable" Target="fontTable.xml"/><Relationship Id="rId23" Type="http://schemas.openxmlformats.org/officeDocument/2006/relationships/theme" Target="theme/theme1.xml"/><Relationship Id="rId10" Type="http://schemas.openxmlformats.org/officeDocument/2006/relationships/hyperlink" Target="https://www.jstor.org/stable/2854973" TargetMode="External"/><Relationship Id="rId11" Type="http://schemas.openxmlformats.org/officeDocument/2006/relationships/hyperlink" Target="https://www-jstor-org.ezproxy.uwtsd.ac.uk/stable/2853821" TargetMode="External"/><Relationship Id="rId12" Type="http://schemas.openxmlformats.org/officeDocument/2006/relationships/hyperlink" Target="http://dx.doi.org/10.20431/2347-3134.0405011" TargetMode="External"/><Relationship Id="rId13" Type="http://schemas.openxmlformats.org/officeDocument/2006/relationships/hyperlink" Target="https://www.jstor.org/stable/460234" TargetMode="External"/><Relationship Id="rId14" Type="http://schemas.openxmlformats.org/officeDocument/2006/relationships/hyperlink" Target="https://www.jstor.org/stable/2851782" TargetMode="External"/><Relationship Id="rId15" Type="http://schemas.openxmlformats.org/officeDocument/2006/relationships/hyperlink" Target="https://www.jstor.org/stable/4173900" TargetMode="External"/><Relationship Id="rId16" Type="http://schemas.openxmlformats.org/officeDocument/2006/relationships/hyperlink" Target="http://www.jstor.org/stable/518491" TargetMode="External"/><Relationship Id="rId17" Type="http://schemas.openxmlformats.org/officeDocument/2006/relationships/hyperlink" Target="https://www.jstor.org/stable/4173350" TargetMode="External"/><Relationship Id="rId18" Type="http://schemas.openxmlformats.org/officeDocument/2006/relationships/hyperlink" Target="http://www.jstor.org/stable/457062" TargetMode="External"/><Relationship Id="rId19" Type="http://schemas.openxmlformats.org/officeDocument/2006/relationships/hyperlink" Target="https://www.jstor.org/stable/2851706"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2850382" TargetMode="External"/><Relationship Id="rId4" Type="http://schemas.openxmlformats.org/officeDocument/2006/relationships/hyperlink" Target="https://www.jstor.org/stable/4173350" TargetMode="External"/><Relationship Id="rId5" Type="http://schemas.openxmlformats.org/officeDocument/2006/relationships/hyperlink" Target="http://www.jstor.org/stable/457062" TargetMode="External"/><Relationship Id="rId6" Type="http://schemas.openxmlformats.org/officeDocument/2006/relationships/hyperlink" Target="http://dx.doi.org/10.20431/2347-3134.0405011" TargetMode="External"/><Relationship Id="rId7" Type="http://schemas.openxmlformats.org/officeDocument/2006/relationships/hyperlink" Target="https://www.jstor.org/stable/460234" TargetMode="External"/><Relationship Id="rId1" Type="http://schemas.openxmlformats.org/officeDocument/2006/relationships/hyperlink" Target="https://www.jstor.org/stable/2854973" TargetMode="External"/><Relationship Id="rId2" Type="http://schemas.openxmlformats.org/officeDocument/2006/relationships/hyperlink" Target="https://www.jstor.org/stable/41739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6693</Words>
  <Characters>34405</Characters>
  <Application>Microsoft Macintosh Word</Application>
  <DocSecurity>0</DocSecurity>
  <Lines>505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Kendall-daw (1603669)</dc:creator>
  <cp:keywords/>
  <dc:description/>
  <cp:lastModifiedBy>Basil</cp:lastModifiedBy>
  <cp:revision>3</cp:revision>
  <dcterms:created xsi:type="dcterms:W3CDTF">2018-08-30T06:01:00Z</dcterms:created>
  <dcterms:modified xsi:type="dcterms:W3CDTF">2018-08-30T06:02:00Z</dcterms:modified>
</cp:coreProperties>
</file>