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832FF" w14:textId="77777777" w:rsidR="00BC24D3" w:rsidRDefault="00BC24D3" w:rsidP="00F279F1">
      <w:pPr>
        <w:spacing w:before="200" w:after="200"/>
        <w:rPr>
          <w:rFonts w:ascii="Arial" w:eastAsia="Arial" w:hAnsi="Arial" w:cs="Arial"/>
          <w:b/>
          <w:bCs/>
          <w:sz w:val="32"/>
          <w:szCs w:val="32"/>
        </w:rPr>
      </w:pPr>
    </w:p>
    <w:p w14:paraId="4B7298BD" w14:textId="713A1FB7" w:rsidR="00BC24D3" w:rsidRPr="00F279F1" w:rsidRDefault="00F279F1" w:rsidP="00F279F1">
      <w:pPr>
        <w:jc w:val="center"/>
        <w:rPr>
          <w:rFonts w:ascii="Arial" w:hAnsi="Arial"/>
        </w:rPr>
      </w:pPr>
      <w:r>
        <w:rPr>
          <w:rFonts w:ascii="Arial" w:hAnsi="Arial"/>
          <w:noProof/>
        </w:rPr>
        <w:drawing>
          <wp:inline distT="0" distB="0" distL="0" distR="0" wp14:anchorId="36EDC90D" wp14:editId="5B46DADA">
            <wp:extent cx="3381375" cy="1352550"/>
            <wp:effectExtent l="0" t="0" r="0" b="0"/>
            <wp:docPr id="177052721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6"/>
                    <a:stretch>
                      <a:fillRect/>
                    </a:stretch>
                  </pic:blipFill>
                  <pic:spPr>
                    <a:xfrm>
                      <a:off x="0" y="0"/>
                      <a:ext cx="3381375" cy="1352550"/>
                    </a:xfrm>
                    <a:prstGeom prst="rect">
                      <a:avLst/>
                    </a:prstGeom>
                    <a:noFill/>
                    <a:ln w="12700" cap="flat" cmpd="sng">
                      <a:noFill/>
                      <a:prstDash val="solid"/>
                      <a:miter/>
                    </a:ln>
                  </pic:spPr>
                </pic:pic>
              </a:graphicData>
            </a:graphic>
          </wp:inline>
        </w:drawing>
      </w:r>
    </w:p>
    <w:p w14:paraId="0E0BCB89" w14:textId="41ED33EC" w:rsidR="00F279F1" w:rsidRPr="00363B81" w:rsidRDefault="00363B81" w:rsidP="00BC24D3">
      <w:pPr>
        <w:spacing w:before="200" w:after="200"/>
        <w:jc w:val="center"/>
        <w:rPr>
          <w:rFonts w:ascii="Arial" w:eastAsia="Arial" w:hAnsi="Arial" w:cs="Arial"/>
          <w:b/>
          <w:bCs/>
          <w:sz w:val="32"/>
          <w:szCs w:val="32"/>
          <w:lang w:val="nl-NL"/>
        </w:rPr>
      </w:pPr>
      <w:r w:rsidRPr="00363B81">
        <w:rPr>
          <w:rFonts w:ascii="Arial" w:eastAsia="Arial" w:hAnsi="Arial" w:cs="Arial"/>
          <w:b/>
          <w:bCs/>
          <w:sz w:val="32"/>
          <w:szCs w:val="32"/>
          <w:lang w:val="nl-NL"/>
        </w:rPr>
        <w:t xml:space="preserve"> </w:t>
      </w:r>
    </w:p>
    <w:p w14:paraId="55B449D3" w14:textId="44D95D19" w:rsidR="00BC24D3" w:rsidRPr="00363B81" w:rsidRDefault="00F279F1" w:rsidP="00BC24D3">
      <w:pPr>
        <w:spacing w:before="200" w:after="200"/>
        <w:jc w:val="center"/>
        <w:rPr>
          <w:rFonts w:ascii="Arial" w:eastAsia="Arial" w:hAnsi="Arial" w:cs="Arial"/>
          <w:b/>
          <w:bCs/>
          <w:sz w:val="32"/>
          <w:szCs w:val="32"/>
          <w:lang w:val="nl-NL"/>
        </w:rPr>
      </w:pPr>
      <w:r w:rsidRPr="00363B81">
        <w:rPr>
          <w:rFonts w:ascii="Arial" w:eastAsia="Arial" w:hAnsi="Arial" w:cs="Arial"/>
          <w:b/>
          <w:bCs/>
          <w:sz w:val="32"/>
          <w:szCs w:val="32"/>
          <w:lang w:val="nl-NL"/>
        </w:rPr>
        <w:t>Student Name :</w:t>
      </w:r>
      <w:r w:rsidR="00363B81">
        <w:rPr>
          <w:rFonts w:ascii="Arial" w:eastAsia="Arial" w:hAnsi="Arial" w:cs="Arial"/>
          <w:b/>
          <w:bCs/>
          <w:sz w:val="32"/>
          <w:szCs w:val="32"/>
          <w:lang w:val="nl-NL"/>
        </w:rPr>
        <w:t xml:space="preserve"> </w:t>
      </w:r>
      <w:r w:rsidR="00363B81" w:rsidRPr="00363B81">
        <w:rPr>
          <w:rFonts w:ascii="Arial" w:eastAsia="Arial" w:hAnsi="Arial" w:cs="Arial"/>
          <w:b/>
          <w:bCs/>
          <w:color w:val="EE0000"/>
          <w:sz w:val="32"/>
          <w:szCs w:val="32"/>
          <w:lang w:val="nl-NL"/>
        </w:rPr>
        <w:t>RANJITKUMAR JIVABHAI KESHVALA</w:t>
      </w:r>
    </w:p>
    <w:p w14:paraId="6E229C86" w14:textId="24B8CFEC" w:rsidR="00F279F1" w:rsidRPr="00363B81" w:rsidRDefault="00F279F1" w:rsidP="00BC24D3">
      <w:pPr>
        <w:spacing w:before="200" w:after="200"/>
        <w:jc w:val="center"/>
        <w:rPr>
          <w:rFonts w:ascii="Arial" w:eastAsia="Arial" w:hAnsi="Arial" w:cs="Arial"/>
          <w:b/>
          <w:bCs/>
          <w:color w:val="EE0000"/>
          <w:sz w:val="32"/>
          <w:szCs w:val="32"/>
          <w:lang w:val="nl-NL"/>
        </w:rPr>
      </w:pPr>
      <w:r w:rsidRPr="00363B81">
        <w:rPr>
          <w:rFonts w:ascii="Arial" w:eastAsia="Arial" w:hAnsi="Arial" w:cs="Arial"/>
          <w:b/>
          <w:bCs/>
          <w:sz w:val="32"/>
          <w:szCs w:val="32"/>
          <w:lang w:val="nl-NL"/>
        </w:rPr>
        <w:t>Student ID :</w:t>
      </w:r>
      <w:r w:rsidR="00363B81">
        <w:rPr>
          <w:rFonts w:ascii="Arial" w:eastAsia="Arial" w:hAnsi="Arial" w:cs="Arial"/>
          <w:b/>
          <w:bCs/>
          <w:sz w:val="32"/>
          <w:szCs w:val="32"/>
          <w:lang w:val="nl-NL"/>
        </w:rPr>
        <w:t xml:space="preserve"> </w:t>
      </w:r>
      <w:r w:rsidR="00363B81" w:rsidRPr="00363B81">
        <w:rPr>
          <w:rFonts w:ascii="Arial" w:eastAsia="Arial" w:hAnsi="Arial" w:cs="Arial"/>
          <w:b/>
          <w:bCs/>
          <w:color w:val="EE0000"/>
          <w:sz w:val="32"/>
          <w:szCs w:val="32"/>
          <w:lang w:val="nl-NL"/>
        </w:rPr>
        <w:t>2532564</w:t>
      </w:r>
    </w:p>
    <w:p w14:paraId="06E03369" w14:textId="77777777" w:rsidR="006F7CD0" w:rsidRPr="00BC24D3" w:rsidRDefault="000E4802" w:rsidP="00BC24D3">
      <w:pPr>
        <w:spacing w:before="200" w:after="200"/>
        <w:jc w:val="center"/>
        <w:rPr>
          <w:rFonts w:ascii="Arial" w:eastAsia="Arial" w:hAnsi="Arial" w:cs="Arial"/>
          <w:b/>
          <w:bCs/>
          <w:sz w:val="32"/>
          <w:szCs w:val="32"/>
        </w:rPr>
      </w:pPr>
      <w:r w:rsidRPr="00BC24D3">
        <w:rPr>
          <w:rFonts w:ascii="Arial" w:eastAsia="Arial" w:hAnsi="Arial" w:cs="Arial"/>
          <w:b/>
          <w:bCs/>
          <w:sz w:val="32"/>
          <w:szCs w:val="32"/>
        </w:rPr>
        <w:t>Programme: Master of Business Administration (MBA)</w:t>
      </w:r>
    </w:p>
    <w:p w14:paraId="6220FD83" w14:textId="77777777" w:rsidR="006F7CD0" w:rsidRDefault="000E4802" w:rsidP="00BC24D3">
      <w:pPr>
        <w:spacing w:before="200" w:after="200"/>
        <w:jc w:val="center"/>
        <w:rPr>
          <w:rFonts w:ascii="Arial" w:eastAsia="Arial" w:hAnsi="Arial" w:cs="Arial"/>
          <w:b/>
          <w:bCs/>
          <w:sz w:val="32"/>
          <w:szCs w:val="32"/>
        </w:rPr>
      </w:pPr>
      <w:r w:rsidRPr="00BC24D3">
        <w:rPr>
          <w:rFonts w:ascii="Arial" w:eastAsia="Arial" w:hAnsi="Arial" w:cs="Arial"/>
          <w:b/>
          <w:bCs/>
          <w:sz w:val="32"/>
          <w:szCs w:val="32"/>
        </w:rPr>
        <w:t>Module Name: Financial Management</w:t>
      </w:r>
    </w:p>
    <w:p w14:paraId="2473586A" w14:textId="419B6707" w:rsidR="00660852" w:rsidRPr="00BC24D3" w:rsidRDefault="00660852" w:rsidP="00660852">
      <w:pPr>
        <w:spacing w:before="200" w:after="200"/>
        <w:jc w:val="center"/>
        <w:rPr>
          <w:rFonts w:ascii="Arial" w:eastAsia="Arial" w:hAnsi="Arial" w:cs="Arial"/>
          <w:b/>
          <w:bCs/>
          <w:sz w:val="32"/>
          <w:szCs w:val="32"/>
        </w:rPr>
      </w:pPr>
      <w:r>
        <w:rPr>
          <w:rFonts w:ascii="Arial" w:eastAsia="Arial" w:hAnsi="Arial" w:cs="Arial"/>
          <w:b/>
          <w:bCs/>
          <w:sz w:val="32"/>
          <w:szCs w:val="32"/>
        </w:rPr>
        <w:t xml:space="preserve">Lecturer Name : Dr </w:t>
      </w:r>
      <w:proofErr w:type="spellStart"/>
      <w:r>
        <w:rPr>
          <w:rFonts w:ascii="Arial" w:eastAsia="Arial" w:hAnsi="Arial" w:cs="Arial"/>
          <w:b/>
          <w:bCs/>
          <w:sz w:val="32"/>
          <w:szCs w:val="32"/>
        </w:rPr>
        <w:t>Shengfeng</w:t>
      </w:r>
      <w:proofErr w:type="spellEnd"/>
      <w:r>
        <w:rPr>
          <w:rFonts w:ascii="Arial" w:eastAsia="Arial" w:hAnsi="Arial" w:cs="Arial"/>
          <w:b/>
          <w:bCs/>
          <w:sz w:val="32"/>
          <w:szCs w:val="32"/>
        </w:rPr>
        <w:t xml:space="preserve"> Mei</w:t>
      </w:r>
    </w:p>
    <w:p w14:paraId="26AA778A" w14:textId="09E21710" w:rsidR="006F7CD0" w:rsidRPr="00BC24D3" w:rsidRDefault="00660852" w:rsidP="00660852">
      <w:pPr>
        <w:spacing w:before="200" w:after="200"/>
        <w:rPr>
          <w:rFonts w:ascii="Arial" w:eastAsia="Arial" w:hAnsi="Arial" w:cs="Arial"/>
          <w:b/>
          <w:bCs/>
          <w:sz w:val="32"/>
          <w:szCs w:val="32"/>
        </w:rPr>
      </w:pPr>
      <w:r>
        <w:rPr>
          <w:rFonts w:ascii="Arial" w:eastAsia="Arial" w:hAnsi="Arial" w:cs="Arial"/>
          <w:b/>
          <w:bCs/>
          <w:sz w:val="32"/>
          <w:szCs w:val="32"/>
        </w:rPr>
        <w:t xml:space="preserve">               </w:t>
      </w:r>
      <w:r w:rsidR="000E4802" w:rsidRPr="00BC24D3">
        <w:rPr>
          <w:rFonts w:ascii="Arial" w:eastAsia="Arial" w:hAnsi="Arial" w:cs="Arial"/>
          <w:b/>
          <w:bCs/>
          <w:sz w:val="32"/>
          <w:szCs w:val="32"/>
        </w:rPr>
        <w:t>Module Code: LCMB7002</w:t>
      </w:r>
    </w:p>
    <w:p w14:paraId="74B8A0A7" w14:textId="77777777" w:rsidR="006F7CD0" w:rsidRPr="00BC24D3" w:rsidRDefault="000E4802" w:rsidP="00BC24D3">
      <w:pPr>
        <w:spacing w:before="200" w:after="200"/>
        <w:jc w:val="center"/>
        <w:rPr>
          <w:rFonts w:ascii="Arial" w:eastAsia="Arial" w:hAnsi="Arial" w:cs="Arial"/>
          <w:b/>
          <w:bCs/>
          <w:sz w:val="32"/>
          <w:szCs w:val="32"/>
        </w:rPr>
      </w:pPr>
      <w:r w:rsidRPr="00BC24D3">
        <w:rPr>
          <w:rFonts w:ascii="Arial" w:eastAsia="Arial" w:hAnsi="Arial" w:cs="Arial"/>
          <w:b/>
          <w:bCs/>
          <w:sz w:val="32"/>
          <w:szCs w:val="32"/>
        </w:rPr>
        <w:t>Assessment Title: Financial Management Report</w:t>
      </w:r>
    </w:p>
    <w:p w14:paraId="69F8175C" w14:textId="77777777" w:rsidR="006F7CD0" w:rsidRDefault="000E4802" w:rsidP="00BC24D3">
      <w:pPr>
        <w:spacing w:before="200" w:after="200"/>
        <w:jc w:val="center"/>
        <w:rPr>
          <w:rFonts w:ascii="Arial" w:eastAsia="Arial" w:hAnsi="Arial" w:cs="Arial"/>
          <w:b/>
          <w:bCs/>
          <w:sz w:val="32"/>
          <w:szCs w:val="32"/>
        </w:rPr>
      </w:pPr>
      <w:r w:rsidRPr="00BC24D3">
        <w:rPr>
          <w:rFonts w:ascii="Arial" w:eastAsia="Arial" w:hAnsi="Arial" w:cs="Arial"/>
          <w:b/>
          <w:bCs/>
          <w:sz w:val="32"/>
          <w:szCs w:val="32"/>
        </w:rPr>
        <w:t>Topic: Strategic CFO Challenge: Financial Analysis and Strategy for Volkswagen</w:t>
      </w:r>
    </w:p>
    <w:p w14:paraId="54DDD39E" w14:textId="15CCC9DD" w:rsidR="00363B81" w:rsidRPr="00BC24D3" w:rsidRDefault="00363B81" w:rsidP="00BC24D3">
      <w:pPr>
        <w:spacing w:before="200" w:after="200"/>
        <w:jc w:val="center"/>
        <w:rPr>
          <w:rFonts w:ascii="Arial" w:eastAsia="Arial" w:hAnsi="Arial" w:cs="Arial"/>
          <w:b/>
          <w:bCs/>
          <w:sz w:val="32"/>
          <w:szCs w:val="32"/>
        </w:rPr>
      </w:pPr>
    </w:p>
    <w:p w14:paraId="6DA50574" w14:textId="64D62052" w:rsidR="006F7CD0" w:rsidRDefault="000E4802">
      <w:pPr>
        <w:spacing w:before="200" w:after="200"/>
        <w:rPr>
          <w:rFonts w:ascii="Arial" w:eastAsia="Arial" w:hAnsi="Arial" w:cs="Arial"/>
        </w:rPr>
      </w:pPr>
      <w:r>
        <w:br w:type="page"/>
      </w:r>
    </w:p>
    <w:p w14:paraId="6ECF1598" w14:textId="77777777" w:rsidR="006F7CD0" w:rsidRDefault="000E4802">
      <w:pPr>
        <w:spacing w:before="200" w:after="200"/>
        <w:jc w:val="center"/>
        <w:rPr>
          <w:rFonts w:ascii="Arial" w:eastAsia="Arial" w:hAnsi="Arial" w:cs="Arial"/>
          <w:b/>
          <w:bCs/>
          <w:sz w:val="28"/>
          <w:szCs w:val="28"/>
        </w:rPr>
      </w:pPr>
      <w:r>
        <w:rPr>
          <w:rFonts w:ascii="Arial" w:eastAsia="Arial" w:hAnsi="Arial" w:cs="Arial"/>
          <w:b/>
          <w:bCs/>
          <w:sz w:val="28"/>
          <w:szCs w:val="28"/>
        </w:rPr>
        <w:t>Executive Summary</w:t>
      </w:r>
    </w:p>
    <w:p w14:paraId="197C5C23" w14:textId="77777777" w:rsidR="006F7CD0" w:rsidRDefault="000E4802">
      <w:pPr>
        <w:spacing w:before="200" w:after="200"/>
        <w:rPr>
          <w:rFonts w:ascii="Arial" w:eastAsia="Arial" w:hAnsi="Arial" w:cs="Arial"/>
        </w:rPr>
      </w:pPr>
      <w:r>
        <w:rPr>
          <w:rFonts w:ascii="Arial" w:eastAsia="Arial" w:hAnsi="Arial" w:cs="Arial"/>
        </w:rPr>
        <w:t>This report assesses the financial performance, working capital efficiency, restructuring policies and investment choices of Volkswagen in a CFO framework. Analysis indicates a high rate of revenue growth and decreasing profitability, liquidity strains and rising financial leverage as a result of EV investments. The cash conversion cycle has improved, which implies that there is a better working capital, but the cash flow performance is poor. The strategic measures comprise financial reorganization by way of divestiture, equity funding and debt optimisation. The results of investment appraisal indicate that all projects have negative NPVs but the most viable project is Project C and a combination of project B and C is the best under the capital constraint. All in all, sustainable development requires balanced financial policies.</w:t>
      </w:r>
    </w:p>
    <w:p w14:paraId="52E75E31" w14:textId="77777777" w:rsidR="006F7CD0" w:rsidRDefault="000E4802">
      <w:pPr>
        <w:spacing w:before="200" w:after="200"/>
        <w:rPr>
          <w:rFonts w:ascii="Arial" w:eastAsia="Arial" w:hAnsi="Arial" w:cs="Arial"/>
        </w:rPr>
      </w:pPr>
      <w:r>
        <w:br w:type="page"/>
      </w:r>
    </w:p>
    <w:p w14:paraId="11154F7A" w14:textId="77777777" w:rsidR="006F7CD0" w:rsidRDefault="000E4802">
      <w:pPr>
        <w:spacing w:before="200" w:after="200"/>
        <w:jc w:val="center"/>
        <w:rPr>
          <w:rFonts w:ascii="Arial" w:eastAsia="Arial" w:hAnsi="Arial" w:cs="Arial"/>
          <w:b/>
          <w:bCs/>
          <w:sz w:val="28"/>
          <w:szCs w:val="28"/>
        </w:rPr>
      </w:pPr>
      <w:r>
        <w:rPr>
          <w:rFonts w:ascii="Arial" w:eastAsia="Arial" w:hAnsi="Arial" w:cs="Arial"/>
          <w:b/>
          <w:bCs/>
          <w:sz w:val="28"/>
          <w:szCs w:val="28"/>
        </w:rPr>
        <w:t>Table of Contents</w:t>
      </w:r>
    </w:p>
    <w:sdt>
      <w:sdtPr>
        <w:id w:val="-673233057"/>
        <w:docPartObj>
          <w:docPartGallery w:val="Table of Contents"/>
          <w:docPartUnique/>
        </w:docPartObj>
      </w:sdtPr>
      <w:sdtEndPr/>
      <w:sdtContent>
        <w:p w14:paraId="783AD6EA" w14:textId="728DE9EB" w:rsidR="00BC24D3" w:rsidRPr="00BC24D3" w:rsidRDefault="000E4802" w:rsidP="00BC24D3">
          <w:pPr>
            <w:pStyle w:val="TOC1"/>
            <w:tabs>
              <w:tab w:val="right" w:leader="dot" w:pos="9019"/>
            </w:tabs>
            <w:spacing w:before="0" w:after="0"/>
            <w:rPr>
              <w:rFonts w:ascii="Arial" w:hAnsi="Arial" w:cs="Arial"/>
              <w:noProof/>
            </w:rPr>
          </w:pPr>
          <w:r w:rsidRPr="00BC24D3">
            <w:rPr>
              <w:rFonts w:ascii="Arial" w:hAnsi="Arial" w:cs="Arial"/>
            </w:rPr>
            <w:fldChar w:fldCharType="begin"/>
          </w:r>
          <w:r w:rsidRPr="00BC24D3">
            <w:rPr>
              <w:rFonts w:ascii="Arial" w:hAnsi="Arial" w:cs="Arial"/>
            </w:rPr>
            <w:instrText xml:space="preserve"> TOC \h \u \z \t "Heading 1,1,Heading 2,2,Heading 3,3,Heading 4,4,Heading 5,5,Heading 6,6,"</w:instrText>
          </w:r>
          <w:r w:rsidRPr="00BC24D3">
            <w:rPr>
              <w:rFonts w:ascii="Arial" w:hAnsi="Arial" w:cs="Arial"/>
            </w:rPr>
            <w:fldChar w:fldCharType="separate"/>
          </w:r>
          <w:hyperlink w:anchor="_Toc227719545" w:history="1">
            <w:r w:rsidR="00BC24D3" w:rsidRPr="00BC24D3">
              <w:rPr>
                <w:rStyle w:val="Hyperlink"/>
                <w:rFonts w:ascii="Arial" w:hAnsi="Arial" w:cs="Arial"/>
                <w:noProof/>
              </w:rPr>
              <w:t>1.0 Introduction</w:t>
            </w:r>
            <w:r w:rsidR="00BC24D3" w:rsidRPr="00BC24D3">
              <w:rPr>
                <w:rFonts w:ascii="Arial" w:hAnsi="Arial" w:cs="Arial"/>
                <w:noProof/>
                <w:webHidden/>
              </w:rPr>
              <w:tab/>
            </w:r>
            <w:r w:rsidR="00BC24D3" w:rsidRPr="00BC24D3">
              <w:rPr>
                <w:rFonts w:ascii="Arial" w:hAnsi="Arial" w:cs="Arial"/>
                <w:noProof/>
                <w:webHidden/>
              </w:rPr>
              <w:fldChar w:fldCharType="begin"/>
            </w:r>
            <w:r w:rsidR="00BC24D3" w:rsidRPr="00BC24D3">
              <w:rPr>
                <w:rFonts w:ascii="Arial" w:hAnsi="Arial" w:cs="Arial"/>
                <w:noProof/>
                <w:webHidden/>
              </w:rPr>
              <w:instrText xml:space="preserve"> PAGEREF _Toc227719545 \h </w:instrText>
            </w:r>
            <w:r w:rsidR="00BC24D3" w:rsidRPr="00BC24D3">
              <w:rPr>
                <w:rFonts w:ascii="Arial" w:hAnsi="Arial" w:cs="Arial"/>
                <w:noProof/>
                <w:webHidden/>
              </w:rPr>
            </w:r>
            <w:r w:rsidR="00BC24D3" w:rsidRPr="00BC24D3">
              <w:rPr>
                <w:rFonts w:ascii="Arial" w:hAnsi="Arial" w:cs="Arial"/>
                <w:noProof/>
                <w:webHidden/>
              </w:rPr>
              <w:fldChar w:fldCharType="separate"/>
            </w:r>
            <w:r w:rsidR="00A546C3">
              <w:rPr>
                <w:rFonts w:ascii="Arial" w:hAnsi="Arial" w:cs="Arial"/>
                <w:noProof/>
                <w:webHidden/>
              </w:rPr>
              <w:t>4</w:t>
            </w:r>
            <w:r w:rsidR="00BC24D3" w:rsidRPr="00BC24D3">
              <w:rPr>
                <w:rFonts w:ascii="Arial" w:hAnsi="Arial" w:cs="Arial"/>
                <w:noProof/>
                <w:webHidden/>
              </w:rPr>
              <w:fldChar w:fldCharType="end"/>
            </w:r>
          </w:hyperlink>
        </w:p>
        <w:p w14:paraId="0453C8B2" w14:textId="0878B73E" w:rsidR="00BC24D3" w:rsidRPr="00BC24D3" w:rsidRDefault="00BC24D3" w:rsidP="00BC24D3">
          <w:pPr>
            <w:pStyle w:val="TOC1"/>
            <w:tabs>
              <w:tab w:val="right" w:leader="dot" w:pos="9019"/>
            </w:tabs>
            <w:spacing w:before="0" w:after="0"/>
            <w:rPr>
              <w:rFonts w:ascii="Arial" w:hAnsi="Arial" w:cs="Arial"/>
              <w:noProof/>
            </w:rPr>
          </w:pPr>
          <w:hyperlink w:anchor="_Toc227719546" w:history="1">
            <w:r w:rsidRPr="00BC24D3">
              <w:rPr>
                <w:rStyle w:val="Hyperlink"/>
                <w:rFonts w:ascii="Arial" w:hAnsi="Arial" w:cs="Arial"/>
                <w:noProof/>
              </w:rPr>
              <w:t>2.0 Financial Health Check</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_Toc227719546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4</w:t>
            </w:r>
            <w:r w:rsidRPr="00BC24D3">
              <w:rPr>
                <w:rFonts w:ascii="Arial" w:hAnsi="Arial" w:cs="Arial"/>
                <w:noProof/>
                <w:webHidden/>
              </w:rPr>
              <w:fldChar w:fldCharType="end"/>
            </w:r>
          </w:hyperlink>
        </w:p>
        <w:p w14:paraId="1D47078B" w14:textId="3C6C68C5" w:rsidR="00BC24D3" w:rsidRPr="00BC24D3" w:rsidRDefault="00BC24D3" w:rsidP="00BC24D3">
          <w:pPr>
            <w:pStyle w:val="TOC2"/>
            <w:tabs>
              <w:tab w:val="right" w:leader="dot" w:pos="9019"/>
            </w:tabs>
            <w:spacing w:before="0" w:after="0"/>
            <w:rPr>
              <w:rFonts w:ascii="Arial" w:hAnsi="Arial" w:cs="Arial"/>
              <w:noProof/>
            </w:rPr>
          </w:pPr>
          <w:hyperlink w:anchor="_Toc227719547" w:history="1">
            <w:r w:rsidRPr="00BC24D3">
              <w:rPr>
                <w:rStyle w:val="Hyperlink"/>
                <w:rFonts w:ascii="Arial" w:hAnsi="Arial" w:cs="Arial"/>
                <w:noProof/>
              </w:rPr>
              <w:t>2.1 Income Statement Analysis (2020-2024)</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_Toc227719547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4</w:t>
            </w:r>
            <w:r w:rsidRPr="00BC24D3">
              <w:rPr>
                <w:rFonts w:ascii="Arial" w:hAnsi="Arial" w:cs="Arial"/>
                <w:noProof/>
                <w:webHidden/>
              </w:rPr>
              <w:fldChar w:fldCharType="end"/>
            </w:r>
          </w:hyperlink>
        </w:p>
        <w:p w14:paraId="48F91FC9" w14:textId="1B9649FF" w:rsidR="00BC24D3" w:rsidRPr="00BC24D3" w:rsidRDefault="00BC24D3" w:rsidP="00BC24D3">
          <w:pPr>
            <w:pStyle w:val="TOC2"/>
            <w:tabs>
              <w:tab w:val="right" w:leader="dot" w:pos="9019"/>
            </w:tabs>
            <w:spacing w:before="0" w:after="0"/>
            <w:rPr>
              <w:rFonts w:ascii="Arial" w:hAnsi="Arial" w:cs="Arial"/>
              <w:noProof/>
            </w:rPr>
          </w:pPr>
          <w:hyperlink w:anchor="_Toc227719548" w:history="1">
            <w:r w:rsidRPr="00BC24D3">
              <w:rPr>
                <w:rStyle w:val="Hyperlink"/>
                <w:rFonts w:ascii="Arial" w:hAnsi="Arial" w:cs="Arial"/>
                <w:noProof/>
              </w:rPr>
              <w:t>2.2 Balance Sheet Analysis (2020-2024)</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_Toc227719548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5</w:t>
            </w:r>
            <w:r w:rsidRPr="00BC24D3">
              <w:rPr>
                <w:rFonts w:ascii="Arial" w:hAnsi="Arial" w:cs="Arial"/>
                <w:noProof/>
                <w:webHidden/>
              </w:rPr>
              <w:fldChar w:fldCharType="end"/>
            </w:r>
          </w:hyperlink>
        </w:p>
        <w:p w14:paraId="18453604" w14:textId="5F19D342" w:rsidR="00BC24D3" w:rsidRPr="00BC24D3" w:rsidRDefault="00BC24D3" w:rsidP="00BC24D3">
          <w:pPr>
            <w:pStyle w:val="TOC2"/>
            <w:tabs>
              <w:tab w:val="right" w:leader="dot" w:pos="9019"/>
            </w:tabs>
            <w:spacing w:before="0" w:after="0"/>
            <w:rPr>
              <w:rFonts w:ascii="Arial" w:hAnsi="Arial" w:cs="Arial"/>
              <w:noProof/>
            </w:rPr>
          </w:pPr>
          <w:hyperlink w:anchor="_Toc227719549" w:history="1">
            <w:r w:rsidRPr="00BC24D3">
              <w:rPr>
                <w:rStyle w:val="Hyperlink"/>
                <w:rFonts w:ascii="Arial" w:hAnsi="Arial" w:cs="Arial"/>
                <w:noProof/>
              </w:rPr>
              <w:t>2.3 Cash Flow Statement Analysis (2020-2024)</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_Toc227719549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5</w:t>
            </w:r>
            <w:r w:rsidRPr="00BC24D3">
              <w:rPr>
                <w:rFonts w:ascii="Arial" w:hAnsi="Arial" w:cs="Arial"/>
                <w:noProof/>
                <w:webHidden/>
              </w:rPr>
              <w:fldChar w:fldCharType="end"/>
            </w:r>
          </w:hyperlink>
        </w:p>
        <w:p w14:paraId="323602AF" w14:textId="37DE7A2C" w:rsidR="00BC24D3" w:rsidRPr="00BC24D3" w:rsidRDefault="00BC24D3" w:rsidP="00BC24D3">
          <w:pPr>
            <w:pStyle w:val="TOC2"/>
            <w:tabs>
              <w:tab w:val="right" w:leader="dot" w:pos="9019"/>
            </w:tabs>
            <w:spacing w:before="0" w:after="0"/>
            <w:rPr>
              <w:rFonts w:ascii="Arial" w:hAnsi="Arial" w:cs="Arial"/>
              <w:noProof/>
            </w:rPr>
          </w:pPr>
          <w:hyperlink w:anchor="_Toc227719550" w:history="1">
            <w:r w:rsidRPr="00BC24D3">
              <w:rPr>
                <w:rStyle w:val="Hyperlink"/>
                <w:rFonts w:ascii="Arial" w:hAnsi="Arial" w:cs="Arial"/>
                <w:noProof/>
              </w:rPr>
              <w:t>2.4 Ratios Calculation and Analysis (2020-2024)</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_Toc227719550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6</w:t>
            </w:r>
            <w:r w:rsidRPr="00BC24D3">
              <w:rPr>
                <w:rFonts w:ascii="Arial" w:hAnsi="Arial" w:cs="Arial"/>
                <w:noProof/>
                <w:webHidden/>
              </w:rPr>
              <w:fldChar w:fldCharType="end"/>
            </w:r>
          </w:hyperlink>
        </w:p>
        <w:p w14:paraId="5D11B523" w14:textId="6EF9FB54" w:rsidR="00BC24D3" w:rsidRPr="00BC24D3" w:rsidRDefault="00BC24D3" w:rsidP="00BC24D3">
          <w:pPr>
            <w:pStyle w:val="TOC3"/>
            <w:tabs>
              <w:tab w:val="right" w:leader="dot" w:pos="9019"/>
            </w:tabs>
            <w:spacing w:before="0" w:after="0"/>
            <w:rPr>
              <w:rFonts w:ascii="Arial" w:hAnsi="Arial" w:cs="Arial"/>
              <w:noProof/>
            </w:rPr>
          </w:pPr>
          <w:hyperlink w:anchor="_Toc227719551" w:history="1">
            <w:r w:rsidRPr="00BC24D3">
              <w:rPr>
                <w:rStyle w:val="Hyperlink"/>
                <w:rFonts w:ascii="Arial" w:hAnsi="Arial" w:cs="Arial"/>
                <w:noProof/>
              </w:rPr>
              <w:t>“Profitability Ratios”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_Toc227719551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6</w:t>
            </w:r>
            <w:r w:rsidRPr="00BC24D3">
              <w:rPr>
                <w:rFonts w:ascii="Arial" w:hAnsi="Arial" w:cs="Arial"/>
                <w:noProof/>
                <w:webHidden/>
              </w:rPr>
              <w:fldChar w:fldCharType="end"/>
            </w:r>
          </w:hyperlink>
        </w:p>
        <w:p w14:paraId="0B5ED716" w14:textId="1872FE39" w:rsidR="00BC24D3" w:rsidRPr="00BC24D3" w:rsidRDefault="00BC24D3" w:rsidP="00BC24D3">
          <w:pPr>
            <w:pStyle w:val="TOC3"/>
            <w:tabs>
              <w:tab w:val="right" w:leader="dot" w:pos="9019"/>
            </w:tabs>
            <w:spacing w:before="0" w:after="0"/>
            <w:rPr>
              <w:rFonts w:ascii="Arial" w:hAnsi="Arial" w:cs="Arial"/>
              <w:noProof/>
            </w:rPr>
          </w:pPr>
          <w:hyperlink w:anchor="_Toc227719552" w:history="1">
            <w:r w:rsidRPr="00BC24D3">
              <w:rPr>
                <w:rStyle w:val="Hyperlink"/>
                <w:rFonts w:ascii="Arial" w:hAnsi="Arial" w:cs="Arial"/>
                <w:noProof/>
              </w:rPr>
              <w:t>“Liquidity Ratios”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_Toc227719552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7</w:t>
            </w:r>
            <w:r w:rsidRPr="00BC24D3">
              <w:rPr>
                <w:rFonts w:ascii="Arial" w:hAnsi="Arial" w:cs="Arial"/>
                <w:noProof/>
                <w:webHidden/>
              </w:rPr>
              <w:fldChar w:fldCharType="end"/>
            </w:r>
          </w:hyperlink>
        </w:p>
        <w:p w14:paraId="506E1286" w14:textId="14DE5A6C" w:rsidR="00BC24D3" w:rsidRPr="00BC24D3" w:rsidRDefault="00BC24D3" w:rsidP="00BC24D3">
          <w:pPr>
            <w:pStyle w:val="TOC3"/>
            <w:tabs>
              <w:tab w:val="right" w:leader="dot" w:pos="9019"/>
            </w:tabs>
            <w:spacing w:before="0" w:after="0"/>
            <w:rPr>
              <w:rFonts w:ascii="Arial" w:hAnsi="Arial" w:cs="Arial"/>
              <w:noProof/>
            </w:rPr>
          </w:pPr>
          <w:hyperlink w:anchor="_Toc227719553" w:history="1">
            <w:r w:rsidRPr="00BC24D3">
              <w:rPr>
                <w:rStyle w:val="Hyperlink"/>
                <w:rFonts w:ascii="Arial" w:hAnsi="Arial" w:cs="Arial"/>
                <w:noProof/>
              </w:rPr>
              <w:t>“Efficiency Ratios”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_Toc227719553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7</w:t>
            </w:r>
            <w:r w:rsidRPr="00BC24D3">
              <w:rPr>
                <w:rFonts w:ascii="Arial" w:hAnsi="Arial" w:cs="Arial"/>
                <w:noProof/>
                <w:webHidden/>
              </w:rPr>
              <w:fldChar w:fldCharType="end"/>
            </w:r>
          </w:hyperlink>
        </w:p>
        <w:p w14:paraId="29C98CFA" w14:textId="3EE70E6C" w:rsidR="00BC24D3" w:rsidRPr="00BC24D3" w:rsidRDefault="00BC24D3" w:rsidP="00BC24D3">
          <w:pPr>
            <w:pStyle w:val="TOC3"/>
            <w:tabs>
              <w:tab w:val="right" w:leader="dot" w:pos="9019"/>
            </w:tabs>
            <w:spacing w:before="0" w:after="0"/>
            <w:rPr>
              <w:rFonts w:ascii="Arial" w:hAnsi="Arial" w:cs="Arial"/>
              <w:noProof/>
            </w:rPr>
          </w:pPr>
          <w:hyperlink w:anchor="_Toc227719554" w:history="1">
            <w:r w:rsidRPr="00BC24D3">
              <w:rPr>
                <w:rStyle w:val="Hyperlink"/>
                <w:rFonts w:ascii="Arial" w:hAnsi="Arial" w:cs="Arial"/>
                <w:noProof/>
              </w:rPr>
              <w:t>“Gearing Ratios”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_Toc227719554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8</w:t>
            </w:r>
            <w:r w:rsidRPr="00BC24D3">
              <w:rPr>
                <w:rFonts w:ascii="Arial" w:hAnsi="Arial" w:cs="Arial"/>
                <w:noProof/>
                <w:webHidden/>
              </w:rPr>
              <w:fldChar w:fldCharType="end"/>
            </w:r>
          </w:hyperlink>
        </w:p>
        <w:p w14:paraId="343214AF" w14:textId="5DFEA5FE" w:rsidR="00BC24D3" w:rsidRPr="00BC24D3" w:rsidRDefault="00BC24D3" w:rsidP="00BC24D3">
          <w:pPr>
            <w:pStyle w:val="TOC3"/>
            <w:tabs>
              <w:tab w:val="right" w:leader="dot" w:pos="9019"/>
            </w:tabs>
            <w:spacing w:before="0" w:after="0"/>
            <w:rPr>
              <w:rFonts w:ascii="Arial" w:hAnsi="Arial" w:cs="Arial"/>
              <w:noProof/>
            </w:rPr>
          </w:pPr>
          <w:hyperlink w:anchor="_Toc227719555" w:history="1">
            <w:r w:rsidRPr="00BC24D3">
              <w:rPr>
                <w:rStyle w:val="Hyperlink"/>
                <w:rFonts w:ascii="Arial" w:hAnsi="Arial" w:cs="Arial"/>
                <w:noProof/>
              </w:rPr>
              <w:t>“Investment Ratios”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_Toc227719555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9</w:t>
            </w:r>
            <w:r w:rsidRPr="00BC24D3">
              <w:rPr>
                <w:rFonts w:ascii="Arial" w:hAnsi="Arial" w:cs="Arial"/>
                <w:noProof/>
                <w:webHidden/>
              </w:rPr>
              <w:fldChar w:fldCharType="end"/>
            </w:r>
          </w:hyperlink>
        </w:p>
        <w:p w14:paraId="00504A74" w14:textId="1DD617DA" w:rsidR="00BC24D3" w:rsidRPr="00BC24D3" w:rsidRDefault="00BC24D3" w:rsidP="00BC24D3">
          <w:pPr>
            <w:pStyle w:val="TOC3"/>
            <w:tabs>
              <w:tab w:val="right" w:leader="dot" w:pos="9019"/>
            </w:tabs>
            <w:spacing w:before="0" w:after="0"/>
            <w:rPr>
              <w:rFonts w:ascii="Arial" w:hAnsi="Arial" w:cs="Arial"/>
              <w:noProof/>
            </w:rPr>
          </w:pPr>
          <w:hyperlink w:anchor="_Toc227719556" w:history="1">
            <w:r w:rsidRPr="00BC24D3">
              <w:rPr>
                <w:rStyle w:val="Hyperlink"/>
                <w:rFonts w:ascii="Arial" w:hAnsi="Arial" w:cs="Arial"/>
                <w:noProof/>
              </w:rPr>
              <w:t>“Cash Flow Ratios”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10</w:t>
            </w:r>
            <w:r w:rsidRPr="00BC24D3">
              <w:rPr>
                <w:rFonts w:ascii="Arial" w:hAnsi="Arial" w:cs="Arial"/>
                <w:noProof/>
                <w:webHidden/>
              </w:rPr>
              <w:fldChar w:fldCharType="end"/>
            </w:r>
          </w:hyperlink>
        </w:p>
        <w:p w14:paraId="2345058E" w14:textId="5C538C3C" w:rsidR="00BC24D3" w:rsidRPr="00BC24D3" w:rsidRDefault="00BC24D3" w:rsidP="00BC24D3">
          <w:pPr>
            <w:pStyle w:val="TOC2"/>
            <w:tabs>
              <w:tab w:val="right" w:leader="dot" w:pos="9019"/>
            </w:tabs>
            <w:spacing w:before="0" w:after="0"/>
            <w:rPr>
              <w:rFonts w:ascii="Arial" w:hAnsi="Arial" w:cs="Arial"/>
              <w:noProof/>
            </w:rPr>
          </w:pPr>
          <w:hyperlink w:anchor="_Toc227719557" w:history="1">
            <w:r w:rsidRPr="00BC24D3">
              <w:rPr>
                <w:rStyle w:val="Hyperlink"/>
                <w:rFonts w:ascii="Arial" w:hAnsi="Arial" w:cs="Arial"/>
                <w:noProof/>
              </w:rPr>
              <w:t>2.4 Trends, Strengths, and Threats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10</w:t>
            </w:r>
            <w:r w:rsidRPr="00BC24D3">
              <w:rPr>
                <w:rFonts w:ascii="Arial" w:hAnsi="Arial" w:cs="Arial"/>
                <w:noProof/>
                <w:webHidden/>
              </w:rPr>
              <w:fldChar w:fldCharType="end"/>
            </w:r>
          </w:hyperlink>
        </w:p>
        <w:p w14:paraId="29F2E205" w14:textId="0DC69993" w:rsidR="00BC24D3" w:rsidRPr="00BC24D3" w:rsidRDefault="00BC24D3" w:rsidP="00BC24D3">
          <w:pPr>
            <w:pStyle w:val="TOC3"/>
            <w:tabs>
              <w:tab w:val="right" w:leader="dot" w:pos="9019"/>
            </w:tabs>
            <w:spacing w:before="0" w:after="0"/>
            <w:rPr>
              <w:rFonts w:ascii="Arial" w:hAnsi="Arial" w:cs="Arial"/>
              <w:noProof/>
            </w:rPr>
          </w:pPr>
          <w:hyperlink w:anchor="_Toc227719558" w:history="1">
            <w:r w:rsidRPr="00BC24D3">
              <w:rPr>
                <w:rStyle w:val="Hyperlink"/>
                <w:rFonts w:ascii="Arial" w:hAnsi="Arial" w:cs="Arial"/>
                <w:noProof/>
              </w:rPr>
              <w:t>Key Financial Trends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_Toc227719558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10</w:t>
            </w:r>
            <w:r w:rsidRPr="00BC24D3">
              <w:rPr>
                <w:rFonts w:ascii="Arial" w:hAnsi="Arial" w:cs="Arial"/>
                <w:noProof/>
                <w:webHidden/>
              </w:rPr>
              <w:fldChar w:fldCharType="end"/>
            </w:r>
          </w:hyperlink>
        </w:p>
        <w:p w14:paraId="65D59BFA" w14:textId="1D0B0E34" w:rsidR="00BC24D3" w:rsidRPr="00BC24D3" w:rsidRDefault="00BC24D3" w:rsidP="00BC24D3">
          <w:pPr>
            <w:pStyle w:val="TOC3"/>
            <w:tabs>
              <w:tab w:val="right" w:leader="dot" w:pos="9019"/>
            </w:tabs>
            <w:spacing w:before="0" w:after="0"/>
            <w:rPr>
              <w:rFonts w:ascii="Arial" w:hAnsi="Arial" w:cs="Arial"/>
              <w:noProof/>
            </w:rPr>
          </w:pPr>
          <w:hyperlink w:anchor="_Toc227719559" w:history="1">
            <w:r w:rsidRPr="00BC24D3">
              <w:rPr>
                <w:rStyle w:val="Hyperlink"/>
                <w:rFonts w:ascii="Arial" w:hAnsi="Arial" w:cs="Arial"/>
                <w:noProof/>
              </w:rPr>
              <w:t>Key Strengths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_Toc227719559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11</w:t>
            </w:r>
            <w:r w:rsidRPr="00BC24D3">
              <w:rPr>
                <w:rFonts w:ascii="Arial" w:hAnsi="Arial" w:cs="Arial"/>
                <w:noProof/>
                <w:webHidden/>
              </w:rPr>
              <w:fldChar w:fldCharType="end"/>
            </w:r>
          </w:hyperlink>
        </w:p>
        <w:p w14:paraId="4ECDAE92" w14:textId="4ED46769" w:rsidR="00BC24D3" w:rsidRPr="00BC24D3" w:rsidRDefault="00BC24D3" w:rsidP="00BC24D3">
          <w:pPr>
            <w:pStyle w:val="TOC3"/>
            <w:tabs>
              <w:tab w:val="right" w:leader="dot" w:pos="9019"/>
            </w:tabs>
            <w:spacing w:before="0" w:after="0"/>
            <w:rPr>
              <w:rFonts w:ascii="Arial" w:hAnsi="Arial" w:cs="Arial"/>
              <w:noProof/>
            </w:rPr>
          </w:pPr>
          <w:hyperlink w:anchor="_Toc227719560" w:history="1">
            <w:r w:rsidRPr="00BC24D3">
              <w:rPr>
                <w:rStyle w:val="Hyperlink"/>
                <w:rFonts w:ascii="Arial" w:hAnsi="Arial" w:cs="Arial"/>
                <w:noProof/>
              </w:rPr>
              <w:t>Key Threats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_Toc227719560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11</w:t>
            </w:r>
            <w:r w:rsidRPr="00BC24D3">
              <w:rPr>
                <w:rFonts w:ascii="Arial" w:hAnsi="Arial" w:cs="Arial"/>
                <w:noProof/>
                <w:webHidden/>
              </w:rPr>
              <w:fldChar w:fldCharType="end"/>
            </w:r>
          </w:hyperlink>
        </w:p>
        <w:p w14:paraId="43AEEE55" w14:textId="6A57C283" w:rsidR="00BC24D3" w:rsidRPr="00BC24D3" w:rsidRDefault="00BC24D3" w:rsidP="00BC24D3">
          <w:pPr>
            <w:pStyle w:val="TOC1"/>
            <w:tabs>
              <w:tab w:val="right" w:leader="dot" w:pos="9019"/>
            </w:tabs>
            <w:spacing w:before="0" w:after="0"/>
            <w:rPr>
              <w:rFonts w:ascii="Arial" w:hAnsi="Arial" w:cs="Arial"/>
              <w:noProof/>
            </w:rPr>
          </w:pPr>
          <w:hyperlink w:anchor="_Toc227719561" w:history="1">
            <w:r w:rsidRPr="00BC24D3">
              <w:rPr>
                <w:rStyle w:val="Hyperlink"/>
                <w:rFonts w:ascii="Arial" w:hAnsi="Arial" w:cs="Arial"/>
                <w:noProof/>
              </w:rPr>
              <w:t>3.0 Working Capital Management Analysis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_Toc227719561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12</w:t>
            </w:r>
            <w:r w:rsidRPr="00BC24D3">
              <w:rPr>
                <w:rFonts w:ascii="Arial" w:hAnsi="Arial" w:cs="Arial"/>
                <w:noProof/>
                <w:webHidden/>
              </w:rPr>
              <w:fldChar w:fldCharType="end"/>
            </w:r>
          </w:hyperlink>
        </w:p>
        <w:p w14:paraId="28F9FDCF" w14:textId="73FE0D75" w:rsidR="00BC24D3" w:rsidRPr="00BC24D3" w:rsidRDefault="00BC24D3" w:rsidP="00BC24D3">
          <w:pPr>
            <w:pStyle w:val="TOC2"/>
            <w:tabs>
              <w:tab w:val="right" w:leader="dot" w:pos="9019"/>
            </w:tabs>
            <w:spacing w:before="0" w:after="0"/>
            <w:rPr>
              <w:rFonts w:ascii="Arial" w:hAnsi="Arial" w:cs="Arial"/>
              <w:noProof/>
            </w:rPr>
          </w:pPr>
          <w:hyperlink w:anchor="_Toc227719562" w:history="1">
            <w:r w:rsidRPr="00BC24D3">
              <w:rPr>
                <w:rStyle w:val="Hyperlink"/>
                <w:rFonts w:ascii="Arial" w:hAnsi="Arial" w:cs="Arial"/>
                <w:noProof/>
              </w:rPr>
              <w:t>3.1 “Cash Operating Cycle (CCC)” Analysis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_Toc227719562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12</w:t>
            </w:r>
            <w:r w:rsidRPr="00BC24D3">
              <w:rPr>
                <w:rFonts w:ascii="Arial" w:hAnsi="Arial" w:cs="Arial"/>
                <w:noProof/>
                <w:webHidden/>
              </w:rPr>
              <w:fldChar w:fldCharType="end"/>
            </w:r>
          </w:hyperlink>
        </w:p>
        <w:p w14:paraId="198ABA41" w14:textId="12B73295" w:rsidR="00BC24D3" w:rsidRPr="00BC24D3" w:rsidRDefault="00BC24D3" w:rsidP="00BC24D3">
          <w:pPr>
            <w:pStyle w:val="TOC2"/>
            <w:tabs>
              <w:tab w:val="right" w:leader="dot" w:pos="9019"/>
            </w:tabs>
            <w:spacing w:before="0" w:after="0"/>
            <w:rPr>
              <w:rFonts w:ascii="Arial" w:hAnsi="Arial" w:cs="Arial"/>
              <w:noProof/>
            </w:rPr>
          </w:pPr>
          <w:hyperlink w:anchor="_Toc227719563" w:history="1">
            <w:r w:rsidRPr="00BC24D3">
              <w:rPr>
                <w:rStyle w:val="Hyperlink"/>
                <w:rFonts w:ascii="Arial" w:hAnsi="Arial" w:cs="Arial"/>
                <w:noProof/>
              </w:rPr>
              <w:t>3.2 Strategies Recommended to Improve Liquidity</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_Toc227719563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12</w:t>
            </w:r>
            <w:r w:rsidRPr="00BC24D3">
              <w:rPr>
                <w:rFonts w:ascii="Arial" w:hAnsi="Arial" w:cs="Arial"/>
                <w:noProof/>
                <w:webHidden/>
              </w:rPr>
              <w:fldChar w:fldCharType="end"/>
            </w:r>
          </w:hyperlink>
        </w:p>
        <w:p w14:paraId="7A181119" w14:textId="15062CD9" w:rsidR="00BC24D3" w:rsidRPr="00BC24D3" w:rsidRDefault="00BC24D3" w:rsidP="00BC24D3">
          <w:pPr>
            <w:pStyle w:val="TOC3"/>
            <w:tabs>
              <w:tab w:val="right" w:leader="dot" w:pos="9019"/>
            </w:tabs>
            <w:spacing w:before="0" w:after="0"/>
            <w:rPr>
              <w:rFonts w:ascii="Arial" w:hAnsi="Arial" w:cs="Arial"/>
              <w:noProof/>
            </w:rPr>
          </w:pPr>
          <w:hyperlink w:anchor="_Toc227719564" w:history="1">
            <w:r w:rsidRPr="00BC24D3">
              <w:rPr>
                <w:rStyle w:val="Hyperlink"/>
                <w:rFonts w:ascii="Arial" w:hAnsi="Arial" w:cs="Arial"/>
                <w:noProof/>
              </w:rPr>
              <w:t>Optimising Receivables Management</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_Toc227719564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12</w:t>
            </w:r>
            <w:r w:rsidRPr="00BC24D3">
              <w:rPr>
                <w:rFonts w:ascii="Arial" w:hAnsi="Arial" w:cs="Arial"/>
                <w:noProof/>
                <w:webHidden/>
              </w:rPr>
              <w:fldChar w:fldCharType="end"/>
            </w:r>
          </w:hyperlink>
        </w:p>
        <w:p w14:paraId="0854E2D9" w14:textId="0605C212" w:rsidR="00BC24D3" w:rsidRPr="00BC24D3" w:rsidRDefault="00BC24D3" w:rsidP="00BC24D3">
          <w:pPr>
            <w:pStyle w:val="TOC3"/>
            <w:tabs>
              <w:tab w:val="right" w:leader="dot" w:pos="9019"/>
            </w:tabs>
            <w:spacing w:before="0" w:after="0"/>
            <w:rPr>
              <w:rFonts w:ascii="Arial" w:hAnsi="Arial" w:cs="Arial"/>
              <w:noProof/>
            </w:rPr>
          </w:pPr>
          <w:hyperlink w:anchor="_Toc227719565" w:history="1">
            <w:r w:rsidRPr="00BC24D3">
              <w:rPr>
                <w:rStyle w:val="Hyperlink"/>
                <w:rFonts w:ascii="Arial" w:hAnsi="Arial" w:cs="Arial"/>
                <w:noProof/>
              </w:rPr>
              <w:t>Improving Inventory Management</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_Toc227719565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13</w:t>
            </w:r>
            <w:r w:rsidRPr="00BC24D3">
              <w:rPr>
                <w:rFonts w:ascii="Arial" w:hAnsi="Arial" w:cs="Arial"/>
                <w:noProof/>
                <w:webHidden/>
              </w:rPr>
              <w:fldChar w:fldCharType="end"/>
            </w:r>
          </w:hyperlink>
        </w:p>
        <w:p w14:paraId="3B8F4E90" w14:textId="78399193" w:rsidR="00BC24D3" w:rsidRPr="00BC24D3" w:rsidRDefault="00BC24D3" w:rsidP="00BC24D3">
          <w:pPr>
            <w:pStyle w:val="TOC3"/>
            <w:tabs>
              <w:tab w:val="right" w:leader="dot" w:pos="9019"/>
            </w:tabs>
            <w:spacing w:before="0" w:after="0"/>
            <w:rPr>
              <w:rFonts w:ascii="Arial" w:hAnsi="Arial" w:cs="Arial"/>
              <w:noProof/>
            </w:rPr>
          </w:pPr>
          <w:hyperlink w:anchor="_Toc227719566" w:history="1">
            <w:r w:rsidRPr="00BC24D3">
              <w:rPr>
                <w:rStyle w:val="Hyperlink"/>
                <w:rFonts w:ascii="Arial" w:hAnsi="Arial" w:cs="Arial"/>
                <w:noProof/>
              </w:rPr>
              <w:t>Extending Payables Period Strategically</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13</w:t>
            </w:r>
            <w:r w:rsidRPr="00BC24D3">
              <w:rPr>
                <w:rFonts w:ascii="Arial" w:hAnsi="Arial" w:cs="Arial"/>
                <w:noProof/>
                <w:webHidden/>
              </w:rPr>
              <w:fldChar w:fldCharType="end"/>
            </w:r>
          </w:hyperlink>
        </w:p>
        <w:p w14:paraId="03C5B8D7" w14:textId="19E2211A" w:rsidR="00BC24D3" w:rsidRPr="00BC24D3" w:rsidRDefault="00BC24D3" w:rsidP="00BC24D3">
          <w:pPr>
            <w:pStyle w:val="TOC3"/>
            <w:tabs>
              <w:tab w:val="right" w:leader="dot" w:pos="9019"/>
            </w:tabs>
            <w:spacing w:before="0" w:after="0"/>
            <w:rPr>
              <w:rFonts w:ascii="Arial" w:hAnsi="Arial" w:cs="Arial"/>
              <w:noProof/>
            </w:rPr>
          </w:pPr>
          <w:hyperlink w:anchor="_Toc227719567" w:history="1">
            <w:r w:rsidRPr="00BC24D3">
              <w:rPr>
                <w:rStyle w:val="Hyperlink"/>
                <w:rFonts w:ascii="Arial" w:hAnsi="Arial" w:cs="Arial"/>
                <w:noProof/>
              </w:rPr>
              <w:t>Enhancing Cash Flow Monitoring and Forecasting</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13</w:t>
            </w:r>
            <w:r w:rsidRPr="00BC24D3">
              <w:rPr>
                <w:rFonts w:ascii="Arial" w:hAnsi="Arial" w:cs="Arial"/>
                <w:noProof/>
                <w:webHidden/>
              </w:rPr>
              <w:fldChar w:fldCharType="end"/>
            </w:r>
          </w:hyperlink>
        </w:p>
        <w:p w14:paraId="5350D15E" w14:textId="535413BC" w:rsidR="00BC24D3" w:rsidRPr="00BC24D3" w:rsidRDefault="00BC24D3" w:rsidP="00BC24D3">
          <w:pPr>
            <w:pStyle w:val="TOC3"/>
            <w:tabs>
              <w:tab w:val="right" w:leader="dot" w:pos="9019"/>
            </w:tabs>
            <w:spacing w:before="0" w:after="0"/>
            <w:rPr>
              <w:rFonts w:ascii="Arial" w:hAnsi="Arial" w:cs="Arial"/>
              <w:noProof/>
            </w:rPr>
          </w:pPr>
          <w:hyperlink w:anchor="_Toc227719568" w:history="1">
            <w:r w:rsidRPr="00BC24D3">
              <w:rPr>
                <w:rStyle w:val="Hyperlink"/>
                <w:rFonts w:ascii="Arial" w:hAnsi="Arial" w:cs="Arial"/>
                <w:noProof/>
              </w:rPr>
              <w:t>Balancing Short-term and Long-term Financing</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_Toc227719568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13</w:t>
            </w:r>
            <w:r w:rsidRPr="00BC24D3">
              <w:rPr>
                <w:rFonts w:ascii="Arial" w:hAnsi="Arial" w:cs="Arial"/>
                <w:noProof/>
                <w:webHidden/>
              </w:rPr>
              <w:fldChar w:fldCharType="end"/>
            </w:r>
          </w:hyperlink>
        </w:p>
        <w:p w14:paraId="5E7CE501" w14:textId="14E510D8" w:rsidR="00BC24D3" w:rsidRPr="00BC24D3" w:rsidRDefault="00BC24D3" w:rsidP="00BC24D3">
          <w:pPr>
            <w:pStyle w:val="TOC2"/>
            <w:tabs>
              <w:tab w:val="right" w:leader="dot" w:pos="9019"/>
            </w:tabs>
            <w:spacing w:before="0" w:after="0"/>
            <w:rPr>
              <w:rFonts w:ascii="Arial" w:hAnsi="Arial" w:cs="Arial"/>
              <w:noProof/>
            </w:rPr>
          </w:pPr>
          <w:hyperlink w:anchor="_Toc227719569" w:history="1">
            <w:r w:rsidRPr="00BC24D3">
              <w:rPr>
                <w:rStyle w:val="Hyperlink"/>
                <w:rFonts w:ascii="Arial" w:hAnsi="Arial" w:cs="Arial"/>
                <w:noProof/>
              </w:rPr>
              <w:t>3.3 Comparison of Short-Term vs Long-Term Financing Options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_Toc227719569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14</w:t>
            </w:r>
            <w:r w:rsidRPr="00BC24D3">
              <w:rPr>
                <w:rFonts w:ascii="Arial" w:hAnsi="Arial" w:cs="Arial"/>
                <w:noProof/>
                <w:webHidden/>
              </w:rPr>
              <w:fldChar w:fldCharType="end"/>
            </w:r>
          </w:hyperlink>
        </w:p>
        <w:p w14:paraId="786A39BE" w14:textId="1317EEE6" w:rsidR="00BC24D3" w:rsidRPr="00BC24D3" w:rsidRDefault="00BC24D3" w:rsidP="00BC24D3">
          <w:pPr>
            <w:pStyle w:val="TOC3"/>
            <w:tabs>
              <w:tab w:val="right" w:leader="dot" w:pos="9019"/>
            </w:tabs>
            <w:spacing w:before="0" w:after="0"/>
            <w:rPr>
              <w:rFonts w:ascii="Arial" w:hAnsi="Arial" w:cs="Arial"/>
              <w:noProof/>
            </w:rPr>
          </w:pPr>
          <w:hyperlink w:anchor="_Toc227719570" w:history="1">
            <w:r w:rsidRPr="00BC24D3">
              <w:rPr>
                <w:rStyle w:val="Hyperlink"/>
                <w:rFonts w:ascii="Arial" w:hAnsi="Arial" w:cs="Arial"/>
                <w:noProof/>
              </w:rPr>
              <w:t>Short-Term Financing: Characteristics and Implications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_Toc227719570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14</w:t>
            </w:r>
            <w:r w:rsidRPr="00BC24D3">
              <w:rPr>
                <w:rFonts w:ascii="Arial" w:hAnsi="Arial" w:cs="Arial"/>
                <w:noProof/>
                <w:webHidden/>
              </w:rPr>
              <w:fldChar w:fldCharType="end"/>
            </w:r>
          </w:hyperlink>
        </w:p>
        <w:p w14:paraId="1E361AD2" w14:textId="50952DB2" w:rsidR="00BC24D3" w:rsidRPr="00BC24D3" w:rsidRDefault="00BC24D3" w:rsidP="00BC24D3">
          <w:pPr>
            <w:pStyle w:val="TOC3"/>
            <w:tabs>
              <w:tab w:val="right" w:leader="dot" w:pos="9019"/>
            </w:tabs>
            <w:spacing w:before="0" w:after="0"/>
            <w:rPr>
              <w:rFonts w:ascii="Arial" w:hAnsi="Arial" w:cs="Arial"/>
              <w:noProof/>
            </w:rPr>
          </w:pPr>
          <w:hyperlink w:anchor="_Toc227719571" w:history="1">
            <w:r w:rsidRPr="00BC24D3">
              <w:rPr>
                <w:rStyle w:val="Hyperlink"/>
                <w:rFonts w:ascii="Arial" w:hAnsi="Arial" w:cs="Arial"/>
                <w:noProof/>
              </w:rPr>
              <w:t>Long-Term Financing: Characteristics and Implications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_Toc227719571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14</w:t>
            </w:r>
            <w:r w:rsidRPr="00BC24D3">
              <w:rPr>
                <w:rFonts w:ascii="Arial" w:hAnsi="Arial" w:cs="Arial"/>
                <w:noProof/>
                <w:webHidden/>
              </w:rPr>
              <w:fldChar w:fldCharType="end"/>
            </w:r>
          </w:hyperlink>
        </w:p>
        <w:p w14:paraId="1CAFBA3D" w14:textId="3846A590" w:rsidR="00BC24D3" w:rsidRPr="00BC24D3" w:rsidRDefault="00BC24D3" w:rsidP="00BC24D3">
          <w:pPr>
            <w:pStyle w:val="TOC3"/>
            <w:tabs>
              <w:tab w:val="right" w:leader="dot" w:pos="9019"/>
            </w:tabs>
            <w:spacing w:before="0" w:after="0"/>
            <w:rPr>
              <w:rFonts w:ascii="Arial" w:hAnsi="Arial" w:cs="Arial"/>
              <w:noProof/>
            </w:rPr>
          </w:pPr>
          <w:hyperlink w:anchor="_Toc227719572" w:history="1">
            <w:r w:rsidRPr="00BC24D3">
              <w:rPr>
                <w:rStyle w:val="Hyperlink"/>
                <w:rFonts w:ascii="Arial" w:hAnsi="Arial" w:cs="Arial"/>
                <w:noProof/>
              </w:rPr>
              <w:t>Comparative Evaluation for Volkswagen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_Toc227719572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14</w:t>
            </w:r>
            <w:r w:rsidRPr="00BC24D3">
              <w:rPr>
                <w:rFonts w:ascii="Arial" w:hAnsi="Arial" w:cs="Arial"/>
                <w:noProof/>
                <w:webHidden/>
              </w:rPr>
              <w:fldChar w:fldCharType="end"/>
            </w:r>
          </w:hyperlink>
        </w:p>
        <w:p w14:paraId="1C8888BC" w14:textId="3A94AD51" w:rsidR="00BC24D3" w:rsidRPr="00BC24D3" w:rsidRDefault="00BC24D3" w:rsidP="00BC24D3">
          <w:pPr>
            <w:pStyle w:val="TOC1"/>
            <w:tabs>
              <w:tab w:val="right" w:leader="dot" w:pos="9019"/>
            </w:tabs>
            <w:spacing w:before="0" w:after="0"/>
            <w:rPr>
              <w:rFonts w:ascii="Arial" w:hAnsi="Arial" w:cs="Arial"/>
              <w:noProof/>
            </w:rPr>
          </w:pPr>
          <w:hyperlink w:anchor="_Toc227719573" w:history="1">
            <w:r w:rsidRPr="00BC24D3">
              <w:rPr>
                <w:rStyle w:val="Hyperlink"/>
                <w:rFonts w:ascii="Arial" w:hAnsi="Arial" w:cs="Arial"/>
                <w:noProof/>
              </w:rPr>
              <w:t>4.0 Strategic Financial Restructuring Plan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_Toc227719573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15</w:t>
            </w:r>
            <w:r w:rsidRPr="00BC24D3">
              <w:rPr>
                <w:rFonts w:ascii="Arial" w:hAnsi="Arial" w:cs="Arial"/>
                <w:noProof/>
                <w:webHidden/>
              </w:rPr>
              <w:fldChar w:fldCharType="end"/>
            </w:r>
          </w:hyperlink>
        </w:p>
        <w:p w14:paraId="3CF24E38" w14:textId="4DC5F678" w:rsidR="00BC24D3" w:rsidRPr="00BC24D3" w:rsidRDefault="00BC24D3" w:rsidP="00BC24D3">
          <w:pPr>
            <w:pStyle w:val="TOC2"/>
            <w:tabs>
              <w:tab w:val="right" w:leader="dot" w:pos="9019"/>
            </w:tabs>
            <w:spacing w:before="0" w:after="0"/>
            <w:rPr>
              <w:rFonts w:ascii="Arial" w:hAnsi="Arial" w:cs="Arial"/>
              <w:noProof/>
            </w:rPr>
          </w:pPr>
          <w:hyperlink w:anchor="_Toc227719574" w:history="1">
            <w:r w:rsidRPr="00BC24D3">
              <w:rPr>
                <w:rStyle w:val="Hyperlink"/>
                <w:rFonts w:ascii="Arial" w:hAnsi="Arial" w:cs="Arial"/>
                <w:noProof/>
              </w:rPr>
              <w:t>4.1 Financial Restructuring Options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_Toc227719574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15</w:t>
            </w:r>
            <w:r w:rsidRPr="00BC24D3">
              <w:rPr>
                <w:rFonts w:ascii="Arial" w:hAnsi="Arial" w:cs="Arial"/>
                <w:noProof/>
                <w:webHidden/>
              </w:rPr>
              <w:fldChar w:fldCharType="end"/>
            </w:r>
          </w:hyperlink>
        </w:p>
        <w:p w14:paraId="36AF7D7B" w14:textId="02EB8DDC" w:rsidR="00BC24D3" w:rsidRPr="00BC24D3" w:rsidRDefault="00BC24D3" w:rsidP="00BC24D3">
          <w:pPr>
            <w:pStyle w:val="TOC3"/>
            <w:tabs>
              <w:tab w:val="right" w:leader="dot" w:pos="9019"/>
            </w:tabs>
            <w:spacing w:before="0" w:after="0"/>
            <w:rPr>
              <w:rFonts w:ascii="Arial" w:hAnsi="Arial" w:cs="Arial"/>
              <w:noProof/>
            </w:rPr>
          </w:pPr>
          <w:hyperlink w:anchor="_Toc227719575" w:history="1">
            <w:r w:rsidRPr="00BC24D3">
              <w:rPr>
                <w:rStyle w:val="Hyperlink"/>
                <w:rFonts w:ascii="Arial" w:hAnsi="Arial" w:cs="Arial"/>
                <w:noProof/>
              </w:rPr>
              <w:t>Divestiture of Non-Core Assets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_Toc227719575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15</w:t>
            </w:r>
            <w:r w:rsidRPr="00BC24D3">
              <w:rPr>
                <w:rFonts w:ascii="Arial" w:hAnsi="Arial" w:cs="Arial"/>
                <w:noProof/>
                <w:webHidden/>
              </w:rPr>
              <w:fldChar w:fldCharType="end"/>
            </w:r>
          </w:hyperlink>
        </w:p>
        <w:p w14:paraId="056DA7F0" w14:textId="6E6BCA7F" w:rsidR="00BC24D3" w:rsidRPr="00BC24D3" w:rsidRDefault="00BC24D3" w:rsidP="00BC24D3">
          <w:pPr>
            <w:pStyle w:val="TOC3"/>
            <w:tabs>
              <w:tab w:val="right" w:leader="dot" w:pos="9019"/>
            </w:tabs>
            <w:spacing w:before="0" w:after="0"/>
            <w:rPr>
              <w:rFonts w:ascii="Arial" w:hAnsi="Arial" w:cs="Arial"/>
              <w:noProof/>
            </w:rPr>
          </w:pPr>
          <w:hyperlink w:anchor="_Toc227719576" w:history="1">
            <w:r w:rsidRPr="00BC24D3">
              <w:rPr>
                <w:rStyle w:val="Hyperlink"/>
                <w:rFonts w:ascii="Arial" w:hAnsi="Arial" w:cs="Arial"/>
                <w:noProof/>
              </w:rPr>
              <w:t>Strategic Mergers and Partnerships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15</w:t>
            </w:r>
            <w:r w:rsidRPr="00BC24D3">
              <w:rPr>
                <w:rFonts w:ascii="Arial" w:hAnsi="Arial" w:cs="Arial"/>
                <w:noProof/>
                <w:webHidden/>
              </w:rPr>
              <w:fldChar w:fldCharType="end"/>
            </w:r>
          </w:hyperlink>
        </w:p>
        <w:p w14:paraId="5AD043E7" w14:textId="71C710B5" w:rsidR="00BC24D3" w:rsidRPr="00BC24D3" w:rsidRDefault="00BC24D3" w:rsidP="00BC24D3">
          <w:pPr>
            <w:pStyle w:val="TOC3"/>
            <w:tabs>
              <w:tab w:val="right" w:leader="dot" w:pos="9019"/>
            </w:tabs>
            <w:spacing w:before="0" w:after="0"/>
            <w:rPr>
              <w:rFonts w:ascii="Arial" w:hAnsi="Arial" w:cs="Arial"/>
              <w:noProof/>
            </w:rPr>
          </w:pPr>
          <w:hyperlink w:anchor="_Toc227719577" w:history="1">
            <w:r w:rsidRPr="00BC24D3">
              <w:rPr>
                <w:rStyle w:val="Hyperlink"/>
                <w:rFonts w:ascii="Arial" w:hAnsi="Arial" w:cs="Arial"/>
                <w:noProof/>
              </w:rPr>
              <w:t>Equity Injection and Capital Raising</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15</w:t>
            </w:r>
            <w:r w:rsidRPr="00BC24D3">
              <w:rPr>
                <w:rFonts w:ascii="Arial" w:hAnsi="Arial" w:cs="Arial"/>
                <w:noProof/>
                <w:webHidden/>
              </w:rPr>
              <w:fldChar w:fldCharType="end"/>
            </w:r>
          </w:hyperlink>
        </w:p>
        <w:p w14:paraId="02C9EB15" w14:textId="490965CD" w:rsidR="00BC24D3" w:rsidRPr="00BC24D3" w:rsidRDefault="00BC24D3" w:rsidP="00BC24D3">
          <w:pPr>
            <w:pStyle w:val="TOC3"/>
            <w:tabs>
              <w:tab w:val="right" w:leader="dot" w:pos="9019"/>
            </w:tabs>
            <w:spacing w:before="0" w:after="0"/>
            <w:rPr>
              <w:rFonts w:ascii="Arial" w:hAnsi="Arial" w:cs="Arial"/>
              <w:noProof/>
            </w:rPr>
          </w:pPr>
          <w:hyperlink w:anchor="_Toc227719578" w:history="1">
            <w:r w:rsidRPr="00BC24D3">
              <w:rPr>
                <w:rStyle w:val="Hyperlink"/>
                <w:rFonts w:ascii="Arial" w:hAnsi="Arial" w:cs="Arial"/>
                <w:noProof/>
              </w:rPr>
              <w:t>Debt Restructuring and Refinancing</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_Toc227719578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16</w:t>
            </w:r>
            <w:r w:rsidRPr="00BC24D3">
              <w:rPr>
                <w:rFonts w:ascii="Arial" w:hAnsi="Arial" w:cs="Arial"/>
                <w:noProof/>
                <w:webHidden/>
              </w:rPr>
              <w:fldChar w:fldCharType="end"/>
            </w:r>
          </w:hyperlink>
        </w:p>
        <w:p w14:paraId="174C4944" w14:textId="13A3D042" w:rsidR="00BC24D3" w:rsidRPr="00BC24D3" w:rsidRDefault="00BC24D3" w:rsidP="00BC24D3">
          <w:pPr>
            <w:pStyle w:val="TOC2"/>
            <w:tabs>
              <w:tab w:val="right" w:leader="dot" w:pos="9019"/>
            </w:tabs>
            <w:spacing w:before="0" w:after="0"/>
            <w:rPr>
              <w:rFonts w:ascii="Arial" w:hAnsi="Arial" w:cs="Arial"/>
              <w:noProof/>
            </w:rPr>
          </w:pPr>
          <w:hyperlink w:anchor="_Toc227719579" w:history="1">
            <w:r w:rsidRPr="00BC24D3">
              <w:rPr>
                <w:rStyle w:val="Hyperlink"/>
                <w:rFonts w:ascii="Arial" w:hAnsi="Arial" w:cs="Arial"/>
                <w:noProof/>
              </w:rPr>
              <w:t>4.2 Impact on Shareholder Value, Debt Structure, and Operational Flexibility</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_Toc227719579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16</w:t>
            </w:r>
            <w:r w:rsidRPr="00BC24D3">
              <w:rPr>
                <w:rFonts w:ascii="Arial" w:hAnsi="Arial" w:cs="Arial"/>
                <w:noProof/>
                <w:webHidden/>
              </w:rPr>
              <w:fldChar w:fldCharType="end"/>
            </w:r>
          </w:hyperlink>
        </w:p>
        <w:p w14:paraId="64A377DE" w14:textId="28B09F48" w:rsidR="00BC24D3" w:rsidRPr="00BC24D3" w:rsidRDefault="00BC24D3" w:rsidP="00BC24D3">
          <w:pPr>
            <w:pStyle w:val="TOC3"/>
            <w:tabs>
              <w:tab w:val="right" w:leader="dot" w:pos="9019"/>
            </w:tabs>
            <w:spacing w:before="0" w:after="0"/>
            <w:rPr>
              <w:rFonts w:ascii="Arial" w:hAnsi="Arial" w:cs="Arial"/>
              <w:noProof/>
            </w:rPr>
          </w:pPr>
          <w:hyperlink w:anchor="_Toc227719580" w:history="1">
            <w:r w:rsidRPr="00BC24D3">
              <w:rPr>
                <w:rStyle w:val="Hyperlink"/>
                <w:rFonts w:ascii="Arial" w:hAnsi="Arial" w:cs="Arial"/>
                <w:noProof/>
              </w:rPr>
              <w:t>Impact on Shareholder Value</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_Toc227719580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16</w:t>
            </w:r>
            <w:r w:rsidRPr="00BC24D3">
              <w:rPr>
                <w:rFonts w:ascii="Arial" w:hAnsi="Arial" w:cs="Arial"/>
                <w:noProof/>
                <w:webHidden/>
              </w:rPr>
              <w:fldChar w:fldCharType="end"/>
            </w:r>
          </w:hyperlink>
        </w:p>
        <w:p w14:paraId="6E3A5909" w14:textId="3CD528DE" w:rsidR="00BC24D3" w:rsidRPr="00BC24D3" w:rsidRDefault="00BC24D3" w:rsidP="00BC24D3">
          <w:pPr>
            <w:pStyle w:val="TOC3"/>
            <w:tabs>
              <w:tab w:val="right" w:leader="dot" w:pos="9019"/>
            </w:tabs>
            <w:spacing w:before="0" w:after="0"/>
            <w:rPr>
              <w:rFonts w:ascii="Arial" w:hAnsi="Arial" w:cs="Arial"/>
              <w:noProof/>
            </w:rPr>
          </w:pPr>
          <w:hyperlink w:anchor="_Toc227719581" w:history="1">
            <w:r w:rsidRPr="00BC24D3">
              <w:rPr>
                <w:rStyle w:val="Hyperlink"/>
                <w:rFonts w:ascii="Arial" w:hAnsi="Arial" w:cs="Arial"/>
                <w:noProof/>
              </w:rPr>
              <w:t>Impact on Debt Structure</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_Toc227719581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16</w:t>
            </w:r>
            <w:r w:rsidRPr="00BC24D3">
              <w:rPr>
                <w:rFonts w:ascii="Arial" w:hAnsi="Arial" w:cs="Arial"/>
                <w:noProof/>
                <w:webHidden/>
              </w:rPr>
              <w:fldChar w:fldCharType="end"/>
            </w:r>
          </w:hyperlink>
        </w:p>
        <w:p w14:paraId="4F76A2DB" w14:textId="32FB8A20" w:rsidR="00BC24D3" w:rsidRPr="00BC24D3" w:rsidRDefault="00BC24D3" w:rsidP="00BC24D3">
          <w:pPr>
            <w:pStyle w:val="TOC3"/>
            <w:tabs>
              <w:tab w:val="right" w:leader="dot" w:pos="9019"/>
            </w:tabs>
            <w:spacing w:before="0" w:after="0"/>
            <w:rPr>
              <w:rFonts w:ascii="Arial" w:hAnsi="Arial" w:cs="Arial"/>
              <w:noProof/>
            </w:rPr>
          </w:pPr>
          <w:hyperlink w:anchor="_Toc227719582" w:history="1">
            <w:r w:rsidRPr="00BC24D3">
              <w:rPr>
                <w:rStyle w:val="Hyperlink"/>
                <w:rFonts w:ascii="Arial" w:hAnsi="Arial" w:cs="Arial"/>
                <w:noProof/>
              </w:rPr>
              <w:t>Impact on Operational Flexibility</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_Toc227719582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17</w:t>
            </w:r>
            <w:r w:rsidRPr="00BC24D3">
              <w:rPr>
                <w:rFonts w:ascii="Arial" w:hAnsi="Arial" w:cs="Arial"/>
                <w:noProof/>
                <w:webHidden/>
              </w:rPr>
              <w:fldChar w:fldCharType="end"/>
            </w:r>
          </w:hyperlink>
        </w:p>
        <w:p w14:paraId="15529DAD" w14:textId="6345AC5A" w:rsidR="00BC24D3" w:rsidRPr="00BC24D3" w:rsidRDefault="00BC24D3" w:rsidP="00BC24D3">
          <w:pPr>
            <w:pStyle w:val="TOC2"/>
            <w:tabs>
              <w:tab w:val="right" w:leader="dot" w:pos="9019"/>
            </w:tabs>
            <w:spacing w:before="0" w:after="0"/>
            <w:rPr>
              <w:rFonts w:ascii="Arial" w:hAnsi="Arial" w:cs="Arial"/>
              <w:noProof/>
            </w:rPr>
          </w:pPr>
          <w:hyperlink w:anchor="_Toc227719583" w:history="1">
            <w:r w:rsidRPr="00BC24D3">
              <w:rPr>
                <w:rStyle w:val="Hyperlink"/>
                <w:rFonts w:ascii="Arial" w:hAnsi="Arial" w:cs="Arial"/>
                <w:noProof/>
              </w:rPr>
              <w:t>4.3 International and Ethical Considerations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_Toc227719583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17</w:t>
            </w:r>
            <w:r w:rsidRPr="00BC24D3">
              <w:rPr>
                <w:rFonts w:ascii="Arial" w:hAnsi="Arial" w:cs="Arial"/>
                <w:noProof/>
                <w:webHidden/>
              </w:rPr>
              <w:fldChar w:fldCharType="end"/>
            </w:r>
          </w:hyperlink>
        </w:p>
        <w:p w14:paraId="1D77C1D4" w14:textId="6E611957" w:rsidR="00BC24D3" w:rsidRPr="00BC24D3" w:rsidRDefault="00BC24D3" w:rsidP="00BC24D3">
          <w:pPr>
            <w:pStyle w:val="TOC3"/>
            <w:tabs>
              <w:tab w:val="right" w:leader="dot" w:pos="9019"/>
            </w:tabs>
            <w:spacing w:before="0" w:after="0"/>
            <w:rPr>
              <w:rFonts w:ascii="Arial" w:hAnsi="Arial" w:cs="Arial"/>
              <w:noProof/>
            </w:rPr>
          </w:pPr>
          <w:hyperlink w:anchor="_Toc227719584" w:history="1">
            <w:r w:rsidRPr="00BC24D3">
              <w:rPr>
                <w:rStyle w:val="Hyperlink"/>
                <w:rFonts w:ascii="Arial" w:hAnsi="Arial" w:cs="Arial"/>
                <w:noProof/>
              </w:rPr>
              <w:t>Taxation and Regulatory Compliance</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_Toc227719584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17</w:t>
            </w:r>
            <w:r w:rsidRPr="00BC24D3">
              <w:rPr>
                <w:rFonts w:ascii="Arial" w:hAnsi="Arial" w:cs="Arial"/>
                <w:noProof/>
                <w:webHidden/>
              </w:rPr>
              <w:fldChar w:fldCharType="end"/>
            </w:r>
          </w:hyperlink>
        </w:p>
        <w:p w14:paraId="16539C8A" w14:textId="7EF74EC9" w:rsidR="00BC24D3" w:rsidRPr="00BC24D3" w:rsidRDefault="00BC24D3" w:rsidP="00BC24D3">
          <w:pPr>
            <w:pStyle w:val="TOC3"/>
            <w:tabs>
              <w:tab w:val="right" w:leader="dot" w:pos="9019"/>
            </w:tabs>
            <w:spacing w:before="0" w:after="0"/>
            <w:rPr>
              <w:rFonts w:ascii="Arial" w:hAnsi="Arial" w:cs="Arial"/>
              <w:noProof/>
            </w:rPr>
          </w:pPr>
          <w:hyperlink w:anchor="_Toc227719585" w:history="1">
            <w:r w:rsidRPr="00BC24D3">
              <w:rPr>
                <w:rStyle w:val="Hyperlink"/>
                <w:rFonts w:ascii="Arial" w:hAnsi="Arial" w:cs="Arial"/>
                <w:noProof/>
              </w:rPr>
              <w:t>Currency Risk and Exchange Rate Volatility</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_Toc227719585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18</w:t>
            </w:r>
            <w:r w:rsidRPr="00BC24D3">
              <w:rPr>
                <w:rFonts w:ascii="Arial" w:hAnsi="Arial" w:cs="Arial"/>
                <w:noProof/>
                <w:webHidden/>
              </w:rPr>
              <w:fldChar w:fldCharType="end"/>
            </w:r>
          </w:hyperlink>
        </w:p>
        <w:p w14:paraId="20A9084A" w14:textId="5A232D90" w:rsidR="00BC24D3" w:rsidRPr="00BC24D3" w:rsidRDefault="00BC24D3" w:rsidP="00BC24D3">
          <w:pPr>
            <w:pStyle w:val="TOC3"/>
            <w:tabs>
              <w:tab w:val="right" w:leader="dot" w:pos="9019"/>
            </w:tabs>
            <w:spacing w:before="0" w:after="0"/>
            <w:rPr>
              <w:rFonts w:ascii="Arial" w:hAnsi="Arial" w:cs="Arial"/>
              <w:noProof/>
            </w:rPr>
          </w:pPr>
          <w:hyperlink w:anchor="_Toc227719586" w:history="1">
            <w:r w:rsidRPr="00BC24D3">
              <w:rPr>
                <w:rStyle w:val="Hyperlink"/>
                <w:rFonts w:ascii="Arial" w:hAnsi="Arial" w:cs="Arial"/>
                <w:noProof/>
              </w:rPr>
              <w:t>Inflation and Cost Pressures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18</w:t>
            </w:r>
            <w:r w:rsidRPr="00BC24D3">
              <w:rPr>
                <w:rFonts w:ascii="Arial" w:hAnsi="Arial" w:cs="Arial"/>
                <w:noProof/>
                <w:webHidden/>
              </w:rPr>
              <w:fldChar w:fldCharType="end"/>
            </w:r>
          </w:hyperlink>
        </w:p>
        <w:p w14:paraId="0FAFD487" w14:textId="60844810" w:rsidR="00BC24D3" w:rsidRPr="00BC24D3" w:rsidRDefault="00BC24D3" w:rsidP="00BC24D3">
          <w:pPr>
            <w:pStyle w:val="TOC3"/>
            <w:tabs>
              <w:tab w:val="right" w:leader="dot" w:pos="9019"/>
            </w:tabs>
            <w:spacing w:before="0" w:after="0"/>
            <w:rPr>
              <w:rFonts w:ascii="Arial" w:hAnsi="Arial" w:cs="Arial"/>
              <w:noProof/>
            </w:rPr>
          </w:pPr>
          <w:hyperlink w:anchor="_Toc227719587" w:history="1">
            <w:r w:rsidRPr="00BC24D3">
              <w:rPr>
                <w:rStyle w:val="Hyperlink"/>
                <w:rFonts w:ascii="Arial" w:hAnsi="Arial" w:cs="Arial"/>
                <w:noProof/>
              </w:rPr>
              <w:t>Corporate Social Responsibility (CSR) and Ethical Practices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18</w:t>
            </w:r>
            <w:r w:rsidRPr="00BC24D3">
              <w:rPr>
                <w:rFonts w:ascii="Arial" w:hAnsi="Arial" w:cs="Arial"/>
                <w:noProof/>
                <w:webHidden/>
              </w:rPr>
              <w:fldChar w:fldCharType="end"/>
            </w:r>
          </w:hyperlink>
        </w:p>
        <w:p w14:paraId="67790A1E" w14:textId="3BB76400" w:rsidR="00BC24D3" w:rsidRPr="00BC24D3" w:rsidRDefault="00BC24D3" w:rsidP="00BC24D3">
          <w:pPr>
            <w:pStyle w:val="TOC3"/>
            <w:tabs>
              <w:tab w:val="right" w:leader="dot" w:pos="9019"/>
            </w:tabs>
            <w:spacing w:before="0" w:after="0"/>
            <w:rPr>
              <w:rFonts w:ascii="Arial" w:hAnsi="Arial" w:cs="Arial"/>
              <w:noProof/>
            </w:rPr>
          </w:pPr>
          <w:hyperlink w:anchor="_Toc227719588" w:history="1">
            <w:r w:rsidRPr="00BC24D3">
              <w:rPr>
                <w:rStyle w:val="Hyperlink"/>
                <w:rFonts w:ascii="Arial" w:hAnsi="Arial" w:cs="Arial"/>
                <w:noProof/>
              </w:rPr>
              <w:t>Ethical Financial Decision-Making</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_Toc227719588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19</w:t>
            </w:r>
            <w:r w:rsidRPr="00BC24D3">
              <w:rPr>
                <w:rFonts w:ascii="Arial" w:hAnsi="Arial" w:cs="Arial"/>
                <w:noProof/>
                <w:webHidden/>
              </w:rPr>
              <w:fldChar w:fldCharType="end"/>
            </w:r>
          </w:hyperlink>
        </w:p>
        <w:p w14:paraId="29862141" w14:textId="5A55FD42" w:rsidR="00BC24D3" w:rsidRPr="00BC24D3" w:rsidRDefault="00BC24D3" w:rsidP="00BC24D3">
          <w:pPr>
            <w:pStyle w:val="TOC1"/>
            <w:tabs>
              <w:tab w:val="right" w:leader="dot" w:pos="9019"/>
            </w:tabs>
            <w:spacing w:before="0" w:after="0"/>
            <w:rPr>
              <w:rFonts w:ascii="Arial" w:hAnsi="Arial" w:cs="Arial"/>
              <w:noProof/>
            </w:rPr>
          </w:pPr>
          <w:hyperlink w:anchor="_Toc227719589" w:history="1">
            <w:r w:rsidRPr="00BC24D3">
              <w:rPr>
                <w:rStyle w:val="Hyperlink"/>
                <w:rFonts w:ascii="Arial" w:hAnsi="Arial" w:cs="Arial"/>
                <w:noProof/>
              </w:rPr>
              <w:t>5.0 Investment Appraisal and Capital Budgeting</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_Toc227719589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19</w:t>
            </w:r>
            <w:r w:rsidRPr="00BC24D3">
              <w:rPr>
                <w:rFonts w:ascii="Arial" w:hAnsi="Arial" w:cs="Arial"/>
                <w:noProof/>
                <w:webHidden/>
              </w:rPr>
              <w:fldChar w:fldCharType="end"/>
            </w:r>
          </w:hyperlink>
        </w:p>
        <w:p w14:paraId="19B673DC" w14:textId="65C6255A" w:rsidR="00BC24D3" w:rsidRPr="00BC24D3" w:rsidRDefault="00BC24D3" w:rsidP="00BC24D3">
          <w:pPr>
            <w:pStyle w:val="TOC2"/>
            <w:tabs>
              <w:tab w:val="right" w:leader="dot" w:pos="9019"/>
            </w:tabs>
            <w:spacing w:before="0" w:after="0"/>
            <w:rPr>
              <w:rFonts w:ascii="Arial" w:hAnsi="Arial" w:cs="Arial"/>
              <w:noProof/>
            </w:rPr>
          </w:pPr>
          <w:hyperlink w:anchor="_Toc227719590" w:history="1">
            <w:r w:rsidRPr="00BC24D3">
              <w:rPr>
                <w:rStyle w:val="Hyperlink"/>
                <w:rFonts w:ascii="Arial" w:hAnsi="Arial" w:cs="Arial"/>
                <w:noProof/>
              </w:rPr>
              <w:t>5.1 Investment Appraisal Methodology Overview</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_Toc227719590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19</w:t>
            </w:r>
            <w:r w:rsidRPr="00BC24D3">
              <w:rPr>
                <w:rFonts w:ascii="Arial" w:hAnsi="Arial" w:cs="Arial"/>
                <w:noProof/>
                <w:webHidden/>
              </w:rPr>
              <w:fldChar w:fldCharType="end"/>
            </w:r>
          </w:hyperlink>
        </w:p>
        <w:p w14:paraId="07879013" w14:textId="512E8386" w:rsidR="00BC24D3" w:rsidRPr="00BC24D3" w:rsidRDefault="00BC24D3" w:rsidP="00BC24D3">
          <w:pPr>
            <w:pStyle w:val="TOC2"/>
            <w:tabs>
              <w:tab w:val="right" w:leader="dot" w:pos="9019"/>
            </w:tabs>
            <w:spacing w:before="0" w:after="0"/>
            <w:rPr>
              <w:rFonts w:ascii="Arial" w:hAnsi="Arial" w:cs="Arial"/>
              <w:noProof/>
            </w:rPr>
          </w:pPr>
          <w:hyperlink w:anchor="_Toc227719591" w:history="1">
            <w:r w:rsidRPr="00BC24D3">
              <w:rPr>
                <w:rStyle w:val="Hyperlink"/>
                <w:rFonts w:ascii="Arial" w:hAnsi="Arial" w:cs="Arial"/>
                <w:noProof/>
              </w:rPr>
              <w:t>5.2 Investment Projects Overview</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_Toc227719591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20</w:t>
            </w:r>
            <w:r w:rsidRPr="00BC24D3">
              <w:rPr>
                <w:rFonts w:ascii="Arial" w:hAnsi="Arial" w:cs="Arial"/>
                <w:noProof/>
                <w:webHidden/>
              </w:rPr>
              <w:fldChar w:fldCharType="end"/>
            </w:r>
          </w:hyperlink>
        </w:p>
        <w:p w14:paraId="76AED183" w14:textId="07554DFC" w:rsidR="00BC24D3" w:rsidRPr="00BC24D3" w:rsidRDefault="00BC24D3" w:rsidP="00BC24D3">
          <w:pPr>
            <w:pStyle w:val="TOC2"/>
            <w:tabs>
              <w:tab w:val="right" w:leader="dot" w:pos="9019"/>
            </w:tabs>
            <w:spacing w:before="0" w:after="0"/>
            <w:rPr>
              <w:rFonts w:ascii="Arial" w:hAnsi="Arial" w:cs="Arial"/>
              <w:noProof/>
            </w:rPr>
          </w:pPr>
          <w:hyperlink w:anchor="_Toc227719592" w:history="1">
            <w:r w:rsidRPr="00BC24D3">
              <w:rPr>
                <w:rStyle w:val="Hyperlink"/>
                <w:rFonts w:ascii="Arial" w:hAnsi="Arial" w:cs="Arial"/>
                <w:noProof/>
              </w:rPr>
              <w:t>5.3 Project A Evaluation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_Toc227719592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20</w:t>
            </w:r>
            <w:r w:rsidRPr="00BC24D3">
              <w:rPr>
                <w:rFonts w:ascii="Arial" w:hAnsi="Arial" w:cs="Arial"/>
                <w:noProof/>
                <w:webHidden/>
              </w:rPr>
              <w:fldChar w:fldCharType="end"/>
            </w:r>
          </w:hyperlink>
        </w:p>
        <w:p w14:paraId="2BA879AA" w14:textId="60FC8FD8" w:rsidR="00BC24D3" w:rsidRPr="00BC24D3" w:rsidRDefault="00BC24D3" w:rsidP="00BC24D3">
          <w:pPr>
            <w:pStyle w:val="TOC2"/>
            <w:tabs>
              <w:tab w:val="right" w:leader="dot" w:pos="9019"/>
            </w:tabs>
            <w:spacing w:before="0" w:after="0"/>
            <w:rPr>
              <w:rFonts w:ascii="Arial" w:hAnsi="Arial" w:cs="Arial"/>
              <w:noProof/>
            </w:rPr>
          </w:pPr>
          <w:hyperlink w:anchor="_Toc227719593" w:history="1">
            <w:r w:rsidRPr="00BC24D3">
              <w:rPr>
                <w:rStyle w:val="Hyperlink"/>
                <w:rFonts w:ascii="Arial" w:hAnsi="Arial" w:cs="Arial"/>
                <w:noProof/>
              </w:rPr>
              <w:t>5.4 Project B Evaluation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_Toc227719593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20</w:t>
            </w:r>
            <w:r w:rsidRPr="00BC24D3">
              <w:rPr>
                <w:rFonts w:ascii="Arial" w:hAnsi="Arial" w:cs="Arial"/>
                <w:noProof/>
                <w:webHidden/>
              </w:rPr>
              <w:fldChar w:fldCharType="end"/>
            </w:r>
          </w:hyperlink>
        </w:p>
        <w:p w14:paraId="795037F6" w14:textId="6C1BAA30" w:rsidR="00BC24D3" w:rsidRPr="00BC24D3" w:rsidRDefault="00BC24D3" w:rsidP="00BC24D3">
          <w:pPr>
            <w:pStyle w:val="TOC2"/>
            <w:tabs>
              <w:tab w:val="right" w:leader="dot" w:pos="9019"/>
            </w:tabs>
            <w:spacing w:before="0" w:after="0"/>
            <w:rPr>
              <w:rFonts w:ascii="Arial" w:hAnsi="Arial" w:cs="Arial"/>
              <w:noProof/>
            </w:rPr>
          </w:pPr>
          <w:hyperlink w:anchor="_Toc227719594" w:history="1">
            <w:r w:rsidRPr="00BC24D3">
              <w:rPr>
                <w:rStyle w:val="Hyperlink"/>
                <w:rFonts w:ascii="Arial" w:hAnsi="Arial" w:cs="Arial"/>
                <w:noProof/>
              </w:rPr>
              <w:t>5.5 Project C Evaluation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_Toc227719594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20</w:t>
            </w:r>
            <w:r w:rsidRPr="00BC24D3">
              <w:rPr>
                <w:rFonts w:ascii="Arial" w:hAnsi="Arial" w:cs="Arial"/>
                <w:noProof/>
                <w:webHidden/>
              </w:rPr>
              <w:fldChar w:fldCharType="end"/>
            </w:r>
          </w:hyperlink>
        </w:p>
        <w:p w14:paraId="157FC3F8" w14:textId="48F25758" w:rsidR="00BC24D3" w:rsidRPr="00BC24D3" w:rsidRDefault="00BC24D3" w:rsidP="00BC24D3">
          <w:pPr>
            <w:pStyle w:val="TOC2"/>
            <w:tabs>
              <w:tab w:val="right" w:leader="dot" w:pos="9019"/>
            </w:tabs>
            <w:spacing w:before="0" w:after="0"/>
            <w:rPr>
              <w:rFonts w:ascii="Arial" w:hAnsi="Arial" w:cs="Arial"/>
              <w:noProof/>
            </w:rPr>
          </w:pPr>
          <w:hyperlink w:anchor="_Toc227719595" w:history="1">
            <w:r w:rsidRPr="00BC24D3">
              <w:rPr>
                <w:rStyle w:val="Hyperlink"/>
                <w:rFonts w:ascii="Arial" w:hAnsi="Arial" w:cs="Arial"/>
                <w:noProof/>
              </w:rPr>
              <w:t>5.6 Project Recommendation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_Toc227719595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21</w:t>
            </w:r>
            <w:r w:rsidRPr="00BC24D3">
              <w:rPr>
                <w:rFonts w:ascii="Arial" w:hAnsi="Arial" w:cs="Arial"/>
                <w:noProof/>
                <w:webHidden/>
              </w:rPr>
              <w:fldChar w:fldCharType="end"/>
            </w:r>
          </w:hyperlink>
        </w:p>
        <w:p w14:paraId="618DAE46" w14:textId="2154BF13" w:rsidR="00BC24D3" w:rsidRPr="00BC24D3" w:rsidRDefault="00BC24D3" w:rsidP="00BC24D3">
          <w:pPr>
            <w:pStyle w:val="TOC3"/>
            <w:tabs>
              <w:tab w:val="right" w:leader="dot" w:pos="9019"/>
            </w:tabs>
            <w:spacing w:before="0" w:after="0"/>
            <w:rPr>
              <w:rFonts w:ascii="Arial" w:hAnsi="Arial" w:cs="Arial"/>
              <w:noProof/>
            </w:rPr>
          </w:pPr>
          <w:hyperlink w:anchor="_Toc227719596" w:history="1">
            <w:r w:rsidRPr="00BC24D3">
              <w:rPr>
                <w:rStyle w:val="Hyperlink"/>
                <w:rFonts w:ascii="Arial" w:hAnsi="Arial" w:cs="Arial"/>
                <w:noProof/>
              </w:rPr>
              <w:t>Financial Performance Justification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21</w:t>
            </w:r>
            <w:r w:rsidRPr="00BC24D3">
              <w:rPr>
                <w:rFonts w:ascii="Arial" w:hAnsi="Arial" w:cs="Arial"/>
                <w:noProof/>
                <w:webHidden/>
              </w:rPr>
              <w:fldChar w:fldCharType="end"/>
            </w:r>
          </w:hyperlink>
        </w:p>
        <w:p w14:paraId="1363A194" w14:textId="1C3752A3" w:rsidR="00BC24D3" w:rsidRPr="00BC24D3" w:rsidRDefault="00BC24D3" w:rsidP="00BC24D3">
          <w:pPr>
            <w:pStyle w:val="TOC3"/>
            <w:tabs>
              <w:tab w:val="right" w:leader="dot" w:pos="9019"/>
            </w:tabs>
            <w:spacing w:before="0" w:after="0"/>
            <w:rPr>
              <w:rFonts w:ascii="Arial" w:hAnsi="Arial" w:cs="Arial"/>
              <w:noProof/>
            </w:rPr>
          </w:pPr>
          <w:hyperlink w:anchor="_Toc227719597" w:history="1">
            <w:r w:rsidRPr="00BC24D3">
              <w:rPr>
                <w:rStyle w:val="Hyperlink"/>
                <w:rFonts w:ascii="Arial" w:hAnsi="Arial" w:cs="Arial"/>
                <w:noProof/>
              </w:rPr>
              <w:t>Non-Financial Risk Considerations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21</w:t>
            </w:r>
            <w:r w:rsidRPr="00BC24D3">
              <w:rPr>
                <w:rFonts w:ascii="Arial" w:hAnsi="Arial" w:cs="Arial"/>
                <w:noProof/>
                <w:webHidden/>
              </w:rPr>
              <w:fldChar w:fldCharType="end"/>
            </w:r>
          </w:hyperlink>
        </w:p>
        <w:p w14:paraId="703A5EB0" w14:textId="3F6711D0" w:rsidR="00BC24D3" w:rsidRPr="00BC24D3" w:rsidRDefault="00BC24D3" w:rsidP="00BC24D3">
          <w:pPr>
            <w:pStyle w:val="TOC2"/>
            <w:tabs>
              <w:tab w:val="right" w:leader="dot" w:pos="9019"/>
            </w:tabs>
            <w:spacing w:before="0" w:after="0"/>
            <w:rPr>
              <w:rFonts w:ascii="Arial" w:hAnsi="Arial" w:cs="Arial"/>
              <w:noProof/>
            </w:rPr>
          </w:pPr>
          <w:hyperlink w:anchor="_Toc227719598" w:history="1">
            <w:r w:rsidRPr="00BC24D3">
              <w:rPr>
                <w:rStyle w:val="Hyperlink"/>
                <w:rFonts w:ascii="Arial" w:hAnsi="Arial" w:cs="Arial"/>
                <w:noProof/>
              </w:rPr>
              <w:t>5.7 Capital Rationing Decision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_Toc227719598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22</w:t>
            </w:r>
            <w:r w:rsidRPr="00BC24D3">
              <w:rPr>
                <w:rFonts w:ascii="Arial" w:hAnsi="Arial" w:cs="Arial"/>
                <w:noProof/>
                <w:webHidden/>
              </w:rPr>
              <w:fldChar w:fldCharType="end"/>
            </w:r>
          </w:hyperlink>
        </w:p>
        <w:p w14:paraId="0A4F816C" w14:textId="17DEB258" w:rsidR="00BC24D3" w:rsidRPr="00BC24D3" w:rsidRDefault="00BC24D3" w:rsidP="00BC24D3">
          <w:pPr>
            <w:pStyle w:val="TOC3"/>
            <w:tabs>
              <w:tab w:val="right" w:leader="dot" w:pos="9019"/>
            </w:tabs>
            <w:spacing w:before="0" w:after="0"/>
            <w:rPr>
              <w:rFonts w:ascii="Arial" w:hAnsi="Arial" w:cs="Arial"/>
              <w:noProof/>
            </w:rPr>
          </w:pPr>
          <w:hyperlink w:anchor="_Toc227719599" w:history="1">
            <w:r w:rsidRPr="00BC24D3">
              <w:rPr>
                <w:rStyle w:val="Hyperlink"/>
                <w:rFonts w:ascii="Arial" w:hAnsi="Arial" w:cs="Arial"/>
                <w:noProof/>
              </w:rPr>
              <w:t>Optimal Project Combination under Capital Constraint</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_Toc227719599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22</w:t>
            </w:r>
            <w:r w:rsidRPr="00BC24D3">
              <w:rPr>
                <w:rFonts w:ascii="Arial" w:hAnsi="Arial" w:cs="Arial"/>
                <w:noProof/>
                <w:webHidden/>
              </w:rPr>
              <w:fldChar w:fldCharType="end"/>
            </w:r>
          </w:hyperlink>
        </w:p>
        <w:p w14:paraId="2724CCE6" w14:textId="28F92D9D" w:rsidR="00BC24D3" w:rsidRPr="00BC24D3" w:rsidRDefault="00BC24D3" w:rsidP="00BC24D3">
          <w:pPr>
            <w:pStyle w:val="TOC3"/>
            <w:tabs>
              <w:tab w:val="right" w:leader="dot" w:pos="9019"/>
            </w:tabs>
            <w:spacing w:before="0" w:after="0"/>
            <w:rPr>
              <w:rFonts w:ascii="Arial" w:hAnsi="Arial" w:cs="Arial"/>
              <w:noProof/>
            </w:rPr>
          </w:pPr>
          <w:hyperlink w:anchor="_Toc227719600" w:history="1">
            <w:r w:rsidRPr="00BC24D3">
              <w:rPr>
                <w:rStyle w:val="Hyperlink"/>
                <w:rFonts w:ascii="Arial" w:hAnsi="Arial" w:cs="Arial"/>
                <w:noProof/>
              </w:rPr>
              <w:t>Strategic Justification and Risk Consideration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_Toc227719600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22</w:t>
            </w:r>
            <w:r w:rsidRPr="00BC24D3">
              <w:rPr>
                <w:rFonts w:ascii="Arial" w:hAnsi="Arial" w:cs="Arial"/>
                <w:noProof/>
                <w:webHidden/>
              </w:rPr>
              <w:fldChar w:fldCharType="end"/>
            </w:r>
          </w:hyperlink>
        </w:p>
        <w:p w14:paraId="49D56407" w14:textId="141FE839" w:rsidR="00BC24D3" w:rsidRPr="00BC24D3" w:rsidRDefault="00BC24D3" w:rsidP="00BC24D3">
          <w:pPr>
            <w:pStyle w:val="TOC1"/>
            <w:tabs>
              <w:tab w:val="right" w:leader="dot" w:pos="9019"/>
            </w:tabs>
            <w:spacing w:before="0" w:after="0"/>
            <w:rPr>
              <w:rFonts w:ascii="Arial" w:hAnsi="Arial" w:cs="Arial"/>
              <w:noProof/>
            </w:rPr>
          </w:pPr>
          <w:hyperlink w:anchor="_Toc227719601" w:history="1">
            <w:r w:rsidRPr="00BC24D3">
              <w:rPr>
                <w:rStyle w:val="Hyperlink"/>
                <w:rFonts w:ascii="Arial" w:hAnsi="Arial" w:cs="Arial"/>
                <w:noProof/>
              </w:rPr>
              <w:t>6.0 Conclusion</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_Toc227719601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22</w:t>
            </w:r>
            <w:r w:rsidRPr="00BC24D3">
              <w:rPr>
                <w:rFonts w:ascii="Arial" w:hAnsi="Arial" w:cs="Arial"/>
                <w:noProof/>
                <w:webHidden/>
              </w:rPr>
              <w:fldChar w:fldCharType="end"/>
            </w:r>
          </w:hyperlink>
        </w:p>
        <w:p w14:paraId="1A6B3D88" w14:textId="35E632ED" w:rsidR="00BC24D3" w:rsidRPr="00BC24D3" w:rsidRDefault="00BC24D3" w:rsidP="00BC24D3">
          <w:pPr>
            <w:pStyle w:val="TOC1"/>
            <w:tabs>
              <w:tab w:val="right" w:leader="dot" w:pos="9019"/>
            </w:tabs>
            <w:spacing w:before="0" w:after="0"/>
            <w:rPr>
              <w:rFonts w:ascii="Arial" w:hAnsi="Arial" w:cs="Arial"/>
              <w:noProof/>
            </w:rPr>
          </w:pPr>
          <w:hyperlink w:anchor="_Toc227719602" w:history="1">
            <w:r w:rsidRPr="00BC24D3">
              <w:rPr>
                <w:rStyle w:val="Hyperlink"/>
                <w:rFonts w:ascii="Arial" w:hAnsi="Arial" w:cs="Arial"/>
                <w:noProof/>
              </w:rPr>
              <w:t>7.0 References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_Toc227719602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24</w:t>
            </w:r>
            <w:r w:rsidRPr="00BC24D3">
              <w:rPr>
                <w:rFonts w:ascii="Arial" w:hAnsi="Arial" w:cs="Arial"/>
                <w:noProof/>
                <w:webHidden/>
              </w:rPr>
              <w:fldChar w:fldCharType="end"/>
            </w:r>
          </w:hyperlink>
        </w:p>
        <w:p w14:paraId="1F244DD8" w14:textId="17E7AA84" w:rsidR="00BC24D3" w:rsidRPr="00BC24D3" w:rsidRDefault="00BC24D3" w:rsidP="00BC24D3">
          <w:pPr>
            <w:pStyle w:val="TOC1"/>
            <w:tabs>
              <w:tab w:val="right" w:leader="dot" w:pos="9019"/>
            </w:tabs>
            <w:spacing w:before="0" w:after="0"/>
            <w:rPr>
              <w:rFonts w:ascii="Arial" w:hAnsi="Arial" w:cs="Arial"/>
              <w:noProof/>
            </w:rPr>
          </w:pPr>
          <w:hyperlink w:anchor="_Toc227719603" w:history="1">
            <w:r w:rsidRPr="00BC24D3">
              <w:rPr>
                <w:rStyle w:val="Hyperlink"/>
                <w:rFonts w:ascii="Arial" w:hAnsi="Arial" w:cs="Arial"/>
                <w:noProof/>
              </w:rPr>
              <w:t>8.0 Appendices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_Toc227719603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26</w:t>
            </w:r>
            <w:r w:rsidRPr="00BC24D3">
              <w:rPr>
                <w:rFonts w:ascii="Arial" w:hAnsi="Arial" w:cs="Arial"/>
                <w:noProof/>
                <w:webHidden/>
              </w:rPr>
              <w:fldChar w:fldCharType="end"/>
            </w:r>
          </w:hyperlink>
        </w:p>
        <w:p w14:paraId="4ECB1D3A" w14:textId="52B541B3" w:rsidR="00BC24D3" w:rsidRPr="00BC24D3" w:rsidRDefault="00BC24D3" w:rsidP="00BC24D3">
          <w:pPr>
            <w:pStyle w:val="TOC2"/>
            <w:tabs>
              <w:tab w:val="right" w:leader="dot" w:pos="9019"/>
            </w:tabs>
            <w:spacing w:before="0" w:after="0"/>
            <w:rPr>
              <w:rFonts w:ascii="Arial" w:hAnsi="Arial" w:cs="Arial"/>
              <w:noProof/>
            </w:rPr>
          </w:pPr>
          <w:hyperlink w:anchor="_Toc227719604" w:history="1">
            <w:r w:rsidRPr="00BC24D3">
              <w:rPr>
                <w:rStyle w:val="Hyperlink"/>
                <w:rFonts w:ascii="Arial" w:hAnsi="Arial" w:cs="Arial"/>
                <w:noProof/>
              </w:rPr>
              <w:t>Appendix A: Financial Tables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_Toc227719604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26</w:t>
            </w:r>
            <w:r w:rsidRPr="00BC24D3">
              <w:rPr>
                <w:rFonts w:ascii="Arial" w:hAnsi="Arial" w:cs="Arial"/>
                <w:noProof/>
                <w:webHidden/>
              </w:rPr>
              <w:fldChar w:fldCharType="end"/>
            </w:r>
          </w:hyperlink>
        </w:p>
        <w:p w14:paraId="612D1807" w14:textId="7DFC2F92" w:rsidR="00BC24D3" w:rsidRPr="00BC24D3" w:rsidRDefault="00BC24D3" w:rsidP="00BC24D3">
          <w:pPr>
            <w:pStyle w:val="TOC2"/>
            <w:tabs>
              <w:tab w:val="right" w:leader="dot" w:pos="9019"/>
            </w:tabs>
            <w:spacing w:before="0" w:after="0"/>
            <w:rPr>
              <w:rFonts w:ascii="Arial" w:hAnsi="Arial" w:cs="Arial"/>
              <w:noProof/>
            </w:rPr>
          </w:pPr>
          <w:hyperlink w:anchor="_Toc227719605" w:history="1">
            <w:r w:rsidRPr="00BC24D3">
              <w:rPr>
                <w:rStyle w:val="Hyperlink"/>
                <w:rFonts w:ascii="Arial" w:hAnsi="Arial" w:cs="Arial"/>
                <w:noProof/>
              </w:rPr>
              <w:t>Appendix B: Ratio Tables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_Toc227719605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28</w:t>
            </w:r>
            <w:r w:rsidRPr="00BC24D3">
              <w:rPr>
                <w:rFonts w:ascii="Arial" w:hAnsi="Arial" w:cs="Arial"/>
                <w:noProof/>
                <w:webHidden/>
              </w:rPr>
              <w:fldChar w:fldCharType="end"/>
            </w:r>
          </w:hyperlink>
        </w:p>
        <w:p w14:paraId="19FFBC35" w14:textId="2B2B869E" w:rsidR="00BC24D3" w:rsidRPr="00BC24D3" w:rsidRDefault="00BC24D3" w:rsidP="00BC24D3">
          <w:pPr>
            <w:pStyle w:val="TOC2"/>
            <w:tabs>
              <w:tab w:val="right" w:leader="dot" w:pos="9019"/>
            </w:tabs>
            <w:spacing w:before="0" w:after="0"/>
            <w:rPr>
              <w:rFonts w:ascii="Arial" w:hAnsi="Arial" w:cs="Arial"/>
              <w:noProof/>
            </w:rPr>
          </w:pPr>
          <w:hyperlink w:anchor="_Toc227719606" w:history="1">
            <w:r w:rsidRPr="00BC24D3">
              <w:rPr>
                <w:rStyle w:val="Hyperlink"/>
                <w:rFonts w:ascii="Arial" w:hAnsi="Arial" w:cs="Arial"/>
                <w:noProof/>
              </w:rPr>
              <w:t>Appendix C: Ratio Graphs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_Toc227719606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36</w:t>
            </w:r>
            <w:r w:rsidRPr="00BC24D3">
              <w:rPr>
                <w:rFonts w:ascii="Arial" w:hAnsi="Arial" w:cs="Arial"/>
                <w:noProof/>
                <w:webHidden/>
              </w:rPr>
              <w:fldChar w:fldCharType="end"/>
            </w:r>
          </w:hyperlink>
        </w:p>
        <w:p w14:paraId="02E3F3CE" w14:textId="17FD7B90" w:rsidR="00BC24D3" w:rsidRPr="00BC24D3" w:rsidRDefault="00BC24D3" w:rsidP="00BC24D3">
          <w:pPr>
            <w:pStyle w:val="TOC2"/>
            <w:tabs>
              <w:tab w:val="right" w:leader="dot" w:pos="9019"/>
            </w:tabs>
            <w:spacing w:before="0" w:after="0"/>
            <w:rPr>
              <w:rFonts w:ascii="Arial" w:hAnsi="Arial" w:cs="Arial"/>
              <w:noProof/>
            </w:rPr>
          </w:pPr>
          <w:hyperlink w:anchor="_Toc227719607" w:history="1">
            <w:r w:rsidRPr="00BC24D3">
              <w:rPr>
                <w:rStyle w:val="Hyperlink"/>
                <w:rFonts w:ascii="Arial" w:hAnsi="Arial" w:cs="Arial"/>
                <w:noProof/>
              </w:rPr>
              <w:t>Appendix D: Investment Appraisal Calculations</w:t>
            </w:r>
            <w:r w:rsidRPr="00BC24D3">
              <w:rPr>
                <w:rFonts w:ascii="Arial" w:hAnsi="Arial" w:cs="Arial"/>
                <w:noProof/>
                <w:webHidden/>
              </w:rPr>
              <w:tab/>
            </w:r>
            <w:r w:rsidRPr="00BC24D3">
              <w:rPr>
                <w:rFonts w:ascii="Arial" w:hAnsi="Arial" w:cs="Arial"/>
                <w:noProof/>
                <w:webHidden/>
              </w:rPr>
              <w:fldChar w:fldCharType="begin"/>
            </w:r>
            <w:r w:rsidRPr="00BC24D3">
              <w:rPr>
                <w:rFonts w:ascii="Arial" w:hAnsi="Arial" w:cs="Arial"/>
                <w:noProof/>
                <w:webHidden/>
              </w:rPr>
              <w:instrText xml:space="preserve"> PAGEREF _Toc227719607 \h </w:instrText>
            </w:r>
            <w:r w:rsidRPr="00BC24D3">
              <w:rPr>
                <w:rFonts w:ascii="Arial" w:hAnsi="Arial" w:cs="Arial"/>
                <w:noProof/>
                <w:webHidden/>
              </w:rPr>
            </w:r>
            <w:r w:rsidRPr="00BC24D3">
              <w:rPr>
                <w:rFonts w:ascii="Arial" w:hAnsi="Arial" w:cs="Arial"/>
                <w:noProof/>
                <w:webHidden/>
              </w:rPr>
              <w:fldChar w:fldCharType="separate"/>
            </w:r>
            <w:r w:rsidR="00A546C3">
              <w:rPr>
                <w:rFonts w:ascii="Arial" w:hAnsi="Arial" w:cs="Arial"/>
                <w:noProof/>
                <w:webHidden/>
              </w:rPr>
              <w:t>39</w:t>
            </w:r>
            <w:r w:rsidRPr="00BC24D3">
              <w:rPr>
                <w:rFonts w:ascii="Arial" w:hAnsi="Arial" w:cs="Arial"/>
                <w:noProof/>
                <w:webHidden/>
              </w:rPr>
              <w:fldChar w:fldCharType="end"/>
            </w:r>
          </w:hyperlink>
        </w:p>
        <w:p w14:paraId="703309E4" w14:textId="7E0CE24D" w:rsidR="006F7CD0" w:rsidRDefault="000E4802" w:rsidP="00BC24D3">
          <w:pPr>
            <w:widowControl w:val="0"/>
            <w:tabs>
              <w:tab w:val="right" w:leader="dot" w:pos="12000"/>
            </w:tabs>
            <w:spacing w:before="0" w:after="0"/>
            <w:ind w:left="360"/>
            <w:rPr>
              <w:color w:val="000000"/>
            </w:rPr>
          </w:pPr>
          <w:r w:rsidRPr="00BC24D3">
            <w:rPr>
              <w:rFonts w:ascii="Arial" w:hAnsi="Arial" w:cs="Arial"/>
            </w:rPr>
            <w:fldChar w:fldCharType="end"/>
          </w:r>
        </w:p>
      </w:sdtContent>
    </w:sdt>
    <w:p w14:paraId="710F5CC5" w14:textId="77777777" w:rsidR="006F7CD0" w:rsidRDefault="000E4802">
      <w:pPr>
        <w:spacing w:before="200" w:after="200"/>
        <w:rPr>
          <w:rFonts w:ascii="Arial" w:eastAsia="Arial" w:hAnsi="Arial" w:cs="Arial"/>
        </w:rPr>
      </w:pPr>
      <w:r>
        <w:br w:type="page"/>
      </w:r>
    </w:p>
    <w:p w14:paraId="7566F5F6" w14:textId="77777777" w:rsidR="006F7CD0" w:rsidRDefault="000E4802">
      <w:pPr>
        <w:pStyle w:val="Heading1"/>
      </w:pPr>
      <w:bookmarkStart w:id="0" w:name="_Toc227719545"/>
      <w:r>
        <w:t>1.0 Introduction</w:t>
      </w:r>
      <w:bookmarkEnd w:id="0"/>
    </w:p>
    <w:p w14:paraId="09F6DD13" w14:textId="77777777" w:rsidR="006F7CD0" w:rsidRDefault="000E4802">
      <w:pPr>
        <w:spacing w:before="200" w:after="200"/>
        <w:rPr>
          <w:rFonts w:ascii="Arial" w:eastAsia="Arial" w:hAnsi="Arial" w:cs="Arial"/>
        </w:rPr>
      </w:pPr>
      <w:r>
        <w:rPr>
          <w:rFonts w:ascii="Arial" w:eastAsia="Arial" w:hAnsi="Arial" w:cs="Arial"/>
        </w:rPr>
        <w:t>The trend of electric vehicles (EVs) worldwide has exacerbated financial and strategic pressures on large automotive companies, and efficient financial management is becoming more important. Volkswagen competes in a very competitive and capital-intensive landscape, which demands strong financial analysis and strategic decision-making to maintain the pace of growth (Volkswagen, 2024). The purpose of the report is to evaluate the financial performance of Volkswagen in the last five years, to identify the major financial problems and recommend strategic solutions to these problems as a CFO-led analysis. The report is divided into four key parts: financial health analysis, working capital management, financial restructuring strategies, and investment appraisal and capital budgeting.</w:t>
      </w:r>
    </w:p>
    <w:p w14:paraId="5E8BDB5F"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72F9ABC3" wp14:editId="6F3F3B31">
            <wp:extent cx="5731200" cy="25146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200" cy="2514600"/>
                    </a:xfrm>
                    <a:prstGeom prst="rect">
                      <a:avLst/>
                    </a:prstGeom>
                    <a:ln/>
                  </pic:spPr>
                </pic:pic>
              </a:graphicData>
            </a:graphic>
          </wp:inline>
        </w:drawing>
      </w:r>
    </w:p>
    <w:p w14:paraId="366BB191" w14:textId="77777777" w:rsidR="006F7CD0" w:rsidRDefault="000E4802">
      <w:pPr>
        <w:spacing w:before="200" w:after="200"/>
        <w:jc w:val="center"/>
        <w:rPr>
          <w:rFonts w:ascii="Arial" w:eastAsia="Arial" w:hAnsi="Arial" w:cs="Arial"/>
          <w:b/>
          <w:bCs/>
        </w:rPr>
      </w:pPr>
      <w:r>
        <w:rPr>
          <w:rFonts w:ascii="Arial" w:eastAsia="Arial" w:hAnsi="Arial" w:cs="Arial"/>
          <w:b/>
          <w:bCs/>
        </w:rPr>
        <w:t>Figure 1: Economic Growth Percentage Change in GDP</w:t>
      </w:r>
    </w:p>
    <w:p w14:paraId="5C87CA49" w14:textId="77777777" w:rsidR="006F7CD0" w:rsidRDefault="000E4802">
      <w:pPr>
        <w:spacing w:before="200" w:after="200"/>
        <w:jc w:val="center"/>
        <w:rPr>
          <w:rFonts w:ascii="Arial" w:eastAsia="Arial" w:hAnsi="Arial" w:cs="Arial"/>
        </w:rPr>
      </w:pPr>
      <w:r>
        <w:rPr>
          <w:rFonts w:ascii="Arial" w:eastAsia="Arial" w:hAnsi="Arial" w:cs="Arial"/>
        </w:rPr>
        <w:t>(Source: Volkswagen, 2024)</w:t>
      </w:r>
    </w:p>
    <w:p w14:paraId="60683EB7" w14:textId="77777777" w:rsidR="006F7CD0" w:rsidRDefault="000E4802">
      <w:pPr>
        <w:pStyle w:val="Heading1"/>
      </w:pPr>
      <w:bookmarkStart w:id="1" w:name="_Toc227719546"/>
      <w:r>
        <w:t>2.0 Financial Health Check</w:t>
      </w:r>
      <w:bookmarkEnd w:id="1"/>
    </w:p>
    <w:p w14:paraId="1A3AD769" w14:textId="77777777" w:rsidR="006F7CD0" w:rsidRDefault="000E4802">
      <w:pPr>
        <w:pStyle w:val="Heading2"/>
      </w:pPr>
      <w:bookmarkStart w:id="2" w:name="_Toc227719547"/>
      <w:r>
        <w:t>2.1 Income Statement Analysis (2020-2024)</w:t>
      </w:r>
      <w:bookmarkEnd w:id="2"/>
    </w:p>
    <w:p w14:paraId="5E66A452" w14:textId="1E68A7DD" w:rsidR="006F7CD0" w:rsidRDefault="000E4802">
      <w:pPr>
        <w:spacing w:before="200" w:after="200"/>
        <w:rPr>
          <w:rFonts w:ascii="Arial" w:eastAsia="Arial" w:hAnsi="Arial" w:cs="Arial"/>
        </w:rPr>
      </w:pPr>
      <w:r>
        <w:rPr>
          <w:rFonts w:ascii="Arial" w:eastAsia="Arial" w:hAnsi="Arial" w:cs="Arial"/>
        </w:rPr>
        <w:t xml:space="preserve">The Volkswagen financial performance has a positive overall increase in revenue between the year 2020 of 222,884m and 2024 of 324,656m due to the high demand of EVs and the international expansion of Volkswagen. Nevertheless, profitability has deteriorated, as the operating profit decreased in 2023 to 2024, to 19,060m and 22,528m, respectively, as a result of increasing cost of sales </w:t>
      </w:r>
      <w:r w:rsidR="00BC24D3">
        <w:rPr>
          <w:rFonts w:ascii="Arial" w:eastAsia="Arial" w:hAnsi="Arial" w:cs="Arial"/>
        </w:rPr>
        <w:t>(265,184</w:t>
      </w:r>
      <w:r>
        <w:rPr>
          <w:rFonts w:ascii="Arial" w:eastAsia="Arial" w:hAnsi="Arial" w:cs="Arial"/>
        </w:rPr>
        <w:t xml:space="preserve">m) and operating expenses. The net income declined to a considerable extent of 12,394m in 2024 as compared to 17,861m in 2023 due to the negative financial result of -2,255m and increased interest expenses (Volkswagen, 2024). This signifies a margin pressure due to inflation, supply chain expenses, and excessive investments in the EV transition (IEA, 2024). </w:t>
      </w:r>
      <w:r>
        <w:rPr>
          <w:rFonts w:ascii="Arial" w:eastAsia="Arial" w:hAnsi="Arial" w:cs="Arial"/>
          <w:b/>
          <w:bCs/>
          <w:i/>
          <w:iCs/>
        </w:rPr>
        <w:t>[Referred to Appendix A]</w:t>
      </w:r>
    </w:p>
    <w:p w14:paraId="22BABB14" w14:textId="77777777" w:rsidR="006F7CD0" w:rsidRDefault="000E4802">
      <w:pPr>
        <w:pStyle w:val="Heading2"/>
      </w:pPr>
      <w:bookmarkStart w:id="3" w:name="_Toc227719548"/>
      <w:r>
        <w:t>2.2 Balance Sheet Analysis (2020-2024)</w:t>
      </w:r>
      <w:bookmarkEnd w:id="3"/>
    </w:p>
    <w:p w14:paraId="70A7A735" w14:textId="77777777" w:rsidR="006F7CD0" w:rsidRDefault="000E4802">
      <w:pPr>
        <w:spacing w:before="200" w:after="200"/>
        <w:rPr>
          <w:rFonts w:ascii="Arial" w:eastAsia="Arial" w:hAnsi="Arial" w:cs="Arial"/>
        </w:rPr>
      </w:pPr>
      <w:r>
        <w:rPr>
          <w:rFonts w:ascii="Arial" w:eastAsia="Arial" w:hAnsi="Arial" w:cs="Arial"/>
        </w:rPr>
        <w:t xml:space="preserve">The total assets of Volkswagen grew by 497,114m in 2020 to 632,905m in 2024, showing a robust growth due to investments in EVs and expansion of financial services. There was an increase in non-current assets to €387,674m, which is attributed to increased intangible assets (€93, 333m) and financial receivables. Current assets were also increased to reach an even higher level of 245,231m, but cash decreased by 43,449m (2023) to 40,296m (2024), which indicates liquidity pressure. The total liabilities have risen to €436,173m, and financial liabilities have significantly increased, which reflects increased leverage (Volkswagen, 2024). Nonetheless, equity increased to €196,731m as a result of the increase in retained earnings (€155,130m), which indicates better long-term financial stability despite rising levels of debt. </w:t>
      </w:r>
      <w:r>
        <w:rPr>
          <w:rFonts w:ascii="Arial" w:eastAsia="Arial" w:hAnsi="Arial" w:cs="Arial"/>
          <w:b/>
          <w:bCs/>
          <w:i/>
          <w:iCs/>
        </w:rPr>
        <w:t>[Referred to Appendix A]</w:t>
      </w:r>
    </w:p>
    <w:p w14:paraId="6AC69E41" w14:textId="77777777" w:rsidR="006F7CD0" w:rsidRDefault="000E4802">
      <w:pPr>
        <w:pStyle w:val="Heading2"/>
      </w:pPr>
      <w:bookmarkStart w:id="4" w:name="_Toc227719549"/>
      <w:r>
        <w:t>2.3 Cash Flow Statement Analysis (2020-2024)</w:t>
      </w:r>
      <w:bookmarkEnd w:id="4"/>
    </w:p>
    <w:p w14:paraId="60B20325" w14:textId="77777777" w:rsidR="006F7CD0" w:rsidRDefault="000E4802">
      <w:pPr>
        <w:spacing w:before="200" w:after="200"/>
        <w:rPr>
          <w:rFonts w:ascii="Arial" w:eastAsia="Arial" w:hAnsi="Arial" w:cs="Arial"/>
          <w:b/>
          <w:bCs/>
          <w:i/>
          <w:iCs/>
        </w:rPr>
      </w:pPr>
      <w:r>
        <w:rPr>
          <w:rFonts w:ascii="Arial" w:eastAsia="Arial" w:hAnsi="Arial" w:cs="Arial"/>
        </w:rPr>
        <w:t xml:space="preserve">The cash flow position of Volkswagen indicates an operational strength that is on the decrease as operating cash flow decreases in 2024 to 17,151m, compared to 2021 (38,633m), representing weaker earnings and higher working capital outflows, including receivables (€-2,083m) and lease assets (€-19,358m). The activities of investing are still negative at a high level of -31,573m in 2024, with high capital expenditure on EV development and assets. The financing cash flow was also positive (€11,140m) with bonds being issued (€38,420m), which means it relied on external financing (Volkswagen, 2024). Liquidity pressure and higher financial risk in the face of good gross liquidity (€84,959m) can be seen through a negative net cash flow of €-3,226m in 2024. </w:t>
      </w:r>
      <w:r>
        <w:rPr>
          <w:rFonts w:ascii="Arial" w:eastAsia="Arial" w:hAnsi="Arial" w:cs="Arial"/>
          <w:b/>
          <w:bCs/>
          <w:i/>
          <w:iCs/>
        </w:rPr>
        <w:t>[Referred to Appendix A]</w:t>
      </w:r>
    </w:p>
    <w:p w14:paraId="282F930F" w14:textId="77777777" w:rsidR="006F7CD0" w:rsidRDefault="000E4802">
      <w:pPr>
        <w:pStyle w:val="Heading2"/>
      </w:pPr>
      <w:bookmarkStart w:id="5" w:name="_Toc227719550"/>
      <w:r>
        <w:t>2.4 Ratios Calculation and Analysis (2020-2024)</w:t>
      </w:r>
      <w:bookmarkEnd w:id="5"/>
    </w:p>
    <w:p w14:paraId="44298083" w14:textId="77777777" w:rsidR="006F7CD0" w:rsidRDefault="000E4802">
      <w:pPr>
        <w:pStyle w:val="Heading3"/>
      </w:pPr>
      <w:bookmarkStart w:id="6" w:name="_Toc227719551"/>
      <w:r>
        <w:t>“Profitability Ratios”</w:t>
      </w:r>
      <w:bookmarkEnd w:id="6"/>
    </w:p>
    <w:p w14:paraId="0734082C"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67CEC19B" wp14:editId="01E64C6D">
            <wp:extent cx="5731200" cy="25654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200" cy="2565400"/>
                    </a:xfrm>
                    <a:prstGeom prst="rect">
                      <a:avLst/>
                    </a:prstGeom>
                    <a:ln/>
                  </pic:spPr>
                </pic:pic>
              </a:graphicData>
            </a:graphic>
          </wp:inline>
        </w:drawing>
      </w:r>
    </w:p>
    <w:p w14:paraId="722A26A5" w14:textId="77777777" w:rsidR="006F7CD0" w:rsidRDefault="000E4802">
      <w:pPr>
        <w:spacing w:before="200" w:after="200"/>
        <w:jc w:val="center"/>
        <w:rPr>
          <w:rFonts w:ascii="Arial" w:eastAsia="Arial" w:hAnsi="Arial" w:cs="Arial"/>
          <w:b/>
          <w:bCs/>
        </w:rPr>
      </w:pPr>
      <w:r>
        <w:rPr>
          <w:rFonts w:ascii="Arial" w:eastAsia="Arial" w:hAnsi="Arial" w:cs="Arial"/>
          <w:b/>
          <w:bCs/>
        </w:rPr>
        <w:t>Figure 2: Volkswagen’s “Profitability Ratios”</w:t>
      </w:r>
    </w:p>
    <w:p w14:paraId="56197DA7"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2AF6574C" w14:textId="48B19661" w:rsidR="006F7CD0" w:rsidRDefault="00BC24D3">
      <w:pPr>
        <w:spacing w:before="200" w:after="200"/>
        <w:rPr>
          <w:rFonts w:ascii="Arial" w:eastAsia="Arial" w:hAnsi="Arial" w:cs="Arial"/>
        </w:rPr>
      </w:pPr>
      <w:r>
        <w:rPr>
          <w:rFonts w:ascii="Arial" w:eastAsia="Arial" w:hAnsi="Arial" w:cs="Arial"/>
        </w:rPr>
        <w:t>“Profitability ratios” measure the capacity of a firm to make profits compared to revenue, assets and capital utilised. They are necessary in determining the efficiency of the operations and financial performance. Increased profitability means cost control and competitiveness, which is essential in capital-intensive sectors like automotive production (</w:t>
      </w:r>
      <w:proofErr w:type="spellStart"/>
      <w:r>
        <w:rPr>
          <w:rFonts w:ascii="Arial" w:eastAsia="Arial" w:hAnsi="Arial" w:cs="Arial"/>
        </w:rPr>
        <w:t>Hasidi</w:t>
      </w:r>
      <w:proofErr w:type="spellEnd"/>
      <w:r>
        <w:rPr>
          <w:rFonts w:ascii="Arial" w:eastAsia="Arial" w:hAnsi="Arial" w:cs="Arial"/>
        </w:rPr>
        <w:t xml:space="preserve"> et al., 2024). In 2024, Volkswagen experienced a decrease in profitability, with ROCE and operating margin dropping to 4.04% and 5.87%, respectively, in that year as compared to the previous year (6.99%). The gross margin has decreased to 3.82, indicating increased costs of production. Net margin was comparatively stable at 18.32%, which implies the high pricing power even amid cost pressure due to EV investments.</w:t>
      </w:r>
    </w:p>
    <w:p w14:paraId="477FBA1A" w14:textId="77777777" w:rsidR="006F7CD0" w:rsidRDefault="000E4802">
      <w:pPr>
        <w:pStyle w:val="Heading3"/>
      </w:pPr>
      <w:bookmarkStart w:id="7" w:name="_Toc227719552"/>
      <w:r>
        <w:t>“Liquidity Ratios”</w:t>
      </w:r>
      <w:bookmarkEnd w:id="7"/>
    </w:p>
    <w:p w14:paraId="0A1359D4"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7B0EA166" wp14:editId="7B52C1E9">
            <wp:extent cx="5731200" cy="2082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082800"/>
                    </a:xfrm>
                    <a:prstGeom prst="rect">
                      <a:avLst/>
                    </a:prstGeom>
                    <a:ln/>
                  </pic:spPr>
                </pic:pic>
              </a:graphicData>
            </a:graphic>
          </wp:inline>
        </w:drawing>
      </w:r>
    </w:p>
    <w:p w14:paraId="2369E073" w14:textId="77777777" w:rsidR="006F7CD0" w:rsidRDefault="000E4802">
      <w:pPr>
        <w:spacing w:before="200" w:after="200"/>
        <w:jc w:val="center"/>
        <w:rPr>
          <w:rFonts w:ascii="Arial" w:eastAsia="Arial" w:hAnsi="Arial" w:cs="Arial"/>
          <w:b/>
          <w:bCs/>
        </w:rPr>
      </w:pPr>
      <w:r>
        <w:rPr>
          <w:rFonts w:ascii="Arial" w:eastAsia="Arial" w:hAnsi="Arial" w:cs="Arial"/>
          <w:b/>
          <w:bCs/>
        </w:rPr>
        <w:t>Figure 3: Volkswagen’s “Liquidity Ratios”</w:t>
      </w:r>
    </w:p>
    <w:p w14:paraId="2FD46BBA"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03359125" w14:textId="3D2387BF" w:rsidR="006F7CD0" w:rsidRDefault="00BC24D3">
      <w:pPr>
        <w:spacing w:before="200" w:after="200"/>
        <w:rPr>
          <w:rFonts w:ascii="Arial" w:eastAsia="Arial" w:hAnsi="Arial" w:cs="Arial"/>
        </w:rPr>
      </w:pPr>
      <w:r>
        <w:rPr>
          <w:rFonts w:ascii="Arial" w:eastAsia="Arial" w:hAnsi="Arial" w:cs="Arial"/>
        </w:rPr>
        <w:t>“Liquidity ratios” are used to test how a business can pay its short-term liabilities on time using current assets. They denote financial flexibility and risk exposure. Good liquidity guarantees continuity of operations, particularly in industries that are volatile, whereas bad liquidity can indicate that there will be limited cash flows or reliance on external financing (</w:t>
      </w:r>
      <w:proofErr w:type="spellStart"/>
      <w:r>
        <w:rPr>
          <w:rFonts w:ascii="Arial" w:eastAsia="Arial" w:hAnsi="Arial" w:cs="Arial"/>
        </w:rPr>
        <w:t>Nasution</w:t>
      </w:r>
      <w:proofErr w:type="spellEnd"/>
      <w:r>
        <w:rPr>
          <w:rFonts w:ascii="Arial" w:eastAsia="Arial" w:hAnsi="Arial" w:cs="Arial"/>
        </w:rPr>
        <w:t xml:space="preserve"> and </w:t>
      </w:r>
      <w:proofErr w:type="spellStart"/>
      <w:r>
        <w:rPr>
          <w:rFonts w:ascii="Arial" w:eastAsia="Arial" w:hAnsi="Arial" w:cs="Arial"/>
        </w:rPr>
        <w:t>Yusleny</w:t>
      </w:r>
      <w:proofErr w:type="spellEnd"/>
      <w:r>
        <w:rPr>
          <w:rFonts w:ascii="Arial" w:eastAsia="Arial" w:hAnsi="Arial" w:cs="Arial"/>
        </w:rPr>
        <w:t>, 2023). The liquidity of Volkswagen deteriorated slightly, as the current ratio fell to 1.13 in 2024 compared to 1.23 in 2022. The current ratio deteriorated to 0.87, which means that there is not much liquid capital. The cash ratio was low at 0.19, and this indicates limited immediate liquidity because of high working capital demands.</w:t>
      </w:r>
    </w:p>
    <w:p w14:paraId="390DF25D" w14:textId="77777777" w:rsidR="006F7CD0" w:rsidRDefault="000E4802">
      <w:pPr>
        <w:pStyle w:val="Heading3"/>
      </w:pPr>
      <w:bookmarkStart w:id="8" w:name="_Toc227719553"/>
      <w:r>
        <w:t>“Efficiency Ratios”</w:t>
      </w:r>
      <w:bookmarkEnd w:id="8"/>
    </w:p>
    <w:p w14:paraId="67179CEC"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30E60227" wp14:editId="02ED6B69">
            <wp:extent cx="5731200" cy="18669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31200" cy="1866900"/>
                    </a:xfrm>
                    <a:prstGeom prst="rect">
                      <a:avLst/>
                    </a:prstGeom>
                    <a:ln/>
                  </pic:spPr>
                </pic:pic>
              </a:graphicData>
            </a:graphic>
          </wp:inline>
        </w:drawing>
      </w:r>
    </w:p>
    <w:p w14:paraId="0FEBF0FD" w14:textId="77777777" w:rsidR="006F7CD0" w:rsidRDefault="000E4802">
      <w:pPr>
        <w:spacing w:before="200" w:after="200"/>
        <w:jc w:val="center"/>
        <w:rPr>
          <w:rFonts w:ascii="Arial" w:eastAsia="Arial" w:hAnsi="Arial" w:cs="Arial"/>
          <w:b/>
          <w:bCs/>
        </w:rPr>
      </w:pPr>
      <w:r>
        <w:rPr>
          <w:rFonts w:ascii="Arial" w:eastAsia="Arial" w:hAnsi="Arial" w:cs="Arial"/>
          <w:b/>
          <w:bCs/>
        </w:rPr>
        <w:t>Figure 4: Volkswagen’s “Efficiency Ratios”</w:t>
      </w:r>
    </w:p>
    <w:p w14:paraId="6988D8EC"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41F6CCB9" w14:textId="0D642010" w:rsidR="006F7CD0" w:rsidRDefault="00BC24D3">
      <w:pPr>
        <w:spacing w:before="200" w:after="200"/>
        <w:rPr>
          <w:rFonts w:ascii="Arial" w:eastAsia="Arial" w:hAnsi="Arial" w:cs="Arial"/>
        </w:rPr>
      </w:pPr>
      <w:r>
        <w:rPr>
          <w:rFonts w:ascii="Arial" w:eastAsia="Arial" w:hAnsi="Arial" w:cs="Arial"/>
        </w:rPr>
        <w:t>“Efficiency ratios” are used to determine the efficiency of the company in its use of assets and operations. They calculate inventory, receivables, and total assets turnover. Increased efficiency enhances profitability and cash flow, and these ratios are crucial in assessing operational performance in large-scale manufacturing companies (</w:t>
      </w:r>
      <w:proofErr w:type="spellStart"/>
      <w:r>
        <w:rPr>
          <w:rFonts w:ascii="Arial" w:eastAsia="Arial" w:hAnsi="Arial" w:cs="Arial"/>
        </w:rPr>
        <w:t>Majka</w:t>
      </w:r>
      <w:proofErr w:type="spellEnd"/>
      <w:r>
        <w:rPr>
          <w:rFonts w:ascii="Arial" w:eastAsia="Arial" w:hAnsi="Arial" w:cs="Arial"/>
        </w:rPr>
        <w:t xml:space="preserve">, 2024). The efficiency declined in 2024, and the turnover of receivables dropped considerably to 0.07 as compared to 0.30 in 2023, showing fewer collections. Inventory turnover decreased slightly to 4.81, which indicates inventory </w:t>
      </w:r>
      <w:proofErr w:type="spellStart"/>
      <w:r>
        <w:rPr>
          <w:rFonts w:ascii="Arial" w:eastAsia="Arial" w:hAnsi="Arial" w:cs="Arial"/>
        </w:rPr>
        <w:t>buildup</w:t>
      </w:r>
      <w:proofErr w:type="spellEnd"/>
      <w:r>
        <w:rPr>
          <w:rFonts w:ascii="Arial" w:eastAsia="Arial" w:hAnsi="Arial" w:cs="Arial"/>
        </w:rPr>
        <w:t>. The asset turnover was constant at 0.53, indicating moderate efficiency but little improvement in the utilisation of assets.</w:t>
      </w:r>
    </w:p>
    <w:p w14:paraId="341899C4" w14:textId="77777777" w:rsidR="006F7CD0" w:rsidRDefault="000E4802">
      <w:pPr>
        <w:pStyle w:val="Heading3"/>
      </w:pPr>
      <w:bookmarkStart w:id="9" w:name="_Toc227719554"/>
      <w:r>
        <w:t>“Gearing Ratios”</w:t>
      </w:r>
      <w:bookmarkEnd w:id="9"/>
    </w:p>
    <w:p w14:paraId="2ECFD5C3"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693E5B6E" wp14:editId="18468553">
            <wp:extent cx="5731200" cy="24638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2463800"/>
                    </a:xfrm>
                    <a:prstGeom prst="rect">
                      <a:avLst/>
                    </a:prstGeom>
                    <a:ln/>
                  </pic:spPr>
                </pic:pic>
              </a:graphicData>
            </a:graphic>
          </wp:inline>
        </w:drawing>
      </w:r>
    </w:p>
    <w:p w14:paraId="76486058" w14:textId="77777777" w:rsidR="006F7CD0" w:rsidRDefault="000E4802">
      <w:pPr>
        <w:spacing w:before="200" w:after="200"/>
        <w:jc w:val="center"/>
        <w:rPr>
          <w:rFonts w:ascii="Arial" w:eastAsia="Arial" w:hAnsi="Arial" w:cs="Arial"/>
          <w:b/>
          <w:bCs/>
        </w:rPr>
      </w:pPr>
      <w:r>
        <w:rPr>
          <w:rFonts w:ascii="Arial" w:eastAsia="Arial" w:hAnsi="Arial" w:cs="Arial"/>
          <w:b/>
          <w:bCs/>
        </w:rPr>
        <w:t>Figure 5: Volkswagen’s “Gearing Ratios”</w:t>
      </w:r>
    </w:p>
    <w:p w14:paraId="51A50D40"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43FA1EB3" w14:textId="40B3CE78" w:rsidR="006F7CD0" w:rsidRDefault="00BC24D3">
      <w:pPr>
        <w:spacing w:before="200" w:after="200"/>
        <w:rPr>
          <w:rFonts w:ascii="Arial" w:eastAsia="Arial" w:hAnsi="Arial" w:cs="Arial"/>
        </w:rPr>
      </w:pPr>
      <w:r>
        <w:rPr>
          <w:rFonts w:ascii="Arial" w:eastAsia="Arial" w:hAnsi="Arial" w:cs="Arial"/>
        </w:rPr>
        <w:t>“Gearing ratios” are a measure of financial leverage and reliance on debt funding. They evaluate risk, solvency and stability of capital structure. An increased level of leverage increases financial risk but can improve returns, and it is essential to manage the balance between debt and equity effectively (</w:t>
      </w:r>
      <w:proofErr w:type="spellStart"/>
      <w:r>
        <w:rPr>
          <w:rFonts w:ascii="Arial" w:eastAsia="Arial" w:hAnsi="Arial" w:cs="Arial"/>
        </w:rPr>
        <w:t>Oranefo</w:t>
      </w:r>
      <w:proofErr w:type="spellEnd"/>
      <w:r>
        <w:rPr>
          <w:rFonts w:ascii="Arial" w:eastAsia="Arial" w:hAnsi="Arial" w:cs="Arial"/>
        </w:rPr>
        <w:t xml:space="preserve"> and </w:t>
      </w:r>
      <w:proofErr w:type="spellStart"/>
      <w:r>
        <w:rPr>
          <w:rFonts w:ascii="Arial" w:eastAsia="Arial" w:hAnsi="Arial" w:cs="Arial"/>
        </w:rPr>
        <w:t>Egbunike</w:t>
      </w:r>
      <w:proofErr w:type="spellEnd"/>
      <w:r>
        <w:rPr>
          <w:rFonts w:ascii="Arial" w:eastAsia="Arial" w:hAnsi="Arial" w:cs="Arial"/>
        </w:rPr>
        <w:t>, 2023). The leverage of Volkswagen was also high, and the debt-to-equity ratio slightly rose to 2.22 in 2024. Interest coverage decreased to 4.88 compared with 6.35, meaning the capacity to service debt decreased. The equity multiplier increased to 3.22, which is indicative of debt financing in the midst of high capital investments.</w:t>
      </w:r>
    </w:p>
    <w:p w14:paraId="6D7899AF" w14:textId="77777777" w:rsidR="006F7CD0" w:rsidRDefault="000E4802">
      <w:pPr>
        <w:pStyle w:val="Heading3"/>
      </w:pPr>
      <w:bookmarkStart w:id="10" w:name="_Toc227719555"/>
      <w:r>
        <w:t>“Investment Ratios”</w:t>
      </w:r>
      <w:bookmarkEnd w:id="10"/>
    </w:p>
    <w:p w14:paraId="46ACB48D"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64757D05" wp14:editId="0A4A07AE">
            <wp:extent cx="5731200" cy="25527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2552700"/>
                    </a:xfrm>
                    <a:prstGeom prst="rect">
                      <a:avLst/>
                    </a:prstGeom>
                    <a:ln/>
                  </pic:spPr>
                </pic:pic>
              </a:graphicData>
            </a:graphic>
          </wp:inline>
        </w:drawing>
      </w:r>
    </w:p>
    <w:p w14:paraId="6A97674D" w14:textId="77777777" w:rsidR="006F7CD0" w:rsidRDefault="000E4802">
      <w:pPr>
        <w:spacing w:before="200" w:after="200"/>
        <w:jc w:val="center"/>
        <w:rPr>
          <w:rFonts w:ascii="Arial" w:eastAsia="Arial" w:hAnsi="Arial" w:cs="Arial"/>
          <w:b/>
          <w:bCs/>
        </w:rPr>
      </w:pPr>
      <w:r>
        <w:rPr>
          <w:rFonts w:ascii="Arial" w:eastAsia="Arial" w:hAnsi="Arial" w:cs="Arial"/>
          <w:b/>
          <w:bCs/>
        </w:rPr>
        <w:t>Figure 6: Volkswagen’s “Investment Ratios”</w:t>
      </w:r>
    </w:p>
    <w:p w14:paraId="4D62EC42"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670E8068" w14:textId="7618E654" w:rsidR="006F7CD0" w:rsidRDefault="00BC24D3">
      <w:pPr>
        <w:spacing w:before="200" w:after="200"/>
        <w:rPr>
          <w:rFonts w:ascii="Arial" w:eastAsia="Arial" w:hAnsi="Arial" w:cs="Arial"/>
        </w:rPr>
      </w:pPr>
      <w:r>
        <w:rPr>
          <w:rFonts w:ascii="Arial" w:eastAsia="Arial" w:hAnsi="Arial" w:cs="Arial"/>
        </w:rPr>
        <w:t xml:space="preserve">“Investment ratios” measure returns to shareholders and efficiency of capital allocation. They encompass ROE, ROA and dividend </w:t>
      </w:r>
      <w:proofErr w:type="spellStart"/>
      <w:r>
        <w:rPr>
          <w:rFonts w:ascii="Arial" w:eastAsia="Arial" w:hAnsi="Arial" w:cs="Arial"/>
        </w:rPr>
        <w:t>payout</w:t>
      </w:r>
      <w:proofErr w:type="spellEnd"/>
      <w:r>
        <w:rPr>
          <w:rFonts w:ascii="Arial" w:eastAsia="Arial" w:hAnsi="Arial" w:cs="Arial"/>
        </w:rPr>
        <w:t xml:space="preserve">. The ratios can be valuable to investors to determine the profitability, growth potential, and value creation (Sarah and </w:t>
      </w:r>
      <w:proofErr w:type="spellStart"/>
      <w:r>
        <w:rPr>
          <w:rFonts w:ascii="Arial" w:eastAsia="Arial" w:hAnsi="Arial" w:cs="Arial"/>
        </w:rPr>
        <w:t>Athanase</w:t>
      </w:r>
      <w:proofErr w:type="spellEnd"/>
      <w:r>
        <w:rPr>
          <w:rFonts w:ascii="Arial" w:eastAsia="Arial" w:hAnsi="Arial" w:cs="Arial"/>
        </w:rPr>
        <w:t xml:space="preserve">, 2023). The performance of Volkswagen investments was also underperforming, and ROE dropped to 0.06 in 2024, as compared to 0.09 in 2023. The ROA and ROIC also decreased to 0.02, which means that capital usage is less efficient. Dividend </w:t>
      </w:r>
      <w:proofErr w:type="spellStart"/>
      <w:r>
        <w:rPr>
          <w:rFonts w:ascii="Arial" w:eastAsia="Arial" w:hAnsi="Arial" w:cs="Arial"/>
        </w:rPr>
        <w:t>payout</w:t>
      </w:r>
      <w:proofErr w:type="spellEnd"/>
      <w:r>
        <w:rPr>
          <w:rFonts w:ascii="Arial" w:eastAsia="Arial" w:hAnsi="Arial" w:cs="Arial"/>
        </w:rPr>
        <w:t xml:space="preserve"> was reduced to 0.47, indicating the prudent payment in the face of decreasing profitability and continued EV investments.</w:t>
      </w:r>
    </w:p>
    <w:p w14:paraId="32610D38" w14:textId="77777777" w:rsidR="006F7CD0" w:rsidRDefault="000E4802">
      <w:pPr>
        <w:pStyle w:val="Heading3"/>
      </w:pPr>
      <w:bookmarkStart w:id="11" w:name="_Toc227719556"/>
      <w:r>
        <w:t>“Cash Flow Ratios”</w:t>
      </w:r>
      <w:bookmarkEnd w:id="11"/>
    </w:p>
    <w:p w14:paraId="5044E559"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5515500A" wp14:editId="2DAC6175">
            <wp:extent cx="5731200" cy="25654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2565400"/>
                    </a:xfrm>
                    <a:prstGeom prst="rect">
                      <a:avLst/>
                    </a:prstGeom>
                    <a:ln/>
                  </pic:spPr>
                </pic:pic>
              </a:graphicData>
            </a:graphic>
          </wp:inline>
        </w:drawing>
      </w:r>
    </w:p>
    <w:p w14:paraId="7E1F7686" w14:textId="77777777" w:rsidR="006F7CD0" w:rsidRDefault="000E4802">
      <w:pPr>
        <w:spacing w:before="200" w:after="200"/>
        <w:jc w:val="center"/>
        <w:rPr>
          <w:rFonts w:ascii="Arial" w:eastAsia="Arial" w:hAnsi="Arial" w:cs="Arial"/>
          <w:b/>
          <w:bCs/>
        </w:rPr>
      </w:pPr>
      <w:r>
        <w:rPr>
          <w:rFonts w:ascii="Arial" w:eastAsia="Arial" w:hAnsi="Arial" w:cs="Arial"/>
          <w:b/>
          <w:bCs/>
        </w:rPr>
        <w:t>Figure 7: Volkswagen’s “Cash Flow Ratios”</w:t>
      </w:r>
    </w:p>
    <w:p w14:paraId="1812E1CD"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276D3756" w14:textId="4A77163F" w:rsidR="006F7CD0" w:rsidRDefault="00BC24D3">
      <w:pPr>
        <w:spacing w:before="200" w:after="200"/>
        <w:rPr>
          <w:rFonts w:ascii="Arial" w:eastAsia="Arial" w:hAnsi="Arial" w:cs="Arial"/>
        </w:rPr>
      </w:pPr>
      <w:r>
        <w:rPr>
          <w:rFonts w:ascii="Arial" w:eastAsia="Arial" w:hAnsi="Arial" w:cs="Arial"/>
        </w:rPr>
        <w:t>“Cash flow ratios” are used to determine how the company can generate cash to cover its obligations and invest in the company. They offer information on liquidity, financial sustainability and efficiency of operations, which is usually more valid than profit-based indicators (</w:t>
      </w:r>
      <w:proofErr w:type="spellStart"/>
      <w:r>
        <w:rPr>
          <w:rFonts w:ascii="Arial" w:eastAsia="Arial" w:hAnsi="Arial" w:cs="Arial"/>
        </w:rPr>
        <w:t>Seretidou</w:t>
      </w:r>
      <w:proofErr w:type="spellEnd"/>
      <w:r>
        <w:rPr>
          <w:rFonts w:ascii="Arial" w:eastAsia="Arial" w:hAnsi="Arial" w:cs="Arial"/>
        </w:rPr>
        <w:t xml:space="preserve"> et al., 2025). The “cash flow” position of Volkswagen has been deteriorating, and the operating cash flow ratio decreased to 0.08 in 2024 compared to 0.24 in 2021. “Cash flow margin” decreased to 0.05, and free cash flow margin decreased to 0.00, which means that there is a small sum of cash available as the capital expenditure is high, and working capital pressures are high.</w:t>
      </w:r>
    </w:p>
    <w:p w14:paraId="23F0AB1F" w14:textId="77777777" w:rsidR="006F7CD0" w:rsidRDefault="000E4802">
      <w:pPr>
        <w:pStyle w:val="Heading2"/>
      </w:pPr>
      <w:bookmarkStart w:id="12" w:name="_Toc227719557"/>
      <w:r>
        <w:t>2.4 Trends, Strengths, and Threats</w:t>
      </w:r>
      <w:bookmarkEnd w:id="12"/>
    </w:p>
    <w:p w14:paraId="62E185AC" w14:textId="77777777" w:rsidR="006F7CD0" w:rsidRDefault="000E4802">
      <w:pPr>
        <w:pStyle w:val="Heading3"/>
      </w:pPr>
      <w:bookmarkStart w:id="13" w:name="_Toc227719558"/>
      <w:r>
        <w:t>Key Financial Trends</w:t>
      </w:r>
      <w:bookmarkEnd w:id="13"/>
    </w:p>
    <w:p w14:paraId="00D20748" w14:textId="77777777" w:rsidR="006F7CD0" w:rsidRDefault="000E4802">
      <w:pPr>
        <w:spacing w:before="200" w:after="200"/>
        <w:rPr>
          <w:rFonts w:ascii="Arial" w:eastAsia="Arial" w:hAnsi="Arial" w:cs="Arial"/>
        </w:rPr>
      </w:pPr>
      <w:r>
        <w:rPr>
          <w:rFonts w:ascii="Arial" w:eastAsia="Arial" w:hAnsi="Arial" w:cs="Arial"/>
        </w:rPr>
        <w:t>The Volkswagen shows a strong growth pattern in revenue and asset base, as the total assets grew between 2020 and 2024, starting with the value of 497,114m in 2020 and reaching 632,905m in 2024 due to the expansion and high level of investment in electric vehicles (Volkswagen, 2024). Nevertheless, the profitability measures also demonstrate a downward trend, with the operating margin reducing to 5.87% in 2024 compared to 7.92% in 2022. On the same note, operating cash flows decreased drastically in the year 2021 (17,151m) and 2024 (38,633m), showing diminished efficiency in the operations. Liquidity deteriorated as well, and the current ratio dropped to 1.13 (2024) compared to 1.23 (2022), indicating a growing short-term financial stress. These developments indicate that as Volkswagen grows, it is facing cost pressures and decreased financial flexibility as it transitions to EVs, which are costly to capitalise on (IEA, 2024).</w:t>
      </w:r>
    </w:p>
    <w:p w14:paraId="146E08EF" w14:textId="77777777" w:rsidR="006F7CD0" w:rsidRDefault="000E4802">
      <w:pPr>
        <w:pStyle w:val="Heading3"/>
      </w:pPr>
      <w:bookmarkStart w:id="14" w:name="_Toc227719559"/>
      <w:r>
        <w:t>Key Strengths</w:t>
      </w:r>
      <w:bookmarkEnd w:id="14"/>
    </w:p>
    <w:p w14:paraId="5C598002" w14:textId="77777777" w:rsidR="006F7CD0" w:rsidRDefault="000E4802">
      <w:pPr>
        <w:spacing w:before="200" w:after="200"/>
        <w:rPr>
          <w:rFonts w:ascii="Arial" w:eastAsia="Arial" w:hAnsi="Arial" w:cs="Arial"/>
        </w:rPr>
      </w:pPr>
      <w:r>
        <w:rPr>
          <w:rFonts w:ascii="Arial" w:eastAsia="Arial" w:hAnsi="Arial" w:cs="Arial"/>
        </w:rPr>
        <w:t>The main strength of Volkswagen is that it has a high revenue growth and a large asset base that will be a strong foundation for long-term growth. The net profit margins remain relatively stable (approximately 18%), with the company demonstrating the presence of strong purchasing power and brand positioning despite the rise in costs. Besides, equity has increased to 196,731m in 2024, which is backed by retained earnings (155,130m), indicating internal financial capacity and profits reinvestment. Also, gross liquidity is high (€84,959m), which means that the company will not have problems with providing financial resources needed to sustain investments and operations (Volkswagen, 2024). These strengths put Volkswagen at a competitive position in the fast-growing EV market.</w:t>
      </w:r>
    </w:p>
    <w:p w14:paraId="7090A121" w14:textId="77777777" w:rsidR="006F7CD0" w:rsidRDefault="000E4802">
      <w:pPr>
        <w:pStyle w:val="Heading3"/>
      </w:pPr>
      <w:bookmarkStart w:id="15" w:name="_Toc227719560"/>
      <w:r>
        <w:t>Key Threats</w:t>
      </w:r>
      <w:bookmarkEnd w:id="15"/>
    </w:p>
    <w:p w14:paraId="778273C2" w14:textId="1EDA70D3" w:rsidR="006F7CD0" w:rsidRDefault="000E4802">
      <w:pPr>
        <w:spacing w:before="200" w:after="200"/>
        <w:rPr>
          <w:rFonts w:ascii="Arial" w:eastAsia="Arial" w:hAnsi="Arial" w:cs="Arial"/>
        </w:rPr>
      </w:pPr>
      <w:r>
        <w:rPr>
          <w:rFonts w:ascii="Arial" w:eastAsia="Arial" w:hAnsi="Arial" w:cs="Arial"/>
        </w:rPr>
        <w:t xml:space="preserve">Although it has strengths, Volkswagen is threatened with major financial risks. The increase in debt, the </w:t>
      </w:r>
      <w:r w:rsidR="00BC24D3">
        <w:rPr>
          <w:rFonts w:ascii="Arial" w:eastAsia="Arial" w:hAnsi="Arial" w:cs="Arial"/>
        </w:rPr>
        <w:t>“debt-to-equity</w:t>
      </w:r>
      <w:r>
        <w:rPr>
          <w:rFonts w:ascii="Arial" w:eastAsia="Arial" w:hAnsi="Arial" w:cs="Arial"/>
        </w:rPr>
        <w:t xml:space="preserve"> ratio</w:t>
      </w:r>
      <w:r w:rsidR="00BC24D3">
        <w:rPr>
          <w:rFonts w:ascii="Arial" w:eastAsia="Arial" w:hAnsi="Arial" w:cs="Arial"/>
        </w:rPr>
        <w:t>”</w:t>
      </w:r>
      <w:r>
        <w:rPr>
          <w:rFonts w:ascii="Arial" w:eastAsia="Arial" w:hAnsi="Arial" w:cs="Arial"/>
        </w:rPr>
        <w:t xml:space="preserve"> is 2.22 in 2024, implies the growing dependency on external financing, increasing financial risk. The deteriorating interest coverage (4.88 in 2024) also indicates that it is less likely to pay off the debts. Margins have been decreased by profitability pressures, which are caused by the increasing cost of production and investments in EVs. Also, the poor performance of the cash flow, as the free cash flow margin decreased to 0.00, reflects a lack of internal funding potential. The uncertainty is also augmented by external risks like inflation, supply chain problems, and fierce competition in the EV market (IEA, 2024). These can limit the financial sustainability of Volkswagen unless they are properly handled.</w:t>
      </w:r>
    </w:p>
    <w:p w14:paraId="629FD495" w14:textId="77777777" w:rsidR="006F7CD0" w:rsidRDefault="000E4802">
      <w:pPr>
        <w:pStyle w:val="Heading1"/>
      </w:pPr>
      <w:bookmarkStart w:id="16" w:name="_Toc227719561"/>
      <w:r>
        <w:t>3.0 Working Capital Management Analysis</w:t>
      </w:r>
      <w:bookmarkEnd w:id="16"/>
    </w:p>
    <w:p w14:paraId="28AB42C1" w14:textId="77777777" w:rsidR="006F7CD0" w:rsidRDefault="000E4802">
      <w:pPr>
        <w:pStyle w:val="Heading2"/>
      </w:pPr>
      <w:bookmarkStart w:id="17" w:name="_Toc227719562"/>
      <w:r>
        <w:t>3.1 “Cash Operating Cycle (CCC)” Analysis</w:t>
      </w:r>
      <w:bookmarkEnd w:id="17"/>
    </w:p>
    <w:p w14:paraId="4D2CABCC" w14:textId="77777777" w:rsidR="006F7CD0" w:rsidRDefault="000E4802">
      <w:pPr>
        <w:spacing w:before="200" w:after="200"/>
        <w:rPr>
          <w:rFonts w:ascii="Arial" w:eastAsia="Arial" w:hAnsi="Arial" w:cs="Arial"/>
        </w:rPr>
      </w:pPr>
      <w:r>
        <w:rPr>
          <w:rFonts w:ascii="Arial" w:eastAsia="Arial" w:hAnsi="Arial" w:cs="Arial"/>
        </w:rPr>
        <w:t>The “cash operating cycle (CCC)” is a metric that determines a firm and the duration it takes to convert investment in inventory and receivables to cash flows, but it excludes the payables. It is an important measure of the efficiency of working capital, liquidity management, and operational efficiency in exploiting short-term financial resources (Karim et al., 2024). The CCC of Volkswagen has substantially increased in 2024 compared to 2020 because in 2020, it had 145.94 days of working capital, whereas in 2024, it had 54.05 days of working capital. The significant change was a significant reduction in the number of receivable days since 111.31 days (2020) dropped to 23.76 days (2024), indicating quicker customer payments and credit control. The inventory days were quite steady at 63.77 days in 2024, indicating the same inventory management despite the higher production. Payable days marginally reduced to 33.47 days, which implies faster payments to suppliers. In general, the shorter CCC shows better liquidity and operational performance, but low payable periods could restrain the short-term benefits of financing.</w:t>
      </w:r>
    </w:p>
    <w:p w14:paraId="45C7881A"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49238677" wp14:editId="72EA6F93">
            <wp:extent cx="5731200" cy="16129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1612900"/>
                    </a:xfrm>
                    <a:prstGeom prst="rect">
                      <a:avLst/>
                    </a:prstGeom>
                    <a:ln/>
                  </pic:spPr>
                </pic:pic>
              </a:graphicData>
            </a:graphic>
          </wp:inline>
        </w:drawing>
      </w:r>
    </w:p>
    <w:p w14:paraId="12BD22DE" w14:textId="77777777" w:rsidR="006F7CD0" w:rsidRDefault="000E4802">
      <w:pPr>
        <w:spacing w:before="200" w:after="200"/>
        <w:jc w:val="center"/>
        <w:rPr>
          <w:rFonts w:ascii="Arial" w:eastAsia="Arial" w:hAnsi="Arial" w:cs="Arial"/>
          <w:b/>
          <w:bCs/>
        </w:rPr>
      </w:pPr>
      <w:r>
        <w:rPr>
          <w:rFonts w:ascii="Arial" w:eastAsia="Arial" w:hAnsi="Arial" w:cs="Arial"/>
          <w:b/>
          <w:bCs/>
        </w:rPr>
        <w:t>Figure 8: Volkswagen’s “Cash Operating Cycle”</w:t>
      </w:r>
    </w:p>
    <w:p w14:paraId="7CEF54D1"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0495E2A5" w14:textId="77777777" w:rsidR="006F7CD0" w:rsidRDefault="000E4802">
      <w:pPr>
        <w:pStyle w:val="Heading2"/>
      </w:pPr>
      <w:bookmarkStart w:id="18" w:name="_Toc227719563"/>
      <w:r>
        <w:t>3.2 Strategies Recommended to Improve Liquidity</w:t>
      </w:r>
      <w:bookmarkEnd w:id="18"/>
      <w:r>
        <w:t xml:space="preserve"> </w:t>
      </w:r>
    </w:p>
    <w:p w14:paraId="05248C37" w14:textId="77777777" w:rsidR="006F7CD0" w:rsidRDefault="000E4802">
      <w:pPr>
        <w:pStyle w:val="Heading3"/>
      </w:pPr>
      <w:bookmarkStart w:id="19" w:name="_Toc227719564"/>
      <w:r>
        <w:t>Optimising Receivables Management</w:t>
      </w:r>
      <w:bookmarkEnd w:id="19"/>
    </w:p>
    <w:p w14:paraId="6623DD44" w14:textId="77777777" w:rsidR="006F7CD0" w:rsidRDefault="000E4802">
      <w:pPr>
        <w:spacing w:before="200" w:after="200"/>
        <w:rPr>
          <w:rFonts w:ascii="Arial" w:eastAsia="Arial" w:hAnsi="Arial" w:cs="Arial"/>
        </w:rPr>
      </w:pPr>
      <w:r>
        <w:rPr>
          <w:rFonts w:ascii="Arial" w:eastAsia="Arial" w:hAnsi="Arial" w:cs="Arial"/>
        </w:rPr>
        <w:t>Volkswagen needs to improve its credit policy and increase its receivables management through improved collection efficiency. The increase in the number of days to 23.76 in 2024 shows a sharp improvement, but it is necessary to be consistent to maintain the liquidity. Cash inflows can be hastened by implementing digital invoicing systems and providing early payment discounts (Karim et al., 2024). An efficient receivables management shortens the cash conversion cycle and enhances the short-term liquidity.</w:t>
      </w:r>
    </w:p>
    <w:p w14:paraId="08EC57E4" w14:textId="77777777" w:rsidR="006F7CD0" w:rsidRDefault="000E4802">
      <w:pPr>
        <w:pStyle w:val="Heading3"/>
      </w:pPr>
      <w:bookmarkStart w:id="20" w:name="_Toc227719565"/>
      <w:r>
        <w:t>Improving Inventory Management</w:t>
      </w:r>
      <w:bookmarkEnd w:id="20"/>
    </w:p>
    <w:p w14:paraId="6DF485AA" w14:textId="77777777" w:rsidR="006F7CD0" w:rsidRDefault="000E4802">
      <w:pPr>
        <w:spacing w:before="200" w:after="200"/>
        <w:rPr>
          <w:rFonts w:ascii="Arial" w:eastAsia="Arial" w:hAnsi="Arial" w:cs="Arial"/>
        </w:rPr>
      </w:pPr>
      <w:r>
        <w:rPr>
          <w:rFonts w:ascii="Arial" w:eastAsia="Arial" w:hAnsi="Arial" w:cs="Arial"/>
        </w:rPr>
        <w:t>The inventory days were relatively steady with 63.77 days in 2024, which implies that it can be optimised further. Just-in-time (JIT) inventory controls and demand prediction technologies should be implemented in Volkswagen to lower the amount of inventory and holding costs. Effective inventory turnover contributes to more efficient operations and liberates cash in working capital (</w:t>
      </w:r>
      <w:proofErr w:type="spellStart"/>
      <w:r>
        <w:rPr>
          <w:rFonts w:ascii="Arial" w:eastAsia="Arial" w:hAnsi="Arial" w:cs="Arial"/>
        </w:rPr>
        <w:t>Majka</w:t>
      </w:r>
      <w:proofErr w:type="spellEnd"/>
      <w:r>
        <w:rPr>
          <w:rFonts w:ascii="Arial" w:eastAsia="Arial" w:hAnsi="Arial" w:cs="Arial"/>
        </w:rPr>
        <w:t>, 2024). The enhanced liquidity and financial performance are a direct result of increased inventory control.</w:t>
      </w:r>
    </w:p>
    <w:p w14:paraId="58B8C1AB" w14:textId="77777777" w:rsidR="006F7CD0" w:rsidRDefault="000E4802">
      <w:pPr>
        <w:pStyle w:val="Heading3"/>
      </w:pPr>
      <w:bookmarkStart w:id="21" w:name="_Toc227719566"/>
      <w:r>
        <w:t>Extending Payables Period Strategically</w:t>
      </w:r>
      <w:bookmarkEnd w:id="21"/>
    </w:p>
    <w:p w14:paraId="42EAA127" w14:textId="77777777" w:rsidR="006F7CD0" w:rsidRDefault="000E4802">
      <w:pPr>
        <w:spacing w:before="200" w:after="200"/>
        <w:rPr>
          <w:rFonts w:ascii="Arial" w:eastAsia="Arial" w:hAnsi="Arial" w:cs="Arial"/>
        </w:rPr>
      </w:pPr>
      <w:r>
        <w:rPr>
          <w:rFonts w:ascii="Arial" w:eastAsia="Arial" w:hAnsi="Arial" w:cs="Arial"/>
        </w:rPr>
        <w:t>Volkswagen has a chance to enhance liquidity through negotiating longer payment terms with suppliers without spoiling relationships. Payable days went down to 33.47 in 2024, and it shows a faster turnover of cash. A moderate extension of the payables would enable the company to keep cash longer without affecting the trust in the suppliers (</w:t>
      </w:r>
      <w:proofErr w:type="spellStart"/>
      <w:r>
        <w:rPr>
          <w:rFonts w:ascii="Arial" w:eastAsia="Arial" w:hAnsi="Arial" w:cs="Arial"/>
        </w:rPr>
        <w:t>Oranefo</w:t>
      </w:r>
      <w:proofErr w:type="spellEnd"/>
      <w:r>
        <w:rPr>
          <w:rFonts w:ascii="Arial" w:eastAsia="Arial" w:hAnsi="Arial" w:cs="Arial"/>
        </w:rPr>
        <w:t xml:space="preserve"> and </w:t>
      </w:r>
      <w:proofErr w:type="spellStart"/>
      <w:r>
        <w:rPr>
          <w:rFonts w:ascii="Arial" w:eastAsia="Arial" w:hAnsi="Arial" w:cs="Arial"/>
        </w:rPr>
        <w:t>Egbunike</w:t>
      </w:r>
      <w:proofErr w:type="spellEnd"/>
      <w:r>
        <w:rPr>
          <w:rFonts w:ascii="Arial" w:eastAsia="Arial" w:hAnsi="Arial" w:cs="Arial"/>
        </w:rPr>
        <w:t>, 2023). Effective working capital optimisation also involves strategic management of the payables.</w:t>
      </w:r>
    </w:p>
    <w:p w14:paraId="3E351B73" w14:textId="77777777" w:rsidR="006F7CD0" w:rsidRDefault="000E4802">
      <w:pPr>
        <w:pStyle w:val="Heading3"/>
      </w:pPr>
      <w:bookmarkStart w:id="22" w:name="_Toc227719567"/>
      <w:r>
        <w:t>Enhancing Cash Flow Monitoring and Forecasting</w:t>
      </w:r>
      <w:bookmarkEnd w:id="22"/>
    </w:p>
    <w:p w14:paraId="166AF328" w14:textId="77777777" w:rsidR="006F7CD0" w:rsidRDefault="000E4802">
      <w:pPr>
        <w:spacing w:before="200" w:after="200"/>
        <w:rPr>
          <w:rFonts w:ascii="Arial" w:eastAsia="Arial" w:hAnsi="Arial" w:cs="Arial"/>
        </w:rPr>
      </w:pPr>
      <w:r>
        <w:rPr>
          <w:rFonts w:ascii="Arial" w:eastAsia="Arial" w:hAnsi="Arial" w:cs="Arial"/>
        </w:rPr>
        <w:t>The company ought to adopt superior cash flow prediction systems to check real-time liquidity statuses. The negative operating cash flow ratios emphasize the importance of managing cash proactively. Frequent monitoring enables prompt detection of liquidity deficits and facilitates informed decision-making (</w:t>
      </w:r>
      <w:proofErr w:type="spellStart"/>
      <w:r>
        <w:rPr>
          <w:rFonts w:ascii="Arial" w:eastAsia="Arial" w:hAnsi="Arial" w:cs="Arial"/>
        </w:rPr>
        <w:t>Seretidou</w:t>
      </w:r>
      <w:proofErr w:type="spellEnd"/>
      <w:r>
        <w:rPr>
          <w:rFonts w:ascii="Arial" w:eastAsia="Arial" w:hAnsi="Arial" w:cs="Arial"/>
        </w:rPr>
        <w:t xml:space="preserve"> et al., 2025). The combination of financial ratio analysis and cash flow measures gives a complete picture of liquidity performance.</w:t>
      </w:r>
    </w:p>
    <w:p w14:paraId="1FFEF9FC" w14:textId="77777777" w:rsidR="006F7CD0" w:rsidRDefault="000E4802">
      <w:pPr>
        <w:pStyle w:val="Heading3"/>
      </w:pPr>
      <w:bookmarkStart w:id="23" w:name="_Toc227719568"/>
      <w:r>
        <w:t>Balancing Short-term and Long-term Financing</w:t>
      </w:r>
      <w:bookmarkEnd w:id="23"/>
    </w:p>
    <w:p w14:paraId="13C8F1B8" w14:textId="77777777" w:rsidR="006F7CD0" w:rsidRDefault="000E4802">
      <w:pPr>
        <w:spacing w:before="200" w:after="200"/>
        <w:rPr>
          <w:rFonts w:ascii="Arial" w:eastAsia="Arial" w:hAnsi="Arial" w:cs="Arial"/>
        </w:rPr>
      </w:pPr>
      <w:r>
        <w:rPr>
          <w:rFonts w:ascii="Arial" w:eastAsia="Arial" w:hAnsi="Arial" w:cs="Arial"/>
        </w:rPr>
        <w:t>The Volkswagen company needs to streamline its financing structure by minimising short-term debts and maximising long-term funding sources. Leverage is high, and cash flow ratios are decreasing, which signal a possible liquidity risk (</w:t>
      </w:r>
      <w:proofErr w:type="spellStart"/>
      <w:r>
        <w:rPr>
          <w:rFonts w:ascii="Arial" w:eastAsia="Arial" w:hAnsi="Arial" w:cs="Arial"/>
        </w:rPr>
        <w:t>Awodire</w:t>
      </w:r>
      <w:proofErr w:type="spellEnd"/>
      <w:r>
        <w:rPr>
          <w:rFonts w:ascii="Arial" w:eastAsia="Arial" w:hAnsi="Arial" w:cs="Arial"/>
        </w:rPr>
        <w:t xml:space="preserve"> et al., 2023). A balanced financing approach boosts financial stability and guarantees adequate liquidity in times of high capital spending, especially in the EV transition phase.</w:t>
      </w:r>
    </w:p>
    <w:p w14:paraId="1EEDEA06" w14:textId="77777777" w:rsidR="006F7CD0" w:rsidRDefault="000E4802">
      <w:pPr>
        <w:pStyle w:val="Heading2"/>
      </w:pPr>
      <w:bookmarkStart w:id="24" w:name="_Toc227719569"/>
      <w:r>
        <w:t>3.3 Comparison of Short-Term vs Long-Term Financing Options</w:t>
      </w:r>
      <w:bookmarkEnd w:id="24"/>
    </w:p>
    <w:p w14:paraId="2837BB47" w14:textId="77777777" w:rsidR="006F7CD0" w:rsidRDefault="000E4802">
      <w:pPr>
        <w:pStyle w:val="Heading3"/>
      </w:pPr>
      <w:bookmarkStart w:id="25" w:name="_Toc227719570"/>
      <w:r>
        <w:t>Short-Term Financing: Characteristics and Implications</w:t>
      </w:r>
      <w:bookmarkEnd w:id="25"/>
    </w:p>
    <w:p w14:paraId="7D185720" w14:textId="3310F034" w:rsidR="006F7CD0" w:rsidRDefault="000E4802">
      <w:pPr>
        <w:spacing w:before="200" w:after="200"/>
        <w:rPr>
          <w:rFonts w:ascii="Arial" w:eastAsia="Arial" w:hAnsi="Arial" w:cs="Arial"/>
        </w:rPr>
      </w:pPr>
      <w:r>
        <w:rPr>
          <w:rFonts w:ascii="Arial" w:eastAsia="Arial" w:hAnsi="Arial" w:cs="Arial"/>
        </w:rPr>
        <w:t xml:space="preserve">Short-term funding is a funding source which is repayable within a year, such as bank overdrafts, trade credit, and short-term loans. The usage of these sources is mainly to finance the working capital requirements and daily activities. Short-term funding is more flexible and readily available and can be used to deal with variations in liquidity. </w:t>
      </w:r>
      <w:proofErr w:type="spellStart"/>
      <w:r>
        <w:rPr>
          <w:rFonts w:ascii="Arial" w:eastAsia="Arial" w:hAnsi="Arial" w:cs="Arial"/>
        </w:rPr>
        <w:t>Awodire</w:t>
      </w:r>
      <w:proofErr w:type="spellEnd"/>
      <w:r>
        <w:rPr>
          <w:rFonts w:ascii="Arial" w:eastAsia="Arial" w:hAnsi="Arial" w:cs="Arial"/>
        </w:rPr>
        <w:t xml:space="preserve"> et al. (2023) argue that short-term financing promotes efficiency in operations by making sure that companies can address short-term liabilities without interfering with business operations. Nevertheless, overdependence on short-term funding raises the refinancing risk and </w:t>
      </w:r>
      <w:r w:rsidR="00BC24D3">
        <w:rPr>
          <w:rFonts w:ascii="Arial" w:eastAsia="Arial" w:hAnsi="Arial" w:cs="Arial"/>
        </w:rPr>
        <w:t>subjects’</w:t>
      </w:r>
      <w:r>
        <w:rPr>
          <w:rFonts w:ascii="Arial" w:eastAsia="Arial" w:hAnsi="Arial" w:cs="Arial"/>
        </w:rPr>
        <w:t xml:space="preserve"> businesses to interest rate risk, which may adversely affect the financial stability in the case of economic instability.</w:t>
      </w:r>
    </w:p>
    <w:p w14:paraId="29D359A4" w14:textId="77777777" w:rsidR="006F7CD0" w:rsidRDefault="000E4802">
      <w:pPr>
        <w:pStyle w:val="Heading3"/>
      </w:pPr>
      <w:bookmarkStart w:id="26" w:name="_Toc227719571"/>
      <w:r>
        <w:t>Long-Term Financing: Characteristics and Implications</w:t>
      </w:r>
      <w:bookmarkEnd w:id="26"/>
    </w:p>
    <w:p w14:paraId="2C22BB86" w14:textId="77777777" w:rsidR="006F7CD0" w:rsidRDefault="000E4802">
      <w:pPr>
        <w:spacing w:before="200" w:after="200"/>
        <w:rPr>
          <w:rFonts w:ascii="Arial" w:eastAsia="Arial" w:hAnsi="Arial" w:cs="Arial"/>
        </w:rPr>
      </w:pPr>
      <w:r>
        <w:rPr>
          <w:rFonts w:ascii="Arial" w:eastAsia="Arial" w:hAnsi="Arial" w:cs="Arial"/>
        </w:rPr>
        <w:t xml:space="preserve">Long-term financing entails sources of finance which have a repayment period that is more than one year, like bonds, equity financing and long-term loans. Capital investments such as infrastructure, research and development projects are normally financed using these sources. Long-term financing is more stable financially as it distributes the repayment over longer durations. </w:t>
      </w:r>
      <w:proofErr w:type="spellStart"/>
      <w:r>
        <w:rPr>
          <w:rFonts w:ascii="Arial" w:eastAsia="Arial" w:hAnsi="Arial" w:cs="Arial"/>
        </w:rPr>
        <w:t>Zaramella</w:t>
      </w:r>
      <w:proofErr w:type="spellEnd"/>
      <w:r>
        <w:rPr>
          <w:rFonts w:ascii="Arial" w:eastAsia="Arial" w:hAnsi="Arial" w:cs="Arial"/>
        </w:rPr>
        <w:t xml:space="preserve"> (2023) emphasizes that long-term financing improves strategic flexibility as it enables the company to engage in large-scale investments without the immediate liquidity constraints. It is usually associated with increased costs and increased regulatory requirements, which can limit financial flexibility in the short run.</w:t>
      </w:r>
    </w:p>
    <w:p w14:paraId="4B80E071" w14:textId="77777777" w:rsidR="006F7CD0" w:rsidRDefault="000E4802">
      <w:pPr>
        <w:pStyle w:val="Heading3"/>
      </w:pPr>
      <w:bookmarkStart w:id="27" w:name="_Toc227719572"/>
      <w:r>
        <w:t>Comparative Evaluation for Volkswagen</w:t>
      </w:r>
      <w:bookmarkEnd w:id="27"/>
    </w:p>
    <w:p w14:paraId="2A2F23F2" w14:textId="77777777" w:rsidR="006F7CD0" w:rsidRDefault="000E4802">
      <w:pPr>
        <w:spacing w:before="200" w:after="200"/>
        <w:rPr>
          <w:rFonts w:ascii="Arial" w:eastAsia="Arial" w:hAnsi="Arial" w:cs="Arial"/>
        </w:rPr>
      </w:pPr>
      <w:r>
        <w:rPr>
          <w:rFonts w:ascii="Arial" w:eastAsia="Arial" w:hAnsi="Arial" w:cs="Arial"/>
        </w:rPr>
        <w:t>The financial structure of Volkswagen indicates a combination of short-term and long-term financing with the progressive use of debt to finance EVs. The working capital is a necessity requiring financing on a short-term basis, especially when there are variations in receivables and inventory levels. Long-term financing, on the contrary, is more appropriate to cover capital-intensive projects like the development of electric vehicles and the development of infrastructure. According to Celestin (2024), a balance between risk and return is optimal when the financing strategy is matched with the character of investments. In the case of Volkswagen, short-term borrowing is prone to create a greater liquidity risk, whereas long-term financing is conducive to long-term growth and financial stability.</w:t>
      </w:r>
    </w:p>
    <w:p w14:paraId="6D82CD08" w14:textId="77777777" w:rsidR="006F7CD0" w:rsidRDefault="000E4802">
      <w:pPr>
        <w:pStyle w:val="Heading1"/>
      </w:pPr>
      <w:bookmarkStart w:id="28" w:name="_Toc227719573"/>
      <w:r>
        <w:t>4.0 Strategic Financial Restructuring Plan</w:t>
      </w:r>
      <w:bookmarkEnd w:id="28"/>
    </w:p>
    <w:p w14:paraId="4E00AF1B" w14:textId="77777777" w:rsidR="006F7CD0" w:rsidRDefault="000E4802">
      <w:pPr>
        <w:pStyle w:val="Heading2"/>
      </w:pPr>
      <w:bookmarkStart w:id="29" w:name="_Toc227719574"/>
      <w:r>
        <w:t>4.1 Financial Restructuring Options</w:t>
      </w:r>
      <w:bookmarkEnd w:id="29"/>
    </w:p>
    <w:p w14:paraId="0B4A7AC0" w14:textId="77777777" w:rsidR="006F7CD0" w:rsidRDefault="000E4802">
      <w:pPr>
        <w:pStyle w:val="Heading3"/>
      </w:pPr>
      <w:bookmarkStart w:id="30" w:name="_Toc227719575"/>
      <w:r>
        <w:t>Divestiture of Non-Core Assets</w:t>
      </w:r>
      <w:bookmarkEnd w:id="30"/>
    </w:p>
    <w:p w14:paraId="4353C65B" w14:textId="77777777" w:rsidR="006F7CD0" w:rsidRDefault="000E4802">
      <w:pPr>
        <w:spacing w:before="200" w:after="200"/>
        <w:rPr>
          <w:rFonts w:ascii="Arial" w:eastAsia="Arial" w:hAnsi="Arial" w:cs="Arial"/>
        </w:rPr>
      </w:pPr>
      <w:r>
        <w:rPr>
          <w:rFonts w:ascii="Arial" w:eastAsia="Arial" w:hAnsi="Arial" w:cs="Arial"/>
        </w:rPr>
        <w:t xml:space="preserve">In order to enhance liquidity and concentrate on the core electric vehicle (EV) strategy, Volkswagen should contemplate selling its non-core or underperforming business units. Divestiture helps companies to free up the capital that is tied up, lessen the complexity of operations and enhance financial performance. Selling low-margin or non-strategic assets will enable Volkswagen to produce immediate cash flows and shift resources to high-growth EV segments. According to </w:t>
      </w:r>
      <w:proofErr w:type="spellStart"/>
      <w:r>
        <w:rPr>
          <w:rFonts w:ascii="Arial" w:eastAsia="Arial" w:hAnsi="Arial" w:cs="Arial"/>
        </w:rPr>
        <w:t>Zaramella</w:t>
      </w:r>
      <w:proofErr w:type="spellEnd"/>
      <w:r>
        <w:rPr>
          <w:rFonts w:ascii="Arial" w:eastAsia="Arial" w:hAnsi="Arial" w:cs="Arial"/>
        </w:rPr>
        <w:t xml:space="preserve"> (2023), divestiture is a powerful restructuring instrument to enhance efficiency and shareholder value, especially in sectors that are facing structural change.</w:t>
      </w:r>
    </w:p>
    <w:p w14:paraId="7FED6A25" w14:textId="77777777" w:rsidR="006F7CD0" w:rsidRDefault="000E4802">
      <w:pPr>
        <w:pStyle w:val="Heading3"/>
      </w:pPr>
      <w:bookmarkStart w:id="31" w:name="_Toc227719576"/>
      <w:r>
        <w:t>Strategic Mergers and Partnerships</w:t>
      </w:r>
      <w:bookmarkEnd w:id="31"/>
    </w:p>
    <w:p w14:paraId="520E0C85" w14:textId="77777777" w:rsidR="006F7CD0" w:rsidRDefault="000E4802">
      <w:pPr>
        <w:spacing w:before="200" w:after="200"/>
        <w:rPr>
          <w:rFonts w:ascii="Arial" w:eastAsia="Arial" w:hAnsi="Arial" w:cs="Arial"/>
        </w:rPr>
      </w:pPr>
      <w:r>
        <w:rPr>
          <w:rFonts w:ascii="Arial" w:eastAsia="Arial" w:hAnsi="Arial" w:cs="Arial"/>
        </w:rPr>
        <w:t>Strategic mergers or joint ventures are some of the ways through which the company can share risks and gain access to advanced technologies. With the competitive EV market, cooperation with technology companies or battery manufacturers can lower the cost of development and increase the pace of innovation. Economies of scale, cost synergies and market growth are also facilitated through mergers. Celestin (2024) emphasizes that strategic alliances and mergers are essential in ensuring continuity in business and enhancing its competitive positioning in times of financial restructuring. These alliances would enable Volkswagen to enhance its presence in the global market and relieve it of the burden of the funds.</w:t>
      </w:r>
    </w:p>
    <w:p w14:paraId="0003268F" w14:textId="77777777" w:rsidR="006F7CD0" w:rsidRDefault="000E4802">
      <w:pPr>
        <w:pStyle w:val="Heading3"/>
      </w:pPr>
      <w:bookmarkStart w:id="32" w:name="_Toc227719577"/>
      <w:r>
        <w:t>Equity Injection and Capital Raising</w:t>
      </w:r>
      <w:bookmarkEnd w:id="32"/>
    </w:p>
    <w:p w14:paraId="13EAE011" w14:textId="77777777" w:rsidR="006F7CD0" w:rsidRDefault="000E4802">
      <w:pPr>
        <w:spacing w:before="200" w:after="200"/>
        <w:rPr>
          <w:rFonts w:ascii="Arial" w:eastAsia="Arial" w:hAnsi="Arial" w:cs="Arial"/>
        </w:rPr>
      </w:pPr>
      <w:r>
        <w:rPr>
          <w:rFonts w:ascii="Arial" w:eastAsia="Arial" w:hAnsi="Arial" w:cs="Arial"/>
        </w:rPr>
        <w:t xml:space="preserve">Volkswagen can improve its financial stability through equity by issuing new stock or acquiring institutional investors. Equity injection also decreases the use of debt financing and enhances the capital structure of the company. With the growing debt-to-equity ratio, enhancing equity financing would decrease financial risk and enhance solvency. According to </w:t>
      </w:r>
      <w:proofErr w:type="spellStart"/>
      <w:r>
        <w:rPr>
          <w:rFonts w:ascii="Arial" w:eastAsia="Arial" w:hAnsi="Arial" w:cs="Arial"/>
        </w:rPr>
        <w:t>Awodire</w:t>
      </w:r>
      <w:proofErr w:type="spellEnd"/>
      <w:r>
        <w:rPr>
          <w:rFonts w:ascii="Arial" w:eastAsia="Arial" w:hAnsi="Arial" w:cs="Arial"/>
        </w:rPr>
        <w:t xml:space="preserve"> et al. (2023), equity financing is more appropriate in capital-intensive sectors like the automotive industry because it promotes long-term investment without raising fixed financial commitments. This would also boost investor confidence and sustainable growth.</w:t>
      </w:r>
    </w:p>
    <w:p w14:paraId="34A2B4C9" w14:textId="77777777" w:rsidR="006F7CD0" w:rsidRDefault="000E4802">
      <w:pPr>
        <w:pStyle w:val="Heading3"/>
      </w:pPr>
      <w:bookmarkStart w:id="33" w:name="_Toc227719578"/>
      <w:r>
        <w:t>Debt Restructuring and Refinancing</w:t>
      </w:r>
      <w:bookmarkEnd w:id="33"/>
    </w:p>
    <w:p w14:paraId="60FE44B1" w14:textId="77777777" w:rsidR="006F7CD0" w:rsidRDefault="000E4802">
      <w:pPr>
        <w:spacing w:before="200" w:after="200"/>
        <w:rPr>
          <w:rFonts w:ascii="Arial" w:eastAsia="Arial" w:hAnsi="Arial" w:cs="Arial"/>
        </w:rPr>
      </w:pPr>
      <w:r>
        <w:rPr>
          <w:rFonts w:ascii="Arial" w:eastAsia="Arial" w:hAnsi="Arial" w:cs="Arial"/>
        </w:rPr>
        <w:t xml:space="preserve">Volkswagen can re-arrange its current debt through refinancing of high-cost debt with the help of lower-interest debt. The approach will help to minimize the interest cost and enhance cash flow. Manipulation of the profile of debt maturity can also improve liquidity management and decrease the pressure of repayment in the short run. According to </w:t>
      </w:r>
      <w:proofErr w:type="spellStart"/>
      <w:r>
        <w:rPr>
          <w:rFonts w:ascii="Arial" w:eastAsia="Arial" w:hAnsi="Arial" w:cs="Arial"/>
        </w:rPr>
        <w:t>Putri</w:t>
      </w:r>
      <w:proofErr w:type="spellEnd"/>
      <w:r>
        <w:rPr>
          <w:rFonts w:ascii="Arial" w:eastAsia="Arial" w:hAnsi="Arial" w:cs="Arial"/>
        </w:rPr>
        <w:t xml:space="preserve"> et al. (2026), restructuring of financial obligations is crucial in aligning the capital structure with the long-term strategic objectives and investment choices.</w:t>
      </w:r>
    </w:p>
    <w:p w14:paraId="159E2F4E" w14:textId="77777777" w:rsidR="006F7CD0" w:rsidRDefault="000E4802">
      <w:pPr>
        <w:pStyle w:val="Heading2"/>
      </w:pPr>
      <w:bookmarkStart w:id="34" w:name="_Toc227719579"/>
      <w:r>
        <w:t>4.2 Impact on Shareholder Value, Debt Structure, and Operational Flexibility</w:t>
      </w:r>
      <w:bookmarkEnd w:id="34"/>
    </w:p>
    <w:p w14:paraId="70897BD4" w14:textId="77777777" w:rsidR="006F7CD0" w:rsidRDefault="000E4802">
      <w:pPr>
        <w:pStyle w:val="Heading3"/>
      </w:pPr>
      <w:bookmarkStart w:id="35" w:name="_Toc227719580"/>
      <w:r>
        <w:t>Impact on Shareholder Value</w:t>
      </w:r>
      <w:bookmarkEnd w:id="35"/>
    </w:p>
    <w:p w14:paraId="65607291" w14:textId="4DC13832" w:rsidR="006F7CD0" w:rsidRDefault="000E4802">
      <w:pPr>
        <w:spacing w:before="200" w:after="200"/>
        <w:rPr>
          <w:rFonts w:ascii="Arial" w:eastAsia="Arial" w:hAnsi="Arial" w:cs="Arial"/>
        </w:rPr>
      </w:pPr>
      <w:r>
        <w:rPr>
          <w:rFonts w:ascii="Arial" w:eastAsia="Arial" w:hAnsi="Arial" w:cs="Arial"/>
        </w:rPr>
        <w:t xml:space="preserve">Restructuring financial can greatly increase shareholder value through making it more profitable, less risky, and better able to grow in the long term. Divestiture and equity injection are some of the strategies that enable Volkswagen to reinvest the capital in high-paying EV </w:t>
      </w:r>
      <w:r w:rsidR="00BC24D3">
        <w:rPr>
          <w:rFonts w:ascii="Arial" w:eastAsia="Arial" w:hAnsi="Arial" w:cs="Arial"/>
        </w:rPr>
        <w:t>projects and</w:t>
      </w:r>
      <w:r>
        <w:rPr>
          <w:rFonts w:ascii="Arial" w:eastAsia="Arial" w:hAnsi="Arial" w:cs="Arial"/>
        </w:rPr>
        <w:t xml:space="preserve"> thus enable it to boost future earnings capabilities. A better financial performance and lower volatility can have a positive effect on investor confidence and market value. Sarah and </w:t>
      </w:r>
      <w:proofErr w:type="spellStart"/>
      <w:r>
        <w:rPr>
          <w:rFonts w:ascii="Arial" w:eastAsia="Arial" w:hAnsi="Arial" w:cs="Arial"/>
        </w:rPr>
        <w:t>Athanase</w:t>
      </w:r>
      <w:proofErr w:type="spellEnd"/>
      <w:r>
        <w:rPr>
          <w:rFonts w:ascii="Arial" w:eastAsia="Arial" w:hAnsi="Arial" w:cs="Arial"/>
        </w:rPr>
        <w:t xml:space="preserve"> (2023) affirm that successful financial restructuring assists in making decisions that are more effective in investments and shareholder returns due to the efficiency in financial management. But a historical high equity issue can dilute the presence of the existing shareholders, and it needs to be balanced between growth and control.</w:t>
      </w:r>
    </w:p>
    <w:p w14:paraId="40181CF0" w14:textId="77777777" w:rsidR="006F7CD0" w:rsidRDefault="000E4802">
      <w:pPr>
        <w:pStyle w:val="Heading3"/>
      </w:pPr>
      <w:bookmarkStart w:id="36" w:name="_Toc227719581"/>
      <w:r>
        <w:t>Impact on Debt Structure</w:t>
      </w:r>
      <w:bookmarkEnd w:id="36"/>
    </w:p>
    <w:p w14:paraId="781AEB1E" w14:textId="77777777" w:rsidR="006F7CD0" w:rsidRDefault="000E4802">
      <w:pPr>
        <w:spacing w:before="200" w:after="200"/>
        <w:rPr>
          <w:rFonts w:ascii="Arial" w:eastAsia="Arial" w:hAnsi="Arial" w:cs="Arial"/>
        </w:rPr>
      </w:pPr>
      <w:r>
        <w:rPr>
          <w:rFonts w:ascii="Arial" w:eastAsia="Arial" w:hAnsi="Arial" w:cs="Arial"/>
        </w:rPr>
        <w:t xml:space="preserve">Restructuring programs have the potential to streamline the debt position of Volkswagen to lessen the use of expensive debt and enhance solvency. The debt-to-equity ratio can be decreased by refinancing the current debt and raising more equity funding, which will decrease the financial risk and enhance the creditworthiness. A balanced capital structure will ensure long-term projects like EV development with sustainable funding. According to </w:t>
      </w:r>
      <w:proofErr w:type="spellStart"/>
      <w:r>
        <w:rPr>
          <w:rFonts w:ascii="Arial" w:eastAsia="Arial" w:hAnsi="Arial" w:cs="Arial"/>
        </w:rPr>
        <w:t>Oranefo</w:t>
      </w:r>
      <w:proofErr w:type="spellEnd"/>
      <w:r>
        <w:rPr>
          <w:rFonts w:ascii="Arial" w:eastAsia="Arial" w:hAnsi="Arial" w:cs="Arial"/>
        </w:rPr>
        <w:t xml:space="preserve"> and </w:t>
      </w:r>
      <w:proofErr w:type="spellStart"/>
      <w:r>
        <w:rPr>
          <w:rFonts w:ascii="Arial" w:eastAsia="Arial" w:hAnsi="Arial" w:cs="Arial"/>
        </w:rPr>
        <w:t>Egbunike</w:t>
      </w:r>
      <w:proofErr w:type="spellEnd"/>
      <w:r>
        <w:rPr>
          <w:rFonts w:ascii="Arial" w:eastAsia="Arial" w:hAnsi="Arial" w:cs="Arial"/>
        </w:rPr>
        <w:t xml:space="preserve"> (2023), controlling gearing levels is crucial in the process of ensuring financial stability and sufficient operating cash flows. Also, it is possible to restructure debt maturity profiles to alleviate short-term repayment pressure and improve liquidity management, which can reinforce financial resilience on the whole.</w:t>
      </w:r>
    </w:p>
    <w:p w14:paraId="3BBAC620" w14:textId="77777777" w:rsidR="006F7CD0" w:rsidRDefault="000E4802">
      <w:pPr>
        <w:pStyle w:val="Heading3"/>
      </w:pPr>
      <w:bookmarkStart w:id="37" w:name="_Toc227719582"/>
      <w:r>
        <w:t>Impact on Operational Flexibility</w:t>
      </w:r>
      <w:bookmarkEnd w:id="37"/>
    </w:p>
    <w:p w14:paraId="074F8695" w14:textId="77777777" w:rsidR="006F7CD0" w:rsidRDefault="000E4802">
      <w:pPr>
        <w:spacing w:before="200" w:after="200"/>
        <w:rPr>
          <w:rFonts w:ascii="Arial" w:eastAsia="Arial" w:hAnsi="Arial" w:cs="Arial"/>
        </w:rPr>
      </w:pPr>
      <w:r>
        <w:rPr>
          <w:rFonts w:ascii="Arial" w:eastAsia="Arial" w:hAnsi="Arial" w:cs="Arial"/>
        </w:rPr>
        <w:t>Financial restructuring increases flexibility in the operations of the firm through the release of resources and enhances the capacity of the firm to adapt to the market variations. Strategic alliances and sale of non-core assets can help Volkswagen to concentrate on core competencies and EV innovation. The higher liquidity, and the lesser debt commitment means that the company can have more financial freedom in new technologies and adjust to the industry dynamics. As Celestin (2024) notes, restructuring plans become essential in bringing about business continuity and flexibility in unpredictable business environments. Enhanced flexibility enables Volkswagen to become responsive to the competitive pressures and changes in regulations.</w:t>
      </w:r>
    </w:p>
    <w:p w14:paraId="10EAA426" w14:textId="77777777" w:rsidR="006F7CD0" w:rsidRDefault="000E4802">
      <w:pPr>
        <w:pStyle w:val="Heading2"/>
      </w:pPr>
      <w:bookmarkStart w:id="38" w:name="_Toc227719583"/>
      <w:r>
        <w:t>4.3 International and Ethical Considerations</w:t>
      </w:r>
      <w:bookmarkEnd w:id="38"/>
    </w:p>
    <w:p w14:paraId="14A80B1E" w14:textId="77777777" w:rsidR="006F7CD0" w:rsidRDefault="000E4802">
      <w:pPr>
        <w:pStyle w:val="Heading3"/>
      </w:pPr>
      <w:bookmarkStart w:id="39" w:name="_Toc227719584"/>
      <w:r>
        <w:t>Taxation and Regulatory Compliance</w:t>
      </w:r>
      <w:bookmarkEnd w:id="39"/>
    </w:p>
    <w:p w14:paraId="0DBF320D" w14:textId="77777777" w:rsidR="006F7CD0" w:rsidRDefault="000E4802">
      <w:pPr>
        <w:spacing w:before="200" w:after="200"/>
        <w:rPr>
          <w:rFonts w:ascii="Arial" w:eastAsia="Arial" w:hAnsi="Arial" w:cs="Arial"/>
        </w:rPr>
      </w:pPr>
      <w:r>
        <w:rPr>
          <w:rFonts w:ascii="Arial" w:eastAsia="Arial" w:hAnsi="Arial" w:cs="Arial"/>
        </w:rPr>
        <w:t>Volkswagen has a multijurisdictional presence, which subjects it to various tax regimes and other regulatory frameworks. The tax planning must be effective to reduce the liabilities as well as adhere to international standards. Changes in the rates of corporate tax and changes in the world tax laws, like minimum tax regulations, can have a profound impact on the profitability and cash flows. Correct tax organization facilitates financial sustenance and shuns legal risks. Celestin (2024) emphasizes that adherence to the international financial regulations is essential in the continuity of the business and the absence of penalties in the context of restructuring.</w:t>
      </w:r>
    </w:p>
    <w:p w14:paraId="7AEFE061" w14:textId="77777777" w:rsidR="006F7CD0" w:rsidRDefault="000E4802">
      <w:pPr>
        <w:pStyle w:val="Heading3"/>
      </w:pPr>
      <w:bookmarkStart w:id="40" w:name="_Toc227719585"/>
      <w:r>
        <w:t>Currency Risk and Exchange Rate Volatility</w:t>
      </w:r>
      <w:bookmarkEnd w:id="40"/>
    </w:p>
    <w:p w14:paraId="5F7FEA43" w14:textId="77777777" w:rsidR="006F7CD0" w:rsidRDefault="000E4802">
      <w:pPr>
        <w:spacing w:before="200" w:after="200"/>
        <w:rPr>
          <w:rFonts w:ascii="Arial" w:eastAsia="Arial" w:hAnsi="Arial" w:cs="Arial"/>
        </w:rPr>
      </w:pPr>
      <w:r>
        <w:rPr>
          <w:rFonts w:ascii="Arial" w:eastAsia="Arial" w:hAnsi="Arial" w:cs="Arial"/>
        </w:rPr>
        <w:t xml:space="preserve">Being a global automotive company, Volkswagen is highly susceptible to foreign exchange risk as a result of international sources of sales and production. Currency volatility may affect revenues, costs and profitability, especially when exchange rates change in the wrong direction. Currency risk is a major challenge that requires the intervention of hedging in managing currency risk, such as forward contracts and derivatives, to stabilise financial performance. Investment choices and pricing strategies are also affected by the exchange rate fluctuations. According to </w:t>
      </w:r>
      <w:proofErr w:type="spellStart"/>
      <w:r>
        <w:rPr>
          <w:rFonts w:ascii="Arial" w:eastAsia="Arial" w:hAnsi="Arial" w:cs="Arial"/>
        </w:rPr>
        <w:t>Putri</w:t>
      </w:r>
      <w:proofErr w:type="spellEnd"/>
      <w:r>
        <w:rPr>
          <w:rFonts w:ascii="Arial" w:eastAsia="Arial" w:hAnsi="Arial" w:cs="Arial"/>
        </w:rPr>
        <w:t xml:space="preserve"> et al. (2026), financial environments have a significant role in capital budgeting and strategic decision-making due to the uncertainty, such as currency risks.</w:t>
      </w:r>
    </w:p>
    <w:p w14:paraId="494B0473" w14:textId="77777777" w:rsidR="006F7CD0" w:rsidRDefault="000E4802">
      <w:pPr>
        <w:pStyle w:val="Heading3"/>
      </w:pPr>
      <w:bookmarkStart w:id="41" w:name="_Toc227719586"/>
      <w:r>
        <w:t>Inflation and Cost Pressures</w:t>
      </w:r>
      <w:bookmarkEnd w:id="41"/>
    </w:p>
    <w:p w14:paraId="5DF69022" w14:textId="77777777" w:rsidR="006F7CD0" w:rsidRDefault="000E4802">
      <w:pPr>
        <w:spacing w:before="200" w:after="200"/>
        <w:rPr>
          <w:rFonts w:ascii="Arial" w:eastAsia="Arial" w:hAnsi="Arial" w:cs="Arial"/>
        </w:rPr>
      </w:pPr>
      <w:r>
        <w:rPr>
          <w:rFonts w:ascii="Arial" w:eastAsia="Arial" w:hAnsi="Arial" w:cs="Arial"/>
        </w:rPr>
        <w:t xml:space="preserve">The increasing global inflation has raised the cost of production, in terms of raw materials, labour and even the logistics, among others, thus impacting the profitability margins of Volkswagen. Inflation also lowers consumer purchasing power, and this may affect vehicle demand, particularly in price-sensitive markets. Cost control measures, supply chain management, and price changes are some of the measures that need to be employed to manage inflationary pressures. According to </w:t>
      </w:r>
      <w:proofErr w:type="spellStart"/>
      <w:r>
        <w:rPr>
          <w:rFonts w:ascii="Arial" w:eastAsia="Arial" w:hAnsi="Arial" w:cs="Arial"/>
        </w:rPr>
        <w:t>Awodire</w:t>
      </w:r>
      <w:proofErr w:type="spellEnd"/>
      <w:r>
        <w:rPr>
          <w:rFonts w:ascii="Arial" w:eastAsia="Arial" w:hAnsi="Arial" w:cs="Arial"/>
        </w:rPr>
        <w:t xml:space="preserve"> et al. (2023), macroeconomic variables, including inflation, play a vital role in investment appraisal and financial planning decisions, especially in capital-intensive ventures such as automotive manufacturing.</w:t>
      </w:r>
    </w:p>
    <w:p w14:paraId="570458D1" w14:textId="77777777" w:rsidR="006F7CD0" w:rsidRDefault="000E4802">
      <w:pPr>
        <w:pStyle w:val="Heading3"/>
      </w:pPr>
      <w:bookmarkStart w:id="42" w:name="_Toc227719587"/>
      <w:r>
        <w:t>Corporate Social Responsibility (CSR) and Ethical Practices</w:t>
      </w:r>
      <w:bookmarkEnd w:id="42"/>
    </w:p>
    <w:p w14:paraId="5CD03C6A" w14:textId="77777777" w:rsidR="006F7CD0" w:rsidRDefault="000E4802">
      <w:pPr>
        <w:spacing w:before="200" w:after="200"/>
        <w:rPr>
          <w:rFonts w:ascii="Arial" w:eastAsia="Arial" w:hAnsi="Arial" w:cs="Arial"/>
        </w:rPr>
      </w:pPr>
      <w:r>
        <w:rPr>
          <w:rFonts w:ascii="Arial" w:eastAsia="Arial" w:hAnsi="Arial" w:cs="Arial"/>
        </w:rPr>
        <w:t>Volkswagen needs to incorporate the ethical aspect and corporate social responsibility in its financial plan, especially when it moves to electric vehicles. Sustainable environmental practices, minimization of carbon emissions, and ethical sourcing of materials are important challenges that affect the perception by the stakeholders and governance. Good CSR practices help in building brand reputation and value in the long run. The growing international interest in the concept of sustainability demands that corporations integrate financial strategies with environmental and social objectives. According to the International Energy Agency (IEA, 2024), sustainable practices are also key in the EV sector, and responsible innovations and ethical operations are required.</w:t>
      </w:r>
    </w:p>
    <w:p w14:paraId="3BAA9D54" w14:textId="77777777" w:rsidR="006F7CD0" w:rsidRDefault="000E4802">
      <w:pPr>
        <w:pStyle w:val="Heading3"/>
      </w:pPr>
      <w:bookmarkStart w:id="43" w:name="_Toc227719588"/>
      <w:r>
        <w:t>Ethical Financial Decision-Making</w:t>
      </w:r>
      <w:bookmarkEnd w:id="43"/>
    </w:p>
    <w:p w14:paraId="1B626BCC" w14:textId="77777777" w:rsidR="006F7CD0" w:rsidRDefault="000E4802">
      <w:pPr>
        <w:spacing w:before="200" w:after="200"/>
        <w:rPr>
          <w:rFonts w:ascii="Arial" w:eastAsia="Arial" w:hAnsi="Arial" w:cs="Arial"/>
        </w:rPr>
      </w:pPr>
      <w:r>
        <w:rPr>
          <w:rFonts w:ascii="Arial" w:eastAsia="Arial" w:hAnsi="Arial" w:cs="Arial"/>
        </w:rPr>
        <w:t xml:space="preserve">Ethical implications of financial restructuring should also be taken into consideration, such as fair treatment of stakeholders, transparency and responsible governance. Layoffs, cost-cutting, or other restructuring decisions must be made in a way that social responsibilities are taken into consideration alongside financial goals. This will mean long-term sustainability and confidence among investors, employees and customers due to ethical financial management. According to </w:t>
      </w:r>
      <w:proofErr w:type="spellStart"/>
      <w:r>
        <w:rPr>
          <w:rFonts w:ascii="Arial" w:eastAsia="Arial" w:hAnsi="Arial" w:cs="Arial"/>
        </w:rPr>
        <w:t>Zaramella</w:t>
      </w:r>
      <w:proofErr w:type="spellEnd"/>
      <w:r>
        <w:rPr>
          <w:rFonts w:ascii="Arial" w:eastAsia="Arial" w:hAnsi="Arial" w:cs="Arial"/>
        </w:rPr>
        <w:t xml:space="preserve"> (2023), ethical issues in financial restructuring must be taken into consideration to ensure organisational integrity and the attainment of sustainability in business.</w:t>
      </w:r>
    </w:p>
    <w:p w14:paraId="29CE2124" w14:textId="77777777" w:rsidR="006F7CD0" w:rsidRDefault="000E4802">
      <w:pPr>
        <w:pStyle w:val="Heading1"/>
      </w:pPr>
      <w:bookmarkStart w:id="44" w:name="_Toc227719589"/>
      <w:r>
        <w:t>5.0 Investment Appraisal and Capital Budgeting</w:t>
      </w:r>
      <w:bookmarkEnd w:id="44"/>
    </w:p>
    <w:p w14:paraId="63DA261C" w14:textId="77777777" w:rsidR="006F7CD0" w:rsidRDefault="000E4802">
      <w:pPr>
        <w:pStyle w:val="Heading2"/>
      </w:pPr>
      <w:bookmarkStart w:id="45" w:name="_Toc227719590"/>
      <w:r>
        <w:t>5.1 Investment Appraisal Methodology Overview</w:t>
      </w:r>
      <w:bookmarkEnd w:id="45"/>
    </w:p>
    <w:p w14:paraId="42F4FDAD" w14:textId="77777777" w:rsidR="006F7CD0" w:rsidRDefault="000E4802">
      <w:pPr>
        <w:spacing w:before="200" w:after="200"/>
        <w:rPr>
          <w:rFonts w:ascii="Arial" w:eastAsia="Arial" w:hAnsi="Arial" w:cs="Arial"/>
        </w:rPr>
      </w:pPr>
      <w:r>
        <w:rPr>
          <w:rFonts w:ascii="Arial" w:eastAsia="Arial" w:hAnsi="Arial" w:cs="Arial"/>
        </w:rPr>
        <w:t xml:space="preserve">Investment appraisal is very important in assessing the financial feasibility of strategic projects, especially in capital-intensive sectors, as is the case with the manufacturing sector of automobiles. As a section of the financial decision-making process, Volkswagen needs to evaluate three suggested projects by applying the main appraisal methods, such as “Payback Period (PBP)”, “Accounting Rate of Return (ARR)”, “Net Present Value (NPV)”, “Profitability Index (PI)”, and “Internal Rate of Return (IRR)”. These approaches offer the profitability and the risk-oriented views, which allow making informed investment choices in accordance with corporate purposes. The “Payback Period” is liquidity-oriented, as it considers how swiftly the initial investments can be recouped, whereas ARR is an accounting profitability estimate in comparison with the cost of investments. Conversely, NPV and PI take into consideration the time value of money, which gives a better evaluation of the value creation in a long-term basis. IRR also assists in decision-making by determining which discount rate will give project returns equivalent to the initial investment. </w:t>
      </w:r>
      <w:proofErr w:type="spellStart"/>
      <w:r>
        <w:rPr>
          <w:rFonts w:ascii="Arial" w:eastAsia="Arial" w:hAnsi="Arial" w:cs="Arial"/>
        </w:rPr>
        <w:t>Awodire</w:t>
      </w:r>
      <w:proofErr w:type="spellEnd"/>
      <w:r>
        <w:rPr>
          <w:rFonts w:ascii="Arial" w:eastAsia="Arial" w:hAnsi="Arial" w:cs="Arial"/>
        </w:rPr>
        <w:t xml:space="preserve"> et al. (2023) note that using a combination of appraisal methods helps to improve the accuracy of decisions by achieving a balance between risk, returns, and time. A combination of these techniques is necessary in dealing with uncertainty and enhancing the effectiveness of capital budgeting in a complicated investment environment.</w:t>
      </w:r>
    </w:p>
    <w:p w14:paraId="4BB4B934" w14:textId="77777777" w:rsidR="006F7CD0" w:rsidRDefault="000E4802">
      <w:pPr>
        <w:pStyle w:val="Heading2"/>
      </w:pPr>
      <w:bookmarkStart w:id="46" w:name="_Toc227719591"/>
      <w:r>
        <w:t>5.2 Investment Projects Overview</w:t>
      </w:r>
      <w:bookmarkEnd w:id="46"/>
      <w:r>
        <w:t xml:space="preserve"> </w:t>
      </w:r>
    </w:p>
    <w:p w14:paraId="6F31D42F" w14:textId="77777777" w:rsidR="006F7CD0" w:rsidRDefault="000E4802">
      <w:pPr>
        <w:spacing w:before="200" w:after="200"/>
        <w:rPr>
          <w:rFonts w:ascii="Arial" w:eastAsia="Arial" w:hAnsi="Arial" w:cs="Arial"/>
        </w:rPr>
      </w:pPr>
      <w:r>
        <w:rPr>
          <w:rFonts w:ascii="Arial" w:eastAsia="Arial" w:hAnsi="Arial" w:cs="Arial"/>
        </w:rPr>
        <w:t>The analysis of the investment entails three projects (A, B and C) which have an initial investment of £50 million with the different cash inflow patterns after five years. A 10 percent discount rate is used to determine the projects based on the risk, timing of returns and profitability potential so that they can be compared to make the best decisions on capital allocation.</w:t>
      </w:r>
    </w:p>
    <w:p w14:paraId="65A5F62C" w14:textId="77777777" w:rsidR="006F7CD0" w:rsidRDefault="000E4802">
      <w:pPr>
        <w:pStyle w:val="Heading2"/>
      </w:pPr>
      <w:bookmarkStart w:id="47" w:name="_Toc227719592"/>
      <w:r>
        <w:t>5.3 Project A Evaluation</w:t>
      </w:r>
      <w:bookmarkEnd w:id="47"/>
    </w:p>
    <w:p w14:paraId="2AE1F3CA" w14:textId="77777777" w:rsidR="006F7CD0" w:rsidRDefault="000E4802">
      <w:pPr>
        <w:rPr>
          <w:rFonts w:ascii="Arial" w:eastAsia="Arial" w:hAnsi="Arial" w:cs="Arial"/>
        </w:rPr>
      </w:pPr>
      <w:r>
        <w:rPr>
          <w:rFonts w:ascii="Arial" w:eastAsia="Arial" w:hAnsi="Arial" w:cs="Arial"/>
        </w:rPr>
        <w:t>Project A has a negative NPV value of -£8.7m, which suggests that it destroys value even with a PI of 1.2. Recovery is slow since the payback period will not be attained in five years. Poor profitability, indicated by the low IRR (2.7) and ARR (1.6), is not financially attractive at a 10% discount rate.</w:t>
      </w:r>
    </w:p>
    <w:p w14:paraId="39526540" w14:textId="77777777" w:rsidR="006F7CD0" w:rsidRDefault="000E4802">
      <w:pPr>
        <w:pStyle w:val="Heading2"/>
      </w:pPr>
      <w:bookmarkStart w:id="48" w:name="_Toc227719593"/>
      <w:r>
        <w:t>5.4 Project B Evaluation</w:t>
      </w:r>
      <w:bookmarkEnd w:id="48"/>
    </w:p>
    <w:p w14:paraId="29030C10" w14:textId="77777777" w:rsidR="006F7CD0" w:rsidRDefault="000E4802">
      <w:pPr>
        <w:spacing w:before="200" w:after="200"/>
        <w:rPr>
          <w:rFonts w:ascii="Arial" w:eastAsia="Arial" w:hAnsi="Arial" w:cs="Arial"/>
        </w:rPr>
      </w:pPr>
      <w:r>
        <w:rPr>
          <w:rFonts w:ascii="Arial" w:eastAsia="Arial" w:hAnsi="Arial" w:cs="Arial"/>
        </w:rPr>
        <w:t>Project B has a negative NPV of -8.3m, implying that it does not pay off adequately. PI is 1.2, but the payback period is not recouped. The IRR (3.3) and ARR (2.0) are relatively higher than those of Project A but still below the required rate, which means that it is not very financially viable.</w:t>
      </w:r>
    </w:p>
    <w:p w14:paraId="74F2840C" w14:textId="77777777" w:rsidR="006F7CD0" w:rsidRDefault="000E4802">
      <w:pPr>
        <w:spacing w:before="200" w:after="200"/>
        <w:jc w:val="center"/>
        <w:rPr>
          <w:rFonts w:ascii="Arial" w:eastAsia="Arial" w:hAnsi="Arial" w:cs="Arial"/>
        </w:rPr>
      </w:pPr>
      <w:r>
        <w:rPr>
          <w:rFonts w:ascii="Arial" w:eastAsia="Arial" w:hAnsi="Arial" w:cs="Arial"/>
          <w:noProof/>
        </w:rPr>
        <w:drawing>
          <wp:inline distT="114300" distB="114300" distL="114300" distR="114300" wp14:anchorId="26C74D45" wp14:editId="46EC1513">
            <wp:extent cx="5731200" cy="18542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1854200"/>
                    </a:xfrm>
                    <a:prstGeom prst="rect">
                      <a:avLst/>
                    </a:prstGeom>
                    <a:ln/>
                  </pic:spPr>
                </pic:pic>
              </a:graphicData>
            </a:graphic>
          </wp:inline>
        </w:drawing>
      </w:r>
    </w:p>
    <w:p w14:paraId="16C0B015" w14:textId="77777777" w:rsidR="006F7CD0" w:rsidRDefault="000E4802">
      <w:pPr>
        <w:spacing w:before="200" w:after="200"/>
        <w:jc w:val="center"/>
        <w:rPr>
          <w:rFonts w:ascii="Arial" w:eastAsia="Arial" w:hAnsi="Arial" w:cs="Arial"/>
          <w:b/>
          <w:bCs/>
        </w:rPr>
      </w:pPr>
      <w:r>
        <w:rPr>
          <w:rFonts w:ascii="Arial" w:eastAsia="Arial" w:hAnsi="Arial" w:cs="Arial"/>
          <w:b/>
          <w:bCs/>
        </w:rPr>
        <w:t>Figure 9: Investment Appraisal for Projects</w:t>
      </w:r>
    </w:p>
    <w:p w14:paraId="792FC282" w14:textId="77777777" w:rsidR="006F7CD0" w:rsidRDefault="000E4802">
      <w:pPr>
        <w:spacing w:before="200" w:after="200"/>
        <w:jc w:val="center"/>
        <w:rPr>
          <w:rFonts w:ascii="Arial" w:eastAsia="Arial" w:hAnsi="Arial" w:cs="Arial"/>
        </w:rPr>
      </w:pPr>
      <w:r>
        <w:rPr>
          <w:rFonts w:ascii="Arial" w:eastAsia="Arial" w:hAnsi="Arial" w:cs="Arial"/>
        </w:rPr>
        <w:t>(Source: Excel)</w:t>
      </w:r>
    </w:p>
    <w:p w14:paraId="3845EDDD" w14:textId="77777777" w:rsidR="006F7CD0" w:rsidRDefault="000E4802">
      <w:pPr>
        <w:pStyle w:val="Heading2"/>
      </w:pPr>
      <w:bookmarkStart w:id="49" w:name="_Toc227719594"/>
      <w:r>
        <w:t>5.5 Project C Evaluation</w:t>
      </w:r>
      <w:bookmarkEnd w:id="49"/>
    </w:p>
    <w:p w14:paraId="6DC2FBD8" w14:textId="77777777" w:rsidR="006F7CD0" w:rsidRDefault="000E4802">
      <w:pPr>
        <w:spacing w:before="200" w:after="200"/>
        <w:rPr>
          <w:rFonts w:ascii="Arial" w:eastAsia="Arial" w:hAnsi="Arial" w:cs="Arial"/>
        </w:rPr>
      </w:pPr>
      <w:r>
        <w:rPr>
          <w:rFonts w:ascii="Arial" w:eastAsia="Arial" w:hAnsi="Arial" w:cs="Arial"/>
        </w:rPr>
        <w:t>Project C is a comparatively better project since its NPV is negative and less at -2.0m, and IRR is high at 8.6. The ARR is also the highest at 6.0, which shows greater profitability. But a PI of 1.0 and no payback in five years indicate marginal feasibility, which implies that it is the least attractive choice.</w:t>
      </w:r>
    </w:p>
    <w:p w14:paraId="6C446F06" w14:textId="77777777" w:rsidR="006F7CD0" w:rsidRDefault="000E4802">
      <w:pPr>
        <w:pStyle w:val="Heading2"/>
      </w:pPr>
      <w:bookmarkStart w:id="50" w:name="_Toc227719595"/>
      <w:r>
        <w:t>5.6 Project Recommendation</w:t>
      </w:r>
      <w:bookmarkEnd w:id="50"/>
    </w:p>
    <w:p w14:paraId="18642634" w14:textId="77777777" w:rsidR="006F7CD0" w:rsidRDefault="000E4802">
      <w:pPr>
        <w:pStyle w:val="Heading3"/>
      </w:pPr>
      <w:bookmarkStart w:id="51" w:name="_Toc227719596"/>
      <w:r>
        <w:t>Financial Performance Justification</w:t>
      </w:r>
      <w:bookmarkEnd w:id="51"/>
    </w:p>
    <w:p w14:paraId="551A5774" w14:textId="77777777" w:rsidR="006F7CD0" w:rsidRDefault="000E4802">
      <w:pPr>
        <w:spacing w:before="200" w:after="200"/>
        <w:rPr>
          <w:rFonts w:ascii="Arial" w:eastAsia="Arial" w:hAnsi="Arial" w:cs="Arial"/>
        </w:rPr>
      </w:pPr>
      <w:r>
        <w:rPr>
          <w:rFonts w:ascii="Arial" w:eastAsia="Arial" w:hAnsi="Arial" w:cs="Arial"/>
        </w:rPr>
        <w:t xml:space="preserve">According to the results of the investment appraisal, Project C is the most appropriate to be undertaken by Volkswagen, though all the projects have negative NPVs. Project C is the least affected, with a value loss of -2.0m as opposed to -8.7m (Project A) and -8.3m (Project B), which means that it is relatively financially viable. It also has the best IRR of 8.6% and ARR of 6.0, implying it has a greater profitability potential than the alternatives. With the profitability margin and cash flow ratio of Volkswagen decreasing and deteriorating, it is important to choose a project with relatively higher returns and low financial risk. The cash flow of the company as an operating firm has declined considerably, and it is unable to finance projects that may have a long payback period and have low returns. As </w:t>
      </w:r>
      <w:proofErr w:type="spellStart"/>
      <w:r>
        <w:rPr>
          <w:rFonts w:ascii="Arial" w:eastAsia="Arial" w:hAnsi="Arial" w:cs="Arial"/>
        </w:rPr>
        <w:t>Seretidou</w:t>
      </w:r>
      <w:proofErr w:type="spellEnd"/>
      <w:r>
        <w:rPr>
          <w:rFonts w:ascii="Arial" w:eastAsia="Arial" w:hAnsi="Arial" w:cs="Arial"/>
        </w:rPr>
        <w:t xml:space="preserve"> et al. (2025) point out, combining the profitability and cash flow measures is essential in making effective investment decisions. Thus, Project C fits the current financial limitations and requirements of efficient capital distribution of Volkswagen better.</w:t>
      </w:r>
    </w:p>
    <w:p w14:paraId="6E99F0AD" w14:textId="77777777" w:rsidR="006F7CD0" w:rsidRDefault="000E4802">
      <w:pPr>
        <w:pStyle w:val="Heading3"/>
      </w:pPr>
      <w:bookmarkStart w:id="52" w:name="_Toc227719597"/>
      <w:r>
        <w:t>Non-Financial Risk Considerations</w:t>
      </w:r>
      <w:bookmarkEnd w:id="52"/>
    </w:p>
    <w:p w14:paraId="22B32080" w14:textId="77777777" w:rsidR="006F7CD0" w:rsidRDefault="000E4802">
      <w:pPr>
        <w:spacing w:before="200" w:after="200"/>
        <w:rPr>
          <w:rFonts w:ascii="Arial" w:eastAsia="Arial" w:hAnsi="Arial" w:cs="Arial"/>
        </w:rPr>
      </w:pPr>
      <w:r>
        <w:rPr>
          <w:rFonts w:ascii="Arial" w:eastAsia="Arial" w:hAnsi="Arial" w:cs="Arial"/>
        </w:rPr>
        <w:t xml:space="preserve">Besides financial considerations, there are also non-financial risks that justify the choice of Project C. The car sector is subject to growing political and regulatory pressures, especially concerning environmental policies and EV adoption goals. Such uncertain environments are better suited to projects that are more adaptable and have a higher potential to generate returns. Brand reputation and customer loyalty are also critical factors to Volkswagen, particularly after reputational issues in the past. The customer trust and competitive positioning can be reinforced by investing in projects that help in innovation and align with the market demand. According to </w:t>
      </w:r>
      <w:proofErr w:type="spellStart"/>
      <w:r>
        <w:rPr>
          <w:rFonts w:ascii="Arial" w:eastAsia="Arial" w:hAnsi="Arial" w:cs="Arial"/>
        </w:rPr>
        <w:t>Putri</w:t>
      </w:r>
      <w:proofErr w:type="spellEnd"/>
      <w:r>
        <w:rPr>
          <w:rFonts w:ascii="Arial" w:eastAsia="Arial" w:hAnsi="Arial" w:cs="Arial"/>
        </w:rPr>
        <w:t xml:space="preserve"> et al. (2026), risk perception and uncertainty play important roles in making capital budgeting decisions, especially in dynamic industries. The profile of the higher returns of the project C gives the project more room to absorb external risks like inflation, changes in regulations, and competition in the market. It is the most moderate between financial performance and strategic risk management.</w:t>
      </w:r>
    </w:p>
    <w:p w14:paraId="4CF28785" w14:textId="77777777" w:rsidR="006F7CD0" w:rsidRDefault="000E4802">
      <w:pPr>
        <w:pStyle w:val="Heading2"/>
      </w:pPr>
      <w:bookmarkStart w:id="53" w:name="_Toc227719598"/>
      <w:r>
        <w:t>5.7 Capital Rationing Decision</w:t>
      </w:r>
      <w:bookmarkEnd w:id="53"/>
    </w:p>
    <w:p w14:paraId="0F45DBED" w14:textId="77777777" w:rsidR="006F7CD0" w:rsidRDefault="000E4802">
      <w:pPr>
        <w:pStyle w:val="Heading3"/>
      </w:pPr>
      <w:bookmarkStart w:id="54" w:name="_Toc227719599"/>
      <w:r>
        <w:t>Optimal Project Combination under Capital Constraint</w:t>
      </w:r>
      <w:bookmarkEnd w:id="54"/>
    </w:p>
    <w:p w14:paraId="0612C813" w14:textId="77777777" w:rsidR="006F7CD0" w:rsidRDefault="000E4802">
      <w:pPr>
        <w:spacing w:before="200" w:after="200"/>
        <w:rPr>
          <w:rFonts w:ascii="Arial" w:eastAsia="Arial" w:hAnsi="Arial" w:cs="Arial"/>
        </w:rPr>
      </w:pPr>
      <w:r>
        <w:rPr>
          <w:rFonts w:ascii="Arial" w:eastAsia="Arial" w:hAnsi="Arial" w:cs="Arial"/>
        </w:rPr>
        <w:t xml:space="preserve">With a capital rationing limit of £100 million, Volkswagen may choose two of three projects that need funding to the tune of 50 million. Project B and Project C is the best combination based on financial analysis. Even though none of the projects have positive NPVs, Project C has the least loss (-£2.0m) and the highest IRR (8.6%), thus the most appealing. Project B is more desirable than Project A because it has a relatively better NPV (-£8.3m (-£8.7m) and IRR (3.3% vs 2.7%). A combination of B and C gives a total NPV of -10.3m, lower than the A and C combination (-10.7m) and the A and B combination (-17.0m). </w:t>
      </w:r>
      <w:proofErr w:type="spellStart"/>
      <w:r>
        <w:rPr>
          <w:rFonts w:ascii="Arial" w:eastAsia="Arial" w:hAnsi="Arial" w:cs="Arial"/>
        </w:rPr>
        <w:t>Awodire</w:t>
      </w:r>
      <w:proofErr w:type="spellEnd"/>
      <w:r>
        <w:rPr>
          <w:rFonts w:ascii="Arial" w:eastAsia="Arial" w:hAnsi="Arial" w:cs="Arial"/>
        </w:rPr>
        <w:t xml:space="preserve"> et al. (2023) suggest that combinations that maximise value with financial constraints should be given priority when making capital rationing decisions. Hence, choosing B and C will guarantee the minimisation of the financial loss and maximisation of returns.</w:t>
      </w:r>
    </w:p>
    <w:p w14:paraId="1992447E" w14:textId="77777777" w:rsidR="006F7CD0" w:rsidRDefault="000E4802">
      <w:pPr>
        <w:pStyle w:val="Heading3"/>
      </w:pPr>
      <w:bookmarkStart w:id="55" w:name="_Toc227719600"/>
      <w:r>
        <w:t>Strategic Justification and Risk Consideration</w:t>
      </w:r>
      <w:bookmarkEnd w:id="55"/>
    </w:p>
    <w:p w14:paraId="1B5A431C" w14:textId="77777777" w:rsidR="006F7CD0" w:rsidRDefault="000E4802">
      <w:pPr>
        <w:spacing w:before="200" w:after="200"/>
        <w:rPr>
          <w:rFonts w:ascii="Arial" w:eastAsia="Arial" w:hAnsi="Arial" w:cs="Arial"/>
        </w:rPr>
      </w:pPr>
      <w:r>
        <w:rPr>
          <w:rFonts w:ascii="Arial" w:eastAsia="Arial" w:hAnsi="Arial" w:cs="Arial"/>
        </w:rPr>
        <w:t xml:space="preserve">Projects B and C are also the choices that align with the financial state and strategies of Volkswagen. The corporation is facing dwindling profitability and cash flow strains, and it is necessary to reduce the risk and maximize efficiency in its capital allocation. Project C offers comparatively good returns whereas Project B offers steady and predictable cash inflows (£11m a year) to lower the volatility of earnings. This mix is risk and reward balanced, and this is essential in uncertain economic times. </w:t>
      </w:r>
      <w:proofErr w:type="spellStart"/>
      <w:r>
        <w:rPr>
          <w:rFonts w:ascii="Arial" w:eastAsia="Arial" w:hAnsi="Arial" w:cs="Arial"/>
        </w:rPr>
        <w:t>Putri</w:t>
      </w:r>
      <w:proofErr w:type="spellEnd"/>
      <w:r>
        <w:rPr>
          <w:rFonts w:ascii="Arial" w:eastAsia="Arial" w:hAnsi="Arial" w:cs="Arial"/>
        </w:rPr>
        <w:t xml:space="preserve"> et al. (2026) draw attention to the fact that investment decisions in the conditions of uncertainty must be based not only on financial but also on the diversification of risks. Moreover, by choosing two projects over a single project, Volkswagen can spread operational and market risks and increase resilience to external forces like inflation, regulatory changes, and competitive pressure. Therefore, the B and C options are the most balanced and strategically correct investment choice.</w:t>
      </w:r>
    </w:p>
    <w:p w14:paraId="70CD3886" w14:textId="77777777" w:rsidR="006F7CD0" w:rsidRDefault="000E4802">
      <w:pPr>
        <w:pStyle w:val="Heading1"/>
      </w:pPr>
      <w:bookmarkStart w:id="56" w:name="_Toc227719601"/>
      <w:r>
        <w:t>6.0 Conclusion</w:t>
      </w:r>
      <w:bookmarkEnd w:id="56"/>
    </w:p>
    <w:p w14:paraId="0BFE6518" w14:textId="77777777" w:rsidR="006F7CD0" w:rsidRDefault="000E4802">
      <w:pPr>
        <w:spacing w:before="200" w:after="200"/>
        <w:rPr>
          <w:rFonts w:ascii="Arial" w:eastAsia="Arial" w:hAnsi="Arial" w:cs="Arial"/>
        </w:rPr>
      </w:pPr>
      <w:r>
        <w:rPr>
          <w:rFonts w:ascii="Arial" w:eastAsia="Arial" w:hAnsi="Arial" w:cs="Arial"/>
        </w:rPr>
        <w:t>The financial analysis of Volkswagen shows that the company is experiencing a tremendous change, as it is being transformed into a global company with the shift to electric cars. Although the growth in the revenues and assets shows good market positions, the decreasing profitability ratios and deteriorating cash flow results indicate a growing financial burden. The ratio analysis also endorses the fact that liquidity, efficiency, and leverage are problematic and require better financial management and strategic reforms. The working capital analysis shows that there has been a significant increase in the cash conversion cycle, which is mainly brought about by better management of receivables. But the falling operating cash flows and liquidity ratios highlight the necessity of maintaining these gains by working capital strategies. The suggested reforms, such as the optimisation of receivables, inventory, and financing structures, are necessary to enhance short-term financial stability.</w:t>
      </w:r>
    </w:p>
    <w:p w14:paraId="3978F94D" w14:textId="3292177A" w:rsidR="006F7CD0" w:rsidRDefault="000E4802">
      <w:pPr>
        <w:spacing w:before="200" w:after="200"/>
        <w:rPr>
          <w:rFonts w:ascii="Arial" w:eastAsia="Arial" w:hAnsi="Arial" w:cs="Arial"/>
        </w:rPr>
      </w:pPr>
      <w:r>
        <w:rPr>
          <w:rFonts w:ascii="Arial" w:eastAsia="Arial" w:hAnsi="Arial" w:cs="Arial"/>
        </w:rPr>
        <w:t xml:space="preserve">The investment appraisal indicates that none of the proposed projects yields a positive value in the prevailing conditions. Nevertheless, Project C proves to be the most feasible variant since it has relatively higher returns with less financial risk. The combination of Projects B and C offers the most balanced result under the conditions of capital rationing and minimises </w:t>
      </w:r>
      <w:r w:rsidR="00BC24D3">
        <w:rPr>
          <w:rFonts w:ascii="Arial" w:eastAsia="Arial" w:hAnsi="Arial" w:cs="Arial"/>
        </w:rPr>
        <w:t>losses and</w:t>
      </w:r>
      <w:r>
        <w:rPr>
          <w:rFonts w:ascii="Arial" w:eastAsia="Arial" w:hAnsi="Arial" w:cs="Arial"/>
        </w:rPr>
        <w:t xml:space="preserve"> serves the goals of the strategy. Comprehensively, Volkswagen needs to pursue a balanced financial plan that improves profitability, risk management, and long-term growth in an extremely competitive and changing automotive sector.</w:t>
      </w:r>
    </w:p>
    <w:p w14:paraId="7100BF8F" w14:textId="77777777" w:rsidR="006F7CD0" w:rsidRDefault="000E4802">
      <w:pPr>
        <w:spacing w:before="200" w:after="200"/>
        <w:rPr>
          <w:rFonts w:ascii="Arial" w:eastAsia="Arial" w:hAnsi="Arial" w:cs="Arial"/>
        </w:rPr>
      </w:pPr>
      <w:r>
        <w:br w:type="page"/>
      </w:r>
    </w:p>
    <w:p w14:paraId="44C1C0D1" w14:textId="77777777" w:rsidR="006F7CD0" w:rsidRDefault="000E4802">
      <w:pPr>
        <w:pStyle w:val="Heading1"/>
      </w:pPr>
      <w:bookmarkStart w:id="57" w:name="_Toc227719602"/>
      <w:r>
        <w:t>7.0 References</w:t>
      </w:r>
      <w:bookmarkEnd w:id="57"/>
    </w:p>
    <w:p w14:paraId="0C2E8E05" w14:textId="77777777" w:rsidR="00BC24D3" w:rsidRDefault="00BC24D3">
      <w:pPr>
        <w:spacing w:before="200" w:after="200"/>
        <w:rPr>
          <w:rFonts w:ascii="Arial" w:eastAsia="Arial" w:hAnsi="Arial" w:cs="Arial"/>
        </w:rPr>
      </w:pPr>
      <w:proofErr w:type="spellStart"/>
      <w:r>
        <w:rPr>
          <w:rFonts w:ascii="Arial" w:eastAsia="Arial" w:hAnsi="Arial" w:cs="Arial"/>
        </w:rPr>
        <w:t>Awodire</w:t>
      </w:r>
      <w:proofErr w:type="spellEnd"/>
      <w:r>
        <w:rPr>
          <w:rFonts w:ascii="Arial" w:eastAsia="Arial" w:hAnsi="Arial" w:cs="Arial"/>
        </w:rPr>
        <w:t xml:space="preserve">, M., </w:t>
      </w:r>
      <w:proofErr w:type="spellStart"/>
      <w:r>
        <w:rPr>
          <w:rFonts w:ascii="Arial" w:eastAsia="Arial" w:hAnsi="Arial" w:cs="Arial"/>
        </w:rPr>
        <w:t>Agboola</w:t>
      </w:r>
      <w:proofErr w:type="spellEnd"/>
      <w:r>
        <w:rPr>
          <w:rFonts w:ascii="Arial" w:eastAsia="Arial" w:hAnsi="Arial" w:cs="Arial"/>
        </w:rPr>
        <w:t xml:space="preserve">, O., </w:t>
      </w:r>
      <w:proofErr w:type="spellStart"/>
      <w:r>
        <w:rPr>
          <w:rFonts w:ascii="Arial" w:eastAsia="Arial" w:hAnsi="Arial" w:cs="Arial"/>
        </w:rPr>
        <w:t>Ogundojutimi</w:t>
      </w:r>
      <w:proofErr w:type="spellEnd"/>
      <w:r>
        <w:rPr>
          <w:rFonts w:ascii="Arial" w:eastAsia="Arial" w:hAnsi="Arial" w:cs="Arial"/>
        </w:rPr>
        <w:t xml:space="preserve">, O. and </w:t>
      </w:r>
      <w:proofErr w:type="spellStart"/>
      <w:r>
        <w:rPr>
          <w:rFonts w:ascii="Arial" w:eastAsia="Arial" w:hAnsi="Arial" w:cs="Arial"/>
        </w:rPr>
        <w:t>Odumuwagun</w:t>
      </w:r>
      <w:proofErr w:type="spellEnd"/>
      <w:r>
        <w:rPr>
          <w:rFonts w:ascii="Arial" w:eastAsia="Arial" w:hAnsi="Arial" w:cs="Arial"/>
        </w:rPr>
        <w:t xml:space="preserve">, O., 2023. Capital budgeting and financial investment appraisal: A review of archival literature. </w:t>
      </w:r>
      <w:r>
        <w:rPr>
          <w:rFonts w:ascii="Arial" w:eastAsia="Arial" w:hAnsi="Arial" w:cs="Arial"/>
          <w:i/>
          <w:iCs/>
        </w:rPr>
        <w:t>American Journal of Multidisciplinary Research in Africa</w:t>
      </w:r>
      <w:r>
        <w:rPr>
          <w:rFonts w:ascii="Arial" w:eastAsia="Arial" w:hAnsi="Arial" w:cs="Arial"/>
        </w:rPr>
        <w:t xml:space="preserve">, </w:t>
      </w:r>
      <w:r>
        <w:rPr>
          <w:rFonts w:ascii="Arial" w:eastAsia="Arial" w:hAnsi="Arial" w:cs="Arial"/>
          <w:i/>
          <w:iCs/>
        </w:rPr>
        <w:t>3</w:t>
      </w:r>
      <w:r>
        <w:rPr>
          <w:rFonts w:ascii="Arial" w:eastAsia="Arial" w:hAnsi="Arial" w:cs="Arial"/>
        </w:rPr>
        <w:t xml:space="preserve">(10.58314). </w:t>
      </w:r>
      <w:hyperlink r:id="rId16">
        <w:r>
          <w:rPr>
            <w:rFonts w:ascii="Arial" w:eastAsia="Arial" w:hAnsi="Arial" w:cs="Arial"/>
            <w:color w:val="1155CC"/>
            <w:u w:val="single"/>
          </w:rPr>
          <w:t>https://www.academia.edu/download/115377930/Capital_Budgeting_and_Financial_Investme.pdf</w:t>
        </w:r>
      </w:hyperlink>
      <w:r>
        <w:rPr>
          <w:rFonts w:ascii="Arial" w:eastAsia="Arial" w:hAnsi="Arial" w:cs="Arial"/>
        </w:rPr>
        <w:t xml:space="preserve"> </w:t>
      </w:r>
    </w:p>
    <w:p w14:paraId="710B1C52" w14:textId="77777777" w:rsidR="00BC24D3" w:rsidRDefault="00BC24D3">
      <w:pPr>
        <w:spacing w:before="200" w:after="200"/>
        <w:rPr>
          <w:rFonts w:ascii="Arial" w:eastAsia="Arial" w:hAnsi="Arial" w:cs="Arial"/>
        </w:rPr>
      </w:pPr>
      <w:r>
        <w:rPr>
          <w:rFonts w:ascii="Arial" w:eastAsia="Arial" w:hAnsi="Arial" w:cs="Arial"/>
        </w:rPr>
        <w:t xml:space="preserve">Celestin, P., 2024. The Impact of Corporate Bankruptcy Laws on Financial Restructuring and Business Continuity Strategies. </w:t>
      </w:r>
      <w:proofErr w:type="spellStart"/>
      <w:r>
        <w:rPr>
          <w:rFonts w:ascii="Arial" w:eastAsia="Arial" w:hAnsi="Arial" w:cs="Arial"/>
          <w:i/>
          <w:iCs/>
        </w:rPr>
        <w:t>Mbonigaba</w:t>
      </w:r>
      <w:proofErr w:type="spellEnd"/>
      <w:r>
        <w:rPr>
          <w:rFonts w:ascii="Arial" w:eastAsia="Arial" w:hAnsi="Arial" w:cs="Arial"/>
          <w:i/>
          <w:iCs/>
        </w:rPr>
        <w:t>, The Impact Of Corporate Bankruptcy Laws On Financial Restructuring And Business Continuity Strategies (October 30, 2024)</w:t>
      </w:r>
      <w:r>
        <w:rPr>
          <w:rFonts w:ascii="Arial" w:eastAsia="Arial" w:hAnsi="Arial" w:cs="Arial"/>
        </w:rPr>
        <w:t xml:space="preserve">. </w:t>
      </w:r>
      <w:hyperlink r:id="rId17">
        <w:r>
          <w:rPr>
            <w:rFonts w:ascii="Arial" w:eastAsia="Arial" w:hAnsi="Arial" w:cs="Arial"/>
            <w:color w:val="1155CC"/>
            <w:u w:val="single"/>
          </w:rPr>
          <w:t>https://papers.ssrn.com/sol3/Delivery.cfm?abstractid=5188095</w:t>
        </w:r>
      </w:hyperlink>
      <w:r>
        <w:rPr>
          <w:rFonts w:ascii="Arial" w:eastAsia="Arial" w:hAnsi="Arial" w:cs="Arial"/>
        </w:rPr>
        <w:t xml:space="preserve"> </w:t>
      </w:r>
    </w:p>
    <w:p w14:paraId="524A7312" w14:textId="77777777" w:rsidR="00BC24D3" w:rsidRDefault="00BC24D3">
      <w:pPr>
        <w:spacing w:before="200" w:after="200"/>
        <w:rPr>
          <w:rFonts w:ascii="Arial" w:eastAsia="Arial" w:hAnsi="Arial" w:cs="Arial"/>
          <w:sz w:val="28"/>
          <w:szCs w:val="28"/>
        </w:rPr>
      </w:pPr>
      <w:proofErr w:type="spellStart"/>
      <w:r>
        <w:rPr>
          <w:rFonts w:ascii="Arial" w:eastAsia="Arial" w:hAnsi="Arial" w:cs="Arial"/>
        </w:rPr>
        <w:t>Hasidi</w:t>
      </w:r>
      <w:proofErr w:type="spellEnd"/>
      <w:r>
        <w:rPr>
          <w:rFonts w:ascii="Arial" w:eastAsia="Arial" w:hAnsi="Arial" w:cs="Arial"/>
        </w:rPr>
        <w:t xml:space="preserve">, M.H., </w:t>
      </w:r>
      <w:proofErr w:type="spellStart"/>
      <w:r>
        <w:rPr>
          <w:rFonts w:ascii="Arial" w:eastAsia="Arial" w:hAnsi="Arial" w:cs="Arial"/>
        </w:rPr>
        <w:t>Baheri</w:t>
      </w:r>
      <w:proofErr w:type="spellEnd"/>
      <w:r>
        <w:rPr>
          <w:rFonts w:ascii="Arial" w:eastAsia="Arial" w:hAnsi="Arial" w:cs="Arial"/>
        </w:rPr>
        <w:t xml:space="preserve">, J. and </w:t>
      </w:r>
      <w:proofErr w:type="spellStart"/>
      <w:r>
        <w:rPr>
          <w:rFonts w:ascii="Arial" w:eastAsia="Arial" w:hAnsi="Arial" w:cs="Arial"/>
        </w:rPr>
        <w:t>Hajar</w:t>
      </w:r>
      <w:proofErr w:type="spellEnd"/>
      <w:r>
        <w:rPr>
          <w:rFonts w:ascii="Arial" w:eastAsia="Arial" w:hAnsi="Arial" w:cs="Arial"/>
        </w:rPr>
        <w:t xml:space="preserve">, K.I., 2024. Financial performance evaluation using profitability and liquidity ratio analysis. </w:t>
      </w:r>
      <w:proofErr w:type="spellStart"/>
      <w:r>
        <w:rPr>
          <w:rFonts w:ascii="Arial" w:eastAsia="Arial" w:hAnsi="Arial" w:cs="Arial"/>
          <w:i/>
          <w:iCs/>
        </w:rPr>
        <w:t>Jurnal</w:t>
      </w:r>
      <w:proofErr w:type="spellEnd"/>
      <w:r>
        <w:rPr>
          <w:rFonts w:ascii="Arial" w:eastAsia="Arial" w:hAnsi="Arial" w:cs="Arial"/>
          <w:i/>
          <w:iCs/>
        </w:rPr>
        <w:t xml:space="preserve"> </w:t>
      </w:r>
      <w:proofErr w:type="spellStart"/>
      <w:r>
        <w:rPr>
          <w:rFonts w:ascii="Arial" w:eastAsia="Arial" w:hAnsi="Arial" w:cs="Arial"/>
          <w:i/>
          <w:iCs/>
        </w:rPr>
        <w:t>Ilmiah</w:t>
      </w:r>
      <w:proofErr w:type="spellEnd"/>
      <w:r>
        <w:rPr>
          <w:rFonts w:ascii="Arial" w:eastAsia="Arial" w:hAnsi="Arial" w:cs="Arial"/>
          <w:i/>
          <w:iCs/>
        </w:rPr>
        <w:t xml:space="preserve"> </w:t>
      </w:r>
      <w:proofErr w:type="spellStart"/>
      <w:r>
        <w:rPr>
          <w:rFonts w:ascii="Arial" w:eastAsia="Arial" w:hAnsi="Arial" w:cs="Arial"/>
          <w:i/>
          <w:iCs/>
        </w:rPr>
        <w:t>Manajemen</w:t>
      </w:r>
      <w:proofErr w:type="spellEnd"/>
      <w:r>
        <w:rPr>
          <w:rFonts w:ascii="Arial" w:eastAsia="Arial" w:hAnsi="Arial" w:cs="Arial"/>
          <w:i/>
          <w:iCs/>
        </w:rPr>
        <w:t xml:space="preserve"> </w:t>
      </w:r>
      <w:proofErr w:type="spellStart"/>
      <w:r>
        <w:rPr>
          <w:rFonts w:ascii="Arial" w:eastAsia="Arial" w:hAnsi="Arial" w:cs="Arial"/>
          <w:i/>
          <w:iCs/>
        </w:rPr>
        <w:t>Kesatuan</w:t>
      </w:r>
      <w:proofErr w:type="spellEnd"/>
      <w:r>
        <w:rPr>
          <w:rFonts w:ascii="Arial" w:eastAsia="Arial" w:hAnsi="Arial" w:cs="Arial"/>
        </w:rPr>
        <w:t xml:space="preserve">, </w:t>
      </w:r>
      <w:r>
        <w:rPr>
          <w:rFonts w:ascii="Arial" w:eastAsia="Arial" w:hAnsi="Arial" w:cs="Arial"/>
          <w:i/>
          <w:iCs/>
        </w:rPr>
        <w:t>12</w:t>
      </w:r>
      <w:r>
        <w:rPr>
          <w:rFonts w:ascii="Arial" w:eastAsia="Arial" w:hAnsi="Arial" w:cs="Arial"/>
        </w:rPr>
        <w:t xml:space="preserve">(4), pp.1347-1358. </w:t>
      </w:r>
      <w:hyperlink r:id="rId18">
        <w:r>
          <w:rPr>
            <w:rFonts w:ascii="Arial" w:eastAsia="Arial" w:hAnsi="Arial" w:cs="Arial"/>
            <w:color w:val="1155CC"/>
            <w:u w:val="single"/>
          </w:rPr>
          <w:t>https://jurnal.ibik.ac.id/index.php/jimkes/article/download/2742/1966</w:t>
        </w:r>
      </w:hyperlink>
      <w:r>
        <w:rPr>
          <w:rFonts w:ascii="Arial" w:eastAsia="Arial" w:hAnsi="Arial" w:cs="Arial"/>
        </w:rPr>
        <w:t xml:space="preserve"> </w:t>
      </w:r>
    </w:p>
    <w:p w14:paraId="0D2D47FE" w14:textId="77777777" w:rsidR="00BC24D3" w:rsidRDefault="00BC24D3">
      <w:pPr>
        <w:spacing w:before="200" w:after="200"/>
        <w:rPr>
          <w:rFonts w:ascii="Arial" w:eastAsia="Arial" w:hAnsi="Arial" w:cs="Arial"/>
        </w:rPr>
      </w:pPr>
      <w:r>
        <w:rPr>
          <w:rFonts w:ascii="Arial" w:eastAsia="Arial" w:hAnsi="Arial" w:cs="Arial"/>
        </w:rPr>
        <w:t xml:space="preserve">International Energy Agency (IEA). 2024. </w:t>
      </w:r>
      <w:r>
        <w:rPr>
          <w:rFonts w:ascii="Arial" w:eastAsia="Arial" w:hAnsi="Arial" w:cs="Arial"/>
          <w:i/>
          <w:iCs/>
        </w:rPr>
        <w:t>Global EV Outlook 2024</w:t>
      </w:r>
      <w:r>
        <w:rPr>
          <w:rFonts w:ascii="Arial" w:eastAsia="Arial" w:hAnsi="Arial" w:cs="Arial"/>
        </w:rPr>
        <w:t xml:space="preserve">. Paris: IEA. Available at: </w:t>
      </w:r>
      <w:hyperlink r:id="rId19">
        <w:r>
          <w:rPr>
            <w:rFonts w:ascii="Arial" w:eastAsia="Arial" w:hAnsi="Arial" w:cs="Arial"/>
            <w:color w:val="1155CC"/>
            <w:u w:val="single"/>
          </w:rPr>
          <w:t>https://www.iea.org/reports/global-ev-outlook-2024</w:t>
        </w:r>
      </w:hyperlink>
      <w:r>
        <w:rPr>
          <w:rFonts w:ascii="Arial" w:eastAsia="Arial" w:hAnsi="Arial" w:cs="Arial"/>
        </w:rPr>
        <w:t xml:space="preserve"> [Accessed 14th April 2026]</w:t>
      </w:r>
    </w:p>
    <w:p w14:paraId="1D2F9592" w14:textId="77777777" w:rsidR="00BC24D3" w:rsidRDefault="00BC24D3">
      <w:pPr>
        <w:spacing w:before="200" w:after="200"/>
        <w:rPr>
          <w:rFonts w:ascii="Arial" w:eastAsia="Arial" w:hAnsi="Arial" w:cs="Arial"/>
        </w:rPr>
      </w:pPr>
      <w:r>
        <w:rPr>
          <w:rFonts w:ascii="Arial" w:eastAsia="Arial" w:hAnsi="Arial" w:cs="Arial"/>
        </w:rPr>
        <w:t xml:space="preserve">Karim, R., </w:t>
      </w:r>
      <w:proofErr w:type="spellStart"/>
      <w:r>
        <w:rPr>
          <w:rFonts w:ascii="Arial" w:eastAsia="Arial" w:hAnsi="Arial" w:cs="Arial"/>
        </w:rPr>
        <w:t>Mamun</w:t>
      </w:r>
      <w:proofErr w:type="spellEnd"/>
      <w:r>
        <w:rPr>
          <w:rFonts w:ascii="Arial" w:eastAsia="Arial" w:hAnsi="Arial" w:cs="Arial"/>
        </w:rPr>
        <w:t xml:space="preserve">, M.A.A. and </w:t>
      </w:r>
      <w:proofErr w:type="spellStart"/>
      <w:r>
        <w:rPr>
          <w:rFonts w:ascii="Arial" w:eastAsia="Arial" w:hAnsi="Arial" w:cs="Arial"/>
        </w:rPr>
        <w:t>Kamruzzaman</w:t>
      </w:r>
      <w:proofErr w:type="spellEnd"/>
      <w:r>
        <w:rPr>
          <w:rFonts w:ascii="Arial" w:eastAsia="Arial" w:hAnsi="Arial" w:cs="Arial"/>
        </w:rPr>
        <w:t xml:space="preserve">, A.S.M., 2024. Cash conversion cycle and financial performance: evidence from manufacturing firms of Bangladesh. </w:t>
      </w:r>
      <w:r>
        <w:rPr>
          <w:rFonts w:ascii="Arial" w:eastAsia="Arial" w:hAnsi="Arial" w:cs="Arial"/>
          <w:i/>
          <w:iCs/>
        </w:rPr>
        <w:t>Asian Journal of Economics and Banking</w:t>
      </w:r>
      <w:r>
        <w:rPr>
          <w:rFonts w:ascii="Arial" w:eastAsia="Arial" w:hAnsi="Arial" w:cs="Arial"/>
        </w:rPr>
        <w:t xml:space="preserve">, </w:t>
      </w:r>
      <w:r>
        <w:rPr>
          <w:rFonts w:ascii="Arial" w:eastAsia="Arial" w:hAnsi="Arial" w:cs="Arial"/>
          <w:i/>
          <w:iCs/>
        </w:rPr>
        <w:t>8</w:t>
      </w:r>
      <w:r>
        <w:rPr>
          <w:rFonts w:ascii="Arial" w:eastAsia="Arial" w:hAnsi="Arial" w:cs="Arial"/>
        </w:rPr>
        <w:t xml:space="preserve">(1), pp.67-82. </w:t>
      </w:r>
      <w:hyperlink r:id="rId20">
        <w:r>
          <w:rPr>
            <w:rFonts w:ascii="Arial" w:eastAsia="Arial" w:hAnsi="Arial" w:cs="Arial"/>
            <w:color w:val="1155CC"/>
            <w:u w:val="single"/>
          </w:rPr>
          <w:t>https://www.academia.edu/download/106769993/cash-conversion-cycle-and-firms-performance.pdf</w:t>
        </w:r>
      </w:hyperlink>
      <w:r>
        <w:rPr>
          <w:rFonts w:ascii="Arial" w:eastAsia="Arial" w:hAnsi="Arial" w:cs="Arial"/>
        </w:rPr>
        <w:t xml:space="preserve"> </w:t>
      </w:r>
    </w:p>
    <w:p w14:paraId="4589C1A7" w14:textId="77777777" w:rsidR="00BC24D3" w:rsidRDefault="00BC24D3">
      <w:pPr>
        <w:spacing w:before="200" w:after="200"/>
        <w:rPr>
          <w:rFonts w:ascii="Arial" w:eastAsia="Arial" w:hAnsi="Arial" w:cs="Arial"/>
        </w:rPr>
      </w:pPr>
      <w:proofErr w:type="spellStart"/>
      <w:r>
        <w:rPr>
          <w:rFonts w:ascii="Arial" w:eastAsia="Arial" w:hAnsi="Arial" w:cs="Arial"/>
        </w:rPr>
        <w:t>Majka</w:t>
      </w:r>
      <w:proofErr w:type="spellEnd"/>
      <w:r>
        <w:rPr>
          <w:rFonts w:ascii="Arial" w:eastAsia="Arial" w:hAnsi="Arial" w:cs="Arial"/>
        </w:rPr>
        <w:t xml:space="preserve">, M., 2024. Understanding Efficiency Ratios. </w:t>
      </w:r>
      <w:hyperlink r:id="rId21">
        <w:r>
          <w:rPr>
            <w:rFonts w:ascii="Arial" w:eastAsia="Arial" w:hAnsi="Arial" w:cs="Arial"/>
            <w:color w:val="1155CC"/>
            <w:u w:val="single"/>
          </w:rPr>
          <w:t>https://www.researchgate.net/profile/Marcin-Majka-2/publication/381402363_Understanding_Efficiency_Ratios/links/666b64b9de777205a32c2aa5/Understanding-Efficiency-Ratios.pdf</w:t>
        </w:r>
      </w:hyperlink>
      <w:r>
        <w:rPr>
          <w:rFonts w:ascii="Arial" w:eastAsia="Arial" w:hAnsi="Arial" w:cs="Arial"/>
        </w:rPr>
        <w:t xml:space="preserve"> </w:t>
      </w:r>
    </w:p>
    <w:p w14:paraId="50D705AC" w14:textId="77777777" w:rsidR="00BC24D3" w:rsidRDefault="00BC24D3">
      <w:pPr>
        <w:spacing w:before="200" w:after="200"/>
        <w:rPr>
          <w:rFonts w:ascii="Arial" w:eastAsia="Arial" w:hAnsi="Arial" w:cs="Arial"/>
        </w:rPr>
      </w:pPr>
      <w:proofErr w:type="spellStart"/>
      <w:r>
        <w:rPr>
          <w:rFonts w:ascii="Arial" w:eastAsia="Arial" w:hAnsi="Arial" w:cs="Arial"/>
        </w:rPr>
        <w:t>Nasution</w:t>
      </w:r>
      <w:proofErr w:type="spellEnd"/>
      <w:r>
        <w:rPr>
          <w:rFonts w:ascii="Arial" w:eastAsia="Arial" w:hAnsi="Arial" w:cs="Arial"/>
        </w:rPr>
        <w:t xml:space="preserve">, Y.A. and </w:t>
      </w:r>
      <w:proofErr w:type="spellStart"/>
      <w:r>
        <w:rPr>
          <w:rFonts w:ascii="Arial" w:eastAsia="Arial" w:hAnsi="Arial" w:cs="Arial"/>
        </w:rPr>
        <w:t>Yusleny</w:t>
      </w:r>
      <w:proofErr w:type="spellEnd"/>
      <w:r>
        <w:rPr>
          <w:rFonts w:ascii="Arial" w:eastAsia="Arial" w:hAnsi="Arial" w:cs="Arial"/>
        </w:rPr>
        <w:t xml:space="preserve">, Y., 2023, February. Financial Performance Measurement Using Profitability Ratios And Liquidity Ratios. In </w:t>
      </w:r>
      <w:r>
        <w:rPr>
          <w:rFonts w:ascii="Arial" w:eastAsia="Arial" w:hAnsi="Arial" w:cs="Arial"/>
          <w:i/>
          <w:iCs/>
        </w:rPr>
        <w:t>Proceeding Medan International Conference on Economic and Business</w:t>
      </w:r>
      <w:r>
        <w:rPr>
          <w:rFonts w:ascii="Arial" w:eastAsia="Arial" w:hAnsi="Arial" w:cs="Arial"/>
        </w:rPr>
        <w:t xml:space="preserve"> (Vol. 1, pp. 1730-1741). </w:t>
      </w:r>
      <w:hyperlink r:id="rId22">
        <w:r>
          <w:rPr>
            <w:rFonts w:ascii="Arial" w:eastAsia="Arial" w:hAnsi="Arial" w:cs="Arial"/>
            <w:color w:val="1155CC"/>
            <w:u w:val="single"/>
          </w:rPr>
          <w:t>https://proceeding.umsu.ac.id/index.php/Miceb/article/download/282/303</w:t>
        </w:r>
      </w:hyperlink>
      <w:r>
        <w:rPr>
          <w:rFonts w:ascii="Arial" w:eastAsia="Arial" w:hAnsi="Arial" w:cs="Arial"/>
        </w:rPr>
        <w:t xml:space="preserve"> </w:t>
      </w:r>
    </w:p>
    <w:p w14:paraId="640187CD" w14:textId="77777777" w:rsidR="00BC24D3" w:rsidRDefault="00BC24D3">
      <w:pPr>
        <w:spacing w:before="200" w:after="200"/>
        <w:rPr>
          <w:rFonts w:ascii="Arial" w:eastAsia="Arial" w:hAnsi="Arial" w:cs="Arial"/>
        </w:rPr>
      </w:pPr>
      <w:proofErr w:type="spellStart"/>
      <w:r>
        <w:rPr>
          <w:rFonts w:ascii="Arial" w:eastAsia="Arial" w:hAnsi="Arial" w:cs="Arial"/>
        </w:rPr>
        <w:t>Oranefo</w:t>
      </w:r>
      <w:proofErr w:type="spellEnd"/>
      <w:r>
        <w:rPr>
          <w:rFonts w:ascii="Arial" w:eastAsia="Arial" w:hAnsi="Arial" w:cs="Arial"/>
        </w:rPr>
        <w:t xml:space="preserve">, P.C. and </w:t>
      </w:r>
      <w:proofErr w:type="spellStart"/>
      <w:r>
        <w:rPr>
          <w:rFonts w:ascii="Arial" w:eastAsia="Arial" w:hAnsi="Arial" w:cs="Arial"/>
        </w:rPr>
        <w:t>Egbunike</w:t>
      </w:r>
      <w:proofErr w:type="spellEnd"/>
      <w:r>
        <w:rPr>
          <w:rFonts w:ascii="Arial" w:eastAsia="Arial" w:hAnsi="Arial" w:cs="Arial"/>
        </w:rPr>
        <w:t xml:space="preserve">, C.F., 2023. Gearing ratio and operating cash flow performance of quoted manufacturing firms in Nigeria. </w:t>
      </w:r>
      <w:r>
        <w:rPr>
          <w:rFonts w:ascii="Arial" w:eastAsia="Arial" w:hAnsi="Arial" w:cs="Arial"/>
          <w:i/>
          <w:iCs/>
        </w:rPr>
        <w:t>International Journal of Financial, Accounting, and Management</w:t>
      </w:r>
      <w:r>
        <w:rPr>
          <w:rFonts w:ascii="Arial" w:eastAsia="Arial" w:hAnsi="Arial" w:cs="Arial"/>
        </w:rPr>
        <w:t xml:space="preserve">, </w:t>
      </w:r>
      <w:r>
        <w:rPr>
          <w:rFonts w:ascii="Arial" w:eastAsia="Arial" w:hAnsi="Arial" w:cs="Arial"/>
          <w:i/>
          <w:iCs/>
        </w:rPr>
        <w:t>4</w:t>
      </w:r>
      <w:r>
        <w:rPr>
          <w:rFonts w:ascii="Arial" w:eastAsia="Arial" w:hAnsi="Arial" w:cs="Arial"/>
        </w:rPr>
        <w:t xml:space="preserve">(4), pp.395-410. </w:t>
      </w:r>
      <w:hyperlink r:id="rId23">
        <w:r>
          <w:rPr>
            <w:rFonts w:ascii="Arial" w:eastAsia="Arial" w:hAnsi="Arial" w:cs="Arial"/>
            <w:color w:val="1155CC"/>
            <w:u w:val="single"/>
          </w:rPr>
          <w:t>https://www.neliti.com/publications/620973/gearing-ratio-and-operating-cash-flow-performance-of-quoted-manufacturing-firms</w:t>
        </w:r>
      </w:hyperlink>
      <w:r>
        <w:rPr>
          <w:rFonts w:ascii="Arial" w:eastAsia="Arial" w:hAnsi="Arial" w:cs="Arial"/>
        </w:rPr>
        <w:t xml:space="preserve"> </w:t>
      </w:r>
    </w:p>
    <w:p w14:paraId="29C3A807" w14:textId="77777777" w:rsidR="00BC24D3" w:rsidRDefault="00BC24D3">
      <w:pPr>
        <w:spacing w:before="200" w:after="200"/>
        <w:rPr>
          <w:rFonts w:ascii="Arial" w:eastAsia="Arial" w:hAnsi="Arial" w:cs="Arial"/>
        </w:rPr>
      </w:pPr>
      <w:proofErr w:type="spellStart"/>
      <w:r>
        <w:rPr>
          <w:rFonts w:ascii="Arial" w:eastAsia="Arial" w:hAnsi="Arial" w:cs="Arial"/>
        </w:rPr>
        <w:t>Putri</w:t>
      </w:r>
      <w:proofErr w:type="spellEnd"/>
      <w:r>
        <w:rPr>
          <w:rFonts w:ascii="Arial" w:eastAsia="Arial" w:hAnsi="Arial" w:cs="Arial"/>
        </w:rPr>
        <w:t xml:space="preserve">, A.M., </w:t>
      </w:r>
      <w:proofErr w:type="spellStart"/>
      <w:r>
        <w:rPr>
          <w:rFonts w:ascii="Arial" w:eastAsia="Arial" w:hAnsi="Arial" w:cs="Arial"/>
        </w:rPr>
        <w:t>Permadi</w:t>
      </w:r>
      <w:proofErr w:type="spellEnd"/>
      <w:r>
        <w:rPr>
          <w:rFonts w:ascii="Arial" w:eastAsia="Arial" w:hAnsi="Arial" w:cs="Arial"/>
        </w:rPr>
        <w:t xml:space="preserve">, M.A. and </w:t>
      </w:r>
      <w:proofErr w:type="spellStart"/>
      <w:r>
        <w:rPr>
          <w:rFonts w:ascii="Arial" w:eastAsia="Arial" w:hAnsi="Arial" w:cs="Arial"/>
        </w:rPr>
        <w:t>Mukhtaruddin</w:t>
      </w:r>
      <w:proofErr w:type="spellEnd"/>
      <w:r>
        <w:rPr>
          <w:rFonts w:ascii="Arial" w:eastAsia="Arial" w:hAnsi="Arial" w:cs="Arial"/>
        </w:rPr>
        <w:t xml:space="preserve">, M., 2026. The Influence of Risk Perception, Project Uncertainty, and Investment Appraisal Techniques on Capital Budgeting Decisions: A Systematic Literature Review. </w:t>
      </w:r>
      <w:r>
        <w:rPr>
          <w:rFonts w:ascii="Arial" w:eastAsia="Arial" w:hAnsi="Arial" w:cs="Arial"/>
          <w:i/>
          <w:iCs/>
        </w:rPr>
        <w:t>Indonesian Interdisciplinary Journal of Sharia Economics (IIJSE)</w:t>
      </w:r>
      <w:r>
        <w:rPr>
          <w:rFonts w:ascii="Arial" w:eastAsia="Arial" w:hAnsi="Arial" w:cs="Arial"/>
        </w:rPr>
        <w:t xml:space="preserve">, </w:t>
      </w:r>
      <w:r>
        <w:rPr>
          <w:rFonts w:ascii="Arial" w:eastAsia="Arial" w:hAnsi="Arial" w:cs="Arial"/>
          <w:i/>
          <w:iCs/>
        </w:rPr>
        <w:t>9</w:t>
      </w:r>
      <w:r>
        <w:rPr>
          <w:rFonts w:ascii="Arial" w:eastAsia="Arial" w:hAnsi="Arial" w:cs="Arial"/>
        </w:rPr>
        <w:t xml:space="preserve">(1), pp.1450-1461. </w:t>
      </w:r>
      <w:hyperlink r:id="rId24">
        <w:r>
          <w:rPr>
            <w:rFonts w:ascii="Arial" w:eastAsia="Arial" w:hAnsi="Arial" w:cs="Arial"/>
            <w:color w:val="1155CC"/>
            <w:u w:val="single"/>
          </w:rPr>
          <w:t>https://e-journal.uac.ac.id/index.php/iijse/article/download/8824/3590</w:t>
        </w:r>
      </w:hyperlink>
      <w:r>
        <w:rPr>
          <w:rFonts w:ascii="Arial" w:eastAsia="Arial" w:hAnsi="Arial" w:cs="Arial"/>
        </w:rPr>
        <w:t xml:space="preserve"> </w:t>
      </w:r>
    </w:p>
    <w:p w14:paraId="5211E53D" w14:textId="77777777" w:rsidR="00BC24D3" w:rsidRDefault="00BC24D3">
      <w:pPr>
        <w:spacing w:before="200" w:after="200"/>
        <w:rPr>
          <w:rFonts w:ascii="Arial" w:eastAsia="Arial" w:hAnsi="Arial" w:cs="Arial"/>
        </w:rPr>
      </w:pPr>
      <w:r>
        <w:rPr>
          <w:rFonts w:ascii="Arial" w:eastAsia="Arial" w:hAnsi="Arial" w:cs="Arial"/>
        </w:rPr>
        <w:t xml:space="preserve">Sarah, M. and </w:t>
      </w:r>
      <w:proofErr w:type="spellStart"/>
      <w:r>
        <w:rPr>
          <w:rFonts w:ascii="Arial" w:eastAsia="Arial" w:hAnsi="Arial" w:cs="Arial"/>
        </w:rPr>
        <w:t>Athanase</w:t>
      </w:r>
      <w:proofErr w:type="spellEnd"/>
      <w:r>
        <w:rPr>
          <w:rFonts w:ascii="Arial" w:eastAsia="Arial" w:hAnsi="Arial" w:cs="Arial"/>
        </w:rPr>
        <w:t xml:space="preserve">, O.K., 2023. Financial Ratio Analysis and Investment Decision Makings in Listed Companies in Rwanda; A Case Study of Listed Companies. </w:t>
      </w:r>
      <w:r>
        <w:rPr>
          <w:rFonts w:ascii="Arial" w:eastAsia="Arial" w:hAnsi="Arial" w:cs="Arial"/>
          <w:i/>
          <w:iCs/>
        </w:rPr>
        <w:t>Journal of Finance and Accounting</w:t>
      </w:r>
      <w:r>
        <w:rPr>
          <w:rFonts w:ascii="Arial" w:eastAsia="Arial" w:hAnsi="Arial" w:cs="Arial"/>
        </w:rPr>
        <w:t xml:space="preserve">, </w:t>
      </w:r>
      <w:r>
        <w:rPr>
          <w:rFonts w:ascii="Arial" w:eastAsia="Arial" w:hAnsi="Arial" w:cs="Arial"/>
          <w:i/>
          <w:iCs/>
        </w:rPr>
        <w:t>7</w:t>
      </w:r>
      <w:r>
        <w:rPr>
          <w:rFonts w:ascii="Arial" w:eastAsia="Arial" w:hAnsi="Arial" w:cs="Arial"/>
        </w:rPr>
        <w:t xml:space="preserve">(11), pp.218-244. </w:t>
      </w:r>
      <w:hyperlink r:id="rId25">
        <w:r>
          <w:rPr>
            <w:rFonts w:ascii="Arial" w:eastAsia="Arial" w:hAnsi="Arial" w:cs="Arial"/>
            <w:color w:val="1155CC"/>
            <w:u w:val="single"/>
          </w:rPr>
          <w:t>https://stratfordjournalpublishers.org/journals/index.php/journal-of-accounting/article/download/1996/2554</w:t>
        </w:r>
      </w:hyperlink>
      <w:r>
        <w:rPr>
          <w:rFonts w:ascii="Arial" w:eastAsia="Arial" w:hAnsi="Arial" w:cs="Arial"/>
        </w:rPr>
        <w:t xml:space="preserve"> </w:t>
      </w:r>
    </w:p>
    <w:p w14:paraId="1394470E" w14:textId="77777777" w:rsidR="00BC24D3" w:rsidRDefault="00BC24D3">
      <w:pPr>
        <w:spacing w:before="200" w:after="200"/>
        <w:rPr>
          <w:rFonts w:ascii="Arial" w:eastAsia="Arial" w:hAnsi="Arial" w:cs="Arial"/>
        </w:rPr>
      </w:pPr>
      <w:proofErr w:type="spellStart"/>
      <w:r>
        <w:rPr>
          <w:rFonts w:ascii="Arial" w:eastAsia="Arial" w:hAnsi="Arial" w:cs="Arial"/>
        </w:rPr>
        <w:t>Seretidou</w:t>
      </w:r>
      <w:proofErr w:type="spellEnd"/>
      <w:r>
        <w:rPr>
          <w:rFonts w:ascii="Arial" w:eastAsia="Arial" w:hAnsi="Arial" w:cs="Arial"/>
        </w:rPr>
        <w:t xml:space="preserve">, D., </w:t>
      </w:r>
      <w:proofErr w:type="spellStart"/>
      <w:r>
        <w:rPr>
          <w:rFonts w:ascii="Arial" w:eastAsia="Arial" w:hAnsi="Arial" w:cs="Arial"/>
        </w:rPr>
        <w:t>Billios</w:t>
      </w:r>
      <w:proofErr w:type="spellEnd"/>
      <w:r>
        <w:rPr>
          <w:rFonts w:ascii="Arial" w:eastAsia="Arial" w:hAnsi="Arial" w:cs="Arial"/>
        </w:rPr>
        <w:t xml:space="preserve">, D. and Stavropoulos, A., 2025. Integrative analysis of traditional and cash flow financial ratios: Insights from a systematic comparative review. </w:t>
      </w:r>
      <w:r>
        <w:rPr>
          <w:rFonts w:ascii="Arial" w:eastAsia="Arial" w:hAnsi="Arial" w:cs="Arial"/>
          <w:i/>
          <w:iCs/>
        </w:rPr>
        <w:t>Risks</w:t>
      </w:r>
      <w:r>
        <w:rPr>
          <w:rFonts w:ascii="Arial" w:eastAsia="Arial" w:hAnsi="Arial" w:cs="Arial"/>
        </w:rPr>
        <w:t xml:space="preserve">, </w:t>
      </w:r>
      <w:r>
        <w:rPr>
          <w:rFonts w:ascii="Arial" w:eastAsia="Arial" w:hAnsi="Arial" w:cs="Arial"/>
          <w:i/>
          <w:iCs/>
        </w:rPr>
        <w:t>13</w:t>
      </w:r>
      <w:r>
        <w:rPr>
          <w:rFonts w:ascii="Arial" w:eastAsia="Arial" w:hAnsi="Arial" w:cs="Arial"/>
        </w:rPr>
        <w:t>(4), p.62. https://www.mdpi.com/2227-9091/13/4/62</w:t>
      </w:r>
    </w:p>
    <w:p w14:paraId="30014FE6" w14:textId="77777777" w:rsidR="00BC24D3" w:rsidRDefault="00BC24D3">
      <w:pPr>
        <w:spacing w:before="200" w:after="200"/>
      </w:pPr>
      <w:r>
        <w:rPr>
          <w:rFonts w:ascii="Arial" w:eastAsia="Arial" w:hAnsi="Arial" w:cs="Arial"/>
        </w:rPr>
        <w:t xml:space="preserve">Volkswagen. 2020. </w:t>
      </w:r>
      <w:r>
        <w:rPr>
          <w:rFonts w:ascii="Arial" w:eastAsia="Arial" w:hAnsi="Arial" w:cs="Arial"/>
          <w:i/>
          <w:iCs/>
        </w:rPr>
        <w:t xml:space="preserve">Volkswagen's annual report for 2020.  </w:t>
      </w:r>
      <w:r>
        <w:rPr>
          <w:rFonts w:ascii="Arial" w:eastAsia="Arial" w:hAnsi="Arial" w:cs="Arial"/>
        </w:rPr>
        <w:t xml:space="preserve">Available at: </w:t>
      </w:r>
      <w:hyperlink r:id="rId26">
        <w:r>
          <w:rPr>
            <w:rFonts w:ascii="Arial" w:eastAsia="Arial" w:hAnsi="Arial" w:cs="Arial"/>
            <w:color w:val="1155CC"/>
            <w:u w:val="single"/>
          </w:rPr>
          <w:t>https://www.annualreports.com/HostedData/AnnualReportArchive/v/OTC_VWAGY_2020.pdf</w:t>
        </w:r>
      </w:hyperlink>
      <w:r>
        <w:rPr>
          <w:rFonts w:ascii="Arial" w:eastAsia="Arial" w:hAnsi="Arial" w:cs="Arial"/>
        </w:rPr>
        <w:t xml:space="preserve"> [Accessed 21st April 2026]</w:t>
      </w:r>
    </w:p>
    <w:p w14:paraId="732B3AC6" w14:textId="518D2CED" w:rsidR="00BC24D3" w:rsidRDefault="00BC24D3">
      <w:pPr>
        <w:spacing w:before="200" w:after="200"/>
        <w:rPr>
          <w:rFonts w:ascii="Arial" w:eastAsia="Arial" w:hAnsi="Arial" w:cs="Arial"/>
        </w:rPr>
      </w:pPr>
      <w:r>
        <w:rPr>
          <w:rFonts w:ascii="Arial" w:eastAsia="Arial" w:hAnsi="Arial" w:cs="Arial"/>
        </w:rPr>
        <w:t xml:space="preserve">Volkswagen. 2022. </w:t>
      </w:r>
      <w:r>
        <w:rPr>
          <w:rFonts w:ascii="Arial" w:eastAsia="Arial" w:hAnsi="Arial" w:cs="Arial"/>
          <w:i/>
          <w:iCs/>
        </w:rPr>
        <w:t xml:space="preserve">Volkswagen's annual report for 2022. </w:t>
      </w:r>
      <w:r>
        <w:rPr>
          <w:rFonts w:ascii="Arial" w:eastAsia="Arial" w:hAnsi="Arial" w:cs="Arial"/>
        </w:rPr>
        <w:t xml:space="preserve">Available at: </w:t>
      </w:r>
      <w:hyperlink r:id="rId27">
        <w:r>
          <w:rPr>
            <w:rFonts w:ascii="Arial" w:eastAsia="Arial" w:hAnsi="Arial" w:cs="Arial"/>
            <w:color w:val="1155CC"/>
            <w:u w:val="single"/>
          </w:rPr>
          <w:t>https://www.annualreports.com/HostedData/AnnualReportArchive/v/OTC_VWAGY_2022.pdf</w:t>
        </w:r>
      </w:hyperlink>
      <w:r>
        <w:rPr>
          <w:rFonts w:ascii="Arial" w:eastAsia="Arial" w:hAnsi="Arial" w:cs="Arial"/>
        </w:rPr>
        <w:t xml:space="preserve"> [Accessed 21st April 2026]</w:t>
      </w:r>
    </w:p>
    <w:p w14:paraId="5C7AB7B0" w14:textId="77777777" w:rsidR="00BC24D3" w:rsidRDefault="00BC24D3">
      <w:pPr>
        <w:spacing w:before="200" w:after="200"/>
        <w:rPr>
          <w:rFonts w:ascii="Arial" w:eastAsia="Arial" w:hAnsi="Arial" w:cs="Arial"/>
        </w:rPr>
      </w:pPr>
      <w:r>
        <w:rPr>
          <w:rFonts w:ascii="Arial" w:eastAsia="Arial" w:hAnsi="Arial" w:cs="Arial"/>
        </w:rPr>
        <w:t xml:space="preserve">Volkswagen. 2024. </w:t>
      </w:r>
      <w:r>
        <w:rPr>
          <w:rFonts w:ascii="Arial" w:eastAsia="Arial" w:hAnsi="Arial" w:cs="Arial"/>
          <w:i/>
          <w:iCs/>
        </w:rPr>
        <w:t xml:space="preserve">Volkswagen's annual report for 2024. </w:t>
      </w:r>
      <w:r>
        <w:rPr>
          <w:rFonts w:ascii="Arial" w:eastAsia="Arial" w:hAnsi="Arial" w:cs="Arial"/>
        </w:rPr>
        <w:t xml:space="preserve">Available at: </w:t>
      </w:r>
      <w:hyperlink r:id="rId28">
        <w:r>
          <w:rPr>
            <w:rFonts w:ascii="Arial" w:eastAsia="Arial" w:hAnsi="Arial" w:cs="Arial"/>
            <w:color w:val="1155CC"/>
            <w:u w:val="single"/>
          </w:rPr>
          <w:t>https://www.annualreports.com/HostedData/AnnualReports/PDF/OTC_VWAGY_2024.pdf</w:t>
        </w:r>
      </w:hyperlink>
      <w:r>
        <w:rPr>
          <w:rFonts w:ascii="Arial" w:eastAsia="Arial" w:hAnsi="Arial" w:cs="Arial"/>
        </w:rPr>
        <w:t xml:space="preserve"> [Accessed 21st April 2026]</w:t>
      </w:r>
    </w:p>
    <w:p w14:paraId="6F11A587" w14:textId="77777777" w:rsidR="00BC24D3" w:rsidRDefault="00BC24D3" w:rsidP="00BC24D3">
      <w:pPr>
        <w:spacing w:before="200" w:after="200"/>
        <w:rPr>
          <w:rFonts w:ascii="Arial" w:eastAsia="Arial" w:hAnsi="Arial" w:cs="Arial"/>
        </w:rPr>
      </w:pPr>
      <w:proofErr w:type="spellStart"/>
      <w:r>
        <w:rPr>
          <w:rFonts w:ascii="Arial" w:eastAsia="Arial" w:hAnsi="Arial" w:cs="Arial"/>
        </w:rPr>
        <w:t>Zaramella</w:t>
      </w:r>
      <w:proofErr w:type="spellEnd"/>
      <w:r>
        <w:rPr>
          <w:rFonts w:ascii="Arial" w:eastAsia="Arial" w:hAnsi="Arial" w:cs="Arial"/>
        </w:rPr>
        <w:t xml:space="preserve">, G., 2023. Financial Restructuring: analysis and applications. </w:t>
      </w:r>
      <w:hyperlink r:id="rId29">
        <w:r>
          <w:rPr>
            <w:rFonts w:ascii="Arial" w:eastAsia="Arial" w:hAnsi="Arial" w:cs="Arial"/>
            <w:color w:val="1155CC"/>
            <w:u w:val="single"/>
          </w:rPr>
          <w:t>https://unitesi.unive.it/bitstream/20.500.14247/4284/1/872666-1280209.pdf</w:t>
        </w:r>
      </w:hyperlink>
      <w:r>
        <w:rPr>
          <w:rFonts w:ascii="Arial" w:eastAsia="Arial" w:hAnsi="Arial" w:cs="Arial"/>
        </w:rPr>
        <w:t xml:space="preserve"> </w:t>
      </w:r>
      <w:bookmarkStart w:id="58" w:name="_Toc227719603"/>
    </w:p>
    <w:p w14:paraId="552D0B85" w14:textId="59E2DBA8" w:rsidR="006F7CD0" w:rsidRPr="00BC24D3" w:rsidRDefault="000E4802" w:rsidP="00BC24D3">
      <w:pPr>
        <w:pStyle w:val="Heading1"/>
      </w:pPr>
      <w:r>
        <w:t>8.0 Appendices</w:t>
      </w:r>
      <w:bookmarkEnd w:id="58"/>
    </w:p>
    <w:p w14:paraId="3C1FCD26" w14:textId="77777777" w:rsidR="006F7CD0" w:rsidRDefault="000E4802">
      <w:pPr>
        <w:pStyle w:val="Heading2"/>
      </w:pPr>
      <w:bookmarkStart w:id="59" w:name="_Toc227719604"/>
      <w:r>
        <w:t>Appendix A: Financial Tables</w:t>
      </w:r>
      <w:bookmarkEnd w:id="59"/>
    </w:p>
    <w:p w14:paraId="2B0E10DC" w14:textId="77777777" w:rsidR="006F7CD0" w:rsidRDefault="000E4802">
      <w:pPr>
        <w:jc w:val="center"/>
        <w:rPr>
          <w:rFonts w:ascii="Arial" w:eastAsia="Arial" w:hAnsi="Arial" w:cs="Arial"/>
        </w:rPr>
      </w:pPr>
      <w:r>
        <w:rPr>
          <w:rFonts w:ascii="Arial" w:eastAsia="Arial" w:hAnsi="Arial" w:cs="Arial"/>
          <w:noProof/>
        </w:rPr>
        <w:drawing>
          <wp:inline distT="114300" distB="114300" distL="114300" distR="114300" wp14:anchorId="69F15EE7" wp14:editId="6BD2BE6C">
            <wp:extent cx="5731200" cy="35814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a:srcRect/>
                    <a:stretch>
                      <a:fillRect/>
                    </a:stretch>
                  </pic:blipFill>
                  <pic:spPr>
                    <a:xfrm>
                      <a:off x="0" y="0"/>
                      <a:ext cx="5731200" cy="3581400"/>
                    </a:xfrm>
                    <a:prstGeom prst="rect">
                      <a:avLst/>
                    </a:prstGeom>
                    <a:ln/>
                  </pic:spPr>
                </pic:pic>
              </a:graphicData>
            </a:graphic>
          </wp:inline>
        </w:drawing>
      </w:r>
    </w:p>
    <w:p w14:paraId="55A98A88" w14:textId="77777777" w:rsidR="006F7CD0" w:rsidRDefault="000E4802">
      <w:pPr>
        <w:jc w:val="center"/>
        <w:rPr>
          <w:rFonts w:ascii="Arial" w:eastAsia="Arial" w:hAnsi="Arial" w:cs="Arial"/>
        </w:rPr>
      </w:pPr>
      <w:r>
        <w:rPr>
          <w:rFonts w:ascii="Arial" w:eastAsia="Arial" w:hAnsi="Arial" w:cs="Arial"/>
          <w:noProof/>
        </w:rPr>
        <w:drawing>
          <wp:inline distT="114300" distB="114300" distL="114300" distR="114300" wp14:anchorId="0EE034C4" wp14:editId="4A54FCAC">
            <wp:extent cx="5731200" cy="74676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a:stretch>
                      <a:fillRect/>
                    </a:stretch>
                  </pic:blipFill>
                  <pic:spPr>
                    <a:xfrm>
                      <a:off x="0" y="0"/>
                      <a:ext cx="5731200" cy="7467600"/>
                    </a:xfrm>
                    <a:prstGeom prst="rect">
                      <a:avLst/>
                    </a:prstGeom>
                    <a:ln/>
                  </pic:spPr>
                </pic:pic>
              </a:graphicData>
            </a:graphic>
          </wp:inline>
        </w:drawing>
      </w:r>
    </w:p>
    <w:p w14:paraId="64346F9A" w14:textId="77777777" w:rsidR="006F7CD0" w:rsidRDefault="000E4802">
      <w:pPr>
        <w:jc w:val="center"/>
        <w:rPr>
          <w:rFonts w:ascii="Arial" w:eastAsia="Arial" w:hAnsi="Arial" w:cs="Arial"/>
        </w:rPr>
      </w:pPr>
      <w:r>
        <w:rPr>
          <w:rFonts w:ascii="Arial" w:eastAsia="Arial" w:hAnsi="Arial" w:cs="Arial"/>
          <w:noProof/>
        </w:rPr>
        <w:drawing>
          <wp:inline distT="114300" distB="114300" distL="114300" distR="114300" wp14:anchorId="396E388A" wp14:editId="547BC8BE">
            <wp:extent cx="5731200" cy="58039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5731200" cy="5803900"/>
                    </a:xfrm>
                    <a:prstGeom prst="rect">
                      <a:avLst/>
                    </a:prstGeom>
                    <a:ln/>
                  </pic:spPr>
                </pic:pic>
              </a:graphicData>
            </a:graphic>
          </wp:inline>
        </w:drawing>
      </w:r>
    </w:p>
    <w:p w14:paraId="4AAA4BE0" w14:textId="77777777" w:rsidR="006F7CD0" w:rsidRDefault="000E4802">
      <w:pPr>
        <w:spacing w:before="200" w:after="200"/>
        <w:jc w:val="center"/>
        <w:rPr>
          <w:rFonts w:ascii="Arial" w:eastAsia="Arial" w:hAnsi="Arial" w:cs="Arial"/>
        </w:rPr>
      </w:pPr>
      <w:r>
        <w:rPr>
          <w:rFonts w:ascii="Arial" w:eastAsia="Arial" w:hAnsi="Arial" w:cs="Arial"/>
        </w:rPr>
        <w:t>(Source: Volkswagen, 2020; Volkswagen, 2022; Volkswagen, 2024)</w:t>
      </w:r>
    </w:p>
    <w:p w14:paraId="022D9D8E" w14:textId="77777777" w:rsidR="006F7CD0" w:rsidRDefault="000E4802">
      <w:pPr>
        <w:pStyle w:val="Heading2"/>
      </w:pPr>
      <w:bookmarkStart w:id="60" w:name="_Toc227719605"/>
      <w:r>
        <w:t>Appendix B: Ratio Tables</w:t>
      </w:r>
      <w:bookmarkEnd w:id="60"/>
      <w:r>
        <w:t xml:space="preserve"> </w:t>
      </w:r>
    </w:p>
    <w:tbl>
      <w:tblPr>
        <w:tblW w:w="5000" w:type="pct"/>
        <w:jc w:val="center"/>
        <w:tblLook w:val="04A0" w:firstRow="1" w:lastRow="0" w:firstColumn="1" w:lastColumn="0" w:noHBand="0" w:noVBand="1"/>
      </w:tblPr>
      <w:tblGrid>
        <w:gridCol w:w="2327"/>
        <w:gridCol w:w="1399"/>
        <w:gridCol w:w="1042"/>
        <w:gridCol w:w="1008"/>
        <w:gridCol w:w="1008"/>
        <w:gridCol w:w="1008"/>
        <w:gridCol w:w="1008"/>
        <w:gridCol w:w="219"/>
      </w:tblGrid>
      <w:tr w:rsidR="00BC24D3" w:rsidRPr="00BC24D3" w14:paraId="02327D09" w14:textId="77777777" w:rsidTr="00BC24D3">
        <w:trPr>
          <w:gridAfter w:val="1"/>
          <w:wAfter w:w="60" w:type="pct"/>
          <w:trHeight w:val="894"/>
          <w:jc w:val="center"/>
        </w:trPr>
        <w:tc>
          <w:tcPr>
            <w:tcW w:w="4940" w:type="pct"/>
            <w:gridSpan w:val="7"/>
            <w:vMerge w:val="restart"/>
            <w:tcBorders>
              <w:top w:val="single" w:sz="4" w:space="0" w:color="auto"/>
              <w:left w:val="single" w:sz="4" w:space="0" w:color="auto"/>
              <w:bottom w:val="single" w:sz="4" w:space="0" w:color="auto"/>
              <w:right w:val="single" w:sz="4" w:space="0" w:color="auto"/>
            </w:tcBorders>
            <w:shd w:val="clear" w:color="000000" w:fill="FF9999"/>
            <w:noWrap/>
            <w:vAlign w:val="center"/>
            <w:hideMark/>
          </w:tcPr>
          <w:p w14:paraId="7510023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"Profitability Ratio"</w:t>
            </w:r>
          </w:p>
        </w:tc>
      </w:tr>
      <w:tr w:rsidR="00BC24D3" w:rsidRPr="00BC24D3" w14:paraId="05505B08" w14:textId="77777777" w:rsidTr="00BC24D3">
        <w:trPr>
          <w:trHeight w:val="288"/>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65F36F73"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47077CED" w14:textId="77777777" w:rsidR="00BC24D3" w:rsidRPr="00BC24D3" w:rsidRDefault="00BC24D3" w:rsidP="00BC24D3">
            <w:pPr>
              <w:spacing w:before="0" w:after="0" w:line="240" w:lineRule="auto"/>
              <w:jc w:val="center"/>
              <w:rPr>
                <w:rFonts w:ascii="Arial" w:hAnsi="Arial" w:cs="Arial"/>
                <w:b/>
                <w:bCs/>
                <w:color w:val="000000"/>
                <w:lang w:val="en-IN"/>
              </w:rPr>
            </w:pPr>
          </w:p>
        </w:tc>
      </w:tr>
      <w:tr w:rsidR="00BC24D3" w:rsidRPr="00BC24D3" w14:paraId="44007516" w14:textId="77777777" w:rsidTr="00BC24D3">
        <w:trPr>
          <w:trHeight w:val="312"/>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76C0E798"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61819A11" w14:textId="77777777" w:rsidR="00BC24D3" w:rsidRPr="00BC24D3" w:rsidRDefault="00BC24D3" w:rsidP="00BC24D3">
            <w:pPr>
              <w:spacing w:before="0" w:after="0" w:line="240" w:lineRule="auto"/>
              <w:jc w:val="left"/>
              <w:rPr>
                <w:sz w:val="20"/>
                <w:szCs w:val="20"/>
                <w:lang w:val="en-IN"/>
              </w:rPr>
            </w:pPr>
          </w:p>
        </w:tc>
      </w:tr>
      <w:tr w:rsidR="00BC24D3" w:rsidRPr="00BC24D3" w14:paraId="29E7A25A"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098B0F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"ROCE"</w:t>
            </w:r>
          </w:p>
        </w:tc>
        <w:tc>
          <w:tcPr>
            <w:tcW w:w="60" w:type="pct"/>
            <w:vAlign w:val="center"/>
            <w:hideMark/>
          </w:tcPr>
          <w:p w14:paraId="5CC91997" w14:textId="77777777" w:rsidR="00BC24D3" w:rsidRPr="00BC24D3" w:rsidRDefault="00BC24D3" w:rsidP="00BC24D3">
            <w:pPr>
              <w:spacing w:before="0" w:after="0" w:line="240" w:lineRule="auto"/>
              <w:jc w:val="left"/>
              <w:rPr>
                <w:sz w:val="20"/>
                <w:szCs w:val="20"/>
                <w:lang w:val="en-IN"/>
              </w:rPr>
            </w:pPr>
          </w:p>
        </w:tc>
      </w:tr>
      <w:tr w:rsidR="00BC24D3" w:rsidRPr="00BC24D3" w14:paraId="0803CB10"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64C312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2405C86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CE61C9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2E2B7E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7EB5C87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1ED9972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C88F6C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4D7120CA" w14:textId="77777777" w:rsidR="00BC24D3" w:rsidRPr="00BC24D3" w:rsidRDefault="00BC24D3" w:rsidP="00BC24D3">
            <w:pPr>
              <w:spacing w:before="0" w:after="0" w:line="240" w:lineRule="auto"/>
              <w:jc w:val="left"/>
              <w:rPr>
                <w:sz w:val="20"/>
                <w:szCs w:val="20"/>
                <w:lang w:val="en-IN"/>
              </w:rPr>
            </w:pPr>
          </w:p>
        </w:tc>
      </w:tr>
      <w:tr w:rsidR="00BC24D3" w:rsidRPr="00BC24D3" w14:paraId="4657BE9F"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491EAF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"EBIT"</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3CEF205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"EBIT / (Total Assets − Current Liabilities)*100"</w:t>
            </w:r>
          </w:p>
        </w:tc>
        <w:tc>
          <w:tcPr>
            <w:tcW w:w="512" w:type="pct"/>
            <w:tcBorders>
              <w:top w:val="nil"/>
              <w:left w:val="nil"/>
              <w:bottom w:val="single" w:sz="4" w:space="0" w:color="auto"/>
              <w:right w:val="single" w:sz="4" w:space="0" w:color="auto"/>
            </w:tcBorders>
            <w:shd w:val="clear" w:color="000000" w:fill="FFFFFF"/>
            <w:noWrap/>
            <w:vAlign w:val="bottom"/>
            <w:hideMark/>
          </w:tcPr>
          <w:p w14:paraId="3CB8FFC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16,806.00 </w:t>
            </w:r>
          </w:p>
        </w:tc>
        <w:tc>
          <w:tcPr>
            <w:tcW w:w="490" w:type="pct"/>
            <w:tcBorders>
              <w:top w:val="nil"/>
              <w:left w:val="nil"/>
              <w:bottom w:val="single" w:sz="4" w:space="0" w:color="auto"/>
              <w:right w:val="single" w:sz="4" w:space="0" w:color="auto"/>
            </w:tcBorders>
            <w:shd w:val="clear" w:color="000000" w:fill="FFFFFF"/>
            <w:noWrap/>
            <w:vAlign w:val="bottom"/>
            <w:hideMark/>
          </w:tcPr>
          <w:p w14:paraId="2038478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23,099.00 </w:t>
            </w:r>
          </w:p>
        </w:tc>
        <w:tc>
          <w:tcPr>
            <w:tcW w:w="490" w:type="pct"/>
            <w:tcBorders>
              <w:top w:val="nil"/>
              <w:left w:val="nil"/>
              <w:bottom w:val="single" w:sz="4" w:space="0" w:color="auto"/>
              <w:right w:val="single" w:sz="4" w:space="0" w:color="auto"/>
            </w:tcBorders>
            <w:shd w:val="clear" w:color="000000" w:fill="FFFFFF"/>
            <w:noWrap/>
            <w:vAlign w:val="bottom"/>
            <w:hideMark/>
          </w:tcPr>
          <w:p w14:paraId="2A1D23F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22,044.00 </w:t>
            </w:r>
          </w:p>
        </w:tc>
        <w:tc>
          <w:tcPr>
            <w:tcW w:w="490" w:type="pct"/>
            <w:tcBorders>
              <w:top w:val="nil"/>
              <w:left w:val="nil"/>
              <w:bottom w:val="single" w:sz="4" w:space="0" w:color="auto"/>
              <w:right w:val="single" w:sz="4" w:space="0" w:color="auto"/>
            </w:tcBorders>
            <w:shd w:val="clear" w:color="000000" w:fill="FFFFFF"/>
            <w:noWrap/>
            <w:vAlign w:val="bottom"/>
            <w:hideMark/>
          </w:tcPr>
          <w:p w14:paraId="3AFA9D3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20,126.00 </w:t>
            </w:r>
          </w:p>
        </w:tc>
        <w:tc>
          <w:tcPr>
            <w:tcW w:w="490" w:type="pct"/>
            <w:tcBorders>
              <w:top w:val="nil"/>
              <w:left w:val="nil"/>
              <w:bottom w:val="single" w:sz="4" w:space="0" w:color="auto"/>
              <w:right w:val="single" w:sz="4" w:space="0" w:color="auto"/>
            </w:tcBorders>
            <w:shd w:val="clear" w:color="000000" w:fill="FFFFFF"/>
            <w:noWrap/>
            <w:vAlign w:val="bottom"/>
            <w:hideMark/>
          </w:tcPr>
          <w:p w14:paraId="3B6E2DE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11,667.00 </w:t>
            </w:r>
          </w:p>
        </w:tc>
        <w:tc>
          <w:tcPr>
            <w:tcW w:w="60" w:type="pct"/>
            <w:vAlign w:val="center"/>
            <w:hideMark/>
          </w:tcPr>
          <w:p w14:paraId="0CE4F355" w14:textId="77777777" w:rsidR="00BC24D3" w:rsidRPr="00BC24D3" w:rsidRDefault="00BC24D3" w:rsidP="00BC24D3">
            <w:pPr>
              <w:spacing w:before="0" w:after="0" w:line="240" w:lineRule="auto"/>
              <w:jc w:val="left"/>
              <w:rPr>
                <w:sz w:val="20"/>
                <w:szCs w:val="20"/>
                <w:lang w:val="en-IN"/>
              </w:rPr>
            </w:pPr>
          </w:p>
        </w:tc>
      </w:tr>
      <w:tr w:rsidR="00BC24D3" w:rsidRPr="00BC24D3" w14:paraId="5D8EAE6D"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F38C33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(/):"Total Assets"</w:t>
            </w:r>
          </w:p>
        </w:tc>
        <w:tc>
          <w:tcPr>
            <w:tcW w:w="1173" w:type="pct"/>
            <w:vMerge/>
            <w:tcBorders>
              <w:top w:val="nil"/>
              <w:left w:val="single" w:sz="4" w:space="0" w:color="auto"/>
              <w:bottom w:val="single" w:sz="4" w:space="0" w:color="auto"/>
              <w:right w:val="single" w:sz="4" w:space="0" w:color="auto"/>
            </w:tcBorders>
            <w:vAlign w:val="center"/>
            <w:hideMark/>
          </w:tcPr>
          <w:p w14:paraId="2FA4D1B8"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10E4C0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6,32,905.00 </w:t>
            </w:r>
          </w:p>
        </w:tc>
        <w:tc>
          <w:tcPr>
            <w:tcW w:w="490" w:type="pct"/>
            <w:tcBorders>
              <w:top w:val="nil"/>
              <w:left w:val="nil"/>
              <w:bottom w:val="single" w:sz="4" w:space="0" w:color="auto"/>
              <w:right w:val="single" w:sz="4" w:space="0" w:color="auto"/>
            </w:tcBorders>
            <w:shd w:val="clear" w:color="000000" w:fill="FFFFFF"/>
            <w:noWrap/>
            <w:vAlign w:val="bottom"/>
            <w:hideMark/>
          </w:tcPr>
          <w:p w14:paraId="7C8837C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€ 6,00,649.00 </w:t>
            </w:r>
          </w:p>
        </w:tc>
        <w:tc>
          <w:tcPr>
            <w:tcW w:w="490" w:type="pct"/>
            <w:tcBorders>
              <w:top w:val="nil"/>
              <w:left w:val="nil"/>
              <w:bottom w:val="single" w:sz="4" w:space="0" w:color="auto"/>
              <w:right w:val="single" w:sz="4" w:space="0" w:color="auto"/>
            </w:tcBorders>
            <w:shd w:val="clear" w:color="000000" w:fill="FFFFFF"/>
            <w:noWrap/>
            <w:vAlign w:val="bottom"/>
            <w:hideMark/>
          </w:tcPr>
          <w:p w14:paraId="10D0E22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€ 5,64,772.00 </w:t>
            </w:r>
          </w:p>
        </w:tc>
        <w:tc>
          <w:tcPr>
            <w:tcW w:w="490" w:type="pct"/>
            <w:tcBorders>
              <w:top w:val="nil"/>
              <w:left w:val="nil"/>
              <w:bottom w:val="single" w:sz="4" w:space="0" w:color="auto"/>
              <w:right w:val="single" w:sz="4" w:space="0" w:color="auto"/>
            </w:tcBorders>
            <w:shd w:val="clear" w:color="000000" w:fill="FFFFFF"/>
            <w:noWrap/>
            <w:vAlign w:val="bottom"/>
            <w:hideMark/>
          </w:tcPr>
          <w:p w14:paraId="3881AF3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€ 5,28,609.00 </w:t>
            </w:r>
          </w:p>
        </w:tc>
        <w:tc>
          <w:tcPr>
            <w:tcW w:w="490" w:type="pct"/>
            <w:tcBorders>
              <w:top w:val="nil"/>
              <w:left w:val="nil"/>
              <w:bottom w:val="single" w:sz="4" w:space="0" w:color="auto"/>
              <w:right w:val="single" w:sz="4" w:space="0" w:color="auto"/>
            </w:tcBorders>
            <w:shd w:val="clear" w:color="000000" w:fill="FFFFFF"/>
            <w:noWrap/>
            <w:vAlign w:val="bottom"/>
            <w:hideMark/>
          </w:tcPr>
          <w:p w14:paraId="622AB24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€ 4,97,114.00 </w:t>
            </w:r>
          </w:p>
        </w:tc>
        <w:tc>
          <w:tcPr>
            <w:tcW w:w="60" w:type="pct"/>
            <w:vAlign w:val="center"/>
            <w:hideMark/>
          </w:tcPr>
          <w:p w14:paraId="1B0658F0" w14:textId="77777777" w:rsidR="00BC24D3" w:rsidRPr="00BC24D3" w:rsidRDefault="00BC24D3" w:rsidP="00BC24D3">
            <w:pPr>
              <w:spacing w:before="0" w:after="0" w:line="240" w:lineRule="auto"/>
              <w:jc w:val="left"/>
              <w:rPr>
                <w:sz w:val="20"/>
                <w:szCs w:val="20"/>
                <w:lang w:val="en-IN"/>
              </w:rPr>
            </w:pPr>
          </w:p>
        </w:tc>
      </w:tr>
      <w:tr w:rsidR="00BC24D3" w:rsidRPr="00BC24D3" w14:paraId="61F3185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5C6712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Current Liabilities"</w:t>
            </w:r>
          </w:p>
        </w:tc>
        <w:tc>
          <w:tcPr>
            <w:tcW w:w="1173" w:type="pct"/>
            <w:vMerge/>
            <w:tcBorders>
              <w:top w:val="nil"/>
              <w:left w:val="single" w:sz="4" w:space="0" w:color="auto"/>
              <w:bottom w:val="single" w:sz="4" w:space="0" w:color="auto"/>
              <w:right w:val="single" w:sz="4" w:space="0" w:color="auto"/>
            </w:tcBorders>
            <w:vAlign w:val="center"/>
            <w:hideMark/>
          </w:tcPr>
          <w:p w14:paraId="68EEB72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8F668C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2,17,039.00 </w:t>
            </w:r>
          </w:p>
        </w:tc>
        <w:tc>
          <w:tcPr>
            <w:tcW w:w="490" w:type="pct"/>
            <w:tcBorders>
              <w:top w:val="nil"/>
              <w:left w:val="nil"/>
              <w:bottom w:val="single" w:sz="4" w:space="0" w:color="auto"/>
              <w:right w:val="single" w:sz="4" w:space="0" w:color="auto"/>
            </w:tcBorders>
            <w:shd w:val="clear" w:color="000000" w:fill="FFFFFF"/>
            <w:noWrap/>
            <w:vAlign w:val="bottom"/>
            <w:hideMark/>
          </w:tcPr>
          <w:p w14:paraId="101D966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€ 2,06,036.00 </w:t>
            </w:r>
          </w:p>
        </w:tc>
        <w:tc>
          <w:tcPr>
            <w:tcW w:w="490" w:type="pct"/>
            <w:tcBorders>
              <w:top w:val="nil"/>
              <w:left w:val="nil"/>
              <w:bottom w:val="single" w:sz="4" w:space="0" w:color="auto"/>
              <w:right w:val="single" w:sz="4" w:space="0" w:color="auto"/>
            </w:tcBorders>
            <w:shd w:val="clear" w:color="000000" w:fill="FFFFFF"/>
            <w:noWrap/>
            <w:vAlign w:val="bottom"/>
            <w:hideMark/>
          </w:tcPr>
          <w:p w14:paraId="5A206CB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€ 1,82,992.00 </w:t>
            </w:r>
          </w:p>
        </w:tc>
        <w:tc>
          <w:tcPr>
            <w:tcW w:w="490" w:type="pct"/>
            <w:tcBorders>
              <w:top w:val="nil"/>
              <w:left w:val="nil"/>
              <w:bottom w:val="single" w:sz="4" w:space="0" w:color="auto"/>
              <w:right w:val="single" w:sz="4" w:space="0" w:color="auto"/>
            </w:tcBorders>
            <w:shd w:val="clear" w:color="000000" w:fill="FFFFFF"/>
            <w:noWrap/>
            <w:vAlign w:val="bottom"/>
            <w:hideMark/>
          </w:tcPr>
          <w:p w14:paraId="28F6E31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€ 1,64,393.00 </w:t>
            </w:r>
          </w:p>
        </w:tc>
        <w:tc>
          <w:tcPr>
            <w:tcW w:w="490" w:type="pct"/>
            <w:tcBorders>
              <w:top w:val="nil"/>
              <w:left w:val="nil"/>
              <w:bottom w:val="single" w:sz="4" w:space="0" w:color="auto"/>
              <w:right w:val="single" w:sz="4" w:space="0" w:color="auto"/>
            </w:tcBorders>
            <w:shd w:val="clear" w:color="000000" w:fill="FFFFFF"/>
            <w:noWrap/>
            <w:vAlign w:val="bottom"/>
            <w:hideMark/>
          </w:tcPr>
          <w:p w14:paraId="2273084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€ 1,65,410.00 </w:t>
            </w:r>
          </w:p>
        </w:tc>
        <w:tc>
          <w:tcPr>
            <w:tcW w:w="60" w:type="pct"/>
            <w:vAlign w:val="center"/>
            <w:hideMark/>
          </w:tcPr>
          <w:p w14:paraId="32116F99" w14:textId="77777777" w:rsidR="00BC24D3" w:rsidRPr="00BC24D3" w:rsidRDefault="00BC24D3" w:rsidP="00BC24D3">
            <w:pPr>
              <w:spacing w:before="0" w:after="0" w:line="240" w:lineRule="auto"/>
              <w:jc w:val="left"/>
              <w:rPr>
                <w:sz w:val="20"/>
                <w:szCs w:val="20"/>
                <w:lang w:val="en-IN"/>
              </w:rPr>
            </w:pPr>
          </w:p>
        </w:tc>
      </w:tr>
      <w:tr w:rsidR="00BC24D3" w:rsidRPr="00BC24D3" w14:paraId="6D1BFE1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5F8F687"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"ROCE"</w:t>
            </w:r>
          </w:p>
        </w:tc>
        <w:tc>
          <w:tcPr>
            <w:tcW w:w="1173" w:type="pct"/>
            <w:vMerge/>
            <w:tcBorders>
              <w:top w:val="nil"/>
              <w:left w:val="single" w:sz="4" w:space="0" w:color="auto"/>
              <w:bottom w:val="single" w:sz="4" w:space="0" w:color="auto"/>
              <w:right w:val="single" w:sz="4" w:space="0" w:color="auto"/>
            </w:tcBorders>
            <w:vAlign w:val="center"/>
            <w:hideMark/>
          </w:tcPr>
          <w:p w14:paraId="7B1672BB"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73C5A0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4.04%</w:t>
            </w:r>
          </w:p>
        </w:tc>
        <w:tc>
          <w:tcPr>
            <w:tcW w:w="490" w:type="pct"/>
            <w:tcBorders>
              <w:top w:val="nil"/>
              <w:left w:val="nil"/>
              <w:bottom w:val="single" w:sz="4" w:space="0" w:color="auto"/>
              <w:right w:val="single" w:sz="4" w:space="0" w:color="auto"/>
            </w:tcBorders>
            <w:shd w:val="clear" w:color="000000" w:fill="FFFFFF"/>
            <w:noWrap/>
            <w:vAlign w:val="bottom"/>
            <w:hideMark/>
          </w:tcPr>
          <w:p w14:paraId="5156C68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5.85%</w:t>
            </w:r>
          </w:p>
        </w:tc>
        <w:tc>
          <w:tcPr>
            <w:tcW w:w="490" w:type="pct"/>
            <w:tcBorders>
              <w:top w:val="nil"/>
              <w:left w:val="nil"/>
              <w:bottom w:val="single" w:sz="4" w:space="0" w:color="auto"/>
              <w:right w:val="single" w:sz="4" w:space="0" w:color="auto"/>
            </w:tcBorders>
            <w:shd w:val="clear" w:color="000000" w:fill="FFFFFF"/>
            <w:noWrap/>
            <w:vAlign w:val="bottom"/>
            <w:hideMark/>
          </w:tcPr>
          <w:p w14:paraId="090B699D"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5.77%</w:t>
            </w:r>
          </w:p>
        </w:tc>
        <w:tc>
          <w:tcPr>
            <w:tcW w:w="490" w:type="pct"/>
            <w:tcBorders>
              <w:top w:val="nil"/>
              <w:left w:val="nil"/>
              <w:bottom w:val="single" w:sz="4" w:space="0" w:color="auto"/>
              <w:right w:val="single" w:sz="4" w:space="0" w:color="auto"/>
            </w:tcBorders>
            <w:shd w:val="clear" w:color="000000" w:fill="FFFFFF"/>
            <w:noWrap/>
            <w:vAlign w:val="bottom"/>
            <w:hideMark/>
          </w:tcPr>
          <w:p w14:paraId="15DF587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5.53%</w:t>
            </w:r>
          </w:p>
        </w:tc>
        <w:tc>
          <w:tcPr>
            <w:tcW w:w="490" w:type="pct"/>
            <w:tcBorders>
              <w:top w:val="nil"/>
              <w:left w:val="nil"/>
              <w:bottom w:val="single" w:sz="4" w:space="0" w:color="auto"/>
              <w:right w:val="single" w:sz="4" w:space="0" w:color="auto"/>
            </w:tcBorders>
            <w:shd w:val="clear" w:color="000000" w:fill="FFFFFF"/>
            <w:noWrap/>
            <w:vAlign w:val="bottom"/>
            <w:hideMark/>
          </w:tcPr>
          <w:p w14:paraId="3451C26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3.52%</w:t>
            </w:r>
          </w:p>
        </w:tc>
        <w:tc>
          <w:tcPr>
            <w:tcW w:w="60" w:type="pct"/>
            <w:vAlign w:val="center"/>
            <w:hideMark/>
          </w:tcPr>
          <w:p w14:paraId="3F9C6002" w14:textId="77777777" w:rsidR="00BC24D3" w:rsidRPr="00BC24D3" w:rsidRDefault="00BC24D3" w:rsidP="00BC24D3">
            <w:pPr>
              <w:spacing w:before="0" w:after="0" w:line="240" w:lineRule="auto"/>
              <w:jc w:val="left"/>
              <w:rPr>
                <w:sz w:val="20"/>
                <w:szCs w:val="20"/>
                <w:lang w:val="en-IN"/>
              </w:rPr>
            </w:pPr>
          </w:p>
        </w:tc>
      </w:tr>
      <w:tr w:rsidR="00BC24D3" w:rsidRPr="00BC24D3" w14:paraId="1DB11D65"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5EFE8F6"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3FC90427" w14:textId="77777777" w:rsidR="00BC24D3" w:rsidRPr="00BC24D3" w:rsidRDefault="00BC24D3" w:rsidP="00BC24D3">
            <w:pPr>
              <w:spacing w:before="0" w:after="0" w:line="240" w:lineRule="auto"/>
              <w:jc w:val="left"/>
              <w:rPr>
                <w:sz w:val="20"/>
                <w:szCs w:val="20"/>
                <w:lang w:val="en-IN"/>
              </w:rPr>
            </w:pPr>
          </w:p>
        </w:tc>
      </w:tr>
      <w:tr w:rsidR="00BC24D3" w:rsidRPr="00BC24D3" w14:paraId="40B28252"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EC15B4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Margin"</w:t>
            </w:r>
          </w:p>
        </w:tc>
        <w:tc>
          <w:tcPr>
            <w:tcW w:w="60" w:type="pct"/>
            <w:vAlign w:val="center"/>
            <w:hideMark/>
          </w:tcPr>
          <w:p w14:paraId="4AD74D04" w14:textId="77777777" w:rsidR="00BC24D3" w:rsidRPr="00BC24D3" w:rsidRDefault="00BC24D3" w:rsidP="00BC24D3">
            <w:pPr>
              <w:spacing w:before="0" w:after="0" w:line="240" w:lineRule="auto"/>
              <w:jc w:val="left"/>
              <w:rPr>
                <w:sz w:val="20"/>
                <w:szCs w:val="20"/>
                <w:lang w:val="en-IN"/>
              </w:rPr>
            </w:pPr>
          </w:p>
        </w:tc>
      </w:tr>
      <w:tr w:rsidR="00BC24D3" w:rsidRPr="00BC24D3" w14:paraId="766F911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B3E64E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43B18E9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DB90CA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0F283B6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157C20E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560838F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47ECBF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5F631027" w14:textId="77777777" w:rsidR="00BC24D3" w:rsidRPr="00BC24D3" w:rsidRDefault="00BC24D3" w:rsidP="00BC24D3">
            <w:pPr>
              <w:spacing w:before="0" w:after="0" w:line="240" w:lineRule="auto"/>
              <w:jc w:val="left"/>
              <w:rPr>
                <w:sz w:val="20"/>
                <w:szCs w:val="20"/>
                <w:lang w:val="en-IN"/>
              </w:rPr>
            </w:pPr>
          </w:p>
        </w:tc>
      </w:tr>
      <w:tr w:rsidR="00BC24D3" w:rsidRPr="00BC24D3" w14:paraId="33FB382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11D1E6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"Operating Income"</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5243E8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Income (or EBIT) / Sales)*100"</w:t>
            </w:r>
          </w:p>
        </w:tc>
        <w:tc>
          <w:tcPr>
            <w:tcW w:w="512" w:type="pct"/>
            <w:tcBorders>
              <w:top w:val="nil"/>
              <w:left w:val="nil"/>
              <w:bottom w:val="single" w:sz="4" w:space="0" w:color="auto"/>
              <w:right w:val="single" w:sz="4" w:space="0" w:color="auto"/>
            </w:tcBorders>
            <w:shd w:val="clear" w:color="000000" w:fill="FFFFFF"/>
            <w:noWrap/>
            <w:vAlign w:val="bottom"/>
            <w:hideMark/>
          </w:tcPr>
          <w:p w14:paraId="1A802E4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19,060.00 </w:t>
            </w:r>
          </w:p>
        </w:tc>
        <w:tc>
          <w:tcPr>
            <w:tcW w:w="490" w:type="pct"/>
            <w:tcBorders>
              <w:top w:val="nil"/>
              <w:left w:val="nil"/>
              <w:bottom w:val="single" w:sz="4" w:space="0" w:color="auto"/>
              <w:right w:val="single" w:sz="4" w:space="0" w:color="auto"/>
            </w:tcBorders>
            <w:shd w:val="clear" w:color="000000" w:fill="FFFFFF"/>
            <w:noWrap/>
            <w:vAlign w:val="bottom"/>
            <w:hideMark/>
          </w:tcPr>
          <w:p w14:paraId="427BC36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22,528.00 </w:t>
            </w:r>
          </w:p>
        </w:tc>
        <w:tc>
          <w:tcPr>
            <w:tcW w:w="490" w:type="pct"/>
            <w:tcBorders>
              <w:top w:val="nil"/>
              <w:left w:val="nil"/>
              <w:bottom w:val="single" w:sz="4" w:space="0" w:color="auto"/>
              <w:right w:val="single" w:sz="4" w:space="0" w:color="auto"/>
            </w:tcBorders>
            <w:shd w:val="clear" w:color="000000" w:fill="FFFFFF"/>
            <w:noWrap/>
            <w:vAlign w:val="bottom"/>
            <w:hideMark/>
          </w:tcPr>
          <w:p w14:paraId="2103A14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22,124.00 </w:t>
            </w:r>
          </w:p>
        </w:tc>
        <w:tc>
          <w:tcPr>
            <w:tcW w:w="490" w:type="pct"/>
            <w:tcBorders>
              <w:top w:val="nil"/>
              <w:left w:val="nil"/>
              <w:bottom w:val="single" w:sz="4" w:space="0" w:color="auto"/>
              <w:right w:val="single" w:sz="4" w:space="0" w:color="auto"/>
            </w:tcBorders>
            <w:shd w:val="clear" w:color="000000" w:fill="FFFFFF"/>
            <w:noWrap/>
            <w:vAlign w:val="bottom"/>
            <w:hideMark/>
          </w:tcPr>
          <w:p w14:paraId="234E10D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19,275.00 </w:t>
            </w:r>
          </w:p>
        </w:tc>
        <w:tc>
          <w:tcPr>
            <w:tcW w:w="490" w:type="pct"/>
            <w:tcBorders>
              <w:top w:val="nil"/>
              <w:left w:val="nil"/>
              <w:bottom w:val="single" w:sz="4" w:space="0" w:color="auto"/>
              <w:right w:val="single" w:sz="4" w:space="0" w:color="auto"/>
            </w:tcBorders>
            <w:shd w:val="clear" w:color="000000" w:fill="FFFFFF"/>
            <w:noWrap/>
            <w:vAlign w:val="bottom"/>
            <w:hideMark/>
          </w:tcPr>
          <w:p w14:paraId="04E97E0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9,675.00 </w:t>
            </w:r>
          </w:p>
        </w:tc>
        <w:tc>
          <w:tcPr>
            <w:tcW w:w="60" w:type="pct"/>
            <w:vAlign w:val="center"/>
            <w:hideMark/>
          </w:tcPr>
          <w:p w14:paraId="0C946534" w14:textId="77777777" w:rsidR="00BC24D3" w:rsidRPr="00BC24D3" w:rsidRDefault="00BC24D3" w:rsidP="00BC24D3">
            <w:pPr>
              <w:spacing w:before="0" w:after="0" w:line="240" w:lineRule="auto"/>
              <w:jc w:val="left"/>
              <w:rPr>
                <w:sz w:val="20"/>
                <w:szCs w:val="20"/>
                <w:lang w:val="en-IN"/>
              </w:rPr>
            </w:pPr>
          </w:p>
        </w:tc>
      </w:tr>
      <w:tr w:rsidR="00BC24D3" w:rsidRPr="00BC24D3" w14:paraId="14E2B93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7A54BB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Sales"</w:t>
            </w:r>
          </w:p>
        </w:tc>
        <w:tc>
          <w:tcPr>
            <w:tcW w:w="1173" w:type="pct"/>
            <w:vMerge/>
            <w:tcBorders>
              <w:top w:val="nil"/>
              <w:left w:val="single" w:sz="4" w:space="0" w:color="auto"/>
              <w:bottom w:val="single" w:sz="4" w:space="0" w:color="auto"/>
              <w:right w:val="single" w:sz="4" w:space="0" w:color="auto"/>
            </w:tcBorders>
            <w:vAlign w:val="center"/>
            <w:hideMark/>
          </w:tcPr>
          <w:p w14:paraId="2B5588E3"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B71402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3,24,656.00 </w:t>
            </w:r>
          </w:p>
        </w:tc>
        <w:tc>
          <w:tcPr>
            <w:tcW w:w="490" w:type="pct"/>
            <w:tcBorders>
              <w:top w:val="nil"/>
              <w:left w:val="nil"/>
              <w:bottom w:val="single" w:sz="4" w:space="0" w:color="auto"/>
              <w:right w:val="single" w:sz="4" w:space="0" w:color="auto"/>
            </w:tcBorders>
            <w:shd w:val="clear" w:color="000000" w:fill="FFFFFF"/>
            <w:noWrap/>
            <w:vAlign w:val="bottom"/>
            <w:hideMark/>
          </w:tcPr>
          <w:p w14:paraId="12B73A9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€ 3,22,284.00 </w:t>
            </w:r>
          </w:p>
        </w:tc>
        <w:tc>
          <w:tcPr>
            <w:tcW w:w="490" w:type="pct"/>
            <w:tcBorders>
              <w:top w:val="nil"/>
              <w:left w:val="nil"/>
              <w:bottom w:val="single" w:sz="4" w:space="0" w:color="auto"/>
              <w:right w:val="single" w:sz="4" w:space="0" w:color="auto"/>
            </w:tcBorders>
            <w:shd w:val="clear" w:color="000000" w:fill="FFFFFF"/>
            <w:noWrap/>
            <w:vAlign w:val="bottom"/>
            <w:hideMark/>
          </w:tcPr>
          <w:p w14:paraId="1A506B1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€ 2,79,232.00 </w:t>
            </w:r>
          </w:p>
        </w:tc>
        <w:tc>
          <w:tcPr>
            <w:tcW w:w="490" w:type="pct"/>
            <w:tcBorders>
              <w:top w:val="nil"/>
              <w:left w:val="nil"/>
              <w:bottom w:val="single" w:sz="4" w:space="0" w:color="auto"/>
              <w:right w:val="single" w:sz="4" w:space="0" w:color="auto"/>
            </w:tcBorders>
            <w:shd w:val="clear" w:color="000000" w:fill="FFFFFF"/>
            <w:noWrap/>
            <w:vAlign w:val="bottom"/>
            <w:hideMark/>
          </w:tcPr>
          <w:p w14:paraId="1A28DA8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€ 2,50,200.00 </w:t>
            </w:r>
          </w:p>
        </w:tc>
        <w:tc>
          <w:tcPr>
            <w:tcW w:w="490" w:type="pct"/>
            <w:tcBorders>
              <w:top w:val="nil"/>
              <w:left w:val="nil"/>
              <w:bottom w:val="single" w:sz="4" w:space="0" w:color="auto"/>
              <w:right w:val="single" w:sz="4" w:space="0" w:color="auto"/>
            </w:tcBorders>
            <w:shd w:val="clear" w:color="000000" w:fill="FFFFFF"/>
            <w:noWrap/>
            <w:vAlign w:val="bottom"/>
            <w:hideMark/>
          </w:tcPr>
          <w:p w14:paraId="2C531A1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€ 2,22,884.00 </w:t>
            </w:r>
          </w:p>
        </w:tc>
        <w:tc>
          <w:tcPr>
            <w:tcW w:w="60" w:type="pct"/>
            <w:vAlign w:val="center"/>
            <w:hideMark/>
          </w:tcPr>
          <w:p w14:paraId="0B1DE4E4" w14:textId="77777777" w:rsidR="00BC24D3" w:rsidRPr="00BC24D3" w:rsidRDefault="00BC24D3" w:rsidP="00BC24D3">
            <w:pPr>
              <w:spacing w:before="0" w:after="0" w:line="240" w:lineRule="auto"/>
              <w:jc w:val="left"/>
              <w:rPr>
                <w:sz w:val="20"/>
                <w:szCs w:val="20"/>
                <w:lang w:val="en-IN"/>
              </w:rPr>
            </w:pPr>
          </w:p>
        </w:tc>
      </w:tr>
      <w:tr w:rsidR="00BC24D3" w:rsidRPr="00BC24D3" w14:paraId="1F853080"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8E7A01C"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"Operating Margin"</w:t>
            </w:r>
          </w:p>
        </w:tc>
        <w:tc>
          <w:tcPr>
            <w:tcW w:w="1173" w:type="pct"/>
            <w:vMerge/>
            <w:tcBorders>
              <w:top w:val="nil"/>
              <w:left w:val="single" w:sz="4" w:space="0" w:color="auto"/>
              <w:bottom w:val="single" w:sz="4" w:space="0" w:color="auto"/>
              <w:right w:val="single" w:sz="4" w:space="0" w:color="auto"/>
            </w:tcBorders>
            <w:vAlign w:val="center"/>
            <w:hideMark/>
          </w:tcPr>
          <w:p w14:paraId="48F6300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79E79C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5.87%</w:t>
            </w:r>
          </w:p>
        </w:tc>
        <w:tc>
          <w:tcPr>
            <w:tcW w:w="490" w:type="pct"/>
            <w:tcBorders>
              <w:top w:val="nil"/>
              <w:left w:val="nil"/>
              <w:bottom w:val="single" w:sz="4" w:space="0" w:color="auto"/>
              <w:right w:val="single" w:sz="4" w:space="0" w:color="auto"/>
            </w:tcBorders>
            <w:shd w:val="clear" w:color="000000" w:fill="FFFFFF"/>
            <w:noWrap/>
            <w:vAlign w:val="bottom"/>
            <w:hideMark/>
          </w:tcPr>
          <w:p w14:paraId="05B2A854"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6.99%</w:t>
            </w:r>
          </w:p>
        </w:tc>
        <w:tc>
          <w:tcPr>
            <w:tcW w:w="490" w:type="pct"/>
            <w:tcBorders>
              <w:top w:val="nil"/>
              <w:left w:val="nil"/>
              <w:bottom w:val="single" w:sz="4" w:space="0" w:color="auto"/>
              <w:right w:val="single" w:sz="4" w:space="0" w:color="auto"/>
            </w:tcBorders>
            <w:shd w:val="clear" w:color="000000" w:fill="FFFFFF"/>
            <w:noWrap/>
            <w:vAlign w:val="bottom"/>
            <w:hideMark/>
          </w:tcPr>
          <w:p w14:paraId="31F05A9C"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7.92%</w:t>
            </w:r>
          </w:p>
        </w:tc>
        <w:tc>
          <w:tcPr>
            <w:tcW w:w="490" w:type="pct"/>
            <w:tcBorders>
              <w:top w:val="nil"/>
              <w:left w:val="nil"/>
              <w:bottom w:val="single" w:sz="4" w:space="0" w:color="auto"/>
              <w:right w:val="single" w:sz="4" w:space="0" w:color="auto"/>
            </w:tcBorders>
            <w:shd w:val="clear" w:color="000000" w:fill="FFFFFF"/>
            <w:noWrap/>
            <w:vAlign w:val="bottom"/>
            <w:hideMark/>
          </w:tcPr>
          <w:p w14:paraId="6CD0E01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7.70%</w:t>
            </w:r>
          </w:p>
        </w:tc>
        <w:tc>
          <w:tcPr>
            <w:tcW w:w="490" w:type="pct"/>
            <w:tcBorders>
              <w:top w:val="nil"/>
              <w:left w:val="nil"/>
              <w:bottom w:val="single" w:sz="4" w:space="0" w:color="auto"/>
              <w:right w:val="single" w:sz="4" w:space="0" w:color="auto"/>
            </w:tcBorders>
            <w:shd w:val="clear" w:color="000000" w:fill="FFFFFF"/>
            <w:noWrap/>
            <w:vAlign w:val="bottom"/>
            <w:hideMark/>
          </w:tcPr>
          <w:p w14:paraId="243104B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4.34%</w:t>
            </w:r>
          </w:p>
        </w:tc>
        <w:tc>
          <w:tcPr>
            <w:tcW w:w="60" w:type="pct"/>
            <w:vAlign w:val="center"/>
            <w:hideMark/>
          </w:tcPr>
          <w:p w14:paraId="078F4CE2" w14:textId="77777777" w:rsidR="00BC24D3" w:rsidRPr="00BC24D3" w:rsidRDefault="00BC24D3" w:rsidP="00BC24D3">
            <w:pPr>
              <w:spacing w:before="0" w:after="0" w:line="240" w:lineRule="auto"/>
              <w:jc w:val="left"/>
              <w:rPr>
                <w:sz w:val="20"/>
                <w:szCs w:val="20"/>
                <w:lang w:val="en-IN"/>
              </w:rPr>
            </w:pPr>
          </w:p>
        </w:tc>
      </w:tr>
      <w:tr w:rsidR="00BC24D3" w:rsidRPr="00BC24D3" w14:paraId="00FEF767"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3A2736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"Net Profit Margin"</w:t>
            </w:r>
          </w:p>
        </w:tc>
        <w:tc>
          <w:tcPr>
            <w:tcW w:w="60" w:type="pct"/>
            <w:vAlign w:val="center"/>
            <w:hideMark/>
          </w:tcPr>
          <w:p w14:paraId="1A31BBD1" w14:textId="77777777" w:rsidR="00BC24D3" w:rsidRPr="00BC24D3" w:rsidRDefault="00BC24D3" w:rsidP="00BC24D3">
            <w:pPr>
              <w:spacing w:before="0" w:after="0" w:line="240" w:lineRule="auto"/>
              <w:jc w:val="left"/>
              <w:rPr>
                <w:sz w:val="20"/>
                <w:szCs w:val="20"/>
                <w:lang w:val="en-IN"/>
              </w:rPr>
            </w:pPr>
          </w:p>
        </w:tc>
      </w:tr>
      <w:tr w:rsidR="00BC24D3" w:rsidRPr="00BC24D3" w14:paraId="3DFD58D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065DFE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6F4C085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52EA0D3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808BAD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01F479C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1AEFF56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02A60F7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37AB342C" w14:textId="77777777" w:rsidR="00BC24D3" w:rsidRPr="00BC24D3" w:rsidRDefault="00BC24D3" w:rsidP="00BC24D3">
            <w:pPr>
              <w:spacing w:before="0" w:after="0" w:line="240" w:lineRule="auto"/>
              <w:jc w:val="left"/>
              <w:rPr>
                <w:sz w:val="20"/>
                <w:szCs w:val="20"/>
                <w:lang w:val="en-IN"/>
              </w:rPr>
            </w:pPr>
          </w:p>
        </w:tc>
      </w:tr>
      <w:tr w:rsidR="00BC24D3" w:rsidRPr="00BC24D3" w14:paraId="6F83B87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B45632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"Net Income"</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FF9BA7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"(Net Income / Sales)*100"</w:t>
            </w:r>
          </w:p>
        </w:tc>
        <w:tc>
          <w:tcPr>
            <w:tcW w:w="512" w:type="pct"/>
            <w:tcBorders>
              <w:top w:val="nil"/>
              <w:left w:val="nil"/>
              <w:bottom w:val="single" w:sz="4" w:space="0" w:color="auto"/>
              <w:right w:val="single" w:sz="4" w:space="0" w:color="auto"/>
            </w:tcBorders>
            <w:shd w:val="clear" w:color="000000" w:fill="FFFFFF"/>
            <w:noWrap/>
            <w:vAlign w:val="bottom"/>
            <w:hideMark/>
          </w:tcPr>
          <w:p w14:paraId="5A73454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12,394.00 </w:t>
            </w:r>
          </w:p>
        </w:tc>
        <w:tc>
          <w:tcPr>
            <w:tcW w:w="490" w:type="pct"/>
            <w:tcBorders>
              <w:top w:val="nil"/>
              <w:left w:val="nil"/>
              <w:bottom w:val="single" w:sz="4" w:space="0" w:color="auto"/>
              <w:right w:val="single" w:sz="4" w:space="0" w:color="auto"/>
            </w:tcBorders>
            <w:shd w:val="clear" w:color="000000" w:fill="FFFFFF"/>
            <w:noWrap/>
            <w:vAlign w:val="bottom"/>
            <w:hideMark/>
          </w:tcPr>
          <w:p w14:paraId="13351A0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17,861.00 </w:t>
            </w:r>
          </w:p>
        </w:tc>
        <w:tc>
          <w:tcPr>
            <w:tcW w:w="490" w:type="pct"/>
            <w:tcBorders>
              <w:top w:val="nil"/>
              <w:left w:val="nil"/>
              <w:bottom w:val="single" w:sz="4" w:space="0" w:color="auto"/>
              <w:right w:val="single" w:sz="4" w:space="0" w:color="auto"/>
            </w:tcBorders>
            <w:shd w:val="clear" w:color="000000" w:fill="FFFFFF"/>
            <w:noWrap/>
            <w:vAlign w:val="bottom"/>
            <w:hideMark/>
          </w:tcPr>
          <w:p w14:paraId="7734F7C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15,836.00 </w:t>
            </w:r>
          </w:p>
        </w:tc>
        <w:tc>
          <w:tcPr>
            <w:tcW w:w="490" w:type="pct"/>
            <w:tcBorders>
              <w:top w:val="nil"/>
              <w:left w:val="nil"/>
              <w:bottom w:val="single" w:sz="4" w:space="0" w:color="auto"/>
              <w:right w:val="single" w:sz="4" w:space="0" w:color="auto"/>
            </w:tcBorders>
            <w:shd w:val="clear" w:color="000000" w:fill="FFFFFF"/>
            <w:noWrap/>
            <w:vAlign w:val="bottom"/>
            <w:hideMark/>
          </w:tcPr>
          <w:p w14:paraId="4611863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15,428.00 </w:t>
            </w:r>
          </w:p>
        </w:tc>
        <w:tc>
          <w:tcPr>
            <w:tcW w:w="490" w:type="pct"/>
            <w:tcBorders>
              <w:top w:val="nil"/>
              <w:left w:val="nil"/>
              <w:bottom w:val="single" w:sz="4" w:space="0" w:color="auto"/>
              <w:right w:val="single" w:sz="4" w:space="0" w:color="auto"/>
            </w:tcBorders>
            <w:shd w:val="clear" w:color="000000" w:fill="FFFFFF"/>
            <w:noWrap/>
            <w:vAlign w:val="bottom"/>
            <w:hideMark/>
          </w:tcPr>
          <w:p w14:paraId="2956195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8,824.00 </w:t>
            </w:r>
          </w:p>
        </w:tc>
        <w:tc>
          <w:tcPr>
            <w:tcW w:w="60" w:type="pct"/>
            <w:vAlign w:val="center"/>
            <w:hideMark/>
          </w:tcPr>
          <w:p w14:paraId="6716C4AB" w14:textId="77777777" w:rsidR="00BC24D3" w:rsidRPr="00BC24D3" w:rsidRDefault="00BC24D3" w:rsidP="00BC24D3">
            <w:pPr>
              <w:spacing w:before="0" w:after="0" w:line="240" w:lineRule="auto"/>
              <w:jc w:val="left"/>
              <w:rPr>
                <w:sz w:val="20"/>
                <w:szCs w:val="20"/>
                <w:lang w:val="en-IN"/>
              </w:rPr>
            </w:pPr>
          </w:p>
        </w:tc>
      </w:tr>
      <w:tr w:rsidR="00BC24D3" w:rsidRPr="00BC24D3" w14:paraId="314818AF"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B47F5E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Sales"</w:t>
            </w:r>
          </w:p>
        </w:tc>
        <w:tc>
          <w:tcPr>
            <w:tcW w:w="1173" w:type="pct"/>
            <w:vMerge/>
            <w:tcBorders>
              <w:top w:val="nil"/>
              <w:left w:val="single" w:sz="4" w:space="0" w:color="auto"/>
              <w:bottom w:val="single" w:sz="4" w:space="0" w:color="auto"/>
              <w:right w:val="single" w:sz="4" w:space="0" w:color="auto"/>
            </w:tcBorders>
            <w:vAlign w:val="center"/>
            <w:hideMark/>
          </w:tcPr>
          <w:p w14:paraId="02B2A9DE"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1B2B6D8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3,24,656.00 </w:t>
            </w:r>
          </w:p>
        </w:tc>
        <w:tc>
          <w:tcPr>
            <w:tcW w:w="490" w:type="pct"/>
            <w:tcBorders>
              <w:top w:val="nil"/>
              <w:left w:val="nil"/>
              <w:bottom w:val="single" w:sz="4" w:space="0" w:color="auto"/>
              <w:right w:val="single" w:sz="4" w:space="0" w:color="auto"/>
            </w:tcBorders>
            <w:shd w:val="clear" w:color="000000" w:fill="FFFFFF"/>
            <w:noWrap/>
            <w:vAlign w:val="bottom"/>
            <w:hideMark/>
          </w:tcPr>
          <w:p w14:paraId="6C15E9F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€ 3,22,284.00 </w:t>
            </w:r>
          </w:p>
        </w:tc>
        <w:tc>
          <w:tcPr>
            <w:tcW w:w="490" w:type="pct"/>
            <w:tcBorders>
              <w:top w:val="nil"/>
              <w:left w:val="nil"/>
              <w:bottom w:val="single" w:sz="4" w:space="0" w:color="auto"/>
              <w:right w:val="single" w:sz="4" w:space="0" w:color="auto"/>
            </w:tcBorders>
            <w:shd w:val="clear" w:color="000000" w:fill="FFFFFF"/>
            <w:noWrap/>
            <w:vAlign w:val="bottom"/>
            <w:hideMark/>
          </w:tcPr>
          <w:p w14:paraId="1FBDF80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€ 2,79,232.00 </w:t>
            </w:r>
          </w:p>
        </w:tc>
        <w:tc>
          <w:tcPr>
            <w:tcW w:w="490" w:type="pct"/>
            <w:tcBorders>
              <w:top w:val="nil"/>
              <w:left w:val="nil"/>
              <w:bottom w:val="single" w:sz="4" w:space="0" w:color="auto"/>
              <w:right w:val="single" w:sz="4" w:space="0" w:color="auto"/>
            </w:tcBorders>
            <w:shd w:val="clear" w:color="000000" w:fill="FFFFFF"/>
            <w:noWrap/>
            <w:vAlign w:val="bottom"/>
            <w:hideMark/>
          </w:tcPr>
          <w:p w14:paraId="55E2220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€ 2,50,200.00 </w:t>
            </w:r>
          </w:p>
        </w:tc>
        <w:tc>
          <w:tcPr>
            <w:tcW w:w="490" w:type="pct"/>
            <w:tcBorders>
              <w:top w:val="nil"/>
              <w:left w:val="nil"/>
              <w:bottom w:val="single" w:sz="4" w:space="0" w:color="auto"/>
              <w:right w:val="single" w:sz="4" w:space="0" w:color="auto"/>
            </w:tcBorders>
            <w:shd w:val="clear" w:color="000000" w:fill="FFFFFF"/>
            <w:noWrap/>
            <w:vAlign w:val="bottom"/>
            <w:hideMark/>
          </w:tcPr>
          <w:p w14:paraId="5F3F4FF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€ 2,22,884.00 </w:t>
            </w:r>
          </w:p>
        </w:tc>
        <w:tc>
          <w:tcPr>
            <w:tcW w:w="60" w:type="pct"/>
            <w:vAlign w:val="center"/>
            <w:hideMark/>
          </w:tcPr>
          <w:p w14:paraId="1AEA8048" w14:textId="77777777" w:rsidR="00BC24D3" w:rsidRPr="00BC24D3" w:rsidRDefault="00BC24D3" w:rsidP="00BC24D3">
            <w:pPr>
              <w:spacing w:before="0" w:after="0" w:line="240" w:lineRule="auto"/>
              <w:jc w:val="left"/>
              <w:rPr>
                <w:sz w:val="20"/>
                <w:szCs w:val="20"/>
                <w:lang w:val="en-IN"/>
              </w:rPr>
            </w:pPr>
          </w:p>
        </w:tc>
      </w:tr>
      <w:tr w:rsidR="00BC24D3" w:rsidRPr="00BC24D3" w14:paraId="1BD3882F"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5E7B2D6"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"Net Profit Margin"</w:t>
            </w:r>
          </w:p>
        </w:tc>
        <w:tc>
          <w:tcPr>
            <w:tcW w:w="1173" w:type="pct"/>
            <w:vMerge/>
            <w:tcBorders>
              <w:top w:val="nil"/>
              <w:left w:val="single" w:sz="4" w:space="0" w:color="auto"/>
              <w:bottom w:val="single" w:sz="4" w:space="0" w:color="auto"/>
              <w:right w:val="single" w:sz="4" w:space="0" w:color="auto"/>
            </w:tcBorders>
            <w:vAlign w:val="center"/>
            <w:hideMark/>
          </w:tcPr>
          <w:p w14:paraId="14C49D9A"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5DED8F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3.82%</w:t>
            </w:r>
          </w:p>
        </w:tc>
        <w:tc>
          <w:tcPr>
            <w:tcW w:w="490" w:type="pct"/>
            <w:tcBorders>
              <w:top w:val="nil"/>
              <w:left w:val="nil"/>
              <w:bottom w:val="single" w:sz="4" w:space="0" w:color="auto"/>
              <w:right w:val="single" w:sz="4" w:space="0" w:color="auto"/>
            </w:tcBorders>
            <w:shd w:val="clear" w:color="000000" w:fill="FFFFFF"/>
            <w:noWrap/>
            <w:vAlign w:val="bottom"/>
            <w:hideMark/>
          </w:tcPr>
          <w:p w14:paraId="6136422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5.54%</w:t>
            </w:r>
          </w:p>
        </w:tc>
        <w:tc>
          <w:tcPr>
            <w:tcW w:w="490" w:type="pct"/>
            <w:tcBorders>
              <w:top w:val="nil"/>
              <w:left w:val="nil"/>
              <w:bottom w:val="single" w:sz="4" w:space="0" w:color="auto"/>
              <w:right w:val="single" w:sz="4" w:space="0" w:color="auto"/>
            </w:tcBorders>
            <w:shd w:val="clear" w:color="000000" w:fill="FFFFFF"/>
            <w:noWrap/>
            <w:vAlign w:val="bottom"/>
            <w:hideMark/>
          </w:tcPr>
          <w:p w14:paraId="79951534"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5.67%</w:t>
            </w:r>
          </w:p>
        </w:tc>
        <w:tc>
          <w:tcPr>
            <w:tcW w:w="490" w:type="pct"/>
            <w:tcBorders>
              <w:top w:val="nil"/>
              <w:left w:val="nil"/>
              <w:bottom w:val="single" w:sz="4" w:space="0" w:color="auto"/>
              <w:right w:val="single" w:sz="4" w:space="0" w:color="auto"/>
            </w:tcBorders>
            <w:shd w:val="clear" w:color="000000" w:fill="FFFFFF"/>
            <w:noWrap/>
            <w:vAlign w:val="bottom"/>
            <w:hideMark/>
          </w:tcPr>
          <w:p w14:paraId="675B64D3"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6.17%</w:t>
            </w:r>
          </w:p>
        </w:tc>
        <w:tc>
          <w:tcPr>
            <w:tcW w:w="490" w:type="pct"/>
            <w:tcBorders>
              <w:top w:val="nil"/>
              <w:left w:val="nil"/>
              <w:bottom w:val="single" w:sz="4" w:space="0" w:color="auto"/>
              <w:right w:val="single" w:sz="4" w:space="0" w:color="auto"/>
            </w:tcBorders>
            <w:shd w:val="clear" w:color="000000" w:fill="FFFFFF"/>
            <w:noWrap/>
            <w:vAlign w:val="bottom"/>
            <w:hideMark/>
          </w:tcPr>
          <w:p w14:paraId="3837D31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3.96%</w:t>
            </w:r>
          </w:p>
        </w:tc>
        <w:tc>
          <w:tcPr>
            <w:tcW w:w="60" w:type="pct"/>
            <w:vAlign w:val="center"/>
            <w:hideMark/>
          </w:tcPr>
          <w:p w14:paraId="50A9C410" w14:textId="77777777" w:rsidR="00BC24D3" w:rsidRPr="00BC24D3" w:rsidRDefault="00BC24D3" w:rsidP="00BC24D3">
            <w:pPr>
              <w:spacing w:before="0" w:after="0" w:line="240" w:lineRule="auto"/>
              <w:jc w:val="left"/>
              <w:rPr>
                <w:sz w:val="20"/>
                <w:szCs w:val="20"/>
                <w:lang w:val="en-IN"/>
              </w:rPr>
            </w:pPr>
          </w:p>
        </w:tc>
      </w:tr>
      <w:tr w:rsidR="00BC24D3" w:rsidRPr="00BC24D3" w14:paraId="41FBCD6C"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D1C3BE8"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5F32FC09" w14:textId="77777777" w:rsidR="00BC24D3" w:rsidRPr="00BC24D3" w:rsidRDefault="00BC24D3" w:rsidP="00BC24D3">
            <w:pPr>
              <w:spacing w:before="0" w:after="0" w:line="240" w:lineRule="auto"/>
              <w:jc w:val="left"/>
              <w:rPr>
                <w:sz w:val="20"/>
                <w:szCs w:val="20"/>
                <w:lang w:val="en-IN"/>
              </w:rPr>
            </w:pPr>
          </w:p>
        </w:tc>
      </w:tr>
      <w:tr w:rsidR="00BC24D3" w:rsidRPr="00BC24D3" w14:paraId="1769ADE1"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4046E2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"Gross Profit Margin"</w:t>
            </w:r>
          </w:p>
        </w:tc>
        <w:tc>
          <w:tcPr>
            <w:tcW w:w="60" w:type="pct"/>
            <w:vAlign w:val="center"/>
            <w:hideMark/>
          </w:tcPr>
          <w:p w14:paraId="690246F9" w14:textId="77777777" w:rsidR="00BC24D3" w:rsidRPr="00BC24D3" w:rsidRDefault="00BC24D3" w:rsidP="00BC24D3">
            <w:pPr>
              <w:spacing w:before="0" w:after="0" w:line="240" w:lineRule="auto"/>
              <w:jc w:val="left"/>
              <w:rPr>
                <w:sz w:val="20"/>
                <w:szCs w:val="20"/>
                <w:lang w:val="en-IN"/>
              </w:rPr>
            </w:pPr>
          </w:p>
        </w:tc>
      </w:tr>
      <w:tr w:rsidR="00BC24D3" w:rsidRPr="00BC24D3" w14:paraId="5D3D7B1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C40480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59185D0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16B6CF7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E42830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58A9086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67B4D44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F41693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2B6F05C7" w14:textId="77777777" w:rsidR="00BC24D3" w:rsidRPr="00BC24D3" w:rsidRDefault="00BC24D3" w:rsidP="00BC24D3">
            <w:pPr>
              <w:spacing w:before="0" w:after="0" w:line="240" w:lineRule="auto"/>
              <w:jc w:val="left"/>
              <w:rPr>
                <w:sz w:val="20"/>
                <w:szCs w:val="20"/>
                <w:lang w:val="en-IN"/>
              </w:rPr>
            </w:pPr>
          </w:p>
        </w:tc>
      </w:tr>
      <w:tr w:rsidR="00BC24D3" w:rsidRPr="00BC24D3" w14:paraId="3B380D7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AA8B68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"Gross Profit"</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56EBB8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"(Gross Profit / Sales)*100"</w:t>
            </w:r>
          </w:p>
        </w:tc>
        <w:tc>
          <w:tcPr>
            <w:tcW w:w="512" w:type="pct"/>
            <w:tcBorders>
              <w:top w:val="nil"/>
              <w:left w:val="nil"/>
              <w:bottom w:val="single" w:sz="4" w:space="0" w:color="auto"/>
              <w:right w:val="single" w:sz="4" w:space="0" w:color="auto"/>
            </w:tcBorders>
            <w:shd w:val="clear" w:color="000000" w:fill="FFFFFF"/>
            <w:noWrap/>
            <w:vAlign w:val="bottom"/>
            <w:hideMark/>
          </w:tcPr>
          <w:p w14:paraId="141CC7C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59,472.00 </w:t>
            </w:r>
          </w:p>
        </w:tc>
        <w:tc>
          <w:tcPr>
            <w:tcW w:w="490" w:type="pct"/>
            <w:tcBorders>
              <w:top w:val="nil"/>
              <w:left w:val="nil"/>
              <w:bottom w:val="single" w:sz="4" w:space="0" w:color="auto"/>
              <w:right w:val="single" w:sz="4" w:space="0" w:color="auto"/>
            </w:tcBorders>
            <w:shd w:val="clear" w:color="000000" w:fill="FFFFFF"/>
            <w:noWrap/>
            <w:vAlign w:val="bottom"/>
            <w:hideMark/>
          </w:tcPr>
          <w:p w14:paraId="2F296E7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60,985.00 </w:t>
            </w:r>
          </w:p>
        </w:tc>
        <w:tc>
          <w:tcPr>
            <w:tcW w:w="490" w:type="pct"/>
            <w:tcBorders>
              <w:top w:val="nil"/>
              <w:left w:val="nil"/>
              <w:bottom w:val="single" w:sz="4" w:space="0" w:color="auto"/>
              <w:right w:val="single" w:sz="4" w:space="0" w:color="auto"/>
            </w:tcBorders>
            <w:shd w:val="clear" w:color="000000" w:fill="FFFFFF"/>
            <w:noWrap/>
            <w:vAlign w:val="bottom"/>
            <w:hideMark/>
          </w:tcPr>
          <w:p w14:paraId="6380B70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52,228.00 </w:t>
            </w:r>
          </w:p>
        </w:tc>
        <w:tc>
          <w:tcPr>
            <w:tcW w:w="490" w:type="pct"/>
            <w:tcBorders>
              <w:top w:val="nil"/>
              <w:left w:val="nil"/>
              <w:bottom w:val="single" w:sz="4" w:space="0" w:color="auto"/>
              <w:right w:val="single" w:sz="4" w:space="0" w:color="auto"/>
            </w:tcBorders>
            <w:shd w:val="clear" w:color="000000" w:fill="FFFFFF"/>
            <w:noWrap/>
            <w:vAlign w:val="bottom"/>
            <w:hideMark/>
          </w:tcPr>
          <w:p w14:paraId="5BF99C6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47,241.00 </w:t>
            </w:r>
          </w:p>
        </w:tc>
        <w:tc>
          <w:tcPr>
            <w:tcW w:w="490" w:type="pct"/>
            <w:tcBorders>
              <w:top w:val="nil"/>
              <w:left w:val="nil"/>
              <w:bottom w:val="single" w:sz="4" w:space="0" w:color="auto"/>
              <w:right w:val="single" w:sz="4" w:space="0" w:color="auto"/>
            </w:tcBorders>
            <w:shd w:val="clear" w:color="000000" w:fill="FFFFFF"/>
            <w:noWrap/>
            <w:vAlign w:val="bottom"/>
            <w:hideMark/>
          </w:tcPr>
          <w:p w14:paraId="11F1B24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38,947.00 </w:t>
            </w:r>
          </w:p>
        </w:tc>
        <w:tc>
          <w:tcPr>
            <w:tcW w:w="60" w:type="pct"/>
            <w:vAlign w:val="center"/>
            <w:hideMark/>
          </w:tcPr>
          <w:p w14:paraId="0050EA45" w14:textId="77777777" w:rsidR="00BC24D3" w:rsidRPr="00BC24D3" w:rsidRDefault="00BC24D3" w:rsidP="00BC24D3">
            <w:pPr>
              <w:spacing w:before="0" w:after="0" w:line="240" w:lineRule="auto"/>
              <w:jc w:val="left"/>
              <w:rPr>
                <w:sz w:val="20"/>
                <w:szCs w:val="20"/>
                <w:lang w:val="en-IN"/>
              </w:rPr>
            </w:pPr>
          </w:p>
        </w:tc>
      </w:tr>
      <w:tr w:rsidR="00BC24D3" w:rsidRPr="00BC24D3" w14:paraId="70FB904F"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068809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Sales"</w:t>
            </w:r>
          </w:p>
        </w:tc>
        <w:tc>
          <w:tcPr>
            <w:tcW w:w="1173" w:type="pct"/>
            <w:vMerge/>
            <w:tcBorders>
              <w:top w:val="nil"/>
              <w:left w:val="single" w:sz="4" w:space="0" w:color="auto"/>
              <w:bottom w:val="single" w:sz="4" w:space="0" w:color="auto"/>
              <w:right w:val="single" w:sz="4" w:space="0" w:color="auto"/>
            </w:tcBorders>
            <w:vAlign w:val="center"/>
            <w:hideMark/>
          </w:tcPr>
          <w:p w14:paraId="741B0A15"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4C5EBBF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3,24,656.00 </w:t>
            </w:r>
          </w:p>
        </w:tc>
        <w:tc>
          <w:tcPr>
            <w:tcW w:w="490" w:type="pct"/>
            <w:tcBorders>
              <w:top w:val="nil"/>
              <w:left w:val="nil"/>
              <w:bottom w:val="single" w:sz="4" w:space="0" w:color="auto"/>
              <w:right w:val="single" w:sz="4" w:space="0" w:color="auto"/>
            </w:tcBorders>
            <w:shd w:val="clear" w:color="000000" w:fill="FFFFFF"/>
            <w:noWrap/>
            <w:vAlign w:val="bottom"/>
            <w:hideMark/>
          </w:tcPr>
          <w:p w14:paraId="695EDC8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€ 3,22,284.00 </w:t>
            </w:r>
          </w:p>
        </w:tc>
        <w:tc>
          <w:tcPr>
            <w:tcW w:w="490" w:type="pct"/>
            <w:tcBorders>
              <w:top w:val="nil"/>
              <w:left w:val="nil"/>
              <w:bottom w:val="single" w:sz="4" w:space="0" w:color="auto"/>
              <w:right w:val="single" w:sz="4" w:space="0" w:color="auto"/>
            </w:tcBorders>
            <w:shd w:val="clear" w:color="000000" w:fill="FFFFFF"/>
            <w:noWrap/>
            <w:vAlign w:val="bottom"/>
            <w:hideMark/>
          </w:tcPr>
          <w:p w14:paraId="7740394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€ 2,79,232.00 </w:t>
            </w:r>
          </w:p>
        </w:tc>
        <w:tc>
          <w:tcPr>
            <w:tcW w:w="490" w:type="pct"/>
            <w:tcBorders>
              <w:top w:val="nil"/>
              <w:left w:val="nil"/>
              <w:bottom w:val="single" w:sz="4" w:space="0" w:color="auto"/>
              <w:right w:val="single" w:sz="4" w:space="0" w:color="auto"/>
            </w:tcBorders>
            <w:shd w:val="clear" w:color="000000" w:fill="FFFFFF"/>
            <w:noWrap/>
            <w:vAlign w:val="bottom"/>
            <w:hideMark/>
          </w:tcPr>
          <w:p w14:paraId="75E1749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€ 2,50,200.00 </w:t>
            </w:r>
          </w:p>
        </w:tc>
        <w:tc>
          <w:tcPr>
            <w:tcW w:w="490" w:type="pct"/>
            <w:tcBorders>
              <w:top w:val="nil"/>
              <w:left w:val="nil"/>
              <w:bottom w:val="single" w:sz="4" w:space="0" w:color="auto"/>
              <w:right w:val="single" w:sz="4" w:space="0" w:color="auto"/>
            </w:tcBorders>
            <w:shd w:val="clear" w:color="000000" w:fill="FFFFFF"/>
            <w:noWrap/>
            <w:vAlign w:val="bottom"/>
            <w:hideMark/>
          </w:tcPr>
          <w:p w14:paraId="65438A9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€ 2,22,884.00 </w:t>
            </w:r>
          </w:p>
        </w:tc>
        <w:tc>
          <w:tcPr>
            <w:tcW w:w="60" w:type="pct"/>
            <w:vAlign w:val="center"/>
            <w:hideMark/>
          </w:tcPr>
          <w:p w14:paraId="6B27CD4A" w14:textId="77777777" w:rsidR="00BC24D3" w:rsidRPr="00BC24D3" w:rsidRDefault="00BC24D3" w:rsidP="00BC24D3">
            <w:pPr>
              <w:spacing w:before="0" w:after="0" w:line="240" w:lineRule="auto"/>
              <w:jc w:val="left"/>
              <w:rPr>
                <w:sz w:val="20"/>
                <w:szCs w:val="20"/>
                <w:lang w:val="en-IN"/>
              </w:rPr>
            </w:pPr>
          </w:p>
        </w:tc>
      </w:tr>
      <w:tr w:rsidR="00BC24D3" w:rsidRPr="00BC24D3" w14:paraId="08CAA08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DDC0D6C"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"Gross Profit Margin"</w:t>
            </w:r>
          </w:p>
        </w:tc>
        <w:tc>
          <w:tcPr>
            <w:tcW w:w="1173" w:type="pct"/>
            <w:vMerge/>
            <w:tcBorders>
              <w:top w:val="nil"/>
              <w:left w:val="single" w:sz="4" w:space="0" w:color="auto"/>
              <w:bottom w:val="single" w:sz="4" w:space="0" w:color="auto"/>
              <w:right w:val="single" w:sz="4" w:space="0" w:color="auto"/>
            </w:tcBorders>
            <w:vAlign w:val="center"/>
            <w:hideMark/>
          </w:tcPr>
          <w:p w14:paraId="7DFBE9A2"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443EE05D"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18.32%</w:t>
            </w:r>
          </w:p>
        </w:tc>
        <w:tc>
          <w:tcPr>
            <w:tcW w:w="490" w:type="pct"/>
            <w:tcBorders>
              <w:top w:val="nil"/>
              <w:left w:val="nil"/>
              <w:bottom w:val="single" w:sz="4" w:space="0" w:color="auto"/>
              <w:right w:val="single" w:sz="4" w:space="0" w:color="auto"/>
            </w:tcBorders>
            <w:shd w:val="clear" w:color="000000" w:fill="FFFFFF"/>
            <w:noWrap/>
            <w:vAlign w:val="bottom"/>
            <w:hideMark/>
          </w:tcPr>
          <w:p w14:paraId="3B323B0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18.92%</w:t>
            </w:r>
          </w:p>
        </w:tc>
        <w:tc>
          <w:tcPr>
            <w:tcW w:w="490" w:type="pct"/>
            <w:tcBorders>
              <w:top w:val="nil"/>
              <w:left w:val="nil"/>
              <w:bottom w:val="single" w:sz="4" w:space="0" w:color="auto"/>
              <w:right w:val="single" w:sz="4" w:space="0" w:color="auto"/>
            </w:tcBorders>
            <w:shd w:val="clear" w:color="000000" w:fill="FFFFFF"/>
            <w:noWrap/>
            <w:vAlign w:val="bottom"/>
            <w:hideMark/>
          </w:tcPr>
          <w:p w14:paraId="110E92CC"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18.70%</w:t>
            </w:r>
          </w:p>
        </w:tc>
        <w:tc>
          <w:tcPr>
            <w:tcW w:w="490" w:type="pct"/>
            <w:tcBorders>
              <w:top w:val="nil"/>
              <w:left w:val="nil"/>
              <w:bottom w:val="single" w:sz="4" w:space="0" w:color="auto"/>
              <w:right w:val="single" w:sz="4" w:space="0" w:color="auto"/>
            </w:tcBorders>
            <w:shd w:val="clear" w:color="000000" w:fill="FFFFFF"/>
            <w:noWrap/>
            <w:vAlign w:val="bottom"/>
            <w:hideMark/>
          </w:tcPr>
          <w:p w14:paraId="7722522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18.88%</w:t>
            </w:r>
          </w:p>
        </w:tc>
        <w:tc>
          <w:tcPr>
            <w:tcW w:w="490" w:type="pct"/>
            <w:tcBorders>
              <w:top w:val="nil"/>
              <w:left w:val="nil"/>
              <w:bottom w:val="single" w:sz="4" w:space="0" w:color="auto"/>
              <w:right w:val="single" w:sz="4" w:space="0" w:color="auto"/>
            </w:tcBorders>
            <w:shd w:val="clear" w:color="000000" w:fill="FFFFFF"/>
            <w:noWrap/>
            <w:vAlign w:val="bottom"/>
            <w:hideMark/>
          </w:tcPr>
          <w:p w14:paraId="7AB5BAC4"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17.47%</w:t>
            </w:r>
          </w:p>
        </w:tc>
        <w:tc>
          <w:tcPr>
            <w:tcW w:w="60" w:type="pct"/>
            <w:vAlign w:val="center"/>
            <w:hideMark/>
          </w:tcPr>
          <w:p w14:paraId="28CAD7EE" w14:textId="77777777" w:rsidR="00BC24D3" w:rsidRPr="00BC24D3" w:rsidRDefault="00BC24D3" w:rsidP="00BC24D3">
            <w:pPr>
              <w:spacing w:before="0" w:after="0" w:line="240" w:lineRule="auto"/>
              <w:jc w:val="left"/>
              <w:rPr>
                <w:sz w:val="20"/>
                <w:szCs w:val="20"/>
                <w:lang w:val="en-IN"/>
              </w:rPr>
            </w:pPr>
          </w:p>
        </w:tc>
      </w:tr>
      <w:tr w:rsidR="00BC24D3" w:rsidRPr="00BC24D3" w14:paraId="6BD28359" w14:textId="77777777" w:rsidTr="00BC24D3">
        <w:trPr>
          <w:trHeight w:val="312"/>
          <w:jc w:val="center"/>
        </w:trPr>
        <w:tc>
          <w:tcPr>
            <w:tcW w:w="4940" w:type="pct"/>
            <w:gridSpan w:val="7"/>
            <w:vMerge w:val="restart"/>
            <w:tcBorders>
              <w:top w:val="single" w:sz="4" w:space="0" w:color="auto"/>
              <w:left w:val="single" w:sz="4" w:space="0" w:color="auto"/>
              <w:bottom w:val="single" w:sz="4" w:space="0" w:color="auto"/>
              <w:right w:val="single" w:sz="4" w:space="0" w:color="auto"/>
            </w:tcBorders>
            <w:shd w:val="clear" w:color="000000" w:fill="FF9999"/>
            <w:noWrap/>
            <w:vAlign w:val="center"/>
            <w:hideMark/>
          </w:tcPr>
          <w:p w14:paraId="607C1C9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"Liquidity ratio"</w:t>
            </w:r>
          </w:p>
        </w:tc>
        <w:tc>
          <w:tcPr>
            <w:tcW w:w="60" w:type="pct"/>
            <w:vAlign w:val="center"/>
            <w:hideMark/>
          </w:tcPr>
          <w:p w14:paraId="14611796" w14:textId="77777777" w:rsidR="00BC24D3" w:rsidRPr="00BC24D3" w:rsidRDefault="00BC24D3" w:rsidP="00BC24D3">
            <w:pPr>
              <w:spacing w:before="0" w:after="0" w:line="240" w:lineRule="auto"/>
              <w:jc w:val="left"/>
              <w:rPr>
                <w:sz w:val="20"/>
                <w:szCs w:val="20"/>
                <w:lang w:val="en-IN"/>
              </w:rPr>
            </w:pPr>
          </w:p>
        </w:tc>
      </w:tr>
      <w:tr w:rsidR="00BC24D3" w:rsidRPr="00BC24D3" w14:paraId="795B091B" w14:textId="77777777" w:rsidTr="00BC24D3">
        <w:trPr>
          <w:trHeight w:val="312"/>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0605CD78"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27A829DF" w14:textId="77777777" w:rsidR="00BC24D3" w:rsidRPr="00BC24D3" w:rsidRDefault="00BC24D3" w:rsidP="00BC24D3">
            <w:pPr>
              <w:spacing w:before="0" w:after="0" w:line="240" w:lineRule="auto"/>
              <w:jc w:val="center"/>
              <w:rPr>
                <w:rFonts w:ascii="Arial" w:hAnsi="Arial" w:cs="Arial"/>
                <w:b/>
                <w:bCs/>
                <w:color w:val="000000"/>
                <w:lang w:val="en-IN"/>
              </w:rPr>
            </w:pPr>
          </w:p>
        </w:tc>
      </w:tr>
      <w:tr w:rsidR="00BC24D3" w:rsidRPr="00BC24D3" w14:paraId="03135420"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4793A6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"Current ratio"</w:t>
            </w:r>
          </w:p>
        </w:tc>
        <w:tc>
          <w:tcPr>
            <w:tcW w:w="60" w:type="pct"/>
            <w:vAlign w:val="center"/>
            <w:hideMark/>
          </w:tcPr>
          <w:p w14:paraId="29C198E5" w14:textId="77777777" w:rsidR="00BC24D3" w:rsidRPr="00BC24D3" w:rsidRDefault="00BC24D3" w:rsidP="00BC24D3">
            <w:pPr>
              <w:spacing w:before="0" w:after="0" w:line="240" w:lineRule="auto"/>
              <w:jc w:val="left"/>
              <w:rPr>
                <w:sz w:val="20"/>
                <w:szCs w:val="20"/>
                <w:lang w:val="en-IN"/>
              </w:rPr>
            </w:pPr>
          </w:p>
        </w:tc>
      </w:tr>
      <w:tr w:rsidR="00BC24D3" w:rsidRPr="00BC24D3" w14:paraId="44AE13F7"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78EF55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6265E5E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7A32296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16B6E1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416B7D8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53BBE37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6A12E96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7291210E" w14:textId="77777777" w:rsidR="00BC24D3" w:rsidRPr="00BC24D3" w:rsidRDefault="00BC24D3" w:rsidP="00BC24D3">
            <w:pPr>
              <w:spacing w:before="0" w:after="0" w:line="240" w:lineRule="auto"/>
              <w:jc w:val="left"/>
              <w:rPr>
                <w:sz w:val="20"/>
                <w:szCs w:val="20"/>
                <w:lang w:val="en-IN"/>
              </w:rPr>
            </w:pPr>
          </w:p>
        </w:tc>
      </w:tr>
      <w:tr w:rsidR="00BC24D3" w:rsidRPr="00BC24D3" w14:paraId="7B1262F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6540CA9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"Current assets"</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1A7DC5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"Current assets/Current liabilities"</w:t>
            </w:r>
          </w:p>
        </w:tc>
        <w:tc>
          <w:tcPr>
            <w:tcW w:w="512" w:type="pct"/>
            <w:tcBorders>
              <w:top w:val="nil"/>
              <w:left w:val="nil"/>
              <w:bottom w:val="single" w:sz="4" w:space="0" w:color="auto"/>
              <w:right w:val="single" w:sz="4" w:space="0" w:color="auto"/>
            </w:tcBorders>
            <w:shd w:val="clear" w:color="000000" w:fill="FFFFFF"/>
            <w:noWrap/>
            <w:vAlign w:val="bottom"/>
            <w:hideMark/>
          </w:tcPr>
          <w:p w14:paraId="1FBDC4C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2,45,231.00 </w:t>
            </w:r>
          </w:p>
        </w:tc>
        <w:tc>
          <w:tcPr>
            <w:tcW w:w="490" w:type="pct"/>
            <w:tcBorders>
              <w:top w:val="nil"/>
              <w:left w:val="nil"/>
              <w:bottom w:val="single" w:sz="4" w:space="0" w:color="auto"/>
              <w:right w:val="single" w:sz="4" w:space="0" w:color="auto"/>
            </w:tcBorders>
            <w:shd w:val="clear" w:color="000000" w:fill="FFFFFF"/>
            <w:noWrap/>
            <w:vAlign w:val="bottom"/>
            <w:hideMark/>
          </w:tcPr>
          <w:p w14:paraId="4E3232A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€ 2,39,644.00 </w:t>
            </w:r>
          </w:p>
        </w:tc>
        <w:tc>
          <w:tcPr>
            <w:tcW w:w="490" w:type="pct"/>
            <w:tcBorders>
              <w:top w:val="nil"/>
              <w:left w:val="nil"/>
              <w:bottom w:val="single" w:sz="4" w:space="0" w:color="auto"/>
              <w:right w:val="single" w:sz="4" w:space="0" w:color="auto"/>
            </w:tcBorders>
            <w:shd w:val="clear" w:color="000000" w:fill="FFFFFF"/>
            <w:noWrap/>
            <w:vAlign w:val="bottom"/>
            <w:hideMark/>
          </w:tcPr>
          <w:p w14:paraId="76CEE0E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€ 2,24,309.00 </w:t>
            </w:r>
          </w:p>
        </w:tc>
        <w:tc>
          <w:tcPr>
            <w:tcW w:w="490" w:type="pct"/>
            <w:tcBorders>
              <w:top w:val="nil"/>
              <w:left w:val="nil"/>
              <w:bottom w:val="single" w:sz="4" w:space="0" w:color="auto"/>
              <w:right w:val="single" w:sz="4" w:space="0" w:color="auto"/>
            </w:tcBorders>
            <w:shd w:val="clear" w:color="000000" w:fill="FFFFFF"/>
            <w:noWrap/>
            <w:vAlign w:val="bottom"/>
            <w:hideMark/>
          </w:tcPr>
          <w:p w14:paraId="79974CD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€ 2,00,347.00 </w:t>
            </w:r>
          </w:p>
        </w:tc>
        <w:tc>
          <w:tcPr>
            <w:tcW w:w="490" w:type="pct"/>
            <w:tcBorders>
              <w:top w:val="nil"/>
              <w:left w:val="nil"/>
              <w:bottom w:val="single" w:sz="4" w:space="0" w:color="auto"/>
              <w:right w:val="single" w:sz="4" w:space="0" w:color="auto"/>
            </w:tcBorders>
            <w:shd w:val="clear" w:color="000000" w:fill="FFFFFF"/>
            <w:noWrap/>
            <w:vAlign w:val="bottom"/>
            <w:hideMark/>
          </w:tcPr>
          <w:p w14:paraId="3C6CD52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€ 1,94,944.00 </w:t>
            </w:r>
          </w:p>
        </w:tc>
        <w:tc>
          <w:tcPr>
            <w:tcW w:w="60" w:type="pct"/>
            <w:vAlign w:val="center"/>
            <w:hideMark/>
          </w:tcPr>
          <w:p w14:paraId="363A711E" w14:textId="77777777" w:rsidR="00BC24D3" w:rsidRPr="00BC24D3" w:rsidRDefault="00BC24D3" w:rsidP="00BC24D3">
            <w:pPr>
              <w:spacing w:before="0" w:after="0" w:line="240" w:lineRule="auto"/>
              <w:jc w:val="left"/>
              <w:rPr>
                <w:sz w:val="20"/>
                <w:szCs w:val="20"/>
                <w:lang w:val="en-IN"/>
              </w:rPr>
            </w:pPr>
          </w:p>
        </w:tc>
      </w:tr>
      <w:tr w:rsidR="00BC24D3" w:rsidRPr="00BC24D3" w14:paraId="12B781C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B6B7A1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Current Liabilities"</w:t>
            </w:r>
          </w:p>
        </w:tc>
        <w:tc>
          <w:tcPr>
            <w:tcW w:w="1173" w:type="pct"/>
            <w:vMerge/>
            <w:tcBorders>
              <w:top w:val="nil"/>
              <w:left w:val="single" w:sz="4" w:space="0" w:color="auto"/>
              <w:bottom w:val="single" w:sz="4" w:space="0" w:color="auto"/>
              <w:right w:val="single" w:sz="4" w:space="0" w:color="auto"/>
            </w:tcBorders>
            <w:vAlign w:val="center"/>
            <w:hideMark/>
          </w:tcPr>
          <w:p w14:paraId="3538A964"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9C728A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2,17,039.00 </w:t>
            </w:r>
          </w:p>
        </w:tc>
        <w:tc>
          <w:tcPr>
            <w:tcW w:w="490" w:type="pct"/>
            <w:tcBorders>
              <w:top w:val="nil"/>
              <w:left w:val="nil"/>
              <w:bottom w:val="single" w:sz="4" w:space="0" w:color="auto"/>
              <w:right w:val="single" w:sz="4" w:space="0" w:color="auto"/>
            </w:tcBorders>
            <w:shd w:val="clear" w:color="000000" w:fill="FFFFFF"/>
            <w:noWrap/>
            <w:vAlign w:val="bottom"/>
            <w:hideMark/>
          </w:tcPr>
          <w:p w14:paraId="486FB23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€ 2,06,036.00 </w:t>
            </w:r>
          </w:p>
        </w:tc>
        <w:tc>
          <w:tcPr>
            <w:tcW w:w="490" w:type="pct"/>
            <w:tcBorders>
              <w:top w:val="nil"/>
              <w:left w:val="nil"/>
              <w:bottom w:val="single" w:sz="4" w:space="0" w:color="auto"/>
              <w:right w:val="single" w:sz="4" w:space="0" w:color="auto"/>
            </w:tcBorders>
            <w:shd w:val="clear" w:color="000000" w:fill="FFFFFF"/>
            <w:noWrap/>
            <w:vAlign w:val="bottom"/>
            <w:hideMark/>
          </w:tcPr>
          <w:p w14:paraId="001595A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€ 1,82,992.00 </w:t>
            </w:r>
          </w:p>
        </w:tc>
        <w:tc>
          <w:tcPr>
            <w:tcW w:w="490" w:type="pct"/>
            <w:tcBorders>
              <w:top w:val="nil"/>
              <w:left w:val="nil"/>
              <w:bottom w:val="single" w:sz="4" w:space="0" w:color="auto"/>
              <w:right w:val="single" w:sz="4" w:space="0" w:color="auto"/>
            </w:tcBorders>
            <w:shd w:val="clear" w:color="000000" w:fill="FFFFFF"/>
            <w:noWrap/>
            <w:vAlign w:val="bottom"/>
            <w:hideMark/>
          </w:tcPr>
          <w:p w14:paraId="571A995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€ 1,64,393.00 </w:t>
            </w:r>
          </w:p>
        </w:tc>
        <w:tc>
          <w:tcPr>
            <w:tcW w:w="490" w:type="pct"/>
            <w:tcBorders>
              <w:top w:val="nil"/>
              <w:left w:val="nil"/>
              <w:bottom w:val="single" w:sz="4" w:space="0" w:color="auto"/>
              <w:right w:val="single" w:sz="4" w:space="0" w:color="auto"/>
            </w:tcBorders>
            <w:shd w:val="clear" w:color="000000" w:fill="FFFFFF"/>
            <w:noWrap/>
            <w:vAlign w:val="bottom"/>
            <w:hideMark/>
          </w:tcPr>
          <w:p w14:paraId="327A1DA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€ 1,65,410.00 </w:t>
            </w:r>
          </w:p>
        </w:tc>
        <w:tc>
          <w:tcPr>
            <w:tcW w:w="60" w:type="pct"/>
            <w:vAlign w:val="center"/>
            <w:hideMark/>
          </w:tcPr>
          <w:p w14:paraId="11D0CF90" w14:textId="77777777" w:rsidR="00BC24D3" w:rsidRPr="00BC24D3" w:rsidRDefault="00BC24D3" w:rsidP="00BC24D3">
            <w:pPr>
              <w:spacing w:before="0" w:after="0" w:line="240" w:lineRule="auto"/>
              <w:jc w:val="left"/>
              <w:rPr>
                <w:sz w:val="20"/>
                <w:szCs w:val="20"/>
                <w:lang w:val="en-IN"/>
              </w:rPr>
            </w:pPr>
          </w:p>
        </w:tc>
      </w:tr>
      <w:tr w:rsidR="00BC24D3" w:rsidRPr="00BC24D3" w14:paraId="7E31554D"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4F9BD0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"Current ratio"</w:t>
            </w:r>
          </w:p>
        </w:tc>
        <w:tc>
          <w:tcPr>
            <w:tcW w:w="1173" w:type="pct"/>
            <w:vMerge/>
            <w:tcBorders>
              <w:top w:val="nil"/>
              <w:left w:val="single" w:sz="4" w:space="0" w:color="auto"/>
              <w:bottom w:val="single" w:sz="4" w:space="0" w:color="auto"/>
              <w:right w:val="single" w:sz="4" w:space="0" w:color="auto"/>
            </w:tcBorders>
            <w:vAlign w:val="center"/>
            <w:hideMark/>
          </w:tcPr>
          <w:p w14:paraId="1BD58F4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AE7946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1.13</w:t>
            </w:r>
          </w:p>
        </w:tc>
        <w:tc>
          <w:tcPr>
            <w:tcW w:w="490" w:type="pct"/>
            <w:tcBorders>
              <w:top w:val="nil"/>
              <w:left w:val="nil"/>
              <w:bottom w:val="single" w:sz="4" w:space="0" w:color="auto"/>
              <w:right w:val="single" w:sz="4" w:space="0" w:color="auto"/>
            </w:tcBorders>
            <w:shd w:val="clear" w:color="000000" w:fill="FFFFFF"/>
            <w:noWrap/>
            <w:vAlign w:val="bottom"/>
            <w:hideMark/>
          </w:tcPr>
          <w:p w14:paraId="513510E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1.16</w:t>
            </w:r>
          </w:p>
        </w:tc>
        <w:tc>
          <w:tcPr>
            <w:tcW w:w="490" w:type="pct"/>
            <w:tcBorders>
              <w:top w:val="nil"/>
              <w:left w:val="nil"/>
              <w:bottom w:val="single" w:sz="4" w:space="0" w:color="auto"/>
              <w:right w:val="single" w:sz="4" w:space="0" w:color="auto"/>
            </w:tcBorders>
            <w:shd w:val="clear" w:color="000000" w:fill="FFFFFF"/>
            <w:noWrap/>
            <w:vAlign w:val="bottom"/>
            <w:hideMark/>
          </w:tcPr>
          <w:p w14:paraId="7BD7484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1.23</w:t>
            </w:r>
          </w:p>
        </w:tc>
        <w:tc>
          <w:tcPr>
            <w:tcW w:w="490" w:type="pct"/>
            <w:tcBorders>
              <w:top w:val="nil"/>
              <w:left w:val="nil"/>
              <w:bottom w:val="single" w:sz="4" w:space="0" w:color="auto"/>
              <w:right w:val="single" w:sz="4" w:space="0" w:color="auto"/>
            </w:tcBorders>
            <w:shd w:val="clear" w:color="000000" w:fill="FFFFFF"/>
            <w:noWrap/>
            <w:vAlign w:val="bottom"/>
            <w:hideMark/>
          </w:tcPr>
          <w:p w14:paraId="0CFDF45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1.22</w:t>
            </w:r>
          </w:p>
        </w:tc>
        <w:tc>
          <w:tcPr>
            <w:tcW w:w="490" w:type="pct"/>
            <w:tcBorders>
              <w:top w:val="nil"/>
              <w:left w:val="nil"/>
              <w:bottom w:val="single" w:sz="4" w:space="0" w:color="auto"/>
              <w:right w:val="single" w:sz="4" w:space="0" w:color="auto"/>
            </w:tcBorders>
            <w:shd w:val="clear" w:color="000000" w:fill="FFFFFF"/>
            <w:noWrap/>
            <w:vAlign w:val="bottom"/>
            <w:hideMark/>
          </w:tcPr>
          <w:p w14:paraId="059367FA"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1.18</w:t>
            </w:r>
          </w:p>
        </w:tc>
        <w:tc>
          <w:tcPr>
            <w:tcW w:w="60" w:type="pct"/>
            <w:vAlign w:val="center"/>
            <w:hideMark/>
          </w:tcPr>
          <w:p w14:paraId="0308A868" w14:textId="77777777" w:rsidR="00BC24D3" w:rsidRPr="00BC24D3" w:rsidRDefault="00BC24D3" w:rsidP="00BC24D3">
            <w:pPr>
              <w:spacing w:before="0" w:after="0" w:line="240" w:lineRule="auto"/>
              <w:jc w:val="left"/>
              <w:rPr>
                <w:sz w:val="20"/>
                <w:szCs w:val="20"/>
                <w:lang w:val="en-IN"/>
              </w:rPr>
            </w:pPr>
          </w:p>
        </w:tc>
      </w:tr>
      <w:tr w:rsidR="00BC24D3" w:rsidRPr="00BC24D3" w14:paraId="1B93A502"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5A25BAB"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00A380DF" w14:textId="77777777" w:rsidR="00BC24D3" w:rsidRPr="00BC24D3" w:rsidRDefault="00BC24D3" w:rsidP="00BC24D3">
            <w:pPr>
              <w:spacing w:before="0" w:after="0" w:line="240" w:lineRule="auto"/>
              <w:jc w:val="left"/>
              <w:rPr>
                <w:sz w:val="20"/>
                <w:szCs w:val="20"/>
                <w:lang w:val="en-IN"/>
              </w:rPr>
            </w:pPr>
          </w:p>
        </w:tc>
      </w:tr>
      <w:tr w:rsidR="00BC24D3" w:rsidRPr="00BC24D3" w14:paraId="519079D4"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A2E07D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"Quick Ratio "</w:t>
            </w:r>
          </w:p>
        </w:tc>
        <w:tc>
          <w:tcPr>
            <w:tcW w:w="60" w:type="pct"/>
            <w:vAlign w:val="center"/>
            <w:hideMark/>
          </w:tcPr>
          <w:p w14:paraId="22EF4E02" w14:textId="77777777" w:rsidR="00BC24D3" w:rsidRPr="00BC24D3" w:rsidRDefault="00BC24D3" w:rsidP="00BC24D3">
            <w:pPr>
              <w:spacing w:before="0" w:after="0" w:line="240" w:lineRule="auto"/>
              <w:jc w:val="left"/>
              <w:rPr>
                <w:sz w:val="20"/>
                <w:szCs w:val="20"/>
                <w:lang w:val="en-IN"/>
              </w:rPr>
            </w:pPr>
          </w:p>
        </w:tc>
      </w:tr>
      <w:tr w:rsidR="00BC24D3" w:rsidRPr="00BC24D3" w14:paraId="193DC1A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E9EAD1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18624EA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E71131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22F66E2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62ED110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3BB4311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0ACBDB2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49A34FEB" w14:textId="77777777" w:rsidR="00BC24D3" w:rsidRPr="00BC24D3" w:rsidRDefault="00BC24D3" w:rsidP="00BC24D3">
            <w:pPr>
              <w:spacing w:before="0" w:after="0" w:line="240" w:lineRule="auto"/>
              <w:jc w:val="left"/>
              <w:rPr>
                <w:sz w:val="20"/>
                <w:szCs w:val="20"/>
                <w:lang w:val="en-IN"/>
              </w:rPr>
            </w:pPr>
          </w:p>
        </w:tc>
      </w:tr>
      <w:tr w:rsidR="00BC24D3" w:rsidRPr="00BC24D3" w14:paraId="027FAAE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13B61A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"Current assets"</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E1F68F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"(Current assets-Inventories)/Current liabilities"</w:t>
            </w:r>
          </w:p>
        </w:tc>
        <w:tc>
          <w:tcPr>
            <w:tcW w:w="512" w:type="pct"/>
            <w:tcBorders>
              <w:top w:val="nil"/>
              <w:left w:val="nil"/>
              <w:bottom w:val="single" w:sz="4" w:space="0" w:color="auto"/>
              <w:right w:val="single" w:sz="4" w:space="0" w:color="auto"/>
            </w:tcBorders>
            <w:shd w:val="clear" w:color="000000" w:fill="FFFFFF"/>
            <w:noWrap/>
            <w:vAlign w:val="bottom"/>
            <w:hideMark/>
          </w:tcPr>
          <w:p w14:paraId="660B99D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2,45,231.00 </w:t>
            </w:r>
          </w:p>
        </w:tc>
        <w:tc>
          <w:tcPr>
            <w:tcW w:w="490" w:type="pct"/>
            <w:tcBorders>
              <w:top w:val="nil"/>
              <w:left w:val="nil"/>
              <w:bottom w:val="single" w:sz="4" w:space="0" w:color="auto"/>
              <w:right w:val="single" w:sz="4" w:space="0" w:color="auto"/>
            </w:tcBorders>
            <w:shd w:val="clear" w:color="000000" w:fill="FFFFFF"/>
            <w:noWrap/>
            <w:vAlign w:val="bottom"/>
            <w:hideMark/>
          </w:tcPr>
          <w:p w14:paraId="66197E1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€ 2,39,644.00 </w:t>
            </w:r>
          </w:p>
        </w:tc>
        <w:tc>
          <w:tcPr>
            <w:tcW w:w="490" w:type="pct"/>
            <w:tcBorders>
              <w:top w:val="nil"/>
              <w:left w:val="nil"/>
              <w:bottom w:val="single" w:sz="4" w:space="0" w:color="auto"/>
              <w:right w:val="single" w:sz="4" w:space="0" w:color="auto"/>
            </w:tcBorders>
            <w:shd w:val="clear" w:color="000000" w:fill="FFFFFF"/>
            <w:noWrap/>
            <w:vAlign w:val="bottom"/>
            <w:hideMark/>
          </w:tcPr>
          <w:p w14:paraId="7B07CA1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€ 2,24,309.00 </w:t>
            </w:r>
          </w:p>
        </w:tc>
        <w:tc>
          <w:tcPr>
            <w:tcW w:w="490" w:type="pct"/>
            <w:tcBorders>
              <w:top w:val="nil"/>
              <w:left w:val="nil"/>
              <w:bottom w:val="single" w:sz="4" w:space="0" w:color="auto"/>
              <w:right w:val="single" w:sz="4" w:space="0" w:color="auto"/>
            </w:tcBorders>
            <w:shd w:val="clear" w:color="000000" w:fill="FFFFFF"/>
            <w:noWrap/>
            <w:vAlign w:val="bottom"/>
            <w:hideMark/>
          </w:tcPr>
          <w:p w14:paraId="74DFDC7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€ 2,00,347.00 </w:t>
            </w:r>
          </w:p>
        </w:tc>
        <w:tc>
          <w:tcPr>
            <w:tcW w:w="490" w:type="pct"/>
            <w:tcBorders>
              <w:top w:val="nil"/>
              <w:left w:val="nil"/>
              <w:bottom w:val="single" w:sz="4" w:space="0" w:color="auto"/>
              <w:right w:val="single" w:sz="4" w:space="0" w:color="auto"/>
            </w:tcBorders>
            <w:shd w:val="clear" w:color="000000" w:fill="FFFFFF"/>
            <w:noWrap/>
            <w:vAlign w:val="bottom"/>
            <w:hideMark/>
          </w:tcPr>
          <w:p w14:paraId="4B19CFD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€ 1,94,944.00 </w:t>
            </w:r>
          </w:p>
        </w:tc>
        <w:tc>
          <w:tcPr>
            <w:tcW w:w="60" w:type="pct"/>
            <w:vAlign w:val="center"/>
            <w:hideMark/>
          </w:tcPr>
          <w:p w14:paraId="3846783E" w14:textId="77777777" w:rsidR="00BC24D3" w:rsidRPr="00BC24D3" w:rsidRDefault="00BC24D3" w:rsidP="00BC24D3">
            <w:pPr>
              <w:spacing w:before="0" w:after="0" w:line="240" w:lineRule="auto"/>
              <w:jc w:val="left"/>
              <w:rPr>
                <w:sz w:val="20"/>
                <w:szCs w:val="20"/>
                <w:lang w:val="en-IN"/>
              </w:rPr>
            </w:pPr>
          </w:p>
        </w:tc>
      </w:tr>
      <w:tr w:rsidR="00BC24D3" w:rsidRPr="00BC24D3" w14:paraId="4649EB17"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6CC4B9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Inventories"</w:t>
            </w:r>
          </w:p>
        </w:tc>
        <w:tc>
          <w:tcPr>
            <w:tcW w:w="1173" w:type="pct"/>
            <w:vMerge/>
            <w:tcBorders>
              <w:top w:val="nil"/>
              <w:left w:val="single" w:sz="4" w:space="0" w:color="auto"/>
              <w:bottom w:val="single" w:sz="4" w:space="0" w:color="auto"/>
              <w:right w:val="single" w:sz="4" w:space="0" w:color="auto"/>
            </w:tcBorders>
            <w:vAlign w:val="center"/>
            <w:hideMark/>
          </w:tcPr>
          <w:p w14:paraId="167CBA60"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4A06A94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56,720.00 </w:t>
            </w:r>
          </w:p>
        </w:tc>
        <w:tc>
          <w:tcPr>
            <w:tcW w:w="490" w:type="pct"/>
            <w:tcBorders>
              <w:top w:val="nil"/>
              <w:left w:val="nil"/>
              <w:bottom w:val="single" w:sz="4" w:space="0" w:color="auto"/>
              <w:right w:val="single" w:sz="4" w:space="0" w:color="auto"/>
            </w:tcBorders>
            <w:shd w:val="clear" w:color="000000" w:fill="FFFFFF"/>
            <w:noWrap/>
            <w:vAlign w:val="bottom"/>
            <w:hideMark/>
          </w:tcPr>
          <w:p w14:paraId="7C97D4D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53,601.00 </w:t>
            </w:r>
          </w:p>
        </w:tc>
        <w:tc>
          <w:tcPr>
            <w:tcW w:w="490" w:type="pct"/>
            <w:tcBorders>
              <w:top w:val="nil"/>
              <w:left w:val="nil"/>
              <w:bottom w:val="single" w:sz="4" w:space="0" w:color="auto"/>
              <w:right w:val="single" w:sz="4" w:space="0" w:color="auto"/>
            </w:tcBorders>
            <w:shd w:val="clear" w:color="000000" w:fill="FFFFFF"/>
            <w:noWrap/>
            <w:vAlign w:val="bottom"/>
            <w:hideMark/>
          </w:tcPr>
          <w:p w14:paraId="67CC243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52,274.00 </w:t>
            </w:r>
          </w:p>
        </w:tc>
        <w:tc>
          <w:tcPr>
            <w:tcW w:w="490" w:type="pct"/>
            <w:tcBorders>
              <w:top w:val="nil"/>
              <w:left w:val="nil"/>
              <w:bottom w:val="single" w:sz="4" w:space="0" w:color="auto"/>
              <w:right w:val="single" w:sz="4" w:space="0" w:color="auto"/>
            </w:tcBorders>
            <w:shd w:val="clear" w:color="000000" w:fill="FFFFFF"/>
            <w:noWrap/>
            <w:vAlign w:val="bottom"/>
            <w:hideMark/>
          </w:tcPr>
          <w:p w14:paraId="1D9697D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43,725.00 </w:t>
            </w:r>
          </w:p>
        </w:tc>
        <w:tc>
          <w:tcPr>
            <w:tcW w:w="490" w:type="pct"/>
            <w:tcBorders>
              <w:top w:val="nil"/>
              <w:left w:val="nil"/>
              <w:bottom w:val="single" w:sz="4" w:space="0" w:color="auto"/>
              <w:right w:val="single" w:sz="4" w:space="0" w:color="auto"/>
            </w:tcBorders>
            <w:shd w:val="clear" w:color="000000" w:fill="FFFFFF"/>
            <w:noWrap/>
            <w:vAlign w:val="bottom"/>
            <w:hideMark/>
          </w:tcPr>
          <w:p w14:paraId="354CEE7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43,823.00 </w:t>
            </w:r>
          </w:p>
        </w:tc>
        <w:tc>
          <w:tcPr>
            <w:tcW w:w="60" w:type="pct"/>
            <w:vAlign w:val="center"/>
            <w:hideMark/>
          </w:tcPr>
          <w:p w14:paraId="63657517" w14:textId="77777777" w:rsidR="00BC24D3" w:rsidRPr="00BC24D3" w:rsidRDefault="00BC24D3" w:rsidP="00BC24D3">
            <w:pPr>
              <w:spacing w:before="0" w:after="0" w:line="240" w:lineRule="auto"/>
              <w:jc w:val="left"/>
              <w:rPr>
                <w:sz w:val="20"/>
                <w:szCs w:val="20"/>
                <w:lang w:val="en-IN"/>
              </w:rPr>
            </w:pPr>
          </w:p>
        </w:tc>
      </w:tr>
      <w:tr w:rsidR="00BC24D3" w:rsidRPr="00BC24D3" w14:paraId="608A5255"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CCCB53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"Difference"</w:t>
            </w:r>
          </w:p>
        </w:tc>
        <w:tc>
          <w:tcPr>
            <w:tcW w:w="1173" w:type="pct"/>
            <w:vMerge/>
            <w:tcBorders>
              <w:top w:val="nil"/>
              <w:left w:val="single" w:sz="4" w:space="0" w:color="auto"/>
              <w:bottom w:val="single" w:sz="4" w:space="0" w:color="auto"/>
              <w:right w:val="single" w:sz="4" w:space="0" w:color="auto"/>
            </w:tcBorders>
            <w:vAlign w:val="center"/>
            <w:hideMark/>
          </w:tcPr>
          <w:p w14:paraId="74519D81"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7A144E7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1,88,511.00 </w:t>
            </w:r>
          </w:p>
        </w:tc>
        <w:tc>
          <w:tcPr>
            <w:tcW w:w="490" w:type="pct"/>
            <w:tcBorders>
              <w:top w:val="nil"/>
              <w:left w:val="nil"/>
              <w:bottom w:val="single" w:sz="4" w:space="0" w:color="auto"/>
              <w:right w:val="single" w:sz="4" w:space="0" w:color="auto"/>
            </w:tcBorders>
            <w:shd w:val="clear" w:color="000000" w:fill="FFFFFF"/>
            <w:noWrap/>
            <w:vAlign w:val="bottom"/>
            <w:hideMark/>
          </w:tcPr>
          <w:p w14:paraId="78139ED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€ 1,86,043.00 </w:t>
            </w:r>
          </w:p>
        </w:tc>
        <w:tc>
          <w:tcPr>
            <w:tcW w:w="490" w:type="pct"/>
            <w:tcBorders>
              <w:top w:val="nil"/>
              <w:left w:val="nil"/>
              <w:bottom w:val="single" w:sz="4" w:space="0" w:color="auto"/>
              <w:right w:val="single" w:sz="4" w:space="0" w:color="auto"/>
            </w:tcBorders>
            <w:shd w:val="clear" w:color="000000" w:fill="FFFFFF"/>
            <w:noWrap/>
            <w:vAlign w:val="bottom"/>
            <w:hideMark/>
          </w:tcPr>
          <w:p w14:paraId="23C0CBE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€ 1,72,035.00 </w:t>
            </w:r>
          </w:p>
        </w:tc>
        <w:tc>
          <w:tcPr>
            <w:tcW w:w="490" w:type="pct"/>
            <w:tcBorders>
              <w:top w:val="nil"/>
              <w:left w:val="nil"/>
              <w:bottom w:val="single" w:sz="4" w:space="0" w:color="auto"/>
              <w:right w:val="single" w:sz="4" w:space="0" w:color="auto"/>
            </w:tcBorders>
            <w:shd w:val="clear" w:color="000000" w:fill="FFFFFF"/>
            <w:noWrap/>
            <w:vAlign w:val="bottom"/>
            <w:hideMark/>
          </w:tcPr>
          <w:p w14:paraId="365B799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€ 1,56,622.00 </w:t>
            </w:r>
          </w:p>
        </w:tc>
        <w:tc>
          <w:tcPr>
            <w:tcW w:w="490" w:type="pct"/>
            <w:tcBorders>
              <w:top w:val="nil"/>
              <w:left w:val="nil"/>
              <w:bottom w:val="single" w:sz="4" w:space="0" w:color="auto"/>
              <w:right w:val="single" w:sz="4" w:space="0" w:color="auto"/>
            </w:tcBorders>
            <w:shd w:val="clear" w:color="000000" w:fill="FFFFFF"/>
            <w:noWrap/>
            <w:vAlign w:val="bottom"/>
            <w:hideMark/>
          </w:tcPr>
          <w:p w14:paraId="6E548EC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€ 1,51,121.00 </w:t>
            </w:r>
          </w:p>
        </w:tc>
        <w:tc>
          <w:tcPr>
            <w:tcW w:w="60" w:type="pct"/>
            <w:vAlign w:val="center"/>
            <w:hideMark/>
          </w:tcPr>
          <w:p w14:paraId="3CF6BBAB" w14:textId="77777777" w:rsidR="00BC24D3" w:rsidRPr="00BC24D3" w:rsidRDefault="00BC24D3" w:rsidP="00BC24D3">
            <w:pPr>
              <w:spacing w:before="0" w:after="0" w:line="240" w:lineRule="auto"/>
              <w:jc w:val="left"/>
              <w:rPr>
                <w:sz w:val="20"/>
                <w:szCs w:val="20"/>
                <w:lang w:val="en-IN"/>
              </w:rPr>
            </w:pPr>
          </w:p>
        </w:tc>
      </w:tr>
      <w:tr w:rsidR="00BC24D3" w:rsidRPr="00BC24D3" w14:paraId="2FB4AC7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5855E1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Current Liabilities"</w:t>
            </w:r>
          </w:p>
        </w:tc>
        <w:tc>
          <w:tcPr>
            <w:tcW w:w="1173" w:type="pct"/>
            <w:vMerge/>
            <w:tcBorders>
              <w:top w:val="nil"/>
              <w:left w:val="single" w:sz="4" w:space="0" w:color="auto"/>
              <w:bottom w:val="single" w:sz="4" w:space="0" w:color="auto"/>
              <w:right w:val="single" w:sz="4" w:space="0" w:color="auto"/>
            </w:tcBorders>
            <w:vAlign w:val="center"/>
            <w:hideMark/>
          </w:tcPr>
          <w:p w14:paraId="5877A90A"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19CDB2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2,17,039.00 </w:t>
            </w:r>
          </w:p>
        </w:tc>
        <w:tc>
          <w:tcPr>
            <w:tcW w:w="490" w:type="pct"/>
            <w:tcBorders>
              <w:top w:val="nil"/>
              <w:left w:val="nil"/>
              <w:bottom w:val="single" w:sz="4" w:space="0" w:color="auto"/>
              <w:right w:val="single" w:sz="4" w:space="0" w:color="auto"/>
            </w:tcBorders>
            <w:shd w:val="clear" w:color="000000" w:fill="FFFFFF"/>
            <w:noWrap/>
            <w:vAlign w:val="bottom"/>
            <w:hideMark/>
          </w:tcPr>
          <w:p w14:paraId="7990E81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€ 2,06,036.00 </w:t>
            </w:r>
          </w:p>
        </w:tc>
        <w:tc>
          <w:tcPr>
            <w:tcW w:w="490" w:type="pct"/>
            <w:tcBorders>
              <w:top w:val="nil"/>
              <w:left w:val="nil"/>
              <w:bottom w:val="single" w:sz="4" w:space="0" w:color="auto"/>
              <w:right w:val="single" w:sz="4" w:space="0" w:color="auto"/>
            </w:tcBorders>
            <w:shd w:val="clear" w:color="000000" w:fill="FFFFFF"/>
            <w:noWrap/>
            <w:vAlign w:val="bottom"/>
            <w:hideMark/>
          </w:tcPr>
          <w:p w14:paraId="4724DB0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€ 1,82,992.00 </w:t>
            </w:r>
          </w:p>
        </w:tc>
        <w:tc>
          <w:tcPr>
            <w:tcW w:w="490" w:type="pct"/>
            <w:tcBorders>
              <w:top w:val="nil"/>
              <w:left w:val="nil"/>
              <w:bottom w:val="single" w:sz="4" w:space="0" w:color="auto"/>
              <w:right w:val="single" w:sz="4" w:space="0" w:color="auto"/>
            </w:tcBorders>
            <w:shd w:val="clear" w:color="000000" w:fill="FFFFFF"/>
            <w:noWrap/>
            <w:vAlign w:val="bottom"/>
            <w:hideMark/>
          </w:tcPr>
          <w:p w14:paraId="6BF2852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€ 1,64,393.00 </w:t>
            </w:r>
          </w:p>
        </w:tc>
        <w:tc>
          <w:tcPr>
            <w:tcW w:w="490" w:type="pct"/>
            <w:tcBorders>
              <w:top w:val="nil"/>
              <w:left w:val="nil"/>
              <w:bottom w:val="single" w:sz="4" w:space="0" w:color="auto"/>
              <w:right w:val="single" w:sz="4" w:space="0" w:color="auto"/>
            </w:tcBorders>
            <w:shd w:val="clear" w:color="000000" w:fill="FFFFFF"/>
            <w:noWrap/>
            <w:vAlign w:val="bottom"/>
            <w:hideMark/>
          </w:tcPr>
          <w:p w14:paraId="51EB60E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€ 1,65,410.00 </w:t>
            </w:r>
          </w:p>
        </w:tc>
        <w:tc>
          <w:tcPr>
            <w:tcW w:w="60" w:type="pct"/>
            <w:vAlign w:val="center"/>
            <w:hideMark/>
          </w:tcPr>
          <w:p w14:paraId="4DF0F35A" w14:textId="77777777" w:rsidR="00BC24D3" w:rsidRPr="00BC24D3" w:rsidRDefault="00BC24D3" w:rsidP="00BC24D3">
            <w:pPr>
              <w:spacing w:before="0" w:after="0" w:line="240" w:lineRule="auto"/>
              <w:jc w:val="left"/>
              <w:rPr>
                <w:sz w:val="20"/>
                <w:szCs w:val="20"/>
                <w:lang w:val="en-IN"/>
              </w:rPr>
            </w:pPr>
          </w:p>
        </w:tc>
      </w:tr>
      <w:tr w:rsidR="00BC24D3" w:rsidRPr="00BC24D3" w14:paraId="03578B2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14868B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"Quick Ratio "</w:t>
            </w:r>
          </w:p>
        </w:tc>
        <w:tc>
          <w:tcPr>
            <w:tcW w:w="1173" w:type="pct"/>
            <w:vMerge/>
            <w:tcBorders>
              <w:top w:val="nil"/>
              <w:left w:val="single" w:sz="4" w:space="0" w:color="auto"/>
              <w:bottom w:val="single" w:sz="4" w:space="0" w:color="auto"/>
              <w:right w:val="single" w:sz="4" w:space="0" w:color="auto"/>
            </w:tcBorders>
            <w:vAlign w:val="center"/>
            <w:hideMark/>
          </w:tcPr>
          <w:p w14:paraId="11E5B2A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3404AFA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0.87</w:t>
            </w:r>
          </w:p>
        </w:tc>
        <w:tc>
          <w:tcPr>
            <w:tcW w:w="490" w:type="pct"/>
            <w:tcBorders>
              <w:top w:val="nil"/>
              <w:left w:val="nil"/>
              <w:bottom w:val="single" w:sz="4" w:space="0" w:color="auto"/>
              <w:right w:val="single" w:sz="4" w:space="0" w:color="auto"/>
            </w:tcBorders>
            <w:shd w:val="clear" w:color="000000" w:fill="FFFFFF"/>
            <w:noWrap/>
            <w:vAlign w:val="bottom"/>
            <w:hideMark/>
          </w:tcPr>
          <w:p w14:paraId="32D274FA"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0.90</w:t>
            </w:r>
          </w:p>
        </w:tc>
        <w:tc>
          <w:tcPr>
            <w:tcW w:w="490" w:type="pct"/>
            <w:tcBorders>
              <w:top w:val="nil"/>
              <w:left w:val="nil"/>
              <w:bottom w:val="single" w:sz="4" w:space="0" w:color="auto"/>
              <w:right w:val="single" w:sz="4" w:space="0" w:color="auto"/>
            </w:tcBorders>
            <w:shd w:val="clear" w:color="000000" w:fill="FFFFFF"/>
            <w:noWrap/>
            <w:vAlign w:val="bottom"/>
            <w:hideMark/>
          </w:tcPr>
          <w:p w14:paraId="4EDE6B3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0.94</w:t>
            </w:r>
          </w:p>
        </w:tc>
        <w:tc>
          <w:tcPr>
            <w:tcW w:w="490" w:type="pct"/>
            <w:tcBorders>
              <w:top w:val="nil"/>
              <w:left w:val="nil"/>
              <w:bottom w:val="single" w:sz="4" w:space="0" w:color="auto"/>
              <w:right w:val="single" w:sz="4" w:space="0" w:color="auto"/>
            </w:tcBorders>
            <w:shd w:val="clear" w:color="000000" w:fill="FFFFFF"/>
            <w:noWrap/>
            <w:vAlign w:val="bottom"/>
            <w:hideMark/>
          </w:tcPr>
          <w:p w14:paraId="45C4195D"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0.95</w:t>
            </w:r>
          </w:p>
        </w:tc>
        <w:tc>
          <w:tcPr>
            <w:tcW w:w="490" w:type="pct"/>
            <w:tcBorders>
              <w:top w:val="nil"/>
              <w:left w:val="nil"/>
              <w:bottom w:val="single" w:sz="4" w:space="0" w:color="auto"/>
              <w:right w:val="single" w:sz="4" w:space="0" w:color="auto"/>
            </w:tcBorders>
            <w:shd w:val="clear" w:color="000000" w:fill="FFFFFF"/>
            <w:noWrap/>
            <w:vAlign w:val="bottom"/>
            <w:hideMark/>
          </w:tcPr>
          <w:p w14:paraId="0F0DCC5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0.91</w:t>
            </w:r>
          </w:p>
        </w:tc>
        <w:tc>
          <w:tcPr>
            <w:tcW w:w="60" w:type="pct"/>
            <w:vAlign w:val="center"/>
            <w:hideMark/>
          </w:tcPr>
          <w:p w14:paraId="1F65115B" w14:textId="77777777" w:rsidR="00BC24D3" w:rsidRPr="00BC24D3" w:rsidRDefault="00BC24D3" w:rsidP="00BC24D3">
            <w:pPr>
              <w:spacing w:before="0" w:after="0" w:line="240" w:lineRule="auto"/>
              <w:jc w:val="left"/>
              <w:rPr>
                <w:sz w:val="20"/>
                <w:szCs w:val="20"/>
                <w:lang w:val="en-IN"/>
              </w:rPr>
            </w:pPr>
          </w:p>
        </w:tc>
      </w:tr>
      <w:tr w:rsidR="00BC24D3" w:rsidRPr="00BC24D3" w14:paraId="64CA366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0832340"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1173" w:type="pct"/>
            <w:tcBorders>
              <w:top w:val="nil"/>
              <w:left w:val="nil"/>
              <w:bottom w:val="single" w:sz="4" w:space="0" w:color="auto"/>
              <w:right w:val="single" w:sz="4" w:space="0" w:color="auto"/>
            </w:tcBorders>
            <w:shd w:val="clear" w:color="000000" w:fill="FFFFFF"/>
            <w:vAlign w:val="center"/>
            <w:hideMark/>
          </w:tcPr>
          <w:p w14:paraId="51EC294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 </w:t>
            </w:r>
          </w:p>
        </w:tc>
        <w:tc>
          <w:tcPr>
            <w:tcW w:w="512" w:type="pct"/>
            <w:tcBorders>
              <w:top w:val="nil"/>
              <w:left w:val="nil"/>
              <w:bottom w:val="single" w:sz="4" w:space="0" w:color="auto"/>
              <w:right w:val="single" w:sz="4" w:space="0" w:color="auto"/>
            </w:tcBorders>
            <w:shd w:val="clear" w:color="000000" w:fill="FFFFFF"/>
            <w:noWrap/>
            <w:vAlign w:val="bottom"/>
            <w:hideMark/>
          </w:tcPr>
          <w:p w14:paraId="6BF8C9F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268A02F"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2D5FF5E"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26B2A040"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2DBA8EB1"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60" w:type="pct"/>
            <w:vAlign w:val="center"/>
            <w:hideMark/>
          </w:tcPr>
          <w:p w14:paraId="6900F52A" w14:textId="77777777" w:rsidR="00BC24D3" w:rsidRPr="00BC24D3" w:rsidRDefault="00BC24D3" w:rsidP="00BC24D3">
            <w:pPr>
              <w:spacing w:before="0" w:after="0" w:line="240" w:lineRule="auto"/>
              <w:jc w:val="left"/>
              <w:rPr>
                <w:sz w:val="20"/>
                <w:szCs w:val="20"/>
                <w:lang w:val="en-IN"/>
              </w:rPr>
            </w:pPr>
          </w:p>
        </w:tc>
      </w:tr>
      <w:tr w:rsidR="00BC24D3" w:rsidRPr="00BC24D3" w14:paraId="1D7ACE4B"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C97029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"Cash Ratio"</w:t>
            </w:r>
          </w:p>
        </w:tc>
        <w:tc>
          <w:tcPr>
            <w:tcW w:w="60" w:type="pct"/>
            <w:vAlign w:val="center"/>
            <w:hideMark/>
          </w:tcPr>
          <w:p w14:paraId="084A17AC" w14:textId="77777777" w:rsidR="00BC24D3" w:rsidRPr="00BC24D3" w:rsidRDefault="00BC24D3" w:rsidP="00BC24D3">
            <w:pPr>
              <w:spacing w:before="0" w:after="0" w:line="240" w:lineRule="auto"/>
              <w:jc w:val="left"/>
              <w:rPr>
                <w:sz w:val="20"/>
                <w:szCs w:val="20"/>
                <w:lang w:val="en-IN"/>
              </w:rPr>
            </w:pPr>
          </w:p>
        </w:tc>
      </w:tr>
      <w:tr w:rsidR="00BC24D3" w:rsidRPr="00BC24D3" w14:paraId="327E9AC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B48DE8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058E8FC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492DB25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92045B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661E821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3B70E69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754B514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657AC904" w14:textId="77777777" w:rsidR="00BC24D3" w:rsidRPr="00BC24D3" w:rsidRDefault="00BC24D3" w:rsidP="00BC24D3">
            <w:pPr>
              <w:spacing w:before="0" w:after="0" w:line="240" w:lineRule="auto"/>
              <w:jc w:val="left"/>
              <w:rPr>
                <w:sz w:val="20"/>
                <w:szCs w:val="20"/>
                <w:lang w:val="en-IN"/>
              </w:rPr>
            </w:pPr>
          </w:p>
        </w:tc>
      </w:tr>
      <w:tr w:rsidR="00BC24D3" w:rsidRPr="00BC24D3" w14:paraId="72B803F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E03EB6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"Cash"</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376BA47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"Cash / Current Liabilities"</w:t>
            </w:r>
          </w:p>
        </w:tc>
        <w:tc>
          <w:tcPr>
            <w:tcW w:w="512" w:type="pct"/>
            <w:tcBorders>
              <w:top w:val="nil"/>
              <w:left w:val="nil"/>
              <w:bottom w:val="single" w:sz="4" w:space="0" w:color="auto"/>
              <w:right w:val="single" w:sz="4" w:space="0" w:color="auto"/>
            </w:tcBorders>
            <w:shd w:val="clear" w:color="000000" w:fill="FFFFFF"/>
            <w:noWrap/>
            <w:vAlign w:val="bottom"/>
            <w:hideMark/>
          </w:tcPr>
          <w:p w14:paraId="37914A5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40,296.00 </w:t>
            </w:r>
          </w:p>
        </w:tc>
        <w:tc>
          <w:tcPr>
            <w:tcW w:w="490" w:type="pct"/>
            <w:tcBorders>
              <w:top w:val="nil"/>
              <w:left w:val="nil"/>
              <w:bottom w:val="single" w:sz="4" w:space="0" w:color="auto"/>
              <w:right w:val="single" w:sz="4" w:space="0" w:color="auto"/>
            </w:tcBorders>
            <w:shd w:val="clear" w:color="000000" w:fill="FFFFFF"/>
            <w:noWrap/>
            <w:vAlign w:val="bottom"/>
            <w:hideMark/>
          </w:tcPr>
          <w:p w14:paraId="5BDDAEA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43,449.00 </w:t>
            </w:r>
          </w:p>
        </w:tc>
        <w:tc>
          <w:tcPr>
            <w:tcW w:w="490" w:type="pct"/>
            <w:tcBorders>
              <w:top w:val="nil"/>
              <w:left w:val="nil"/>
              <w:bottom w:val="single" w:sz="4" w:space="0" w:color="auto"/>
              <w:right w:val="single" w:sz="4" w:space="0" w:color="auto"/>
            </w:tcBorders>
            <w:shd w:val="clear" w:color="000000" w:fill="FFFFFF"/>
            <w:noWrap/>
            <w:vAlign w:val="bottom"/>
            <w:hideMark/>
          </w:tcPr>
          <w:p w14:paraId="62829F6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29,172.00 </w:t>
            </w:r>
          </w:p>
        </w:tc>
        <w:tc>
          <w:tcPr>
            <w:tcW w:w="490" w:type="pct"/>
            <w:tcBorders>
              <w:top w:val="nil"/>
              <w:left w:val="nil"/>
              <w:bottom w:val="single" w:sz="4" w:space="0" w:color="auto"/>
              <w:right w:val="single" w:sz="4" w:space="0" w:color="auto"/>
            </w:tcBorders>
            <w:shd w:val="clear" w:color="000000" w:fill="FFFFFF"/>
            <w:noWrap/>
            <w:vAlign w:val="bottom"/>
            <w:hideMark/>
          </w:tcPr>
          <w:p w14:paraId="4829FE9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39,723.00 </w:t>
            </w:r>
          </w:p>
        </w:tc>
        <w:tc>
          <w:tcPr>
            <w:tcW w:w="490" w:type="pct"/>
            <w:tcBorders>
              <w:top w:val="nil"/>
              <w:left w:val="nil"/>
              <w:bottom w:val="single" w:sz="4" w:space="0" w:color="auto"/>
              <w:right w:val="single" w:sz="4" w:space="0" w:color="auto"/>
            </w:tcBorders>
            <w:shd w:val="clear" w:color="000000" w:fill="FFFFFF"/>
            <w:noWrap/>
            <w:vAlign w:val="bottom"/>
            <w:hideMark/>
          </w:tcPr>
          <w:p w14:paraId="0E19E93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33,909.00 </w:t>
            </w:r>
          </w:p>
        </w:tc>
        <w:tc>
          <w:tcPr>
            <w:tcW w:w="60" w:type="pct"/>
            <w:vAlign w:val="center"/>
            <w:hideMark/>
          </w:tcPr>
          <w:p w14:paraId="13139E99" w14:textId="77777777" w:rsidR="00BC24D3" w:rsidRPr="00BC24D3" w:rsidRDefault="00BC24D3" w:rsidP="00BC24D3">
            <w:pPr>
              <w:spacing w:before="0" w:after="0" w:line="240" w:lineRule="auto"/>
              <w:jc w:val="left"/>
              <w:rPr>
                <w:sz w:val="20"/>
                <w:szCs w:val="20"/>
                <w:lang w:val="en-IN"/>
              </w:rPr>
            </w:pPr>
          </w:p>
        </w:tc>
      </w:tr>
      <w:tr w:rsidR="00BC24D3" w:rsidRPr="00BC24D3" w14:paraId="315C98D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87DC16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Current Liabilities"</w:t>
            </w:r>
          </w:p>
        </w:tc>
        <w:tc>
          <w:tcPr>
            <w:tcW w:w="1173" w:type="pct"/>
            <w:vMerge/>
            <w:tcBorders>
              <w:top w:val="nil"/>
              <w:left w:val="single" w:sz="4" w:space="0" w:color="auto"/>
              <w:bottom w:val="single" w:sz="4" w:space="0" w:color="auto"/>
              <w:right w:val="single" w:sz="4" w:space="0" w:color="auto"/>
            </w:tcBorders>
            <w:vAlign w:val="center"/>
            <w:hideMark/>
          </w:tcPr>
          <w:p w14:paraId="2B723536"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7701E7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2,17,039.00 </w:t>
            </w:r>
          </w:p>
        </w:tc>
        <w:tc>
          <w:tcPr>
            <w:tcW w:w="490" w:type="pct"/>
            <w:tcBorders>
              <w:top w:val="nil"/>
              <w:left w:val="nil"/>
              <w:bottom w:val="single" w:sz="4" w:space="0" w:color="auto"/>
              <w:right w:val="single" w:sz="4" w:space="0" w:color="auto"/>
            </w:tcBorders>
            <w:shd w:val="clear" w:color="000000" w:fill="FFFFFF"/>
            <w:noWrap/>
            <w:vAlign w:val="bottom"/>
            <w:hideMark/>
          </w:tcPr>
          <w:p w14:paraId="034D06B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€ 2,06,036.00 </w:t>
            </w:r>
          </w:p>
        </w:tc>
        <w:tc>
          <w:tcPr>
            <w:tcW w:w="490" w:type="pct"/>
            <w:tcBorders>
              <w:top w:val="nil"/>
              <w:left w:val="nil"/>
              <w:bottom w:val="single" w:sz="4" w:space="0" w:color="auto"/>
              <w:right w:val="single" w:sz="4" w:space="0" w:color="auto"/>
            </w:tcBorders>
            <w:shd w:val="clear" w:color="000000" w:fill="FFFFFF"/>
            <w:noWrap/>
            <w:vAlign w:val="bottom"/>
            <w:hideMark/>
          </w:tcPr>
          <w:p w14:paraId="3D071AE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€ 1,82,992.00 </w:t>
            </w:r>
          </w:p>
        </w:tc>
        <w:tc>
          <w:tcPr>
            <w:tcW w:w="490" w:type="pct"/>
            <w:tcBorders>
              <w:top w:val="nil"/>
              <w:left w:val="nil"/>
              <w:bottom w:val="single" w:sz="4" w:space="0" w:color="auto"/>
              <w:right w:val="single" w:sz="4" w:space="0" w:color="auto"/>
            </w:tcBorders>
            <w:shd w:val="clear" w:color="000000" w:fill="FFFFFF"/>
            <w:noWrap/>
            <w:vAlign w:val="bottom"/>
            <w:hideMark/>
          </w:tcPr>
          <w:p w14:paraId="54A0F9C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€ 1,64,393.00 </w:t>
            </w:r>
          </w:p>
        </w:tc>
        <w:tc>
          <w:tcPr>
            <w:tcW w:w="490" w:type="pct"/>
            <w:tcBorders>
              <w:top w:val="nil"/>
              <w:left w:val="nil"/>
              <w:bottom w:val="single" w:sz="4" w:space="0" w:color="auto"/>
              <w:right w:val="single" w:sz="4" w:space="0" w:color="auto"/>
            </w:tcBorders>
            <w:shd w:val="clear" w:color="000000" w:fill="FFFFFF"/>
            <w:noWrap/>
            <w:vAlign w:val="bottom"/>
            <w:hideMark/>
          </w:tcPr>
          <w:p w14:paraId="3E9A0AB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€ 1,65,410.00 </w:t>
            </w:r>
          </w:p>
        </w:tc>
        <w:tc>
          <w:tcPr>
            <w:tcW w:w="60" w:type="pct"/>
            <w:vAlign w:val="center"/>
            <w:hideMark/>
          </w:tcPr>
          <w:p w14:paraId="36994799" w14:textId="77777777" w:rsidR="00BC24D3" w:rsidRPr="00BC24D3" w:rsidRDefault="00BC24D3" w:rsidP="00BC24D3">
            <w:pPr>
              <w:spacing w:before="0" w:after="0" w:line="240" w:lineRule="auto"/>
              <w:jc w:val="left"/>
              <w:rPr>
                <w:sz w:val="20"/>
                <w:szCs w:val="20"/>
                <w:lang w:val="en-IN"/>
              </w:rPr>
            </w:pPr>
          </w:p>
        </w:tc>
      </w:tr>
      <w:tr w:rsidR="00BC24D3" w:rsidRPr="00BC24D3" w14:paraId="795D7BA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8613FC9"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"Cash Ratio"</w:t>
            </w:r>
          </w:p>
        </w:tc>
        <w:tc>
          <w:tcPr>
            <w:tcW w:w="1173" w:type="pct"/>
            <w:vMerge/>
            <w:tcBorders>
              <w:top w:val="nil"/>
              <w:left w:val="single" w:sz="4" w:space="0" w:color="auto"/>
              <w:bottom w:val="single" w:sz="4" w:space="0" w:color="auto"/>
              <w:right w:val="single" w:sz="4" w:space="0" w:color="auto"/>
            </w:tcBorders>
            <w:vAlign w:val="center"/>
            <w:hideMark/>
          </w:tcPr>
          <w:p w14:paraId="55D8D244"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7A076925"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0.19</w:t>
            </w:r>
          </w:p>
        </w:tc>
        <w:tc>
          <w:tcPr>
            <w:tcW w:w="490" w:type="pct"/>
            <w:tcBorders>
              <w:top w:val="nil"/>
              <w:left w:val="nil"/>
              <w:bottom w:val="single" w:sz="4" w:space="0" w:color="auto"/>
              <w:right w:val="single" w:sz="4" w:space="0" w:color="auto"/>
            </w:tcBorders>
            <w:shd w:val="clear" w:color="000000" w:fill="FFFFFF"/>
            <w:noWrap/>
            <w:vAlign w:val="bottom"/>
            <w:hideMark/>
          </w:tcPr>
          <w:p w14:paraId="0959A69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0.21</w:t>
            </w:r>
          </w:p>
        </w:tc>
        <w:tc>
          <w:tcPr>
            <w:tcW w:w="490" w:type="pct"/>
            <w:tcBorders>
              <w:top w:val="nil"/>
              <w:left w:val="nil"/>
              <w:bottom w:val="single" w:sz="4" w:space="0" w:color="auto"/>
              <w:right w:val="single" w:sz="4" w:space="0" w:color="auto"/>
            </w:tcBorders>
            <w:shd w:val="clear" w:color="000000" w:fill="FFFFFF"/>
            <w:noWrap/>
            <w:vAlign w:val="bottom"/>
            <w:hideMark/>
          </w:tcPr>
          <w:p w14:paraId="4F594D04"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0.16</w:t>
            </w:r>
          </w:p>
        </w:tc>
        <w:tc>
          <w:tcPr>
            <w:tcW w:w="490" w:type="pct"/>
            <w:tcBorders>
              <w:top w:val="nil"/>
              <w:left w:val="nil"/>
              <w:bottom w:val="single" w:sz="4" w:space="0" w:color="auto"/>
              <w:right w:val="single" w:sz="4" w:space="0" w:color="auto"/>
            </w:tcBorders>
            <w:shd w:val="clear" w:color="000000" w:fill="FFFFFF"/>
            <w:noWrap/>
            <w:vAlign w:val="bottom"/>
            <w:hideMark/>
          </w:tcPr>
          <w:p w14:paraId="2FEC81F3"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0.24</w:t>
            </w:r>
          </w:p>
        </w:tc>
        <w:tc>
          <w:tcPr>
            <w:tcW w:w="490" w:type="pct"/>
            <w:tcBorders>
              <w:top w:val="nil"/>
              <w:left w:val="nil"/>
              <w:bottom w:val="single" w:sz="4" w:space="0" w:color="auto"/>
              <w:right w:val="single" w:sz="4" w:space="0" w:color="auto"/>
            </w:tcBorders>
            <w:shd w:val="clear" w:color="000000" w:fill="FFFFFF"/>
            <w:noWrap/>
            <w:vAlign w:val="bottom"/>
            <w:hideMark/>
          </w:tcPr>
          <w:p w14:paraId="1F42058C"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0.20</w:t>
            </w:r>
          </w:p>
        </w:tc>
        <w:tc>
          <w:tcPr>
            <w:tcW w:w="60" w:type="pct"/>
            <w:vAlign w:val="center"/>
            <w:hideMark/>
          </w:tcPr>
          <w:p w14:paraId="42DB7D2A" w14:textId="77777777" w:rsidR="00BC24D3" w:rsidRPr="00BC24D3" w:rsidRDefault="00BC24D3" w:rsidP="00BC24D3">
            <w:pPr>
              <w:spacing w:before="0" w:after="0" w:line="240" w:lineRule="auto"/>
              <w:jc w:val="left"/>
              <w:rPr>
                <w:sz w:val="20"/>
                <w:szCs w:val="20"/>
                <w:lang w:val="en-IN"/>
              </w:rPr>
            </w:pPr>
          </w:p>
        </w:tc>
      </w:tr>
      <w:tr w:rsidR="00BC24D3" w:rsidRPr="00BC24D3" w14:paraId="6B4A7835" w14:textId="77777777" w:rsidTr="00BC24D3">
        <w:trPr>
          <w:trHeight w:val="312"/>
          <w:jc w:val="center"/>
        </w:trPr>
        <w:tc>
          <w:tcPr>
            <w:tcW w:w="4940" w:type="pct"/>
            <w:gridSpan w:val="7"/>
            <w:vMerge w:val="restart"/>
            <w:tcBorders>
              <w:top w:val="single" w:sz="4" w:space="0" w:color="auto"/>
              <w:left w:val="single" w:sz="4" w:space="0" w:color="auto"/>
              <w:bottom w:val="single" w:sz="4" w:space="0" w:color="auto"/>
              <w:right w:val="single" w:sz="4" w:space="0" w:color="auto"/>
            </w:tcBorders>
            <w:shd w:val="clear" w:color="000000" w:fill="FF9999"/>
            <w:noWrap/>
            <w:vAlign w:val="center"/>
            <w:hideMark/>
          </w:tcPr>
          <w:p w14:paraId="125E069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"Efficiency ratio"</w:t>
            </w:r>
          </w:p>
        </w:tc>
        <w:tc>
          <w:tcPr>
            <w:tcW w:w="60" w:type="pct"/>
            <w:vAlign w:val="center"/>
            <w:hideMark/>
          </w:tcPr>
          <w:p w14:paraId="3C2ED266" w14:textId="77777777" w:rsidR="00BC24D3" w:rsidRPr="00BC24D3" w:rsidRDefault="00BC24D3" w:rsidP="00BC24D3">
            <w:pPr>
              <w:spacing w:before="0" w:after="0" w:line="240" w:lineRule="auto"/>
              <w:jc w:val="left"/>
              <w:rPr>
                <w:sz w:val="20"/>
                <w:szCs w:val="20"/>
                <w:lang w:val="en-IN"/>
              </w:rPr>
            </w:pPr>
          </w:p>
        </w:tc>
      </w:tr>
      <w:tr w:rsidR="00BC24D3" w:rsidRPr="00BC24D3" w14:paraId="02797291" w14:textId="77777777" w:rsidTr="00BC24D3">
        <w:trPr>
          <w:trHeight w:val="312"/>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22F26B56"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490C933D" w14:textId="77777777" w:rsidR="00BC24D3" w:rsidRPr="00BC24D3" w:rsidRDefault="00BC24D3" w:rsidP="00BC24D3">
            <w:pPr>
              <w:spacing w:before="0" w:after="0" w:line="240" w:lineRule="auto"/>
              <w:jc w:val="center"/>
              <w:rPr>
                <w:rFonts w:ascii="Arial" w:hAnsi="Arial" w:cs="Arial"/>
                <w:b/>
                <w:bCs/>
                <w:color w:val="000000"/>
                <w:lang w:val="en-IN"/>
              </w:rPr>
            </w:pPr>
          </w:p>
        </w:tc>
      </w:tr>
      <w:tr w:rsidR="00BC24D3" w:rsidRPr="00BC24D3" w14:paraId="4D69004B"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82CCB4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"Accounts Receivable Turnover"</w:t>
            </w:r>
          </w:p>
        </w:tc>
        <w:tc>
          <w:tcPr>
            <w:tcW w:w="60" w:type="pct"/>
            <w:vAlign w:val="center"/>
            <w:hideMark/>
          </w:tcPr>
          <w:p w14:paraId="397EB816" w14:textId="77777777" w:rsidR="00BC24D3" w:rsidRPr="00BC24D3" w:rsidRDefault="00BC24D3" w:rsidP="00BC24D3">
            <w:pPr>
              <w:spacing w:before="0" w:after="0" w:line="240" w:lineRule="auto"/>
              <w:jc w:val="left"/>
              <w:rPr>
                <w:sz w:val="20"/>
                <w:szCs w:val="20"/>
                <w:lang w:val="en-IN"/>
              </w:rPr>
            </w:pPr>
          </w:p>
        </w:tc>
      </w:tr>
      <w:tr w:rsidR="00BC24D3" w:rsidRPr="00BC24D3" w14:paraId="47B6C9A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03D25C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54DEDF5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529FDB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36F746C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4762E5F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381DB60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66DD47A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52134123" w14:textId="77777777" w:rsidR="00BC24D3" w:rsidRPr="00BC24D3" w:rsidRDefault="00BC24D3" w:rsidP="00BC24D3">
            <w:pPr>
              <w:spacing w:before="0" w:after="0" w:line="240" w:lineRule="auto"/>
              <w:jc w:val="left"/>
              <w:rPr>
                <w:sz w:val="20"/>
                <w:szCs w:val="20"/>
                <w:lang w:val="en-IN"/>
              </w:rPr>
            </w:pPr>
          </w:p>
        </w:tc>
      </w:tr>
      <w:tr w:rsidR="00BC24D3" w:rsidRPr="00BC24D3" w14:paraId="4DD55A6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A62379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"Accounts Receivable"</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34FBCA1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"(Accounts Receivable / Average of Daily Sales)"</w:t>
            </w:r>
          </w:p>
        </w:tc>
        <w:tc>
          <w:tcPr>
            <w:tcW w:w="512" w:type="pct"/>
            <w:tcBorders>
              <w:top w:val="nil"/>
              <w:left w:val="nil"/>
              <w:bottom w:val="single" w:sz="4" w:space="0" w:color="auto"/>
              <w:right w:val="single" w:sz="4" w:space="0" w:color="auto"/>
            </w:tcBorders>
            <w:shd w:val="clear" w:color="000000" w:fill="FFFFFF"/>
            <w:noWrap/>
            <w:vAlign w:val="bottom"/>
            <w:hideMark/>
          </w:tcPr>
          <w:p w14:paraId="3A83ADB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21,130.00 </w:t>
            </w:r>
          </w:p>
        </w:tc>
        <w:tc>
          <w:tcPr>
            <w:tcW w:w="490" w:type="pct"/>
            <w:tcBorders>
              <w:top w:val="nil"/>
              <w:left w:val="nil"/>
              <w:bottom w:val="single" w:sz="4" w:space="0" w:color="auto"/>
              <w:right w:val="single" w:sz="4" w:space="0" w:color="auto"/>
            </w:tcBorders>
            <w:shd w:val="clear" w:color="000000" w:fill="FFFFFF"/>
            <w:noWrap/>
            <w:vAlign w:val="bottom"/>
            <w:hideMark/>
          </w:tcPr>
          <w:p w14:paraId="68AC208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89,109.00 </w:t>
            </w:r>
          </w:p>
        </w:tc>
        <w:tc>
          <w:tcPr>
            <w:tcW w:w="490" w:type="pct"/>
            <w:tcBorders>
              <w:top w:val="nil"/>
              <w:left w:val="nil"/>
              <w:bottom w:val="single" w:sz="4" w:space="0" w:color="auto"/>
              <w:right w:val="single" w:sz="4" w:space="0" w:color="auto"/>
            </w:tcBorders>
            <w:shd w:val="clear" w:color="000000" w:fill="FFFFFF"/>
            <w:noWrap/>
            <w:vAlign w:val="bottom"/>
            <w:hideMark/>
          </w:tcPr>
          <w:p w14:paraId="2E685C6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83,241.00 </w:t>
            </w:r>
          </w:p>
        </w:tc>
        <w:tc>
          <w:tcPr>
            <w:tcW w:w="490" w:type="pct"/>
            <w:tcBorders>
              <w:top w:val="nil"/>
              <w:left w:val="nil"/>
              <w:bottom w:val="single" w:sz="4" w:space="0" w:color="auto"/>
              <w:right w:val="single" w:sz="4" w:space="0" w:color="auto"/>
            </w:tcBorders>
            <w:shd w:val="clear" w:color="000000" w:fill="FFFFFF"/>
            <w:noWrap/>
            <w:vAlign w:val="bottom"/>
            <w:hideMark/>
          </w:tcPr>
          <w:p w14:paraId="74AD4C8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77,689.00 </w:t>
            </w:r>
          </w:p>
        </w:tc>
        <w:tc>
          <w:tcPr>
            <w:tcW w:w="490" w:type="pct"/>
            <w:tcBorders>
              <w:top w:val="nil"/>
              <w:left w:val="nil"/>
              <w:bottom w:val="single" w:sz="4" w:space="0" w:color="auto"/>
              <w:right w:val="single" w:sz="4" w:space="0" w:color="auto"/>
            </w:tcBorders>
            <w:shd w:val="clear" w:color="000000" w:fill="FFFFFF"/>
            <w:noWrap/>
            <w:vAlign w:val="bottom"/>
            <w:hideMark/>
          </w:tcPr>
          <w:p w14:paraId="375CEB7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67,968.00 </w:t>
            </w:r>
          </w:p>
        </w:tc>
        <w:tc>
          <w:tcPr>
            <w:tcW w:w="60" w:type="pct"/>
            <w:vAlign w:val="center"/>
            <w:hideMark/>
          </w:tcPr>
          <w:p w14:paraId="02C1548D" w14:textId="77777777" w:rsidR="00BC24D3" w:rsidRPr="00BC24D3" w:rsidRDefault="00BC24D3" w:rsidP="00BC24D3">
            <w:pPr>
              <w:spacing w:before="0" w:after="0" w:line="240" w:lineRule="auto"/>
              <w:jc w:val="left"/>
              <w:rPr>
                <w:sz w:val="20"/>
                <w:szCs w:val="20"/>
                <w:lang w:val="en-IN"/>
              </w:rPr>
            </w:pPr>
          </w:p>
        </w:tc>
      </w:tr>
      <w:tr w:rsidR="00BC24D3" w:rsidRPr="00BC24D3" w14:paraId="4971AA68"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CFAB9B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Average of Daily Sales"</w:t>
            </w:r>
          </w:p>
        </w:tc>
        <w:tc>
          <w:tcPr>
            <w:tcW w:w="1173" w:type="pct"/>
            <w:vMerge/>
            <w:tcBorders>
              <w:top w:val="nil"/>
              <w:left w:val="single" w:sz="4" w:space="0" w:color="auto"/>
              <w:bottom w:val="single" w:sz="4" w:space="0" w:color="auto"/>
              <w:right w:val="single" w:sz="4" w:space="0" w:color="auto"/>
            </w:tcBorders>
            <w:vAlign w:val="center"/>
            <w:hideMark/>
          </w:tcPr>
          <w:p w14:paraId="09B3F2E9"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77A7C0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3,23,470.00 </w:t>
            </w:r>
          </w:p>
        </w:tc>
        <w:tc>
          <w:tcPr>
            <w:tcW w:w="490" w:type="pct"/>
            <w:tcBorders>
              <w:top w:val="nil"/>
              <w:left w:val="nil"/>
              <w:bottom w:val="single" w:sz="4" w:space="0" w:color="auto"/>
              <w:right w:val="single" w:sz="4" w:space="0" w:color="auto"/>
            </w:tcBorders>
            <w:shd w:val="clear" w:color="000000" w:fill="FFFFFF"/>
            <w:noWrap/>
            <w:vAlign w:val="bottom"/>
            <w:hideMark/>
          </w:tcPr>
          <w:p w14:paraId="10F613C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€ 3,00,758.00 </w:t>
            </w:r>
          </w:p>
        </w:tc>
        <w:tc>
          <w:tcPr>
            <w:tcW w:w="490" w:type="pct"/>
            <w:tcBorders>
              <w:top w:val="nil"/>
              <w:left w:val="nil"/>
              <w:bottom w:val="single" w:sz="4" w:space="0" w:color="auto"/>
              <w:right w:val="single" w:sz="4" w:space="0" w:color="auto"/>
            </w:tcBorders>
            <w:shd w:val="clear" w:color="000000" w:fill="FFFFFF"/>
            <w:noWrap/>
            <w:vAlign w:val="bottom"/>
            <w:hideMark/>
          </w:tcPr>
          <w:p w14:paraId="4B60B7D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€ 2,64,716.00 </w:t>
            </w:r>
          </w:p>
        </w:tc>
        <w:tc>
          <w:tcPr>
            <w:tcW w:w="490" w:type="pct"/>
            <w:tcBorders>
              <w:top w:val="nil"/>
              <w:left w:val="nil"/>
              <w:bottom w:val="single" w:sz="4" w:space="0" w:color="auto"/>
              <w:right w:val="single" w:sz="4" w:space="0" w:color="auto"/>
            </w:tcBorders>
            <w:shd w:val="clear" w:color="000000" w:fill="FFFFFF"/>
            <w:noWrap/>
            <w:vAlign w:val="bottom"/>
            <w:hideMark/>
          </w:tcPr>
          <w:p w14:paraId="5878AB8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€ 2,36,542.00 </w:t>
            </w:r>
          </w:p>
        </w:tc>
        <w:tc>
          <w:tcPr>
            <w:tcW w:w="490" w:type="pct"/>
            <w:tcBorders>
              <w:top w:val="nil"/>
              <w:left w:val="nil"/>
              <w:bottom w:val="single" w:sz="4" w:space="0" w:color="auto"/>
              <w:right w:val="single" w:sz="4" w:space="0" w:color="auto"/>
            </w:tcBorders>
            <w:shd w:val="clear" w:color="000000" w:fill="FFFFFF"/>
            <w:noWrap/>
            <w:vAlign w:val="bottom"/>
            <w:hideMark/>
          </w:tcPr>
          <w:p w14:paraId="285A769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€ 1,11,442.00 </w:t>
            </w:r>
          </w:p>
        </w:tc>
        <w:tc>
          <w:tcPr>
            <w:tcW w:w="60" w:type="pct"/>
            <w:vAlign w:val="center"/>
            <w:hideMark/>
          </w:tcPr>
          <w:p w14:paraId="3184A9C5" w14:textId="77777777" w:rsidR="00BC24D3" w:rsidRPr="00BC24D3" w:rsidRDefault="00BC24D3" w:rsidP="00BC24D3">
            <w:pPr>
              <w:spacing w:before="0" w:after="0" w:line="240" w:lineRule="auto"/>
              <w:jc w:val="left"/>
              <w:rPr>
                <w:sz w:val="20"/>
                <w:szCs w:val="20"/>
                <w:lang w:val="en-IN"/>
              </w:rPr>
            </w:pPr>
          </w:p>
        </w:tc>
      </w:tr>
      <w:tr w:rsidR="00BC24D3" w:rsidRPr="00BC24D3" w14:paraId="62D2D27D"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8A3285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"Accounts Receivable Turnover"</w:t>
            </w:r>
          </w:p>
        </w:tc>
        <w:tc>
          <w:tcPr>
            <w:tcW w:w="1173" w:type="pct"/>
            <w:vMerge/>
            <w:tcBorders>
              <w:top w:val="nil"/>
              <w:left w:val="single" w:sz="4" w:space="0" w:color="auto"/>
              <w:bottom w:val="single" w:sz="4" w:space="0" w:color="auto"/>
              <w:right w:val="single" w:sz="4" w:space="0" w:color="auto"/>
            </w:tcBorders>
            <w:vAlign w:val="center"/>
            <w:hideMark/>
          </w:tcPr>
          <w:p w14:paraId="164F0279"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701E9B45"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0.07</w:t>
            </w:r>
          </w:p>
        </w:tc>
        <w:tc>
          <w:tcPr>
            <w:tcW w:w="490" w:type="pct"/>
            <w:tcBorders>
              <w:top w:val="nil"/>
              <w:left w:val="nil"/>
              <w:bottom w:val="single" w:sz="4" w:space="0" w:color="auto"/>
              <w:right w:val="single" w:sz="4" w:space="0" w:color="auto"/>
            </w:tcBorders>
            <w:shd w:val="clear" w:color="000000" w:fill="FFFFFF"/>
            <w:noWrap/>
            <w:vAlign w:val="bottom"/>
            <w:hideMark/>
          </w:tcPr>
          <w:p w14:paraId="6137929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0.30</w:t>
            </w:r>
          </w:p>
        </w:tc>
        <w:tc>
          <w:tcPr>
            <w:tcW w:w="490" w:type="pct"/>
            <w:tcBorders>
              <w:top w:val="nil"/>
              <w:left w:val="nil"/>
              <w:bottom w:val="single" w:sz="4" w:space="0" w:color="auto"/>
              <w:right w:val="single" w:sz="4" w:space="0" w:color="auto"/>
            </w:tcBorders>
            <w:shd w:val="clear" w:color="000000" w:fill="FFFFFF"/>
            <w:noWrap/>
            <w:vAlign w:val="bottom"/>
            <w:hideMark/>
          </w:tcPr>
          <w:p w14:paraId="2BFE78C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0.31</w:t>
            </w:r>
          </w:p>
        </w:tc>
        <w:tc>
          <w:tcPr>
            <w:tcW w:w="490" w:type="pct"/>
            <w:tcBorders>
              <w:top w:val="nil"/>
              <w:left w:val="nil"/>
              <w:bottom w:val="single" w:sz="4" w:space="0" w:color="auto"/>
              <w:right w:val="single" w:sz="4" w:space="0" w:color="auto"/>
            </w:tcBorders>
            <w:shd w:val="clear" w:color="000000" w:fill="FFFFFF"/>
            <w:noWrap/>
            <w:vAlign w:val="bottom"/>
            <w:hideMark/>
          </w:tcPr>
          <w:p w14:paraId="5C6B40C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0.33</w:t>
            </w:r>
          </w:p>
        </w:tc>
        <w:tc>
          <w:tcPr>
            <w:tcW w:w="490" w:type="pct"/>
            <w:tcBorders>
              <w:top w:val="nil"/>
              <w:left w:val="nil"/>
              <w:bottom w:val="single" w:sz="4" w:space="0" w:color="auto"/>
              <w:right w:val="single" w:sz="4" w:space="0" w:color="auto"/>
            </w:tcBorders>
            <w:shd w:val="clear" w:color="000000" w:fill="FFFFFF"/>
            <w:noWrap/>
            <w:vAlign w:val="bottom"/>
            <w:hideMark/>
          </w:tcPr>
          <w:p w14:paraId="19A1FD9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0.61</w:t>
            </w:r>
          </w:p>
        </w:tc>
        <w:tc>
          <w:tcPr>
            <w:tcW w:w="60" w:type="pct"/>
            <w:vAlign w:val="center"/>
            <w:hideMark/>
          </w:tcPr>
          <w:p w14:paraId="768B8DFB" w14:textId="77777777" w:rsidR="00BC24D3" w:rsidRPr="00BC24D3" w:rsidRDefault="00BC24D3" w:rsidP="00BC24D3">
            <w:pPr>
              <w:spacing w:before="0" w:after="0" w:line="240" w:lineRule="auto"/>
              <w:jc w:val="left"/>
              <w:rPr>
                <w:sz w:val="20"/>
                <w:szCs w:val="20"/>
                <w:lang w:val="en-IN"/>
              </w:rPr>
            </w:pPr>
          </w:p>
        </w:tc>
      </w:tr>
      <w:tr w:rsidR="00BC24D3" w:rsidRPr="00BC24D3" w14:paraId="79942817"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CE1EC7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1173" w:type="pct"/>
            <w:tcBorders>
              <w:top w:val="nil"/>
              <w:left w:val="nil"/>
              <w:bottom w:val="single" w:sz="4" w:space="0" w:color="auto"/>
              <w:right w:val="single" w:sz="4" w:space="0" w:color="auto"/>
            </w:tcBorders>
            <w:shd w:val="clear" w:color="000000" w:fill="FFFFFF"/>
            <w:noWrap/>
            <w:vAlign w:val="bottom"/>
            <w:hideMark/>
          </w:tcPr>
          <w:p w14:paraId="1238552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512" w:type="pct"/>
            <w:tcBorders>
              <w:top w:val="nil"/>
              <w:left w:val="nil"/>
              <w:bottom w:val="single" w:sz="4" w:space="0" w:color="auto"/>
              <w:right w:val="single" w:sz="4" w:space="0" w:color="auto"/>
            </w:tcBorders>
            <w:shd w:val="clear" w:color="000000" w:fill="FFFFFF"/>
            <w:noWrap/>
            <w:vAlign w:val="bottom"/>
            <w:hideMark/>
          </w:tcPr>
          <w:p w14:paraId="1627E2E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1337BB8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5C2262E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2E38A2C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DC9F0A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5723201F" w14:textId="77777777" w:rsidR="00BC24D3" w:rsidRPr="00BC24D3" w:rsidRDefault="00BC24D3" w:rsidP="00BC24D3">
            <w:pPr>
              <w:spacing w:before="0" w:after="0" w:line="240" w:lineRule="auto"/>
              <w:jc w:val="left"/>
              <w:rPr>
                <w:sz w:val="20"/>
                <w:szCs w:val="20"/>
                <w:lang w:val="en-IN"/>
              </w:rPr>
            </w:pPr>
          </w:p>
        </w:tc>
      </w:tr>
      <w:tr w:rsidR="00BC24D3" w:rsidRPr="00BC24D3" w14:paraId="54977F2E"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3D2EA9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"Inventory Turnover"</w:t>
            </w:r>
          </w:p>
        </w:tc>
        <w:tc>
          <w:tcPr>
            <w:tcW w:w="60" w:type="pct"/>
            <w:vAlign w:val="center"/>
            <w:hideMark/>
          </w:tcPr>
          <w:p w14:paraId="0D7ECD52" w14:textId="77777777" w:rsidR="00BC24D3" w:rsidRPr="00BC24D3" w:rsidRDefault="00BC24D3" w:rsidP="00BC24D3">
            <w:pPr>
              <w:spacing w:before="0" w:after="0" w:line="240" w:lineRule="auto"/>
              <w:jc w:val="left"/>
              <w:rPr>
                <w:sz w:val="20"/>
                <w:szCs w:val="20"/>
                <w:lang w:val="en-IN"/>
              </w:rPr>
            </w:pPr>
          </w:p>
        </w:tc>
      </w:tr>
      <w:tr w:rsidR="00BC24D3" w:rsidRPr="00BC24D3" w14:paraId="04AFD0B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2F6F0F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6687D54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40CF31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FD5551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362F7BD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56AE275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72281EB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082EC107" w14:textId="77777777" w:rsidR="00BC24D3" w:rsidRPr="00BC24D3" w:rsidRDefault="00BC24D3" w:rsidP="00BC24D3">
            <w:pPr>
              <w:spacing w:before="0" w:after="0" w:line="240" w:lineRule="auto"/>
              <w:jc w:val="left"/>
              <w:rPr>
                <w:sz w:val="20"/>
                <w:szCs w:val="20"/>
                <w:lang w:val="en-IN"/>
              </w:rPr>
            </w:pPr>
          </w:p>
        </w:tc>
      </w:tr>
      <w:tr w:rsidR="00BC24D3" w:rsidRPr="00BC24D3" w14:paraId="38A983E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67E76FB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"COGS"</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34B4F0B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"(COGS / Average Inventory)"</w:t>
            </w:r>
          </w:p>
        </w:tc>
        <w:tc>
          <w:tcPr>
            <w:tcW w:w="512" w:type="pct"/>
            <w:tcBorders>
              <w:top w:val="nil"/>
              <w:left w:val="nil"/>
              <w:bottom w:val="single" w:sz="4" w:space="0" w:color="auto"/>
              <w:right w:val="single" w:sz="4" w:space="0" w:color="auto"/>
            </w:tcBorders>
            <w:shd w:val="clear" w:color="000000" w:fill="FFFFFF"/>
            <w:noWrap/>
            <w:vAlign w:val="bottom"/>
            <w:hideMark/>
          </w:tcPr>
          <w:p w14:paraId="1C84137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2,65,184.00 </w:t>
            </w:r>
          </w:p>
        </w:tc>
        <w:tc>
          <w:tcPr>
            <w:tcW w:w="490" w:type="pct"/>
            <w:tcBorders>
              <w:top w:val="nil"/>
              <w:left w:val="nil"/>
              <w:bottom w:val="single" w:sz="4" w:space="0" w:color="auto"/>
              <w:right w:val="single" w:sz="4" w:space="0" w:color="auto"/>
            </w:tcBorders>
            <w:shd w:val="clear" w:color="000000" w:fill="FFFFFF"/>
            <w:noWrap/>
            <w:vAlign w:val="bottom"/>
            <w:hideMark/>
          </w:tcPr>
          <w:p w14:paraId="11EACA4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€ 2,61,299.00 </w:t>
            </w:r>
          </w:p>
        </w:tc>
        <w:tc>
          <w:tcPr>
            <w:tcW w:w="490" w:type="pct"/>
            <w:tcBorders>
              <w:top w:val="nil"/>
              <w:left w:val="nil"/>
              <w:bottom w:val="single" w:sz="4" w:space="0" w:color="auto"/>
              <w:right w:val="single" w:sz="4" w:space="0" w:color="auto"/>
            </w:tcBorders>
            <w:shd w:val="clear" w:color="000000" w:fill="FFFFFF"/>
            <w:noWrap/>
            <w:vAlign w:val="bottom"/>
            <w:hideMark/>
          </w:tcPr>
          <w:p w14:paraId="775E61F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€ 2,27,005.00 </w:t>
            </w:r>
          </w:p>
        </w:tc>
        <w:tc>
          <w:tcPr>
            <w:tcW w:w="490" w:type="pct"/>
            <w:tcBorders>
              <w:top w:val="nil"/>
              <w:left w:val="nil"/>
              <w:bottom w:val="single" w:sz="4" w:space="0" w:color="auto"/>
              <w:right w:val="single" w:sz="4" w:space="0" w:color="auto"/>
            </w:tcBorders>
            <w:shd w:val="clear" w:color="000000" w:fill="FFFFFF"/>
            <w:noWrap/>
            <w:vAlign w:val="bottom"/>
            <w:hideMark/>
          </w:tcPr>
          <w:p w14:paraId="7AE1946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€ 2,02,959.00 </w:t>
            </w:r>
          </w:p>
        </w:tc>
        <w:tc>
          <w:tcPr>
            <w:tcW w:w="490" w:type="pct"/>
            <w:tcBorders>
              <w:top w:val="nil"/>
              <w:left w:val="nil"/>
              <w:bottom w:val="single" w:sz="4" w:space="0" w:color="auto"/>
              <w:right w:val="single" w:sz="4" w:space="0" w:color="auto"/>
            </w:tcBorders>
            <w:shd w:val="clear" w:color="000000" w:fill="FFFFFF"/>
            <w:noWrap/>
            <w:vAlign w:val="bottom"/>
            <w:hideMark/>
          </w:tcPr>
          <w:p w14:paraId="3B07128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€ 1,83,937.00 </w:t>
            </w:r>
          </w:p>
        </w:tc>
        <w:tc>
          <w:tcPr>
            <w:tcW w:w="60" w:type="pct"/>
            <w:vAlign w:val="center"/>
            <w:hideMark/>
          </w:tcPr>
          <w:p w14:paraId="195DA5AC" w14:textId="77777777" w:rsidR="00BC24D3" w:rsidRPr="00BC24D3" w:rsidRDefault="00BC24D3" w:rsidP="00BC24D3">
            <w:pPr>
              <w:spacing w:before="0" w:after="0" w:line="240" w:lineRule="auto"/>
              <w:jc w:val="left"/>
              <w:rPr>
                <w:sz w:val="20"/>
                <w:szCs w:val="20"/>
                <w:lang w:val="en-IN"/>
              </w:rPr>
            </w:pPr>
          </w:p>
        </w:tc>
      </w:tr>
      <w:tr w:rsidR="00BC24D3" w:rsidRPr="00BC24D3" w14:paraId="74C09BC0"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A3665F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Average Inventory"</w:t>
            </w:r>
          </w:p>
        </w:tc>
        <w:tc>
          <w:tcPr>
            <w:tcW w:w="1173" w:type="pct"/>
            <w:vMerge/>
            <w:tcBorders>
              <w:top w:val="nil"/>
              <w:left w:val="single" w:sz="4" w:space="0" w:color="auto"/>
              <w:bottom w:val="single" w:sz="4" w:space="0" w:color="auto"/>
              <w:right w:val="single" w:sz="4" w:space="0" w:color="auto"/>
            </w:tcBorders>
            <w:vAlign w:val="center"/>
            <w:hideMark/>
          </w:tcPr>
          <w:p w14:paraId="73F2E39C"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4812D5E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55,160.50 </w:t>
            </w:r>
          </w:p>
        </w:tc>
        <w:tc>
          <w:tcPr>
            <w:tcW w:w="490" w:type="pct"/>
            <w:tcBorders>
              <w:top w:val="nil"/>
              <w:left w:val="nil"/>
              <w:bottom w:val="single" w:sz="4" w:space="0" w:color="auto"/>
              <w:right w:val="single" w:sz="4" w:space="0" w:color="auto"/>
            </w:tcBorders>
            <w:shd w:val="clear" w:color="000000" w:fill="FFFFFF"/>
            <w:noWrap/>
            <w:vAlign w:val="bottom"/>
            <w:hideMark/>
          </w:tcPr>
          <w:p w14:paraId="15A5C17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52,937.50 </w:t>
            </w:r>
          </w:p>
        </w:tc>
        <w:tc>
          <w:tcPr>
            <w:tcW w:w="490" w:type="pct"/>
            <w:tcBorders>
              <w:top w:val="nil"/>
              <w:left w:val="nil"/>
              <w:bottom w:val="single" w:sz="4" w:space="0" w:color="auto"/>
              <w:right w:val="single" w:sz="4" w:space="0" w:color="auto"/>
            </w:tcBorders>
            <w:shd w:val="clear" w:color="000000" w:fill="FFFFFF"/>
            <w:noWrap/>
            <w:vAlign w:val="bottom"/>
            <w:hideMark/>
          </w:tcPr>
          <w:p w14:paraId="12FC8A7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47,999.50 </w:t>
            </w:r>
          </w:p>
        </w:tc>
        <w:tc>
          <w:tcPr>
            <w:tcW w:w="490" w:type="pct"/>
            <w:tcBorders>
              <w:top w:val="nil"/>
              <w:left w:val="nil"/>
              <w:bottom w:val="single" w:sz="4" w:space="0" w:color="auto"/>
              <w:right w:val="single" w:sz="4" w:space="0" w:color="auto"/>
            </w:tcBorders>
            <w:shd w:val="clear" w:color="000000" w:fill="FFFFFF"/>
            <w:noWrap/>
            <w:vAlign w:val="bottom"/>
            <w:hideMark/>
          </w:tcPr>
          <w:p w14:paraId="7D58B79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43,774.00 </w:t>
            </w:r>
          </w:p>
        </w:tc>
        <w:tc>
          <w:tcPr>
            <w:tcW w:w="490" w:type="pct"/>
            <w:tcBorders>
              <w:top w:val="nil"/>
              <w:left w:val="nil"/>
              <w:bottom w:val="single" w:sz="4" w:space="0" w:color="auto"/>
              <w:right w:val="single" w:sz="4" w:space="0" w:color="auto"/>
            </w:tcBorders>
            <w:shd w:val="clear" w:color="000000" w:fill="FFFFFF"/>
            <w:noWrap/>
            <w:vAlign w:val="bottom"/>
            <w:hideMark/>
          </w:tcPr>
          <w:p w14:paraId="4F881D2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21,911.50 </w:t>
            </w:r>
          </w:p>
        </w:tc>
        <w:tc>
          <w:tcPr>
            <w:tcW w:w="60" w:type="pct"/>
            <w:vAlign w:val="center"/>
            <w:hideMark/>
          </w:tcPr>
          <w:p w14:paraId="33D45B55" w14:textId="77777777" w:rsidR="00BC24D3" w:rsidRPr="00BC24D3" w:rsidRDefault="00BC24D3" w:rsidP="00BC24D3">
            <w:pPr>
              <w:spacing w:before="0" w:after="0" w:line="240" w:lineRule="auto"/>
              <w:jc w:val="left"/>
              <w:rPr>
                <w:sz w:val="20"/>
                <w:szCs w:val="20"/>
                <w:lang w:val="en-IN"/>
              </w:rPr>
            </w:pPr>
          </w:p>
        </w:tc>
      </w:tr>
      <w:tr w:rsidR="00BC24D3" w:rsidRPr="00BC24D3" w14:paraId="1D5AF14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C2406B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"Inventory Turnover"</w:t>
            </w:r>
          </w:p>
        </w:tc>
        <w:tc>
          <w:tcPr>
            <w:tcW w:w="1173" w:type="pct"/>
            <w:vMerge/>
            <w:tcBorders>
              <w:top w:val="nil"/>
              <w:left w:val="single" w:sz="4" w:space="0" w:color="auto"/>
              <w:bottom w:val="single" w:sz="4" w:space="0" w:color="auto"/>
              <w:right w:val="single" w:sz="4" w:space="0" w:color="auto"/>
            </w:tcBorders>
            <w:vAlign w:val="center"/>
            <w:hideMark/>
          </w:tcPr>
          <w:p w14:paraId="2D227EF6"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1F6D6D1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4.81</w:t>
            </w:r>
          </w:p>
        </w:tc>
        <w:tc>
          <w:tcPr>
            <w:tcW w:w="490" w:type="pct"/>
            <w:tcBorders>
              <w:top w:val="nil"/>
              <w:left w:val="nil"/>
              <w:bottom w:val="single" w:sz="4" w:space="0" w:color="auto"/>
              <w:right w:val="single" w:sz="4" w:space="0" w:color="auto"/>
            </w:tcBorders>
            <w:shd w:val="clear" w:color="000000" w:fill="FFFFFF"/>
            <w:noWrap/>
            <w:vAlign w:val="bottom"/>
            <w:hideMark/>
          </w:tcPr>
          <w:p w14:paraId="43FF27B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4.94</w:t>
            </w:r>
          </w:p>
        </w:tc>
        <w:tc>
          <w:tcPr>
            <w:tcW w:w="490" w:type="pct"/>
            <w:tcBorders>
              <w:top w:val="nil"/>
              <w:left w:val="nil"/>
              <w:bottom w:val="single" w:sz="4" w:space="0" w:color="auto"/>
              <w:right w:val="single" w:sz="4" w:space="0" w:color="auto"/>
            </w:tcBorders>
            <w:shd w:val="clear" w:color="000000" w:fill="FFFFFF"/>
            <w:noWrap/>
            <w:vAlign w:val="bottom"/>
            <w:hideMark/>
          </w:tcPr>
          <w:p w14:paraId="2EA40DF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4.73</w:t>
            </w:r>
          </w:p>
        </w:tc>
        <w:tc>
          <w:tcPr>
            <w:tcW w:w="490" w:type="pct"/>
            <w:tcBorders>
              <w:top w:val="nil"/>
              <w:left w:val="nil"/>
              <w:bottom w:val="single" w:sz="4" w:space="0" w:color="auto"/>
              <w:right w:val="single" w:sz="4" w:space="0" w:color="auto"/>
            </w:tcBorders>
            <w:shd w:val="clear" w:color="000000" w:fill="FFFFFF"/>
            <w:noWrap/>
            <w:vAlign w:val="bottom"/>
            <w:hideMark/>
          </w:tcPr>
          <w:p w14:paraId="66B9BA0A"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4.64</w:t>
            </w:r>
          </w:p>
        </w:tc>
        <w:tc>
          <w:tcPr>
            <w:tcW w:w="490" w:type="pct"/>
            <w:tcBorders>
              <w:top w:val="nil"/>
              <w:left w:val="nil"/>
              <w:bottom w:val="single" w:sz="4" w:space="0" w:color="auto"/>
              <w:right w:val="single" w:sz="4" w:space="0" w:color="auto"/>
            </w:tcBorders>
            <w:shd w:val="clear" w:color="000000" w:fill="FFFFFF"/>
            <w:noWrap/>
            <w:vAlign w:val="bottom"/>
            <w:hideMark/>
          </w:tcPr>
          <w:p w14:paraId="7E22F9A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8.39</w:t>
            </w:r>
          </w:p>
        </w:tc>
        <w:tc>
          <w:tcPr>
            <w:tcW w:w="60" w:type="pct"/>
            <w:vAlign w:val="center"/>
            <w:hideMark/>
          </w:tcPr>
          <w:p w14:paraId="1ECF9A30" w14:textId="77777777" w:rsidR="00BC24D3" w:rsidRPr="00BC24D3" w:rsidRDefault="00BC24D3" w:rsidP="00BC24D3">
            <w:pPr>
              <w:spacing w:before="0" w:after="0" w:line="240" w:lineRule="auto"/>
              <w:jc w:val="left"/>
              <w:rPr>
                <w:sz w:val="20"/>
                <w:szCs w:val="20"/>
                <w:lang w:val="en-IN"/>
              </w:rPr>
            </w:pPr>
          </w:p>
        </w:tc>
      </w:tr>
      <w:tr w:rsidR="00BC24D3" w:rsidRPr="00BC24D3" w14:paraId="46DB5C5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4E7732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1173" w:type="pct"/>
            <w:tcBorders>
              <w:top w:val="nil"/>
              <w:left w:val="nil"/>
              <w:bottom w:val="single" w:sz="4" w:space="0" w:color="auto"/>
              <w:right w:val="single" w:sz="4" w:space="0" w:color="auto"/>
            </w:tcBorders>
            <w:shd w:val="clear" w:color="000000" w:fill="FFFFFF"/>
            <w:vAlign w:val="center"/>
            <w:hideMark/>
          </w:tcPr>
          <w:p w14:paraId="7E39A61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 </w:t>
            </w:r>
          </w:p>
        </w:tc>
        <w:tc>
          <w:tcPr>
            <w:tcW w:w="512" w:type="pct"/>
            <w:tcBorders>
              <w:top w:val="nil"/>
              <w:left w:val="nil"/>
              <w:bottom w:val="single" w:sz="4" w:space="0" w:color="auto"/>
              <w:right w:val="single" w:sz="4" w:space="0" w:color="auto"/>
            </w:tcBorders>
            <w:shd w:val="clear" w:color="000000" w:fill="FFFFFF"/>
            <w:noWrap/>
            <w:vAlign w:val="bottom"/>
            <w:hideMark/>
          </w:tcPr>
          <w:p w14:paraId="04A6858C"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035E0BA1"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9F0C2B4"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346A5B7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6F43C98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60" w:type="pct"/>
            <w:vAlign w:val="center"/>
            <w:hideMark/>
          </w:tcPr>
          <w:p w14:paraId="1697566D" w14:textId="77777777" w:rsidR="00BC24D3" w:rsidRPr="00BC24D3" w:rsidRDefault="00BC24D3" w:rsidP="00BC24D3">
            <w:pPr>
              <w:spacing w:before="0" w:after="0" w:line="240" w:lineRule="auto"/>
              <w:jc w:val="left"/>
              <w:rPr>
                <w:sz w:val="20"/>
                <w:szCs w:val="20"/>
                <w:lang w:val="en-IN"/>
              </w:rPr>
            </w:pPr>
          </w:p>
        </w:tc>
      </w:tr>
      <w:tr w:rsidR="00BC24D3" w:rsidRPr="00BC24D3" w14:paraId="294E708F"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872D0D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"Asset Turnover"</w:t>
            </w:r>
          </w:p>
        </w:tc>
        <w:tc>
          <w:tcPr>
            <w:tcW w:w="60" w:type="pct"/>
            <w:vAlign w:val="center"/>
            <w:hideMark/>
          </w:tcPr>
          <w:p w14:paraId="17C2DABE" w14:textId="77777777" w:rsidR="00BC24D3" w:rsidRPr="00BC24D3" w:rsidRDefault="00BC24D3" w:rsidP="00BC24D3">
            <w:pPr>
              <w:spacing w:before="0" w:after="0" w:line="240" w:lineRule="auto"/>
              <w:jc w:val="left"/>
              <w:rPr>
                <w:sz w:val="20"/>
                <w:szCs w:val="20"/>
                <w:lang w:val="en-IN"/>
              </w:rPr>
            </w:pPr>
          </w:p>
        </w:tc>
      </w:tr>
      <w:tr w:rsidR="00BC24D3" w:rsidRPr="00BC24D3" w14:paraId="5B503AA8"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140E70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71EAEF0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5CE094F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2EBFB53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0B974DD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469191D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5995889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58A55F92" w14:textId="77777777" w:rsidR="00BC24D3" w:rsidRPr="00BC24D3" w:rsidRDefault="00BC24D3" w:rsidP="00BC24D3">
            <w:pPr>
              <w:spacing w:before="0" w:after="0" w:line="240" w:lineRule="auto"/>
              <w:jc w:val="left"/>
              <w:rPr>
                <w:sz w:val="20"/>
                <w:szCs w:val="20"/>
                <w:lang w:val="en-IN"/>
              </w:rPr>
            </w:pPr>
          </w:p>
        </w:tc>
      </w:tr>
      <w:tr w:rsidR="00BC24D3" w:rsidRPr="00BC24D3" w14:paraId="0D89CB1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FE717F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"Sales"</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F8F763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"(Sales / Average Total Assets)"</w:t>
            </w:r>
          </w:p>
        </w:tc>
        <w:tc>
          <w:tcPr>
            <w:tcW w:w="512" w:type="pct"/>
            <w:tcBorders>
              <w:top w:val="nil"/>
              <w:left w:val="nil"/>
              <w:bottom w:val="single" w:sz="4" w:space="0" w:color="auto"/>
              <w:right w:val="single" w:sz="4" w:space="0" w:color="auto"/>
            </w:tcBorders>
            <w:shd w:val="clear" w:color="000000" w:fill="FFFFFF"/>
            <w:noWrap/>
            <w:vAlign w:val="bottom"/>
            <w:hideMark/>
          </w:tcPr>
          <w:p w14:paraId="4DB7C04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3,24,656.00 </w:t>
            </w:r>
          </w:p>
        </w:tc>
        <w:tc>
          <w:tcPr>
            <w:tcW w:w="490" w:type="pct"/>
            <w:tcBorders>
              <w:top w:val="nil"/>
              <w:left w:val="nil"/>
              <w:bottom w:val="single" w:sz="4" w:space="0" w:color="auto"/>
              <w:right w:val="single" w:sz="4" w:space="0" w:color="auto"/>
            </w:tcBorders>
            <w:shd w:val="clear" w:color="000000" w:fill="FFFFFF"/>
            <w:noWrap/>
            <w:vAlign w:val="bottom"/>
            <w:hideMark/>
          </w:tcPr>
          <w:p w14:paraId="1D582D8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€ 3,22,284.00 </w:t>
            </w:r>
          </w:p>
        </w:tc>
        <w:tc>
          <w:tcPr>
            <w:tcW w:w="490" w:type="pct"/>
            <w:tcBorders>
              <w:top w:val="nil"/>
              <w:left w:val="nil"/>
              <w:bottom w:val="single" w:sz="4" w:space="0" w:color="auto"/>
              <w:right w:val="single" w:sz="4" w:space="0" w:color="auto"/>
            </w:tcBorders>
            <w:shd w:val="clear" w:color="000000" w:fill="FFFFFF"/>
            <w:noWrap/>
            <w:vAlign w:val="bottom"/>
            <w:hideMark/>
          </w:tcPr>
          <w:p w14:paraId="5AD73D5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€ 2,79,232.00 </w:t>
            </w:r>
          </w:p>
        </w:tc>
        <w:tc>
          <w:tcPr>
            <w:tcW w:w="490" w:type="pct"/>
            <w:tcBorders>
              <w:top w:val="nil"/>
              <w:left w:val="nil"/>
              <w:bottom w:val="single" w:sz="4" w:space="0" w:color="auto"/>
              <w:right w:val="single" w:sz="4" w:space="0" w:color="auto"/>
            </w:tcBorders>
            <w:shd w:val="clear" w:color="000000" w:fill="FFFFFF"/>
            <w:noWrap/>
            <w:vAlign w:val="bottom"/>
            <w:hideMark/>
          </w:tcPr>
          <w:p w14:paraId="0E589C9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€ 2,50,200.00 </w:t>
            </w:r>
          </w:p>
        </w:tc>
        <w:tc>
          <w:tcPr>
            <w:tcW w:w="490" w:type="pct"/>
            <w:tcBorders>
              <w:top w:val="nil"/>
              <w:left w:val="nil"/>
              <w:bottom w:val="single" w:sz="4" w:space="0" w:color="auto"/>
              <w:right w:val="single" w:sz="4" w:space="0" w:color="auto"/>
            </w:tcBorders>
            <w:shd w:val="clear" w:color="000000" w:fill="FFFFFF"/>
            <w:noWrap/>
            <w:vAlign w:val="bottom"/>
            <w:hideMark/>
          </w:tcPr>
          <w:p w14:paraId="787BA42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€ 2,22,884.00 </w:t>
            </w:r>
          </w:p>
        </w:tc>
        <w:tc>
          <w:tcPr>
            <w:tcW w:w="60" w:type="pct"/>
            <w:vAlign w:val="center"/>
            <w:hideMark/>
          </w:tcPr>
          <w:p w14:paraId="3A55ED9F" w14:textId="77777777" w:rsidR="00BC24D3" w:rsidRPr="00BC24D3" w:rsidRDefault="00BC24D3" w:rsidP="00BC24D3">
            <w:pPr>
              <w:spacing w:before="0" w:after="0" w:line="240" w:lineRule="auto"/>
              <w:jc w:val="left"/>
              <w:rPr>
                <w:sz w:val="20"/>
                <w:szCs w:val="20"/>
                <w:lang w:val="en-IN"/>
              </w:rPr>
            </w:pPr>
          </w:p>
        </w:tc>
      </w:tr>
      <w:tr w:rsidR="00BC24D3" w:rsidRPr="00BC24D3" w14:paraId="41066A8D"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A414BD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Average Total Assets"</w:t>
            </w:r>
          </w:p>
        </w:tc>
        <w:tc>
          <w:tcPr>
            <w:tcW w:w="1173" w:type="pct"/>
            <w:vMerge/>
            <w:tcBorders>
              <w:top w:val="nil"/>
              <w:left w:val="single" w:sz="4" w:space="0" w:color="auto"/>
              <w:bottom w:val="single" w:sz="4" w:space="0" w:color="auto"/>
              <w:right w:val="single" w:sz="4" w:space="0" w:color="auto"/>
            </w:tcBorders>
            <w:vAlign w:val="center"/>
            <w:hideMark/>
          </w:tcPr>
          <w:p w14:paraId="3607FF3B"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BD738D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6,16,777.00 </w:t>
            </w:r>
          </w:p>
        </w:tc>
        <w:tc>
          <w:tcPr>
            <w:tcW w:w="490" w:type="pct"/>
            <w:tcBorders>
              <w:top w:val="nil"/>
              <w:left w:val="nil"/>
              <w:bottom w:val="single" w:sz="4" w:space="0" w:color="auto"/>
              <w:right w:val="single" w:sz="4" w:space="0" w:color="auto"/>
            </w:tcBorders>
            <w:shd w:val="clear" w:color="000000" w:fill="FFFFFF"/>
            <w:noWrap/>
            <w:vAlign w:val="bottom"/>
            <w:hideMark/>
          </w:tcPr>
          <w:p w14:paraId="3AACC26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€ 5,82,710.50 </w:t>
            </w:r>
          </w:p>
        </w:tc>
        <w:tc>
          <w:tcPr>
            <w:tcW w:w="490" w:type="pct"/>
            <w:tcBorders>
              <w:top w:val="nil"/>
              <w:left w:val="nil"/>
              <w:bottom w:val="single" w:sz="4" w:space="0" w:color="auto"/>
              <w:right w:val="single" w:sz="4" w:space="0" w:color="auto"/>
            </w:tcBorders>
            <w:shd w:val="clear" w:color="000000" w:fill="FFFFFF"/>
            <w:noWrap/>
            <w:vAlign w:val="bottom"/>
            <w:hideMark/>
          </w:tcPr>
          <w:p w14:paraId="10AC01D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€ 5,46,690.50 </w:t>
            </w:r>
          </w:p>
        </w:tc>
        <w:tc>
          <w:tcPr>
            <w:tcW w:w="490" w:type="pct"/>
            <w:tcBorders>
              <w:top w:val="nil"/>
              <w:left w:val="nil"/>
              <w:bottom w:val="single" w:sz="4" w:space="0" w:color="auto"/>
              <w:right w:val="single" w:sz="4" w:space="0" w:color="auto"/>
            </w:tcBorders>
            <w:shd w:val="clear" w:color="000000" w:fill="FFFFFF"/>
            <w:noWrap/>
            <w:vAlign w:val="bottom"/>
            <w:hideMark/>
          </w:tcPr>
          <w:p w14:paraId="31CFE6C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€ 5,12,861.50 </w:t>
            </w:r>
          </w:p>
        </w:tc>
        <w:tc>
          <w:tcPr>
            <w:tcW w:w="490" w:type="pct"/>
            <w:tcBorders>
              <w:top w:val="nil"/>
              <w:left w:val="nil"/>
              <w:bottom w:val="single" w:sz="4" w:space="0" w:color="auto"/>
              <w:right w:val="single" w:sz="4" w:space="0" w:color="auto"/>
            </w:tcBorders>
            <w:shd w:val="clear" w:color="000000" w:fill="FFFFFF"/>
            <w:noWrap/>
            <w:vAlign w:val="bottom"/>
            <w:hideMark/>
          </w:tcPr>
          <w:p w14:paraId="0FD45CC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€ 2,48,557.00 </w:t>
            </w:r>
          </w:p>
        </w:tc>
        <w:tc>
          <w:tcPr>
            <w:tcW w:w="60" w:type="pct"/>
            <w:vAlign w:val="center"/>
            <w:hideMark/>
          </w:tcPr>
          <w:p w14:paraId="60F8BA0D" w14:textId="77777777" w:rsidR="00BC24D3" w:rsidRPr="00BC24D3" w:rsidRDefault="00BC24D3" w:rsidP="00BC24D3">
            <w:pPr>
              <w:spacing w:before="0" w:after="0" w:line="240" w:lineRule="auto"/>
              <w:jc w:val="left"/>
              <w:rPr>
                <w:sz w:val="20"/>
                <w:szCs w:val="20"/>
                <w:lang w:val="en-IN"/>
              </w:rPr>
            </w:pPr>
          </w:p>
        </w:tc>
      </w:tr>
      <w:tr w:rsidR="00BC24D3" w:rsidRPr="00BC24D3" w14:paraId="2BEFDAB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E32774B"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"Asset Turnover"</w:t>
            </w:r>
          </w:p>
        </w:tc>
        <w:tc>
          <w:tcPr>
            <w:tcW w:w="1173" w:type="pct"/>
            <w:vMerge/>
            <w:tcBorders>
              <w:top w:val="nil"/>
              <w:left w:val="single" w:sz="4" w:space="0" w:color="auto"/>
              <w:bottom w:val="single" w:sz="4" w:space="0" w:color="auto"/>
              <w:right w:val="single" w:sz="4" w:space="0" w:color="auto"/>
            </w:tcBorders>
            <w:vAlign w:val="center"/>
            <w:hideMark/>
          </w:tcPr>
          <w:p w14:paraId="61174A71"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58FB4D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0.53</w:t>
            </w:r>
          </w:p>
        </w:tc>
        <w:tc>
          <w:tcPr>
            <w:tcW w:w="490" w:type="pct"/>
            <w:tcBorders>
              <w:top w:val="nil"/>
              <w:left w:val="nil"/>
              <w:bottom w:val="single" w:sz="4" w:space="0" w:color="auto"/>
              <w:right w:val="single" w:sz="4" w:space="0" w:color="auto"/>
            </w:tcBorders>
            <w:shd w:val="clear" w:color="000000" w:fill="FFFFFF"/>
            <w:noWrap/>
            <w:vAlign w:val="bottom"/>
            <w:hideMark/>
          </w:tcPr>
          <w:p w14:paraId="051A0D4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0.55</w:t>
            </w:r>
          </w:p>
        </w:tc>
        <w:tc>
          <w:tcPr>
            <w:tcW w:w="490" w:type="pct"/>
            <w:tcBorders>
              <w:top w:val="nil"/>
              <w:left w:val="nil"/>
              <w:bottom w:val="single" w:sz="4" w:space="0" w:color="auto"/>
              <w:right w:val="single" w:sz="4" w:space="0" w:color="auto"/>
            </w:tcBorders>
            <w:shd w:val="clear" w:color="000000" w:fill="FFFFFF"/>
            <w:noWrap/>
            <w:vAlign w:val="bottom"/>
            <w:hideMark/>
          </w:tcPr>
          <w:p w14:paraId="537D115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0.51</w:t>
            </w:r>
          </w:p>
        </w:tc>
        <w:tc>
          <w:tcPr>
            <w:tcW w:w="490" w:type="pct"/>
            <w:tcBorders>
              <w:top w:val="nil"/>
              <w:left w:val="nil"/>
              <w:bottom w:val="single" w:sz="4" w:space="0" w:color="auto"/>
              <w:right w:val="single" w:sz="4" w:space="0" w:color="auto"/>
            </w:tcBorders>
            <w:shd w:val="clear" w:color="000000" w:fill="FFFFFF"/>
            <w:noWrap/>
            <w:vAlign w:val="bottom"/>
            <w:hideMark/>
          </w:tcPr>
          <w:p w14:paraId="000F5D0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0.49</w:t>
            </w:r>
          </w:p>
        </w:tc>
        <w:tc>
          <w:tcPr>
            <w:tcW w:w="490" w:type="pct"/>
            <w:tcBorders>
              <w:top w:val="nil"/>
              <w:left w:val="nil"/>
              <w:bottom w:val="single" w:sz="4" w:space="0" w:color="auto"/>
              <w:right w:val="single" w:sz="4" w:space="0" w:color="auto"/>
            </w:tcBorders>
            <w:shd w:val="clear" w:color="000000" w:fill="FFFFFF"/>
            <w:noWrap/>
            <w:vAlign w:val="bottom"/>
            <w:hideMark/>
          </w:tcPr>
          <w:p w14:paraId="687072EA"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0.90</w:t>
            </w:r>
          </w:p>
        </w:tc>
        <w:tc>
          <w:tcPr>
            <w:tcW w:w="60" w:type="pct"/>
            <w:vAlign w:val="center"/>
            <w:hideMark/>
          </w:tcPr>
          <w:p w14:paraId="3CF55CA4" w14:textId="77777777" w:rsidR="00BC24D3" w:rsidRPr="00BC24D3" w:rsidRDefault="00BC24D3" w:rsidP="00BC24D3">
            <w:pPr>
              <w:spacing w:before="0" w:after="0" w:line="240" w:lineRule="auto"/>
              <w:jc w:val="left"/>
              <w:rPr>
                <w:sz w:val="20"/>
                <w:szCs w:val="20"/>
                <w:lang w:val="en-IN"/>
              </w:rPr>
            </w:pPr>
          </w:p>
        </w:tc>
      </w:tr>
      <w:tr w:rsidR="00BC24D3" w:rsidRPr="00BC24D3" w14:paraId="02FA6624" w14:textId="77777777" w:rsidTr="00BC24D3">
        <w:trPr>
          <w:trHeight w:val="312"/>
          <w:jc w:val="center"/>
        </w:trPr>
        <w:tc>
          <w:tcPr>
            <w:tcW w:w="4940" w:type="pct"/>
            <w:gridSpan w:val="7"/>
            <w:vMerge w:val="restart"/>
            <w:tcBorders>
              <w:top w:val="single" w:sz="4" w:space="0" w:color="auto"/>
              <w:left w:val="single" w:sz="4" w:space="0" w:color="auto"/>
              <w:bottom w:val="single" w:sz="4" w:space="0" w:color="auto"/>
              <w:right w:val="single" w:sz="4" w:space="0" w:color="auto"/>
            </w:tcBorders>
            <w:shd w:val="clear" w:color="000000" w:fill="FF9999"/>
            <w:noWrap/>
            <w:vAlign w:val="center"/>
            <w:hideMark/>
          </w:tcPr>
          <w:p w14:paraId="2BA58D5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"Leverage (Gearing) Ratio"</w:t>
            </w:r>
          </w:p>
        </w:tc>
        <w:tc>
          <w:tcPr>
            <w:tcW w:w="60" w:type="pct"/>
            <w:vAlign w:val="center"/>
            <w:hideMark/>
          </w:tcPr>
          <w:p w14:paraId="092C4908" w14:textId="77777777" w:rsidR="00BC24D3" w:rsidRPr="00BC24D3" w:rsidRDefault="00BC24D3" w:rsidP="00BC24D3">
            <w:pPr>
              <w:spacing w:before="0" w:after="0" w:line="240" w:lineRule="auto"/>
              <w:jc w:val="left"/>
              <w:rPr>
                <w:sz w:val="20"/>
                <w:szCs w:val="20"/>
                <w:lang w:val="en-IN"/>
              </w:rPr>
            </w:pPr>
          </w:p>
        </w:tc>
      </w:tr>
      <w:tr w:rsidR="00BC24D3" w:rsidRPr="00BC24D3" w14:paraId="3BDE0D53" w14:textId="77777777" w:rsidTr="00BC24D3">
        <w:trPr>
          <w:trHeight w:val="312"/>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5B2D2953"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6E974279" w14:textId="77777777" w:rsidR="00BC24D3" w:rsidRPr="00BC24D3" w:rsidRDefault="00BC24D3" w:rsidP="00BC24D3">
            <w:pPr>
              <w:spacing w:before="0" w:after="0" w:line="240" w:lineRule="auto"/>
              <w:jc w:val="center"/>
              <w:rPr>
                <w:rFonts w:ascii="Arial" w:hAnsi="Arial" w:cs="Arial"/>
                <w:b/>
                <w:bCs/>
                <w:color w:val="000000"/>
                <w:lang w:val="en-IN"/>
              </w:rPr>
            </w:pPr>
          </w:p>
        </w:tc>
      </w:tr>
      <w:tr w:rsidR="00BC24D3" w:rsidRPr="00BC24D3" w14:paraId="0A8F3226"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0B1FC3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"Debt to Equity Ratio"</w:t>
            </w:r>
          </w:p>
        </w:tc>
        <w:tc>
          <w:tcPr>
            <w:tcW w:w="60" w:type="pct"/>
            <w:vAlign w:val="center"/>
            <w:hideMark/>
          </w:tcPr>
          <w:p w14:paraId="5726E795" w14:textId="77777777" w:rsidR="00BC24D3" w:rsidRPr="00BC24D3" w:rsidRDefault="00BC24D3" w:rsidP="00BC24D3">
            <w:pPr>
              <w:spacing w:before="0" w:after="0" w:line="240" w:lineRule="auto"/>
              <w:jc w:val="left"/>
              <w:rPr>
                <w:sz w:val="20"/>
                <w:szCs w:val="20"/>
                <w:lang w:val="en-IN"/>
              </w:rPr>
            </w:pPr>
          </w:p>
        </w:tc>
      </w:tr>
      <w:tr w:rsidR="00BC24D3" w:rsidRPr="00BC24D3" w14:paraId="61F5258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283885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7B113AD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5F0BBC9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604E252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30F4032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1C2A2C5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8F4B7E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7F405476" w14:textId="77777777" w:rsidR="00BC24D3" w:rsidRPr="00BC24D3" w:rsidRDefault="00BC24D3" w:rsidP="00BC24D3">
            <w:pPr>
              <w:spacing w:before="0" w:after="0" w:line="240" w:lineRule="auto"/>
              <w:jc w:val="left"/>
              <w:rPr>
                <w:sz w:val="20"/>
                <w:szCs w:val="20"/>
                <w:lang w:val="en-IN"/>
              </w:rPr>
            </w:pPr>
          </w:p>
        </w:tc>
      </w:tr>
      <w:tr w:rsidR="00BC24D3" w:rsidRPr="00BC24D3" w14:paraId="70C32E0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4ACC2C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"Total Debt"</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2B8D18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"(Total debt/Total equity)"</w:t>
            </w:r>
          </w:p>
        </w:tc>
        <w:tc>
          <w:tcPr>
            <w:tcW w:w="512" w:type="pct"/>
            <w:tcBorders>
              <w:top w:val="nil"/>
              <w:left w:val="nil"/>
              <w:bottom w:val="single" w:sz="4" w:space="0" w:color="auto"/>
              <w:right w:val="single" w:sz="4" w:space="0" w:color="auto"/>
            </w:tcBorders>
            <w:shd w:val="clear" w:color="000000" w:fill="FFFFFF"/>
            <w:noWrap/>
            <w:vAlign w:val="bottom"/>
            <w:hideMark/>
          </w:tcPr>
          <w:p w14:paraId="474B6A0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4,36,173.00 </w:t>
            </w:r>
          </w:p>
        </w:tc>
        <w:tc>
          <w:tcPr>
            <w:tcW w:w="490" w:type="pct"/>
            <w:tcBorders>
              <w:top w:val="nil"/>
              <w:left w:val="nil"/>
              <w:bottom w:val="single" w:sz="4" w:space="0" w:color="auto"/>
              <w:right w:val="single" w:sz="4" w:space="0" w:color="auto"/>
            </w:tcBorders>
            <w:shd w:val="clear" w:color="000000" w:fill="FFFFFF"/>
            <w:noWrap/>
            <w:vAlign w:val="bottom"/>
            <w:hideMark/>
          </w:tcPr>
          <w:p w14:paraId="332F990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€ 4,11,463.00 </w:t>
            </w:r>
          </w:p>
        </w:tc>
        <w:tc>
          <w:tcPr>
            <w:tcW w:w="490" w:type="pct"/>
            <w:tcBorders>
              <w:top w:val="nil"/>
              <w:left w:val="nil"/>
              <w:bottom w:val="single" w:sz="4" w:space="0" w:color="auto"/>
              <w:right w:val="single" w:sz="4" w:space="0" w:color="auto"/>
            </w:tcBorders>
            <w:shd w:val="clear" w:color="000000" w:fill="FFFFFF"/>
            <w:noWrap/>
            <w:vAlign w:val="bottom"/>
            <w:hideMark/>
          </w:tcPr>
          <w:p w14:paraId="440DD55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€ 3,86,445.00 </w:t>
            </w:r>
          </w:p>
        </w:tc>
        <w:tc>
          <w:tcPr>
            <w:tcW w:w="490" w:type="pct"/>
            <w:tcBorders>
              <w:top w:val="nil"/>
              <w:left w:val="nil"/>
              <w:bottom w:val="single" w:sz="4" w:space="0" w:color="auto"/>
              <w:right w:val="single" w:sz="4" w:space="0" w:color="auto"/>
            </w:tcBorders>
            <w:shd w:val="clear" w:color="000000" w:fill="FFFFFF"/>
            <w:noWrap/>
            <w:vAlign w:val="bottom"/>
            <w:hideMark/>
          </w:tcPr>
          <w:p w14:paraId="61BE4ED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€ 3,82,455.00 </w:t>
            </w:r>
          </w:p>
        </w:tc>
        <w:tc>
          <w:tcPr>
            <w:tcW w:w="490" w:type="pct"/>
            <w:tcBorders>
              <w:top w:val="nil"/>
              <w:left w:val="nil"/>
              <w:bottom w:val="single" w:sz="4" w:space="0" w:color="auto"/>
              <w:right w:val="single" w:sz="4" w:space="0" w:color="auto"/>
            </w:tcBorders>
            <w:shd w:val="clear" w:color="000000" w:fill="FFFFFF"/>
            <w:noWrap/>
            <w:vAlign w:val="bottom"/>
            <w:hideMark/>
          </w:tcPr>
          <w:p w14:paraId="5CE4291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€ 3,68,331.00 </w:t>
            </w:r>
          </w:p>
        </w:tc>
        <w:tc>
          <w:tcPr>
            <w:tcW w:w="60" w:type="pct"/>
            <w:vAlign w:val="center"/>
            <w:hideMark/>
          </w:tcPr>
          <w:p w14:paraId="3809F32F" w14:textId="77777777" w:rsidR="00BC24D3" w:rsidRPr="00BC24D3" w:rsidRDefault="00BC24D3" w:rsidP="00BC24D3">
            <w:pPr>
              <w:spacing w:before="0" w:after="0" w:line="240" w:lineRule="auto"/>
              <w:jc w:val="left"/>
              <w:rPr>
                <w:sz w:val="20"/>
                <w:szCs w:val="20"/>
                <w:lang w:val="en-IN"/>
              </w:rPr>
            </w:pPr>
          </w:p>
        </w:tc>
      </w:tr>
      <w:tr w:rsidR="00BC24D3" w:rsidRPr="00BC24D3" w14:paraId="0E356D18"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AC8FE1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Total Equity"</w:t>
            </w:r>
          </w:p>
        </w:tc>
        <w:tc>
          <w:tcPr>
            <w:tcW w:w="1173" w:type="pct"/>
            <w:vMerge/>
            <w:tcBorders>
              <w:top w:val="nil"/>
              <w:left w:val="single" w:sz="4" w:space="0" w:color="auto"/>
              <w:bottom w:val="single" w:sz="4" w:space="0" w:color="auto"/>
              <w:right w:val="single" w:sz="4" w:space="0" w:color="auto"/>
            </w:tcBorders>
            <w:vAlign w:val="center"/>
            <w:hideMark/>
          </w:tcPr>
          <w:p w14:paraId="5BC75EB0"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A886C9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1,96,731.00 </w:t>
            </w:r>
          </w:p>
        </w:tc>
        <w:tc>
          <w:tcPr>
            <w:tcW w:w="490" w:type="pct"/>
            <w:tcBorders>
              <w:top w:val="nil"/>
              <w:left w:val="nil"/>
              <w:bottom w:val="single" w:sz="4" w:space="0" w:color="auto"/>
              <w:right w:val="single" w:sz="4" w:space="0" w:color="auto"/>
            </w:tcBorders>
            <w:shd w:val="clear" w:color="000000" w:fill="FFFFFF"/>
            <w:noWrap/>
            <w:vAlign w:val="bottom"/>
            <w:hideMark/>
          </w:tcPr>
          <w:p w14:paraId="2EBAB0D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€ 1,89,186.00 </w:t>
            </w:r>
          </w:p>
        </w:tc>
        <w:tc>
          <w:tcPr>
            <w:tcW w:w="490" w:type="pct"/>
            <w:tcBorders>
              <w:top w:val="nil"/>
              <w:left w:val="nil"/>
              <w:bottom w:val="single" w:sz="4" w:space="0" w:color="auto"/>
              <w:right w:val="single" w:sz="4" w:space="0" w:color="auto"/>
            </w:tcBorders>
            <w:shd w:val="clear" w:color="000000" w:fill="FFFFFF"/>
            <w:noWrap/>
            <w:vAlign w:val="bottom"/>
            <w:hideMark/>
          </w:tcPr>
          <w:p w14:paraId="4B1F666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€ 1,78,327.00 </w:t>
            </w:r>
          </w:p>
        </w:tc>
        <w:tc>
          <w:tcPr>
            <w:tcW w:w="490" w:type="pct"/>
            <w:tcBorders>
              <w:top w:val="nil"/>
              <w:left w:val="nil"/>
              <w:bottom w:val="single" w:sz="4" w:space="0" w:color="auto"/>
              <w:right w:val="single" w:sz="4" w:space="0" w:color="auto"/>
            </w:tcBorders>
            <w:shd w:val="clear" w:color="000000" w:fill="FFFFFF"/>
            <w:noWrap/>
            <w:vAlign w:val="bottom"/>
            <w:hideMark/>
          </w:tcPr>
          <w:p w14:paraId="0EA9252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€ 1,46,154.00 </w:t>
            </w:r>
          </w:p>
        </w:tc>
        <w:tc>
          <w:tcPr>
            <w:tcW w:w="490" w:type="pct"/>
            <w:tcBorders>
              <w:top w:val="nil"/>
              <w:left w:val="nil"/>
              <w:bottom w:val="single" w:sz="4" w:space="0" w:color="auto"/>
              <w:right w:val="single" w:sz="4" w:space="0" w:color="auto"/>
            </w:tcBorders>
            <w:shd w:val="clear" w:color="000000" w:fill="FFFFFF"/>
            <w:noWrap/>
            <w:vAlign w:val="bottom"/>
            <w:hideMark/>
          </w:tcPr>
          <w:p w14:paraId="0A036D4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€ 1,28,783.00 </w:t>
            </w:r>
          </w:p>
        </w:tc>
        <w:tc>
          <w:tcPr>
            <w:tcW w:w="60" w:type="pct"/>
            <w:vAlign w:val="center"/>
            <w:hideMark/>
          </w:tcPr>
          <w:p w14:paraId="4083753D" w14:textId="77777777" w:rsidR="00BC24D3" w:rsidRPr="00BC24D3" w:rsidRDefault="00BC24D3" w:rsidP="00BC24D3">
            <w:pPr>
              <w:spacing w:before="0" w:after="0" w:line="240" w:lineRule="auto"/>
              <w:jc w:val="left"/>
              <w:rPr>
                <w:sz w:val="20"/>
                <w:szCs w:val="20"/>
                <w:lang w:val="en-IN"/>
              </w:rPr>
            </w:pPr>
          </w:p>
        </w:tc>
      </w:tr>
      <w:tr w:rsidR="00BC24D3" w:rsidRPr="00BC24D3" w14:paraId="1BA6018F"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2A6F39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"Debt to Equity Ratio"</w:t>
            </w:r>
          </w:p>
        </w:tc>
        <w:tc>
          <w:tcPr>
            <w:tcW w:w="1173" w:type="pct"/>
            <w:vMerge/>
            <w:tcBorders>
              <w:top w:val="nil"/>
              <w:left w:val="single" w:sz="4" w:space="0" w:color="auto"/>
              <w:bottom w:val="single" w:sz="4" w:space="0" w:color="auto"/>
              <w:right w:val="single" w:sz="4" w:space="0" w:color="auto"/>
            </w:tcBorders>
            <w:vAlign w:val="center"/>
            <w:hideMark/>
          </w:tcPr>
          <w:p w14:paraId="49DB6801"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131D625"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2.22</w:t>
            </w:r>
          </w:p>
        </w:tc>
        <w:tc>
          <w:tcPr>
            <w:tcW w:w="490" w:type="pct"/>
            <w:tcBorders>
              <w:top w:val="nil"/>
              <w:left w:val="nil"/>
              <w:bottom w:val="single" w:sz="4" w:space="0" w:color="auto"/>
              <w:right w:val="single" w:sz="4" w:space="0" w:color="auto"/>
            </w:tcBorders>
            <w:shd w:val="clear" w:color="000000" w:fill="FFFFFF"/>
            <w:noWrap/>
            <w:vAlign w:val="bottom"/>
            <w:hideMark/>
          </w:tcPr>
          <w:p w14:paraId="6FF0EC8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2.17</w:t>
            </w:r>
          </w:p>
        </w:tc>
        <w:tc>
          <w:tcPr>
            <w:tcW w:w="490" w:type="pct"/>
            <w:tcBorders>
              <w:top w:val="nil"/>
              <w:left w:val="nil"/>
              <w:bottom w:val="single" w:sz="4" w:space="0" w:color="auto"/>
              <w:right w:val="single" w:sz="4" w:space="0" w:color="auto"/>
            </w:tcBorders>
            <w:shd w:val="clear" w:color="000000" w:fill="FFFFFF"/>
            <w:noWrap/>
            <w:vAlign w:val="bottom"/>
            <w:hideMark/>
          </w:tcPr>
          <w:p w14:paraId="08AE115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2.17</w:t>
            </w:r>
          </w:p>
        </w:tc>
        <w:tc>
          <w:tcPr>
            <w:tcW w:w="490" w:type="pct"/>
            <w:tcBorders>
              <w:top w:val="nil"/>
              <w:left w:val="nil"/>
              <w:bottom w:val="single" w:sz="4" w:space="0" w:color="auto"/>
              <w:right w:val="single" w:sz="4" w:space="0" w:color="auto"/>
            </w:tcBorders>
            <w:shd w:val="clear" w:color="000000" w:fill="FFFFFF"/>
            <w:noWrap/>
            <w:vAlign w:val="bottom"/>
            <w:hideMark/>
          </w:tcPr>
          <w:p w14:paraId="18DD15F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2.62</w:t>
            </w:r>
          </w:p>
        </w:tc>
        <w:tc>
          <w:tcPr>
            <w:tcW w:w="490" w:type="pct"/>
            <w:tcBorders>
              <w:top w:val="nil"/>
              <w:left w:val="nil"/>
              <w:bottom w:val="single" w:sz="4" w:space="0" w:color="auto"/>
              <w:right w:val="single" w:sz="4" w:space="0" w:color="auto"/>
            </w:tcBorders>
            <w:shd w:val="clear" w:color="000000" w:fill="FFFFFF"/>
            <w:noWrap/>
            <w:vAlign w:val="bottom"/>
            <w:hideMark/>
          </w:tcPr>
          <w:p w14:paraId="749FB3BC"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2.86</w:t>
            </w:r>
          </w:p>
        </w:tc>
        <w:tc>
          <w:tcPr>
            <w:tcW w:w="60" w:type="pct"/>
            <w:vAlign w:val="center"/>
            <w:hideMark/>
          </w:tcPr>
          <w:p w14:paraId="2DBF36CC" w14:textId="77777777" w:rsidR="00BC24D3" w:rsidRPr="00BC24D3" w:rsidRDefault="00BC24D3" w:rsidP="00BC24D3">
            <w:pPr>
              <w:spacing w:before="0" w:after="0" w:line="240" w:lineRule="auto"/>
              <w:jc w:val="left"/>
              <w:rPr>
                <w:sz w:val="20"/>
                <w:szCs w:val="20"/>
                <w:lang w:val="en-IN"/>
              </w:rPr>
            </w:pPr>
          </w:p>
        </w:tc>
      </w:tr>
      <w:tr w:rsidR="00BC24D3" w:rsidRPr="00BC24D3" w14:paraId="3E172EA3"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A968F6F"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0D096FEA" w14:textId="77777777" w:rsidR="00BC24D3" w:rsidRPr="00BC24D3" w:rsidRDefault="00BC24D3" w:rsidP="00BC24D3">
            <w:pPr>
              <w:spacing w:before="0" w:after="0" w:line="240" w:lineRule="auto"/>
              <w:jc w:val="left"/>
              <w:rPr>
                <w:sz w:val="20"/>
                <w:szCs w:val="20"/>
                <w:lang w:val="en-IN"/>
              </w:rPr>
            </w:pPr>
          </w:p>
        </w:tc>
      </w:tr>
      <w:tr w:rsidR="00BC24D3" w:rsidRPr="00BC24D3" w14:paraId="3D4A5FAD"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A64F9C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"Interest Coverage Ratios"</w:t>
            </w:r>
          </w:p>
        </w:tc>
        <w:tc>
          <w:tcPr>
            <w:tcW w:w="60" w:type="pct"/>
            <w:vAlign w:val="center"/>
            <w:hideMark/>
          </w:tcPr>
          <w:p w14:paraId="2ECE5973" w14:textId="77777777" w:rsidR="00BC24D3" w:rsidRPr="00BC24D3" w:rsidRDefault="00BC24D3" w:rsidP="00BC24D3">
            <w:pPr>
              <w:spacing w:before="0" w:after="0" w:line="240" w:lineRule="auto"/>
              <w:jc w:val="left"/>
              <w:rPr>
                <w:sz w:val="20"/>
                <w:szCs w:val="20"/>
                <w:lang w:val="en-IN"/>
              </w:rPr>
            </w:pPr>
          </w:p>
        </w:tc>
      </w:tr>
      <w:tr w:rsidR="00BC24D3" w:rsidRPr="00BC24D3" w14:paraId="10B1966B"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694553F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23B284E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12A1031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460017D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0C9E88F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38F83B2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26010F9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11C01350" w14:textId="77777777" w:rsidR="00BC24D3" w:rsidRPr="00BC24D3" w:rsidRDefault="00BC24D3" w:rsidP="00BC24D3">
            <w:pPr>
              <w:spacing w:before="0" w:after="0" w:line="240" w:lineRule="auto"/>
              <w:jc w:val="left"/>
              <w:rPr>
                <w:sz w:val="20"/>
                <w:szCs w:val="20"/>
                <w:lang w:val="en-IN"/>
              </w:rPr>
            </w:pPr>
          </w:p>
        </w:tc>
      </w:tr>
      <w:tr w:rsidR="00BC24D3" w:rsidRPr="00BC24D3" w14:paraId="14A89835"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7E43CC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"EBIT"</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9FB35D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"(EBIT/ Interest Expenses)"</w:t>
            </w:r>
          </w:p>
        </w:tc>
        <w:tc>
          <w:tcPr>
            <w:tcW w:w="512" w:type="pct"/>
            <w:tcBorders>
              <w:top w:val="nil"/>
              <w:left w:val="nil"/>
              <w:bottom w:val="single" w:sz="4" w:space="0" w:color="auto"/>
              <w:right w:val="single" w:sz="4" w:space="0" w:color="auto"/>
            </w:tcBorders>
            <w:shd w:val="clear" w:color="000000" w:fill="FFFFFF"/>
            <w:noWrap/>
            <w:vAlign w:val="bottom"/>
            <w:hideMark/>
          </w:tcPr>
          <w:p w14:paraId="154E4E4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16,806.00 </w:t>
            </w:r>
          </w:p>
        </w:tc>
        <w:tc>
          <w:tcPr>
            <w:tcW w:w="490" w:type="pct"/>
            <w:tcBorders>
              <w:top w:val="nil"/>
              <w:left w:val="nil"/>
              <w:bottom w:val="single" w:sz="4" w:space="0" w:color="auto"/>
              <w:right w:val="single" w:sz="4" w:space="0" w:color="auto"/>
            </w:tcBorders>
            <w:shd w:val="clear" w:color="000000" w:fill="FFFFFF"/>
            <w:noWrap/>
            <w:vAlign w:val="bottom"/>
            <w:hideMark/>
          </w:tcPr>
          <w:p w14:paraId="781CEDD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23,099.00 </w:t>
            </w:r>
          </w:p>
        </w:tc>
        <w:tc>
          <w:tcPr>
            <w:tcW w:w="490" w:type="pct"/>
            <w:tcBorders>
              <w:top w:val="nil"/>
              <w:left w:val="nil"/>
              <w:bottom w:val="single" w:sz="4" w:space="0" w:color="auto"/>
              <w:right w:val="single" w:sz="4" w:space="0" w:color="auto"/>
            </w:tcBorders>
            <w:shd w:val="clear" w:color="000000" w:fill="FFFFFF"/>
            <w:noWrap/>
            <w:vAlign w:val="bottom"/>
            <w:hideMark/>
          </w:tcPr>
          <w:p w14:paraId="08DCAC2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22,044.00 </w:t>
            </w:r>
          </w:p>
        </w:tc>
        <w:tc>
          <w:tcPr>
            <w:tcW w:w="490" w:type="pct"/>
            <w:tcBorders>
              <w:top w:val="nil"/>
              <w:left w:val="nil"/>
              <w:bottom w:val="single" w:sz="4" w:space="0" w:color="auto"/>
              <w:right w:val="single" w:sz="4" w:space="0" w:color="auto"/>
            </w:tcBorders>
            <w:shd w:val="clear" w:color="000000" w:fill="FFFFFF"/>
            <w:noWrap/>
            <w:vAlign w:val="bottom"/>
            <w:hideMark/>
          </w:tcPr>
          <w:p w14:paraId="14C5B27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20,126.00 </w:t>
            </w:r>
          </w:p>
        </w:tc>
        <w:tc>
          <w:tcPr>
            <w:tcW w:w="490" w:type="pct"/>
            <w:tcBorders>
              <w:top w:val="nil"/>
              <w:left w:val="nil"/>
              <w:bottom w:val="single" w:sz="4" w:space="0" w:color="auto"/>
              <w:right w:val="single" w:sz="4" w:space="0" w:color="auto"/>
            </w:tcBorders>
            <w:shd w:val="clear" w:color="000000" w:fill="FFFFFF"/>
            <w:noWrap/>
            <w:vAlign w:val="bottom"/>
            <w:hideMark/>
          </w:tcPr>
          <w:p w14:paraId="7F5CEFB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11,667.00 </w:t>
            </w:r>
          </w:p>
        </w:tc>
        <w:tc>
          <w:tcPr>
            <w:tcW w:w="60" w:type="pct"/>
            <w:vAlign w:val="center"/>
            <w:hideMark/>
          </w:tcPr>
          <w:p w14:paraId="2B667523" w14:textId="77777777" w:rsidR="00BC24D3" w:rsidRPr="00BC24D3" w:rsidRDefault="00BC24D3" w:rsidP="00BC24D3">
            <w:pPr>
              <w:spacing w:before="0" w:after="0" w:line="240" w:lineRule="auto"/>
              <w:jc w:val="left"/>
              <w:rPr>
                <w:sz w:val="20"/>
                <w:szCs w:val="20"/>
                <w:lang w:val="en-IN"/>
              </w:rPr>
            </w:pPr>
          </w:p>
        </w:tc>
      </w:tr>
      <w:tr w:rsidR="00BC24D3" w:rsidRPr="00BC24D3" w14:paraId="4266F5B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2E3F09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Interest Expense"</w:t>
            </w:r>
          </w:p>
        </w:tc>
        <w:tc>
          <w:tcPr>
            <w:tcW w:w="1173" w:type="pct"/>
            <w:vMerge/>
            <w:tcBorders>
              <w:top w:val="nil"/>
              <w:left w:val="single" w:sz="4" w:space="0" w:color="auto"/>
              <w:bottom w:val="single" w:sz="4" w:space="0" w:color="auto"/>
              <w:right w:val="single" w:sz="4" w:space="0" w:color="auto"/>
            </w:tcBorders>
            <w:vAlign w:val="center"/>
            <w:hideMark/>
          </w:tcPr>
          <w:p w14:paraId="1D918156"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721B87B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3,446.00 </w:t>
            </w:r>
          </w:p>
        </w:tc>
        <w:tc>
          <w:tcPr>
            <w:tcW w:w="490" w:type="pct"/>
            <w:tcBorders>
              <w:top w:val="nil"/>
              <w:left w:val="nil"/>
              <w:bottom w:val="single" w:sz="4" w:space="0" w:color="auto"/>
              <w:right w:val="single" w:sz="4" w:space="0" w:color="auto"/>
            </w:tcBorders>
            <w:shd w:val="clear" w:color="000000" w:fill="FFFFFF"/>
            <w:noWrap/>
            <w:vAlign w:val="bottom"/>
            <w:hideMark/>
          </w:tcPr>
          <w:p w14:paraId="2532A8F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3,640.00 </w:t>
            </w:r>
          </w:p>
        </w:tc>
        <w:tc>
          <w:tcPr>
            <w:tcW w:w="490" w:type="pct"/>
            <w:tcBorders>
              <w:top w:val="nil"/>
              <w:left w:val="nil"/>
              <w:bottom w:val="single" w:sz="4" w:space="0" w:color="auto"/>
              <w:right w:val="single" w:sz="4" w:space="0" w:color="auto"/>
            </w:tcBorders>
            <w:shd w:val="clear" w:color="000000" w:fill="FFFFFF"/>
            <w:noWrap/>
            <w:vAlign w:val="bottom"/>
            <w:hideMark/>
          </w:tcPr>
          <w:p w14:paraId="2389B13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442.00 </w:t>
            </w:r>
          </w:p>
        </w:tc>
        <w:tc>
          <w:tcPr>
            <w:tcW w:w="490" w:type="pct"/>
            <w:tcBorders>
              <w:top w:val="nil"/>
              <w:left w:val="nil"/>
              <w:bottom w:val="single" w:sz="4" w:space="0" w:color="auto"/>
              <w:right w:val="single" w:sz="4" w:space="0" w:color="auto"/>
            </w:tcBorders>
            <w:shd w:val="clear" w:color="000000" w:fill="FFFFFF"/>
            <w:noWrap/>
            <w:vAlign w:val="bottom"/>
            <w:hideMark/>
          </w:tcPr>
          <w:p w14:paraId="7460C43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1,818.00 </w:t>
            </w:r>
          </w:p>
        </w:tc>
        <w:tc>
          <w:tcPr>
            <w:tcW w:w="490" w:type="pct"/>
            <w:tcBorders>
              <w:top w:val="nil"/>
              <w:left w:val="nil"/>
              <w:bottom w:val="single" w:sz="4" w:space="0" w:color="auto"/>
              <w:right w:val="single" w:sz="4" w:space="0" w:color="auto"/>
            </w:tcBorders>
            <w:shd w:val="clear" w:color="000000" w:fill="FFFFFF"/>
            <w:noWrap/>
            <w:vAlign w:val="bottom"/>
            <w:hideMark/>
          </w:tcPr>
          <w:p w14:paraId="3F53D95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2,291.00 </w:t>
            </w:r>
          </w:p>
        </w:tc>
        <w:tc>
          <w:tcPr>
            <w:tcW w:w="60" w:type="pct"/>
            <w:vAlign w:val="center"/>
            <w:hideMark/>
          </w:tcPr>
          <w:p w14:paraId="0EC54EA6" w14:textId="77777777" w:rsidR="00BC24D3" w:rsidRPr="00BC24D3" w:rsidRDefault="00BC24D3" w:rsidP="00BC24D3">
            <w:pPr>
              <w:spacing w:before="0" w:after="0" w:line="240" w:lineRule="auto"/>
              <w:jc w:val="left"/>
              <w:rPr>
                <w:sz w:val="20"/>
                <w:szCs w:val="20"/>
                <w:lang w:val="en-IN"/>
              </w:rPr>
            </w:pPr>
          </w:p>
        </w:tc>
      </w:tr>
      <w:tr w:rsidR="00BC24D3" w:rsidRPr="00BC24D3" w14:paraId="36EB773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2EC7AC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"Interest Coverage Ratios"</w:t>
            </w:r>
          </w:p>
        </w:tc>
        <w:tc>
          <w:tcPr>
            <w:tcW w:w="1173" w:type="pct"/>
            <w:vMerge/>
            <w:tcBorders>
              <w:top w:val="nil"/>
              <w:left w:val="single" w:sz="4" w:space="0" w:color="auto"/>
              <w:bottom w:val="single" w:sz="4" w:space="0" w:color="auto"/>
              <w:right w:val="single" w:sz="4" w:space="0" w:color="auto"/>
            </w:tcBorders>
            <w:vAlign w:val="center"/>
            <w:hideMark/>
          </w:tcPr>
          <w:p w14:paraId="452E8785"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511DCC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4.88</w:t>
            </w:r>
          </w:p>
        </w:tc>
        <w:tc>
          <w:tcPr>
            <w:tcW w:w="490" w:type="pct"/>
            <w:tcBorders>
              <w:top w:val="nil"/>
              <w:left w:val="nil"/>
              <w:bottom w:val="single" w:sz="4" w:space="0" w:color="auto"/>
              <w:right w:val="single" w:sz="4" w:space="0" w:color="auto"/>
            </w:tcBorders>
            <w:shd w:val="clear" w:color="000000" w:fill="FFFFFF"/>
            <w:noWrap/>
            <w:vAlign w:val="bottom"/>
            <w:hideMark/>
          </w:tcPr>
          <w:p w14:paraId="394E7DA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6.35</w:t>
            </w:r>
          </w:p>
        </w:tc>
        <w:tc>
          <w:tcPr>
            <w:tcW w:w="490" w:type="pct"/>
            <w:tcBorders>
              <w:top w:val="nil"/>
              <w:left w:val="nil"/>
              <w:bottom w:val="single" w:sz="4" w:space="0" w:color="auto"/>
              <w:right w:val="single" w:sz="4" w:space="0" w:color="auto"/>
            </w:tcBorders>
            <w:shd w:val="clear" w:color="000000" w:fill="FFFFFF"/>
            <w:noWrap/>
            <w:vAlign w:val="bottom"/>
            <w:hideMark/>
          </w:tcPr>
          <w:p w14:paraId="1337499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49.87</w:t>
            </w:r>
          </w:p>
        </w:tc>
        <w:tc>
          <w:tcPr>
            <w:tcW w:w="490" w:type="pct"/>
            <w:tcBorders>
              <w:top w:val="nil"/>
              <w:left w:val="nil"/>
              <w:bottom w:val="single" w:sz="4" w:space="0" w:color="auto"/>
              <w:right w:val="single" w:sz="4" w:space="0" w:color="auto"/>
            </w:tcBorders>
            <w:shd w:val="clear" w:color="000000" w:fill="FFFFFF"/>
            <w:noWrap/>
            <w:vAlign w:val="bottom"/>
            <w:hideMark/>
          </w:tcPr>
          <w:p w14:paraId="4B0EB1C5"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11.07</w:t>
            </w:r>
          </w:p>
        </w:tc>
        <w:tc>
          <w:tcPr>
            <w:tcW w:w="490" w:type="pct"/>
            <w:tcBorders>
              <w:top w:val="nil"/>
              <w:left w:val="nil"/>
              <w:bottom w:val="single" w:sz="4" w:space="0" w:color="auto"/>
              <w:right w:val="single" w:sz="4" w:space="0" w:color="auto"/>
            </w:tcBorders>
            <w:shd w:val="clear" w:color="000000" w:fill="FFFFFF"/>
            <w:noWrap/>
            <w:vAlign w:val="bottom"/>
            <w:hideMark/>
          </w:tcPr>
          <w:p w14:paraId="0DC6A7D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5.09</w:t>
            </w:r>
          </w:p>
        </w:tc>
        <w:tc>
          <w:tcPr>
            <w:tcW w:w="60" w:type="pct"/>
            <w:vAlign w:val="center"/>
            <w:hideMark/>
          </w:tcPr>
          <w:p w14:paraId="19218B58" w14:textId="77777777" w:rsidR="00BC24D3" w:rsidRPr="00BC24D3" w:rsidRDefault="00BC24D3" w:rsidP="00BC24D3">
            <w:pPr>
              <w:spacing w:before="0" w:after="0" w:line="240" w:lineRule="auto"/>
              <w:jc w:val="left"/>
              <w:rPr>
                <w:sz w:val="20"/>
                <w:szCs w:val="20"/>
                <w:lang w:val="en-IN"/>
              </w:rPr>
            </w:pPr>
          </w:p>
        </w:tc>
      </w:tr>
      <w:tr w:rsidR="00BC24D3" w:rsidRPr="00BC24D3" w14:paraId="535D924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248BD44"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1173" w:type="pct"/>
            <w:tcBorders>
              <w:top w:val="nil"/>
              <w:left w:val="nil"/>
              <w:bottom w:val="single" w:sz="4" w:space="0" w:color="auto"/>
              <w:right w:val="single" w:sz="4" w:space="0" w:color="auto"/>
            </w:tcBorders>
            <w:shd w:val="clear" w:color="000000" w:fill="FFFFFF"/>
            <w:vAlign w:val="center"/>
            <w:hideMark/>
          </w:tcPr>
          <w:p w14:paraId="3B91961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 </w:t>
            </w:r>
          </w:p>
        </w:tc>
        <w:tc>
          <w:tcPr>
            <w:tcW w:w="512" w:type="pct"/>
            <w:tcBorders>
              <w:top w:val="nil"/>
              <w:left w:val="nil"/>
              <w:bottom w:val="single" w:sz="4" w:space="0" w:color="auto"/>
              <w:right w:val="single" w:sz="4" w:space="0" w:color="auto"/>
            </w:tcBorders>
            <w:shd w:val="clear" w:color="000000" w:fill="FFFFFF"/>
            <w:noWrap/>
            <w:vAlign w:val="bottom"/>
            <w:hideMark/>
          </w:tcPr>
          <w:p w14:paraId="5B37FFFE"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0E64ABFC"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726ADED"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31EB2C99"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261AB8B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60" w:type="pct"/>
            <w:vAlign w:val="center"/>
            <w:hideMark/>
          </w:tcPr>
          <w:p w14:paraId="6A2CCA66" w14:textId="77777777" w:rsidR="00BC24D3" w:rsidRPr="00BC24D3" w:rsidRDefault="00BC24D3" w:rsidP="00BC24D3">
            <w:pPr>
              <w:spacing w:before="0" w:after="0" w:line="240" w:lineRule="auto"/>
              <w:jc w:val="left"/>
              <w:rPr>
                <w:sz w:val="20"/>
                <w:szCs w:val="20"/>
                <w:lang w:val="en-IN"/>
              </w:rPr>
            </w:pPr>
          </w:p>
        </w:tc>
      </w:tr>
      <w:tr w:rsidR="00BC24D3" w:rsidRPr="00BC24D3" w14:paraId="19EED05F"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7C29FB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"Debt-to-Capital Ratio "</w:t>
            </w:r>
          </w:p>
        </w:tc>
        <w:tc>
          <w:tcPr>
            <w:tcW w:w="60" w:type="pct"/>
            <w:vAlign w:val="center"/>
            <w:hideMark/>
          </w:tcPr>
          <w:p w14:paraId="1076001B" w14:textId="77777777" w:rsidR="00BC24D3" w:rsidRPr="00BC24D3" w:rsidRDefault="00BC24D3" w:rsidP="00BC24D3">
            <w:pPr>
              <w:spacing w:before="0" w:after="0" w:line="240" w:lineRule="auto"/>
              <w:jc w:val="left"/>
              <w:rPr>
                <w:sz w:val="20"/>
                <w:szCs w:val="20"/>
                <w:lang w:val="en-IN"/>
              </w:rPr>
            </w:pPr>
          </w:p>
        </w:tc>
      </w:tr>
      <w:tr w:rsidR="00BC24D3" w:rsidRPr="00BC24D3" w14:paraId="73FEEFD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9BC87B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50AEF14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626A6E5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2817884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29D4A82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5E4379C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5DA43F3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011A9626" w14:textId="77777777" w:rsidR="00BC24D3" w:rsidRPr="00BC24D3" w:rsidRDefault="00BC24D3" w:rsidP="00BC24D3">
            <w:pPr>
              <w:spacing w:before="0" w:after="0" w:line="240" w:lineRule="auto"/>
              <w:jc w:val="left"/>
              <w:rPr>
                <w:sz w:val="20"/>
                <w:szCs w:val="20"/>
                <w:lang w:val="en-IN"/>
              </w:rPr>
            </w:pPr>
          </w:p>
        </w:tc>
      </w:tr>
      <w:tr w:rsidR="00BC24D3" w:rsidRPr="00BC24D3" w14:paraId="2B16CAA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644FD1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"Total Debt"</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FAEB19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"Total Debt / (Total Equity + Total Debt)"</w:t>
            </w:r>
          </w:p>
        </w:tc>
        <w:tc>
          <w:tcPr>
            <w:tcW w:w="512" w:type="pct"/>
            <w:tcBorders>
              <w:top w:val="nil"/>
              <w:left w:val="nil"/>
              <w:bottom w:val="single" w:sz="4" w:space="0" w:color="auto"/>
              <w:right w:val="single" w:sz="4" w:space="0" w:color="auto"/>
            </w:tcBorders>
            <w:shd w:val="clear" w:color="000000" w:fill="FFFFFF"/>
            <w:noWrap/>
            <w:vAlign w:val="bottom"/>
            <w:hideMark/>
          </w:tcPr>
          <w:p w14:paraId="1BDF3A2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4,36,173.00 </w:t>
            </w:r>
          </w:p>
        </w:tc>
        <w:tc>
          <w:tcPr>
            <w:tcW w:w="490" w:type="pct"/>
            <w:tcBorders>
              <w:top w:val="nil"/>
              <w:left w:val="nil"/>
              <w:bottom w:val="single" w:sz="4" w:space="0" w:color="auto"/>
              <w:right w:val="single" w:sz="4" w:space="0" w:color="auto"/>
            </w:tcBorders>
            <w:shd w:val="clear" w:color="000000" w:fill="FFFFFF"/>
            <w:noWrap/>
            <w:vAlign w:val="bottom"/>
            <w:hideMark/>
          </w:tcPr>
          <w:p w14:paraId="5DC6DDC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€ 4,11,463.00 </w:t>
            </w:r>
          </w:p>
        </w:tc>
        <w:tc>
          <w:tcPr>
            <w:tcW w:w="490" w:type="pct"/>
            <w:tcBorders>
              <w:top w:val="nil"/>
              <w:left w:val="nil"/>
              <w:bottom w:val="single" w:sz="4" w:space="0" w:color="auto"/>
              <w:right w:val="single" w:sz="4" w:space="0" w:color="auto"/>
            </w:tcBorders>
            <w:shd w:val="clear" w:color="000000" w:fill="FFFFFF"/>
            <w:noWrap/>
            <w:vAlign w:val="bottom"/>
            <w:hideMark/>
          </w:tcPr>
          <w:p w14:paraId="313725E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€ 3,86,445.00 </w:t>
            </w:r>
          </w:p>
        </w:tc>
        <w:tc>
          <w:tcPr>
            <w:tcW w:w="490" w:type="pct"/>
            <w:tcBorders>
              <w:top w:val="nil"/>
              <w:left w:val="nil"/>
              <w:bottom w:val="single" w:sz="4" w:space="0" w:color="auto"/>
              <w:right w:val="single" w:sz="4" w:space="0" w:color="auto"/>
            </w:tcBorders>
            <w:shd w:val="clear" w:color="000000" w:fill="FFFFFF"/>
            <w:noWrap/>
            <w:vAlign w:val="bottom"/>
            <w:hideMark/>
          </w:tcPr>
          <w:p w14:paraId="2BB636D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€ 3,82,455.00 </w:t>
            </w:r>
          </w:p>
        </w:tc>
        <w:tc>
          <w:tcPr>
            <w:tcW w:w="490" w:type="pct"/>
            <w:tcBorders>
              <w:top w:val="nil"/>
              <w:left w:val="nil"/>
              <w:bottom w:val="single" w:sz="4" w:space="0" w:color="auto"/>
              <w:right w:val="single" w:sz="4" w:space="0" w:color="auto"/>
            </w:tcBorders>
            <w:shd w:val="clear" w:color="000000" w:fill="FFFFFF"/>
            <w:noWrap/>
            <w:vAlign w:val="bottom"/>
            <w:hideMark/>
          </w:tcPr>
          <w:p w14:paraId="0862656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€ 3,68,331.00 </w:t>
            </w:r>
          </w:p>
        </w:tc>
        <w:tc>
          <w:tcPr>
            <w:tcW w:w="60" w:type="pct"/>
            <w:vAlign w:val="center"/>
            <w:hideMark/>
          </w:tcPr>
          <w:p w14:paraId="41D88944" w14:textId="77777777" w:rsidR="00BC24D3" w:rsidRPr="00BC24D3" w:rsidRDefault="00BC24D3" w:rsidP="00BC24D3">
            <w:pPr>
              <w:spacing w:before="0" w:after="0" w:line="240" w:lineRule="auto"/>
              <w:jc w:val="left"/>
              <w:rPr>
                <w:sz w:val="20"/>
                <w:szCs w:val="20"/>
                <w:lang w:val="en-IN"/>
              </w:rPr>
            </w:pPr>
          </w:p>
        </w:tc>
      </w:tr>
      <w:tr w:rsidR="00BC24D3" w:rsidRPr="00BC24D3" w14:paraId="2EE648A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46A019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Total Equity"</w:t>
            </w:r>
          </w:p>
        </w:tc>
        <w:tc>
          <w:tcPr>
            <w:tcW w:w="1173" w:type="pct"/>
            <w:vMerge/>
            <w:tcBorders>
              <w:top w:val="nil"/>
              <w:left w:val="single" w:sz="4" w:space="0" w:color="auto"/>
              <w:bottom w:val="single" w:sz="4" w:space="0" w:color="auto"/>
              <w:right w:val="single" w:sz="4" w:space="0" w:color="auto"/>
            </w:tcBorders>
            <w:vAlign w:val="center"/>
            <w:hideMark/>
          </w:tcPr>
          <w:p w14:paraId="11CB3D1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3CF4842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1,96,731.00 </w:t>
            </w:r>
          </w:p>
        </w:tc>
        <w:tc>
          <w:tcPr>
            <w:tcW w:w="490" w:type="pct"/>
            <w:tcBorders>
              <w:top w:val="nil"/>
              <w:left w:val="nil"/>
              <w:bottom w:val="single" w:sz="4" w:space="0" w:color="auto"/>
              <w:right w:val="single" w:sz="4" w:space="0" w:color="auto"/>
            </w:tcBorders>
            <w:shd w:val="clear" w:color="000000" w:fill="FFFFFF"/>
            <w:noWrap/>
            <w:vAlign w:val="bottom"/>
            <w:hideMark/>
          </w:tcPr>
          <w:p w14:paraId="0B7DFD3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€ 1,89,186.00 </w:t>
            </w:r>
          </w:p>
        </w:tc>
        <w:tc>
          <w:tcPr>
            <w:tcW w:w="490" w:type="pct"/>
            <w:tcBorders>
              <w:top w:val="nil"/>
              <w:left w:val="nil"/>
              <w:bottom w:val="single" w:sz="4" w:space="0" w:color="auto"/>
              <w:right w:val="single" w:sz="4" w:space="0" w:color="auto"/>
            </w:tcBorders>
            <w:shd w:val="clear" w:color="000000" w:fill="FFFFFF"/>
            <w:noWrap/>
            <w:vAlign w:val="bottom"/>
            <w:hideMark/>
          </w:tcPr>
          <w:p w14:paraId="7B672FC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€ 1,78,327.00 </w:t>
            </w:r>
          </w:p>
        </w:tc>
        <w:tc>
          <w:tcPr>
            <w:tcW w:w="490" w:type="pct"/>
            <w:tcBorders>
              <w:top w:val="nil"/>
              <w:left w:val="nil"/>
              <w:bottom w:val="single" w:sz="4" w:space="0" w:color="auto"/>
              <w:right w:val="single" w:sz="4" w:space="0" w:color="auto"/>
            </w:tcBorders>
            <w:shd w:val="clear" w:color="000000" w:fill="FFFFFF"/>
            <w:noWrap/>
            <w:vAlign w:val="bottom"/>
            <w:hideMark/>
          </w:tcPr>
          <w:p w14:paraId="40A072C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€ 1,46,154.00 </w:t>
            </w:r>
          </w:p>
        </w:tc>
        <w:tc>
          <w:tcPr>
            <w:tcW w:w="490" w:type="pct"/>
            <w:tcBorders>
              <w:top w:val="nil"/>
              <w:left w:val="nil"/>
              <w:bottom w:val="single" w:sz="4" w:space="0" w:color="auto"/>
              <w:right w:val="single" w:sz="4" w:space="0" w:color="auto"/>
            </w:tcBorders>
            <w:shd w:val="clear" w:color="000000" w:fill="FFFFFF"/>
            <w:noWrap/>
            <w:vAlign w:val="bottom"/>
            <w:hideMark/>
          </w:tcPr>
          <w:p w14:paraId="666030C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€ 1,28,783.00 </w:t>
            </w:r>
          </w:p>
        </w:tc>
        <w:tc>
          <w:tcPr>
            <w:tcW w:w="60" w:type="pct"/>
            <w:vAlign w:val="center"/>
            <w:hideMark/>
          </w:tcPr>
          <w:p w14:paraId="133D39FD" w14:textId="77777777" w:rsidR="00BC24D3" w:rsidRPr="00BC24D3" w:rsidRDefault="00BC24D3" w:rsidP="00BC24D3">
            <w:pPr>
              <w:spacing w:before="0" w:after="0" w:line="240" w:lineRule="auto"/>
              <w:jc w:val="left"/>
              <w:rPr>
                <w:sz w:val="20"/>
                <w:szCs w:val="20"/>
                <w:lang w:val="en-IN"/>
              </w:rPr>
            </w:pPr>
          </w:p>
        </w:tc>
      </w:tr>
      <w:tr w:rsidR="00BC24D3" w:rsidRPr="00BC24D3" w14:paraId="7F628135"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37DC273"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"Debt-to-Capital Ratio "</w:t>
            </w:r>
          </w:p>
        </w:tc>
        <w:tc>
          <w:tcPr>
            <w:tcW w:w="1173" w:type="pct"/>
            <w:vMerge/>
            <w:tcBorders>
              <w:top w:val="nil"/>
              <w:left w:val="single" w:sz="4" w:space="0" w:color="auto"/>
              <w:bottom w:val="single" w:sz="4" w:space="0" w:color="auto"/>
              <w:right w:val="single" w:sz="4" w:space="0" w:color="auto"/>
            </w:tcBorders>
            <w:vAlign w:val="center"/>
            <w:hideMark/>
          </w:tcPr>
          <w:p w14:paraId="1A998DD2"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FE2752D"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0.69</w:t>
            </w:r>
          </w:p>
        </w:tc>
        <w:tc>
          <w:tcPr>
            <w:tcW w:w="490" w:type="pct"/>
            <w:tcBorders>
              <w:top w:val="nil"/>
              <w:left w:val="nil"/>
              <w:bottom w:val="single" w:sz="4" w:space="0" w:color="auto"/>
              <w:right w:val="single" w:sz="4" w:space="0" w:color="auto"/>
            </w:tcBorders>
            <w:shd w:val="clear" w:color="000000" w:fill="FFFFFF"/>
            <w:noWrap/>
            <w:vAlign w:val="bottom"/>
            <w:hideMark/>
          </w:tcPr>
          <w:p w14:paraId="7DB6088D"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0.69</w:t>
            </w:r>
          </w:p>
        </w:tc>
        <w:tc>
          <w:tcPr>
            <w:tcW w:w="490" w:type="pct"/>
            <w:tcBorders>
              <w:top w:val="nil"/>
              <w:left w:val="nil"/>
              <w:bottom w:val="single" w:sz="4" w:space="0" w:color="auto"/>
              <w:right w:val="single" w:sz="4" w:space="0" w:color="auto"/>
            </w:tcBorders>
            <w:shd w:val="clear" w:color="000000" w:fill="FFFFFF"/>
            <w:noWrap/>
            <w:vAlign w:val="bottom"/>
            <w:hideMark/>
          </w:tcPr>
          <w:p w14:paraId="4B72F4D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0.68</w:t>
            </w:r>
          </w:p>
        </w:tc>
        <w:tc>
          <w:tcPr>
            <w:tcW w:w="490" w:type="pct"/>
            <w:tcBorders>
              <w:top w:val="nil"/>
              <w:left w:val="nil"/>
              <w:bottom w:val="single" w:sz="4" w:space="0" w:color="auto"/>
              <w:right w:val="single" w:sz="4" w:space="0" w:color="auto"/>
            </w:tcBorders>
            <w:shd w:val="clear" w:color="000000" w:fill="FFFFFF"/>
            <w:noWrap/>
            <w:vAlign w:val="bottom"/>
            <w:hideMark/>
          </w:tcPr>
          <w:p w14:paraId="1426EFD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0.72</w:t>
            </w:r>
          </w:p>
        </w:tc>
        <w:tc>
          <w:tcPr>
            <w:tcW w:w="490" w:type="pct"/>
            <w:tcBorders>
              <w:top w:val="nil"/>
              <w:left w:val="nil"/>
              <w:bottom w:val="single" w:sz="4" w:space="0" w:color="auto"/>
              <w:right w:val="single" w:sz="4" w:space="0" w:color="auto"/>
            </w:tcBorders>
            <w:shd w:val="clear" w:color="000000" w:fill="FFFFFF"/>
            <w:noWrap/>
            <w:vAlign w:val="bottom"/>
            <w:hideMark/>
          </w:tcPr>
          <w:p w14:paraId="34CBAC8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0.74</w:t>
            </w:r>
          </w:p>
        </w:tc>
        <w:tc>
          <w:tcPr>
            <w:tcW w:w="60" w:type="pct"/>
            <w:vAlign w:val="center"/>
            <w:hideMark/>
          </w:tcPr>
          <w:p w14:paraId="04A66AF9" w14:textId="77777777" w:rsidR="00BC24D3" w:rsidRPr="00BC24D3" w:rsidRDefault="00BC24D3" w:rsidP="00BC24D3">
            <w:pPr>
              <w:spacing w:before="0" w:after="0" w:line="240" w:lineRule="auto"/>
              <w:jc w:val="left"/>
              <w:rPr>
                <w:sz w:val="20"/>
                <w:szCs w:val="20"/>
                <w:lang w:val="en-IN"/>
              </w:rPr>
            </w:pPr>
          </w:p>
        </w:tc>
      </w:tr>
      <w:tr w:rsidR="00BC24D3" w:rsidRPr="00BC24D3" w14:paraId="13F4B45E"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103DBA6"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0C0E197E" w14:textId="77777777" w:rsidR="00BC24D3" w:rsidRPr="00BC24D3" w:rsidRDefault="00BC24D3" w:rsidP="00BC24D3">
            <w:pPr>
              <w:spacing w:before="0" w:after="0" w:line="240" w:lineRule="auto"/>
              <w:jc w:val="left"/>
              <w:rPr>
                <w:sz w:val="20"/>
                <w:szCs w:val="20"/>
                <w:lang w:val="en-IN"/>
              </w:rPr>
            </w:pPr>
          </w:p>
        </w:tc>
      </w:tr>
      <w:tr w:rsidR="00BC24D3" w:rsidRPr="00BC24D3" w14:paraId="0E2D5872"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DB844F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"Equity Multiplier"</w:t>
            </w:r>
          </w:p>
        </w:tc>
        <w:tc>
          <w:tcPr>
            <w:tcW w:w="60" w:type="pct"/>
            <w:vAlign w:val="center"/>
            <w:hideMark/>
          </w:tcPr>
          <w:p w14:paraId="113A8C84" w14:textId="77777777" w:rsidR="00BC24D3" w:rsidRPr="00BC24D3" w:rsidRDefault="00BC24D3" w:rsidP="00BC24D3">
            <w:pPr>
              <w:spacing w:before="0" w:after="0" w:line="240" w:lineRule="auto"/>
              <w:jc w:val="left"/>
              <w:rPr>
                <w:sz w:val="20"/>
                <w:szCs w:val="20"/>
                <w:lang w:val="en-IN"/>
              </w:rPr>
            </w:pPr>
          </w:p>
        </w:tc>
      </w:tr>
      <w:tr w:rsidR="00BC24D3" w:rsidRPr="00BC24D3" w14:paraId="351BBE0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CA6B6E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22C2FDC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2D8E1B9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3FC59CC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1B1CD3E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3BFA8C6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5E82CF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0711133D" w14:textId="77777777" w:rsidR="00BC24D3" w:rsidRPr="00BC24D3" w:rsidRDefault="00BC24D3" w:rsidP="00BC24D3">
            <w:pPr>
              <w:spacing w:before="0" w:after="0" w:line="240" w:lineRule="auto"/>
              <w:jc w:val="left"/>
              <w:rPr>
                <w:sz w:val="20"/>
                <w:szCs w:val="20"/>
                <w:lang w:val="en-IN"/>
              </w:rPr>
            </w:pPr>
          </w:p>
        </w:tc>
      </w:tr>
      <w:tr w:rsidR="00BC24D3" w:rsidRPr="00BC24D3" w14:paraId="6D3DCE7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45645E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"Total Assets"</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7CC542B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"(Total Assets/Book Value of Equity)"</w:t>
            </w:r>
          </w:p>
        </w:tc>
        <w:tc>
          <w:tcPr>
            <w:tcW w:w="512" w:type="pct"/>
            <w:tcBorders>
              <w:top w:val="nil"/>
              <w:left w:val="nil"/>
              <w:bottom w:val="single" w:sz="4" w:space="0" w:color="auto"/>
              <w:right w:val="single" w:sz="4" w:space="0" w:color="auto"/>
            </w:tcBorders>
            <w:shd w:val="clear" w:color="000000" w:fill="FFFFFF"/>
            <w:noWrap/>
            <w:vAlign w:val="bottom"/>
            <w:hideMark/>
          </w:tcPr>
          <w:p w14:paraId="369DCB2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6,32,905.00 </w:t>
            </w:r>
          </w:p>
        </w:tc>
        <w:tc>
          <w:tcPr>
            <w:tcW w:w="490" w:type="pct"/>
            <w:tcBorders>
              <w:top w:val="nil"/>
              <w:left w:val="nil"/>
              <w:bottom w:val="single" w:sz="4" w:space="0" w:color="auto"/>
              <w:right w:val="single" w:sz="4" w:space="0" w:color="auto"/>
            </w:tcBorders>
            <w:shd w:val="clear" w:color="000000" w:fill="FFFFFF"/>
            <w:noWrap/>
            <w:vAlign w:val="bottom"/>
            <w:hideMark/>
          </w:tcPr>
          <w:p w14:paraId="5E87CBD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€ 6,00,649.00 </w:t>
            </w:r>
          </w:p>
        </w:tc>
        <w:tc>
          <w:tcPr>
            <w:tcW w:w="490" w:type="pct"/>
            <w:tcBorders>
              <w:top w:val="nil"/>
              <w:left w:val="nil"/>
              <w:bottom w:val="single" w:sz="4" w:space="0" w:color="auto"/>
              <w:right w:val="single" w:sz="4" w:space="0" w:color="auto"/>
            </w:tcBorders>
            <w:shd w:val="clear" w:color="000000" w:fill="FFFFFF"/>
            <w:noWrap/>
            <w:vAlign w:val="bottom"/>
            <w:hideMark/>
          </w:tcPr>
          <w:p w14:paraId="1AA30EA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€ 5,64,772.00 </w:t>
            </w:r>
          </w:p>
        </w:tc>
        <w:tc>
          <w:tcPr>
            <w:tcW w:w="490" w:type="pct"/>
            <w:tcBorders>
              <w:top w:val="nil"/>
              <w:left w:val="nil"/>
              <w:bottom w:val="single" w:sz="4" w:space="0" w:color="auto"/>
              <w:right w:val="single" w:sz="4" w:space="0" w:color="auto"/>
            </w:tcBorders>
            <w:shd w:val="clear" w:color="000000" w:fill="FFFFFF"/>
            <w:noWrap/>
            <w:vAlign w:val="bottom"/>
            <w:hideMark/>
          </w:tcPr>
          <w:p w14:paraId="7C7614E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€ 5,28,609.00 </w:t>
            </w:r>
          </w:p>
        </w:tc>
        <w:tc>
          <w:tcPr>
            <w:tcW w:w="490" w:type="pct"/>
            <w:tcBorders>
              <w:top w:val="nil"/>
              <w:left w:val="nil"/>
              <w:bottom w:val="single" w:sz="4" w:space="0" w:color="auto"/>
              <w:right w:val="single" w:sz="4" w:space="0" w:color="auto"/>
            </w:tcBorders>
            <w:shd w:val="clear" w:color="000000" w:fill="FFFFFF"/>
            <w:noWrap/>
            <w:vAlign w:val="bottom"/>
            <w:hideMark/>
          </w:tcPr>
          <w:p w14:paraId="590DB66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€ 4,97,114.00 </w:t>
            </w:r>
          </w:p>
        </w:tc>
        <w:tc>
          <w:tcPr>
            <w:tcW w:w="60" w:type="pct"/>
            <w:vAlign w:val="center"/>
            <w:hideMark/>
          </w:tcPr>
          <w:p w14:paraId="7E1B028D" w14:textId="77777777" w:rsidR="00BC24D3" w:rsidRPr="00BC24D3" w:rsidRDefault="00BC24D3" w:rsidP="00BC24D3">
            <w:pPr>
              <w:spacing w:before="0" w:after="0" w:line="240" w:lineRule="auto"/>
              <w:jc w:val="left"/>
              <w:rPr>
                <w:sz w:val="20"/>
                <w:szCs w:val="20"/>
                <w:lang w:val="en-IN"/>
              </w:rPr>
            </w:pPr>
          </w:p>
        </w:tc>
      </w:tr>
      <w:tr w:rsidR="00BC24D3" w:rsidRPr="00BC24D3" w14:paraId="3F5F3B5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7266CC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Book Value of Equity"</w:t>
            </w:r>
          </w:p>
        </w:tc>
        <w:tc>
          <w:tcPr>
            <w:tcW w:w="1173" w:type="pct"/>
            <w:vMerge/>
            <w:tcBorders>
              <w:top w:val="nil"/>
              <w:left w:val="single" w:sz="4" w:space="0" w:color="auto"/>
              <w:bottom w:val="single" w:sz="4" w:space="0" w:color="auto"/>
              <w:right w:val="single" w:sz="4" w:space="0" w:color="auto"/>
            </w:tcBorders>
            <w:vAlign w:val="center"/>
            <w:hideMark/>
          </w:tcPr>
          <w:p w14:paraId="18287F31"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4A42D6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1,96,731.00 </w:t>
            </w:r>
          </w:p>
        </w:tc>
        <w:tc>
          <w:tcPr>
            <w:tcW w:w="490" w:type="pct"/>
            <w:tcBorders>
              <w:top w:val="nil"/>
              <w:left w:val="nil"/>
              <w:bottom w:val="single" w:sz="4" w:space="0" w:color="auto"/>
              <w:right w:val="single" w:sz="4" w:space="0" w:color="auto"/>
            </w:tcBorders>
            <w:shd w:val="clear" w:color="000000" w:fill="FFFFFF"/>
            <w:noWrap/>
            <w:vAlign w:val="bottom"/>
            <w:hideMark/>
          </w:tcPr>
          <w:p w14:paraId="096DAD0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€ 1,89,186.00 </w:t>
            </w:r>
          </w:p>
        </w:tc>
        <w:tc>
          <w:tcPr>
            <w:tcW w:w="490" w:type="pct"/>
            <w:tcBorders>
              <w:top w:val="nil"/>
              <w:left w:val="nil"/>
              <w:bottom w:val="single" w:sz="4" w:space="0" w:color="auto"/>
              <w:right w:val="single" w:sz="4" w:space="0" w:color="auto"/>
            </w:tcBorders>
            <w:shd w:val="clear" w:color="000000" w:fill="FFFFFF"/>
            <w:noWrap/>
            <w:vAlign w:val="bottom"/>
            <w:hideMark/>
          </w:tcPr>
          <w:p w14:paraId="4F9356E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€ 1,78,327.00 </w:t>
            </w:r>
          </w:p>
        </w:tc>
        <w:tc>
          <w:tcPr>
            <w:tcW w:w="490" w:type="pct"/>
            <w:tcBorders>
              <w:top w:val="nil"/>
              <w:left w:val="nil"/>
              <w:bottom w:val="single" w:sz="4" w:space="0" w:color="auto"/>
              <w:right w:val="single" w:sz="4" w:space="0" w:color="auto"/>
            </w:tcBorders>
            <w:shd w:val="clear" w:color="000000" w:fill="FFFFFF"/>
            <w:noWrap/>
            <w:vAlign w:val="bottom"/>
            <w:hideMark/>
          </w:tcPr>
          <w:p w14:paraId="627AD88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€ 1,46,154.00 </w:t>
            </w:r>
          </w:p>
        </w:tc>
        <w:tc>
          <w:tcPr>
            <w:tcW w:w="490" w:type="pct"/>
            <w:tcBorders>
              <w:top w:val="nil"/>
              <w:left w:val="nil"/>
              <w:bottom w:val="single" w:sz="4" w:space="0" w:color="auto"/>
              <w:right w:val="single" w:sz="4" w:space="0" w:color="auto"/>
            </w:tcBorders>
            <w:shd w:val="clear" w:color="000000" w:fill="FFFFFF"/>
            <w:noWrap/>
            <w:vAlign w:val="bottom"/>
            <w:hideMark/>
          </w:tcPr>
          <w:p w14:paraId="1DD28F3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€ 1,28,783.00 </w:t>
            </w:r>
          </w:p>
        </w:tc>
        <w:tc>
          <w:tcPr>
            <w:tcW w:w="60" w:type="pct"/>
            <w:vAlign w:val="center"/>
            <w:hideMark/>
          </w:tcPr>
          <w:p w14:paraId="31CDCDDC" w14:textId="77777777" w:rsidR="00BC24D3" w:rsidRPr="00BC24D3" w:rsidRDefault="00BC24D3" w:rsidP="00BC24D3">
            <w:pPr>
              <w:spacing w:before="0" w:after="0" w:line="240" w:lineRule="auto"/>
              <w:jc w:val="left"/>
              <w:rPr>
                <w:sz w:val="20"/>
                <w:szCs w:val="20"/>
                <w:lang w:val="en-IN"/>
              </w:rPr>
            </w:pPr>
          </w:p>
        </w:tc>
      </w:tr>
      <w:tr w:rsidR="00BC24D3" w:rsidRPr="00BC24D3" w14:paraId="0CD1D3B3"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373C727"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"Equity Multiplier"</w:t>
            </w:r>
          </w:p>
        </w:tc>
        <w:tc>
          <w:tcPr>
            <w:tcW w:w="1173" w:type="pct"/>
            <w:vMerge/>
            <w:tcBorders>
              <w:top w:val="nil"/>
              <w:left w:val="single" w:sz="4" w:space="0" w:color="auto"/>
              <w:bottom w:val="single" w:sz="4" w:space="0" w:color="auto"/>
              <w:right w:val="single" w:sz="4" w:space="0" w:color="auto"/>
            </w:tcBorders>
            <w:vAlign w:val="center"/>
            <w:hideMark/>
          </w:tcPr>
          <w:p w14:paraId="4BAC0181"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0C27FA4"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3.22</w:t>
            </w:r>
          </w:p>
        </w:tc>
        <w:tc>
          <w:tcPr>
            <w:tcW w:w="490" w:type="pct"/>
            <w:tcBorders>
              <w:top w:val="nil"/>
              <w:left w:val="nil"/>
              <w:bottom w:val="single" w:sz="4" w:space="0" w:color="auto"/>
              <w:right w:val="single" w:sz="4" w:space="0" w:color="auto"/>
            </w:tcBorders>
            <w:shd w:val="clear" w:color="000000" w:fill="FFFFFF"/>
            <w:noWrap/>
            <w:vAlign w:val="bottom"/>
            <w:hideMark/>
          </w:tcPr>
          <w:p w14:paraId="60A77EE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3.17</w:t>
            </w:r>
          </w:p>
        </w:tc>
        <w:tc>
          <w:tcPr>
            <w:tcW w:w="490" w:type="pct"/>
            <w:tcBorders>
              <w:top w:val="nil"/>
              <w:left w:val="nil"/>
              <w:bottom w:val="single" w:sz="4" w:space="0" w:color="auto"/>
              <w:right w:val="single" w:sz="4" w:space="0" w:color="auto"/>
            </w:tcBorders>
            <w:shd w:val="clear" w:color="000000" w:fill="FFFFFF"/>
            <w:noWrap/>
            <w:vAlign w:val="bottom"/>
            <w:hideMark/>
          </w:tcPr>
          <w:p w14:paraId="14BB88C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3.17</w:t>
            </w:r>
          </w:p>
        </w:tc>
        <w:tc>
          <w:tcPr>
            <w:tcW w:w="490" w:type="pct"/>
            <w:tcBorders>
              <w:top w:val="nil"/>
              <w:left w:val="nil"/>
              <w:bottom w:val="single" w:sz="4" w:space="0" w:color="auto"/>
              <w:right w:val="single" w:sz="4" w:space="0" w:color="auto"/>
            </w:tcBorders>
            <w:shd w:val="clear" w:color="000000" w:fill="FFFFFF"/>
            <w:noWrap/>
            <w:vAlign w:val="bottom"/>
            <w:hideMark/>
          </w:tcPr>
          <w:p w14:paraId="797C257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3.62</w:t>
            </w:r>
          </w:p>
        </w:tc>
        <w:tc>
          <w:tcPr>
            <w:tcW w:w="490" w:type="pct"/>
            <w:tcBorders>
              <w:top w:val="nil"/>
              <w:left w:val="nil"/>
              <w:bottom w:val="single" w:sz="4" w:space="0" w:color="auto"/>
              <w:right w:val="single" w:sz="4" w:space="0" w:color="auto"/>
            </w:tcBorders>
            <w:shd w:val="clear" w:color="000000" w:fill="FFFFFF"/>
            <w:noWrap/>
            <w:vAlign w:val="bottom"/>
            <w:hideMark/>
          </w:tcPr>
          <w:p w14:paraId="2AB6563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3.86</w:t>
            </w:r>
          </w:p>
        </w:tc>
        <w:tc>
          <w:tcPr>
            <w:tcW w:w="60" w:type="pct"/>
            <w:vAlign w:val="center"/>
            <w:hideMark/>
          </w:tcPr>
          <w:p w14:paraId="301766DC" w14:textId="77777777" w:rsidR="00BC24D3" w:rsidRPr="00BC24D3" w:rsidRDefault="00BC24D3" w:rsidP="00BC24D3">
            <w:pPr>
              <w:spacing w:before="0" w:after="0" w:line="240" w:lineRule="auto"/>
              <w:jc w:val="left"/>
              <w:rPr>
                <w:sz w:val="20"/>
                <w:szCs w:val="20"/>
                <w:lang w:val="en-IN"/>
              </w:rPr>
            </w:pPr>
          </w:p>
        </w:tc>
      </w:tr>
      <w:tr w:rsidR="00BC24D3" w:rsidRPr="00BC24D3" w14:paraId="0BD181C4" w14:textId="77777777" w:rsidTr="00BC24D3">
        <w:trPr>
          <w:trHeight w:val="312"/>
          <w:jc w:val="center"/>
        </w:trPr>
        <w:tc>
          <w:tcPr>
            <w:tcW w:w="4940" w:type="pct"/>
            <w:gridSpan w:val="7"/>
            <w:vMerge w:val="restart"/>
            <w:tcBorders>
              <w:top w:val="single" w:sz="4" w:space="0" w:color="auto"/>
              <w:left w:val="single" w:sz="4" w:space="0" w:color="auto"/>
              <w:bottom w:val="single" w:sz="4" w:space="0" w:color="auto"/>
              <w:right w:val="single" w:sz="4" w:space="0" w:color="auto"/>
            </w:tcBorders>
            <w:shd w:val="clear" w:color="000000" w:fill="FF9999"/>
            <w:noWrap/>
            <w:vAlign w:val="center"/>
            <w:hideMark/>
          </w:tcPr>
          <w:p w14:paraId="68B3425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"Investment Ratio"</w:t>
            </w:r>
          </w:p>
        </w:tc>
        <w:tc>
          <w:tcPr>
            <w:tcW w:w="60" w:type="pct"/>
            <w:vAlign w:val="center"/>
            <w:hideMark/>
          </w:tcPr>
          <w:p w14:paraId="40049B95" w14:textId="77777777" w:rsidR="00BC24D3" w:rsidRPr="00BC24D3" w:rsidRDefault="00BC24D3" w:rsidP="00BC24D3">
            <w:pPr>
              <w:spacing w:before="0" w:after="0" w:line="240" w:lineRule="auto"/>
              <w:jc w:val="left"/>
              <w:rPr>
                <w:sz w:val="20"/>
                <w:szCs w:val="20"/>
                <w:lang w:val="en-IN"/>
              </w:rPr>
            </w:pPr>
          </w:p>
        </w:tc>
      </w:tr>
      <w:tr w:rsidR="00BC24D3" w:rsidRPr="00BC24D3" w14:paraId="2E62797F" w14:textId="77777777" w:rsidTr="00BC24D3">
        <w:trPr>
          <w:trHeight w:val="312"/>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7F6BFF7C"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6D353C98" w14:textId="77777777" w:rsidR="00BC24D3" w:rsidRPr="00BC24D3" w:rsidRDefault="00BC24D3" w:rsidP="00BC24D3">
            <w:pPr>
              <w:spacing w:before="0" w:after="0" w:line="240" w:lineRule="auto"/>
              <w:jc w:val="center"/>
              <w:rPr>
                <w:rFonts w:ascii="Arial" w:hAnsi="Arial" w:cs="Arial"/>
                <w:b/>
                <w:bCs/>
                <w:color w:val="000000"/>
                <w:lang w:val="en-IN"/>
              </w:rPr>
            </w:pPr>
          </w:p>
        </w:tc>
      </w:tr>
      <w:tr w:rsidR="00BC24D3" w:rsidRPr="00BC24D3" w14:paraId="4C6C8071"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2DBD4B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 xml:space="preserve">"Dividend </w:t>
            </w:r>
            <w:proofErr w:type="spellStart"/>
            <w:r w:rsidRPr="00BC24D3">
              <w:rPr>
                <w:rFonts w:ascii="Arial" w:hAnsi="Arial" w:cs="Arial"/>
                <w:b/>
                <w:bCs/>
                <w:color w:val="000000"/>
                <w:lang w:val="en-IN"/>
              </w:rPr>
              <w:t>Payout</w:t>
            </w:r>
            <w:proofErr w:type="spellEnd"/>
            <w:r w:rsidRPr="00BC24D3">
              <w:rPr>
                <w:rFonts w:ascii="Arial" w:hAnsi="Arial" w:cs="Arial"/>
                <w:b/>
                <w:bCs/>
                <w:color w:val="000000"/>
                <w:lang w:val="en-IN"/>
              </w:rPr>
              <w:t xml:space="preserve"> Ratio "</w:t>
            </w:r>
          </w:p>
        </w:tc>
        <w:tc>
          <w:tcPr>
            <w:tcW w:w="60" w:type="pct"/>
            <w:vAlign w:val="center"/>
            <w:hideMark/>
          </w:tcPr>
          <w:p w14:paraId="167CCA60" w14:textId="77777777" w:rsidR="00BC24D3" w:rsidRPr="00BC24D3" w:rsidRDefault="00BC24D3" w:rsidP="00BC24D3">
            <w:pPr>
              <w:spacing w:before="0" w:after="0" w:line="240" w:lineRule="auto"/>
              <w:jc w:val="left"/>
              <w:rPr>
                <w:sz w:val="20"/>
                <w:szCs w:val="20"/>
                <w:lang w:val="en-IN"/>
              </w:rPr>
            </w:pPr>
          </w:p>
        </w:tc>
      </w:tr>
      <w:tr w:rsidR="00BC24D3" w:rsidRPr="00BC24D3" w14:paraId="441DCF07"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988586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7EB429B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60B1BB5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1D6C81F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66C2FBF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6149B3C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6383EE0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57507177" w14:textId="77777777" w:rsidR="00BC24D3" w:rsidRPr="00BC24D3" w:rsidRDefault="00BC24D3" w:rsidP="00BC24D3">
            <w:pPr>
              <w:spacing w:before="0" w:after="0" w:line="240" w:lineRule="auto"/>
              <w:jc w:val="left"/>
              <w:rPr>
                <w:sz w:val="20"/>
                <w:szCs w:val="20"/>
                <w:lang w:val="en-IN"/>
              </w:rPr>
            </w:pPr>
          </w:p>
        </w:tc>
      </w:tr>
      <w:tr w:rsidR="00BC24D3" w:rsidRPr="00BC24D3" w14:paraId="6D03AF1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69C0F7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"Dividend"</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C0B275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"Dividends Paid / Net Income"</w:t>
            </w:r>
          </w:p>
        </w:tc>
        <w:tc>
          <w:tcPr>
            <w:tcW w:w="512" w:type="pct"/>
            <w:tcBorders>
              <w:top w:val="nil"/>
              <w:left w:val="nil"/>
              <w:bottom w:val="single" w:sz="4" w:space="0" w:color="auto"/>
              <w:right w:val="single" w:sz="4" w:space="0" w:color="auto"/>
            </w:tcBorders>
            <w:shd w:val="clear" w:color="000000" w:fill="FFFFFF"/>
            <w:noWrap/>
            <w:vAlign w:val="bottom"/>
            <w:hideMark/>
          </w:tcPr>
          <w:p w14:paraId="02F13B4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5,779.00 </w:t>
            </w:r>
          </w:p>
        </w:tc>
        <w:tc>
          <w:tcPr>
            <w:tcW w:w="490" w:type="pct"/>
            <w:tcBorders>
              <w:top w:val="nil"/>
              <w:left w:val="nil"/>
              <w:bottom w:val="single" w:sz="4" w:space="0" w:color="auto"/>
              <w:right w:val="single" w:sz="4" w:space="0" w:color="auto"/>
            </w:tcBorders>
            <w:shd w:val="clear" w:color="000000" w:fill="FFFFFF"/>
            <w:noWrap/>
            <w:vAlign w:val="bottom"/>
            <w:hideMark/>
          </w:tcPr>
          <w:p w14:paraId="7B7AEFD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11,732.00 </w:t>
            </w:r>
          </w:p>
        </w:tc>
        <w:tc>
          <w:tcPr>
            <w:tcW w:w="490" w:type="pct"/>
            <w:tcBorders>
              <w:top w:val="nil"/>
              <w:left w:val="nil"/>
              <w:bottom w:val="single" w:sz="4" w:space="0" w:color="auto"/>
              <w:right w:val="single" w:sz="4" w:space="0" w:color="auto"/>
            </w:tcBorders>
            <w:shd w:val="clear" w:color="000000" w:fill="FFFFFF"/>
            <w:noWrap/>
            <w:vAlign w:val="bottom"/>
            <w:hideMark/>
          </w:tcPr>
          <w:p w14:paraId="364F48D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4,362.00 </w:t>
            </w:r>
          </w:p>
        </w:tc>
        <w:tc>
          <w:tcPr>
            <w:tcW w:w="490" w:type="pct"/>
            <w:tcBorders>
              <w:top w:val="nil"/>
              <w:left w:val="nil"/>
              <w:bottom w:val="single" w:sz="4" w:space="0" w:color="auto"/>
              <w:right w:val="single" w:sz="4" w:space="0" w:color="auto"/>
            </w:tcBorders>
            <w:shd w:val="clear" w:color="000000" w:fill="FFFFFF"/>
            <w:noWrap/>
            <w:vAlign w:val="bottom"/>
            <w:hideMark/>
          </w:tcPr>
          <w:p w14:paraId="1AAB6E0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3,022.00 </w:t>
            </w:r>
          </w:p>
        </w:tc>
        <w:tc>
          <w:tcPr>
            <w:tcW w:w="490" w:type="pct"/>
            <w:tcBorders>
              <w:top w:val="nil"/>
              <w:left w:val="nil"/>
              <w:bottom w:val="single" w:sz="4" w:space="0" w:color="auto"/>
              <w:right w:val="single" w:sz="4" w:space="0" w:color="auto"/>
            </w:tcBorders>
            <w:shd w:val="clear" w:color="000000" w:fill="FFFFFF"/>
            <w:noWrap/>
            <w:vAlign w:val="bottom"/>
            <w:hideMark/>
          </w:tcPr>
          <w:p w14:paraId="3DA9B6C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2,952.00 </w:t>
            </w:r>
          </w:p>
        </w:tc>
        <w:tc>
          <w:tcPr>
            <w:tcW w:w="60" w:type="pct"/>
            <w:vAlign w:val="center"/>
            <w:hideMark/>
          </w:tcPr>
          <w:p w14:paraId="32D6944A" w14:textId="77777777" w:rsidR="00BC24D3" w:rsidRPr="00BC24D3" w:rsidRDefault="00BC24D3" w:rsidP="00BC24D3">
            <w:pPr>
              <w:spacing w:before="0" w:after="0" w:line="240" w:lineRule="auto"/>
              <w:jc w:val="left"/>
              <w:rPr>
                <w:sz w:val="20"/>
                <w:szCs w:val="20"/>
                <w:lang w:val="en-IN"/>
              </w:rPr>
            </w:pPr>
          </w:p>
        </w:tc>
      </w:tr>
      <w:tr w:rsidR="00BC24D3" w:rsidRPr="00BC24D3" w14:paraId="6599304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161589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"Net Income"</w:t>
            </w:r>
          </w:p>
        </w:tc>
        <w:tc>
          <w:tcPr>
            <w:tcW w:w="1173" w:type="pct"/>
            <w:vMerge/>
            <w:tcBorders>
              <w:top w:val="nil"/>
              <w:left w:val="single" w:sz="4" w:space="0" w:color="auto"/>
              <w:bottom w:val="single" w:sz="4" w:space="0" w:color="auto"/>
              <w:right w:val="single" w:sz="4" w:space="0" w:color="auto"/>
            </w:tcBorders>
            <w:vAlign w:val="center"/>
            <w:hideMark/>
          </w:tcPr>
          <w:p w14:paraId="4E900167"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592ABE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12,394.00 </w:t>
            </w:r>
          </w:p>
        </w:tc>
        <w:tc>
          <w:tcPr>
            <w:tcW w:w="490" w:type="pct"/>
            <w:tcBorders>
              <w:top w:val="nil"/>
              <w:left w:val="nil"/>
              <w:bottom w:val="single" w:sz="4" w:space="0" w:color="auto"/>
              <w:right w:val="single" w:sz="4" w:space="0" w:color="auto"/>
            </w:tcBorders>
            <w:shd w:val="clear" w:color="000000" w:fill="FFFFFF"/>
            <w:noWrap/>
            <w:vAlign w:val="bottom"/>
            <w:hideMark/>
          </w:tcPr>
          <w:p w14:paraId="66D899F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17,861.00 </w:t>
            </w:r>
          </w:p>
        </w:tc>
        <w:tc>
          <w:tcPr>
            <w:tcW w:w="490" w:type="pct"/>
            <w:tcBorders>
              <w:top w:val="nil"/>
              <w:left w:val="nil"/>
              <w:bottom w:val="single" w:sz="4" w:space="0" w:color="auto"/>
              <w:right w:val="single" w:sz="4" w:space="0" w:color="auto"/>
            </w:tcBorders>
            <w:shd w:val="clear" w:color="000000" w:fill="FFFFFF"/>
            <w:noWrap/>
            <w:vAlign w:val="bottom"/>
            <w:hideMark/>
          </w:tcPr>
          <w:p w14:paraId="1E96D67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15,836.00 </w:t>
            </w:r>
          </w:p>
        </w:tc>
        <w:tc>
          <w:tcPr>
            <w:tcW w:w="490" w:type="pct"/>
            <w:tcBorders>
              <w:top w:val="nil"/>
              <w:left w:val="nil"/>
              <w:bottom w:val="single" w:sz="4" w:space="0" w:color="auto"/>
              <w:right w:val="single" w:sz="4" w:space="0" w:color="auto"/>
            </w:tcBorders>
            <w:shd w:val="clear" w:color="000000" w:fill="FFFFFF"/>
            <w:noWrap/>
            <w:vAlign w:val="bottom"/>
            <w:hideMark/>
          </w:tcPr>
          <w:p w14:paraId="1BAF8A1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15,428.00 </w:t>
            </w:r>
          </w:p>
        </w:tc>
        <w:tc>
          <w:tcPr>
            <w:tcW w:w="490" w:type="pct"/>
            <w:tcBorders>
              <w:top w:val="nil"/>
              <w:left w:val="nil"/>
              <w:bottom w:val="single" w:sz="4" w:space="0" w:color="auto"/>
              <w:right w:val="single" w:sz="4" w:space="0" w:color="auto"/>
            </w:tcBorders>
            <w:shd w:val="clear" w:color="000000" w:fill="FFFFFF"/>
            <w:noWrap/>
            <w:vAlign w:val="bottom"/>
            <w:hideMark/>
          </w:tcPr>
          <w:p w14:paraId="3851B14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8,824.00 </w:t>
            </w:r>
          </w:p>
        </w:tc>
        <w:tc>
          <w:tcPr>
            <w:tcW w:w="60" w:type="pct"/>
            <w:vAlign w:val="center"/>
            <w:hideMark/>
          </w:tcPr>
          <w:p w14:paraId="3109F217" w14:textId="77777777" w:rsidR="00BC24D3" w:rsidRPr="00BC24D3" w:rsidRDefault="00BC24D3" w:rsidP="00BC24D3">
            <w:pPr>
              <w:spacing w:before="0" w:after="0" w:line="240" w:lineRule="auto"/>
              <w:jc w:val="left"/>
              <w:rPr>
                <w:sz w:val="20"/>
                <w:szCs w:val="20"/>
                <w:lang w:val="en-IN"/>
              </w:rPr>
            </w:pPr>
          </w:p>
        </w:tc>
      </w:tr>
      <w:tr w:rsidR="00BC24D3" w:rsidRPr="00BC24D3" w14:paraId="41718FDB"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0DDD80E"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xml:space="preserve">"Dividend </w:t>
            </w:r>
            <w:proofErr w:type="spellStart"/>
            <w:r w:rsidRPr="00BC24D3">
              <w:rPr>
                <w:rFonts w:ascii="Arial" w:hAnsi="Arial" w:cs="Arial"/>
                <w:b/>
                <w:bCs/>
                <w:color w:val="000000"/>
                <w:lang w:val="en-IN"/>
              </w:rPr>
              <w:t>Payout</w:t>
            </w:r>
            <w:proofErr w:type="spellEnd"/>
            <w:r w:rsidRPr="00BC24D3">
              <w:rPr>
                <w:rFonts w:ascii="Arial" w:hAnsi="Arial" w:cs="Arial"/>
                <w:b/>
                <w:bCs/>
                <w:color w:val="000000"/>
                <w:lang w:val="en-IN"/>
              </w:rPr>
              <w:t xml:space="preserve"> Ratio "</w:t>
            </w:r>
          </w:p>
        </w:tc>
        <w:tc>
          <w:tcPr>
            <w:tcW w:w="1173" w:type="pct"/>
            <w:vMerge/>
            <w:tcBorders>
              <w:top w:val="nil"/>
              <w:left w:val="single" w:sz="4" w:space="0" w:color="auto"/>
              <w:bottom w:val="single" w:sz="4" w:space="0" w:color="auto"/>
              <w:right w:val="single" w:sz="4" w:space="0" w:color="auto"/>
            </w:tcBorders>
            <w:vAlign w:val="center"/>
            <w:hideMark/>
          </w:tcPr>
          <w:p w14:paraId="19B656C6"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032B9A9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0.47</w:t>
            </w:r>
          </w:p>
        </w:tc>
        <w:tc>
          <w:tcPr>
            <w:tcW w:w="490" w:type="pct"/>
            <w:tcBorders>
              <w:top w:val="nil"/>
              <w:left w:val="nil"/>
              <w:bottom w:val="single" w:sz="4" w:space="0" w:color="auto"/>
              <w:right w:val="single" w:sz="4" w:space="0" w:color="auto"/>
            </w:tcBorders>
            <w:shd w:val="clear" w:color="000000" w:fill="FFFFFF"/>
            <w:noWrap/>
            <w:vAlign w:val="bottom"/>
            <w:hideMark/>
          </w:tcPr>
          <w:p w14:paraId="3AD5355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0.66</w:t>
            </w:r>
          </w:p>
        </w:tc>
        <w:tc>
          <w:tcPr>
            <w:tcW w:w="490" w:type="pct"/>
            <w:tcBorders>
              <w:top w:val="nil"/>
              <w:left w:val="nil"/>
              <w:bottom w:val="single" w:sz="4" w:space="0" w:color="auto"/>
              <w:right w:val="single" w:sz="4" w:space="0" w:color="auto"/>
            </w:tcBorders>
            <w:shd w:val="clear" w:color="000000" w:fill="FFFFFF"/>
            <w:noWrap/>
            <w:vAlign w:val="bottom"/>
            <w:hideMark/>
          </w:tcPr>
          <w:p w14:paraId="206D33B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0.28</w:t>
            </w:r>
          </w:p>
        </w:tc>
        <w:tc>
          <w:tcPr>
            <w:tcW w:w="490" w:type="pct"/>
            <w:tcBorders>
              <w:top w:val="nil"/>
              <w:left w:val="nil"/>
              <w:bottom w:val="single" w:sz="4" w:space="0" w:color="auto"/>
              <w:right w:val="single" w:sz="4" w:space="0" w:color="auto"/>
            </w:tcBorders>
            <w:shd w:val="clear" w:color="000000" w:fill="FFFFFF"/>
            <w:noWrap/>
            <w:vAlign w:val="bottom"/>
            <w:hideMark/>
          </w:tcPr>
          <w:p w14:paraId="1864BDE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0.20</w:t>
            </w:r>
          </w:p>
        </w:tc>
        <w:tc>
          <w:tcPr>
            <w:tcW w:w="490" w:type="pct"/>
            <w:tcBorders>
              <w:top w:val="nil"/>
              <w:left w:val="nil"/>
              <w:bottom w:val="single" w:sz="4" w:space="0" w:color="auto"/>
              <w:right w:val="single" w:sz="4" w:space="0" w:color="auto"/>
            </w:tcBorders>
            <w:shd w:val="clear" w:color="000000" w:fill="FFFFFF"/>
            <w:noWrap/>
            <w:vAlign w:val="bottom"/>
            <w:hideMark/>
          </w:tcPr>
          <w:p w14:paraId="6BD728E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0.33</w:t>
            </w:r>
          </w:p>
        </w:tc>
        <w:tc>
          <w:tcPr>
            <w:tcW w:w="60" w:type="pct"/>
            <w:vAlign w:val="center"/>
            <w:hideMark/>
          </w:tcPr>
          <w:p w14:paraId="38481C47" w14:textId="77777777" w:rsidR="00BC24D3" w:rsidRPr="00BC24D3" w:rsidRDefault="00BC24D3" w:rsidP="00BC24D3">
            <w:pPr>
              <w:spacing w:before="0" w:after="0" w:line="240" w:lineRule="auto"/>
              <w:jc w:val="left"/>
              <w:rPr>
                <w:sz w:val="20"/>
                <w:szCs w:val="20"/>
                <w:lang w:val="en-IN"/>
              </w:rPr>
            </w:pPr>
          </w:p>
        </w:tc>
      </w:tr>
      <w:tr w:rsidR="00BC24D3" w:rsidRPr="00BC24D3" w14:paraId="63E65603"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CA8AA03"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2D8F0CAF" w14:textId="77777777" w:rsidR="00BC24D3" w:rsidRPr="00BC24D3" w:rsidRDefault="00BC24D3" w:rsidP="00BC24D3">
            <w:pPr>
              <w:spacing w:before="0" w:after="0" w:line="240" w:lineRule="auto"/>
              <w:jc w:val="left"/>
              <w:rPr>
                <w:sz w:val="20"/>
                <w:szCs w:val="20"/>
                <w:lang w:val="en-IN"/>
              </w:rPr>
            </w:pPr>
          </w:p>
        </w:tc>
      </w:tr>
      <w:tr w:rsidR="00BC24D3" w:rsidRPr="00BC24D3" w14:paraId="3F0803EF"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7E930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"Return on Equity (ROE)"</w:t>
            </w:r>
          </w:p>
        </w:tc>
        <w:tc>
          <w:tcPr>
            <w:tcW w:w="60" w:type="pct"/>
            <w:vAlign w:val="center"/>
            <w:hideMark/>
          </w:tcPr>
          <w:p w14:paraId="10DB102B" w14:textId="77777777" w:rsidR="00BC24D3" w:rsidRPr="00BC24D3" w:rsidRDefault="00BC24D3" w:rsidP="00BC24D3">
            <w:pPr>
              <w:spacing w:before="0" w:after="0" w:line="240" w:lineRule="auto"/>
              <w:jc w:val="left"/>
              <w:rPr>
                <w:sz w:val="20"/>
                <w:szCs w:val="20"/>
                <w:lang w:val="en-IN"/>
              </w:rPr>
            </w:pPr>
          </w:p>
        </w:tc>
      </w:tr>
      <w:tr w:rsidR="00BC24D3" w:rsidRPr="00BC24D3" w14:paraId="44A169E8"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18BB82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582458D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571953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1770A2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7ECDF89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3EC7E64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5D9BE4F"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5D669CFC" w14:textId="77777777" w:rsidR="00BC24D3" w:rsidRPr="00BC24D3" w:rsidRDefault="00BC24D3" w:rsidP="00BC24D3">
            <w:pPr>
              <w:spacing w:before="0" w:after="0" w:line="240" w:lineRule="auto"/>
              <w:jc w:val="left"/>
              <w:rPr>
                <w:sz w:val="20"/>
                <w:szCs w:val="20"/>
                <w:lang w:val="en-IN"/>
              </w:rPr>
            </w:pPr>
          </w:p>
        </w:tc>
      </w:tr>
      <w:tr w:rsidR="00BC24D3" w:rsidRPr="00BC24D3" w14:paraId="45A73BCF"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F68B48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"Net Income "</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6EE1C72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"Net Income / Book Value of Equity (Total Equity)"</w:t>
            </w:r>
          </w:p>
        </w:tc>
        <w:tc>
          <w:tcPr>
            <w:tcW w:w="512" w:type="pct"/>
            <w:tcBorders>
              <w:top w:val="nil"/>
              <w:left w:val="nil"/>
              <w:bottom w:val="single" w:sz="4" w:space="0" w:color="auto"/>
              <w:right w:val="single" w:sz="4" w:space="0" w:color="auto"/>
            </w:tcBorders>
            <w:shd w:val="clear" w:color="000000" w:fill="FFFFFF"/>
            <w:noWrap/>
            <w:vAlign w:val="bottom"/>
            <w:hideMark/>
          </w:tcPr>
          <w:p w14:paraId="66A1FA9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12,394.00 </w:t>
            </w:r>
          </w:p>
        </w:tc>
        <w:tc>
          <w:tcPr>
            <w:tcW w:w="490" w:type="pct"/>
            <w:tcBorders>
              <w:top w:val="nil"/>
              <w:left w:val="nil"/>
              <w:bottom w:val="single" w:sz="4" w:space="0" w:color="auto"/>
              <w:right w:val="single" w:sz="4" w:space="0" w:color="auto"/>
            </w:tcBorders>
            <w:shd w:val="clear" w:color="000000" w:fill="FFFFFF"/>
            <w:noWrap/>
            <w:vAlign w:val="bottom"/>
            <w:hideMark/>
          </w:tcPr>
          <w:p w14:paraId="6F180B9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17,861.00 </w:t>
            </w:r>
          </w:p>
        </w:tc>
        <w:tc>
          <w:tcPr>
            <w:tcW w:w="490" w:type="pct"/>
            <w:tcBorders>
              <w:top w:val="nil"/>
              <w:left w:val="nil"/>
              <w:bottom w:val="single" w:sz="4" w:space="0" w:color="auto"/>
              <w:right w:val="single" w:sz="4" w:space="0" w:color="auto"/>
            </w:tcBorders>
            <w:shd w:val="clear" w:color="000000" w:fill="FFFFFF"/>
            <w:noWrap/>
            <w:vAlign w:val="bottom"/>
            <w:hideMark/>
          </w:tcPr>
          <w:p w14:paraId="088250D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15,836.00 </w:t>
            </w:r>
          </w:p>
        </w:tc>
        <w:tc>
          <w:tcPr>
            <w:tcW w:w="490" w:type="pct"/>
            <w:tcBorders>
              <w:top w:val="nil"/>
              <w:left w:val="nil"/>
              <w:bottom w:val="single" w:sz="4" w:space="0" w:color="auto"/>
              <w:right w:val="single" w:sz="4" w:space="0" w:color="auto"/>
            </w:tcBorders>
            <w:shd w:val="clear" w:color="000000" w:fill="FFFFFF"/>
            <w:noWrap/>
            <w:vAlign w:val="bottom"/>
            <w:hideMark/>
          </w:tcPr>
          <w:p w14:paraId="0A63203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15,428.00 </w:t>
            </w:r>
          </w:p>
        </w:tc>
        <w:tc>
          <w:tcPr>
            <w:tcW w:w="490" w:type="pct"/>
            <w:tcBorders>
              <w:top w:val="nil"/>
              <w:left w:val="nil"/>
              <w:bottom w:val="single" w:sz="4" w:space="0" w:color="auto"/>
              <w:right w:val="single" w:sz="4" w:space="0" w:color="auto"/>
            </w:tcBorders>
            <w:shd w:val="clear" w:color="000000" w:fill="FFFFFF"/>
            <w:noWrap/>
            <w:vAlign w:val="bottom"/>
            <w:hideMark/>
          </w:tcPr>
          <w:p w14:paraId="17D6CF7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8,824.00 </w:t>
            </w:r>
          </w:p>
        </w:tc>
        <w:tc>
          <w:tcPr>
            <w:tcW w:w="60" w:type="pct"/>
            <w:vAlign w:val="center"/>
            <w:hideMark/>
          </w:tcPr>
          <w:p w14:paraId="26E1F601" w14:textId="77777777" w:rsidR="00BC24D3" w:rsidRPr="00BC24D3" w:rsidRDefault="00BC24D3" w:rsidP="00BC24D3">
            <w:pPr>
              <w:spacing w:before="0" w:after="0" w:line="240" w:lineRule="auto"/>
              <w:jc w:val="left"/>
              <w:rPr>
                <w:sz w:val="20"/>
                <w:szCs w:val="20"/>
                <w:lang w:val="en-IN"/>
              </w:rPr>
            </w:pPr>
          </w:p>
        </w:tc>
      </w:tr>
      <w:tr w:rsidR="00BC24D3" w:rsidRPr="00BC24D3" w14:paraId="0CEA95DB"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3BAE5DE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Book Value of Equity"</w:t>
            </w:r>
          </w:p>
        </w:tc>
        <w:tc>
          <w:tcPr>
            <w:tcW w:w="1173" w:type="pct"/>
            <w:vMerge/>
            <w:tcBorders>
              <w:top w:val="nil"/>
              <w:left w:val="single" w:sz="4" w:space="0" w:color="auto"/>
              <w:bottom w:val="single" w:sz="4" w:space="0" w:color="auto"/>
              <w:right w:val="single" w:sz="4" w:space="0" w:color="auto"/>
            </w:tcBorders>
            <w:vAlign w:val="center"/>
            <w:hideMark/>
          </w:tcPr>
          <w:p w14:paraId="2B560BE4"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1F12E58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1,96,731.00 </w:t>
            </w:r>
          </w:p>
        </w:tc>
        <w:tc>
          <w:tcPr>
            <w:tcW w:w="490" w:type="pct"/>
            <w:tcBorders>
              <w:top w:val="nil"/>
              <w:left w:val="nil"/>
              <w:bottom w:val="single" w:sz="4" w:space="0" w:color="auto"/>
              <w:right w:val="single" w:sz="4" w:space="0" w:color="auto"/>
            </w:tcBorders>
            <w:shd w:val="clear" w:color="000000" w:fill="FFFFFF"/>
            <w:noWrap/>
            <w:vAlign w:val="bottom"/>
            <w:hideMark/>
          </w:tcPr>
          <w:p w14:paraId="32FCFCC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€ 1,89,186.00 </w:t>
            </w:r>
          </w:p>
        </w:tc>
        <w:tc>
          <w:tcPr>
            <w:tcW w:w="490" w:type="pct"/>
            <w:tcBorders>
              <w:top w:val="nil"/>
              <w:left w:val="nil"/>
              <w:bottom w:val="single" w:sz="4" w:space="0" w:color="auto"/>
              <w:right w:val="single" w:sz="4" w:space="0" w:color="auto"/>
            </w:tcBorders>
            <w:shd w:val="clear" w:color="000000" w:fill="FFFFFF"/>
            <w:noWrap/>
            <w:vAlign w:val="bottom"/>
            <w:hideMark/>
          </w:tcPr>
          <w:p w14:paraId="2E7A651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€ 1,78,327.00 </w:t>
            </w:r>
          </w:p>
        </w:tc>
        <w:tc>
          <w:tcPr>
            <w:tcW w:w="490" w:type="pct"/>
            <w:tcBorders>
              <w:top w:val="nil"/>
              <w:left w:val="nil"/>
              <w:bottom w:val="single" w:sz="4" w:space="0" w:color="auto"/>
              <w:right w:val="single" w:sz="4" w:space="0" w:color="auto"/>
            </w:tcBorders>
            <w:shd w:val="clear" w:color="000000" w:fill="FFFFFF"/>
            <w:noWrap/>
            <w:vAlign w:val="bottom"/>
            <w:hideMark/>
          </w:tcPr>
          <w:p w14:paraId="2884F46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€ 1,46,154.00 </w:t>
            </w:r>
          </w:p>
        </w:tc>
        <w:tc>
          <w:tcPr>
            <w:tcW w:w="490" w:type="pct"/>
            <w:tcBorders>
              <w:top w:val="nil"/>
              <w:left w:val="nil"/>
              <w:bottom w:val="single" w:sz="4" w:space="0" w:color="auto"/>
              <w:right w:val="single" w:sz="4" w:space="0" w:color="auto"/>
            </w:tcBorders>
            <w:shd w:val="clear" w:color="000000" w:fill="FFFFFF"/>
            <w:noWrap/>
            <w:vAlign w:val="bottom"/>
            <w:hideMark/>
          </w:tcPr>
          <w:p w14:paraId="0FA1E7F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€ 1,28,783.00 </w:t>
            </w:r>
          </w:p>
        </w:tc>
        <w:tc>
          <w:tcPr>
            <w:tcW w:w="60" w:type="pct"/>
            <w:vAlign w:val="center"/>
            <w:hideMark/>
          </w:tcPr>
          <w:p w14:paraId="514CDDEC" w14:textId="77777777" w:rsidR="00BC24D3" w:rsidRPr="00BC24D3" w:rsidRDefault="00BC24D3" w:rsidP="00BC24D3">
            <w:pPr>
              <w:spacing w:before="0" w:after="0" w:line="240" w:lineRule="auto"/>
              <w:jc w:val="left"/>
              <w:rPr>
                <w:sz w:val="20"/>
                <w:szCs w:val="20"/>
                <w:lang w:val="en-IN"/>
              </w:rPr>
            </w:pPr>
          </w:p>
        </w:tc>
      </w:tr>
      <w:tr w:rsidR="00BC24D3" w:rsidRPr="00BC24D3" w14:paraId="305E3B7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E83B459"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"Return on Equity (ROE)"</w:t>
            </w:r>
          </w:p>
        </w:tc>
        <w:tc>
          <w:tcPr>
            <w:tcW w:w="1173" w:type="pct"/>
            <w:vMerge/>
            <w:tcBorders>
              <w:top w:val="nil"/>
              <w:left w:val="single" w:sz="4" w:space="0" w:color="auto"/>
              <w:bottom w:val="single" w:sz="4" w:space="0" w:color="auto"/>
              <w:right w:val="single" w:sz="4" w:space="0" w:color="auto"/>
            </w:tcBorders>
            <w:vAlign w:val="center"/>
            <w:hideMark/>
          </w:tcPr>
          <w:p w14:paraId="3DAA803E"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106900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0.06</w:t>
            </w:r>
          </w:p>
        </w:tc>
        <w:tc>
          <w:tcPr>
            <w:tcW w:w="490" w:type="pct"/>
            <w:tcBorders>
              <w:top w:val="nil"/>
              <w:left w:val="nil"/>
              <w:bottom w:val="single" w:sz="4" w:space="0" w:color="auto"/>
              <w:right w:val="single" w:sz="4" w:space="0" w:color="auto"/>
            </w:tcBorders>
            <w:shd w:val="clear" w:color="000000" w:fill="FFFFFF"/>
            <w:noWrap/>
            <w:vAlign w:val="bottom"/>
            <w:hideMark/>
          </w:tcPr>
          <w:p w14:paraId="03D1588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0.09</w:t>
            </w:r>
          </w:p>
        </w:tc>
        <w:tc>
          <w:tcPr>
            <w:tcW w:w="490" w:type="pct"/>
            <w:tcBorders>
              <w:top w:val="nil"/>
              <w:left w:val="nil"/>
              <w:bottom w:val="single" w:sz="4" w:space="0" w:color="auto"/>
              <w:right w:val="single" w:sz="4" w:space="0" w:color="auto"/>
            </w:tcBorders>
            <w:shd w:val="clear" w:color="000000" w:fill="FFFFFF"/>
            <w:noWrap/>
            <w:vAlign w:val="bottom"/>
            <w:hideMark/>
          </w:tcPr>
          <w:p w14:paraId="113D2A8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0.09</w:t>
            </w:r>
          </w:p>
        </w:tc>
        <w:tc>
          <w:tcPr>
            <w:tcW w:w="490" w:type="pct"/>
            <w:tcBorders>
              <w:top w:val="nil"/>
              <w:left w:val="nil"/>
              <w:bottom w:val="single" w:sz="4" w:space="0" w:color="auto"/>
              <w:right w:val="single" w:sz="4" w:space="0" w:color="auto"/>
            </w:tcBorders>
            <w:shd w:val="clear" w:color="000000" w:fill="FFFFFF"/>
            <w:noWrap/>
            <w:vAlign w:val="bottom"/>
            <w:hideMark/>
          </w:tcPr>
          <w:p w14:paraId="7295327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0.11</w:t>
            </w:r>
          </w:p>
        </w:tc>
        <w:tc>
          <w:tcPr>
            <w:tcW w:w="490" w:type="pct"/>
            <w:tcBorders>
              <w:top w:val="nil"/>
              <w:left w:val="nil"/>
              <w:bottom w:val="single" w:sz="4" w:space="0" w:color="auto"/>
              <w:right w:val="single" w:sz="4" w:space="0" w:color="auto"/>
            </w:tcBorders>
            <w:shd w:val="clear" w:color="000000" w:fill="FFFFFF"/>
            <w:noWrap/>
            <w:vAlign w:val="bottom"/>
            <w:hideMark/>
          </w:tcPr>
          <w:p w14:paraId="60BDECA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0.07</w:t>
            </w:r>
          </w:p>
        </w:tc>
        <w:tc>
          <w:tcPr>
            <w:tcW w:w="60" w:type="pct"/>
            <w:vAlign w:val="center"/>
            <w:hideMark/>
          </w:tcPr>
          <w:p w14:paraId="712B9774" w14:textId="77777777" w:rsidR="00BC24D3" w:rsidRPr="00BC24D3" w:rsidRDefault="00BC24D3" w:rsidP="00BC24D3">
            <w:pPr>
              <w:spacing w:before="0" w:after="0" w:line="240" w:lineRule="auto"/>
              <w:jc w:val="left"/>
              <w:rPr>
                <w:sz w:val="20"/>
                <w:szCs w:val="20"/>
                <w:lang w:val="en-IN"/>
              </w:rPr>
            </w:pPr>
          </w:p>
        </w:tc>
      </w:tr>
      <w:tr w:rsidR="00BC24D3" w:rsidRPr="00BC24D3" w14:paraId="30E5B80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A1C4E06"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1173" w:type="pct"/>
            <w:tcBorders>
              <w:top w:val="nil"/>
              <w:left w:val="nil"/>
              <w:bottom w:val="single" w:sz="4" w:space="0" w:color="auto"/>
              <w:right w:val="single" w:sz="4" w:space="0" w:color="auto"/>
            </w:tcBorders>
            <w:shd w:val="clear" w:color="000000" w:fill="FFFFFF"/>
            <w:vAlign w:val="center"/>
            <w:hideMark/>
          </w:tcPr>
          <w:p w14:paraId="1AEA177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 </w:t>
            </w:r>
          </w:p>
        </w:tc>
        <w:tc>
          <w:tcPr>
            <w:tcW w:w="512" w:type="pct"/>
            <w:tcBorders>
              <w:top w:val="nil"/>
              <w:left w:val="nil"/>
              <w:bottom w:val="single" w:sz="4" w:space="0" w:color="auto"/>
              <w:right w:val="single" w:sz="4" w:space="0" w:color="auto"/>
            </w:tcBorders>
            <w:shd w:val="clear" w:color="000000" w:fill="FFFFFF"/>
            <w:noWrap/>
            <w:vAlign w:val="bottom"/>
            <w:hideMark/>
          </w:tcPr>
          <w:p w14:paraId="21922D09"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7FD663B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5EBC858C"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015C47DF"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C3DDABA"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 </w:t>
            </w:r>
          </w:p>
        </w:tc>
        <w:tc>
          <w:tcPr>
            <w:tcW w:w="60" w:type="pct"/>
            <w:vAlign w:val="center"/>
            <w:hideMark/>
          </w:tcPr>
          <w:p w14:paraId="7BFCEB8F" w14:textId="77777777" w:rsidR="00BC24D3" w:rsidRPr="00BC24D3" w:rsidRDefault="00BC24D3" w:rsidP="00BC24D3">
            <w:pPr>
              <w:spacing w:before="0" w:after="0" w:line="240" w:lineRule="auto"/>
              <w:jc w:val="left"/>
              <w:rPr>
                <w:sz w:val="20"/>
                <w:szCs w:val="20"/>
                <w:lang w:val="en-IN"/>
              </w:rPr>
            </w:pPr>
          </w:p>
        </w:tc>
      </w:tr>
      <w:tr w:rsidR="00BC24D3" w:rsidRPr="00BC24D3" w14:paraId="0A4BC613"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7D1876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"Return on Assets (ROA)"</w:t>
            </w:r>
          </w:p>
        </w:tc>
        <w:tc>
          <w:tcPr>
            <w:tcW w:w="60" w:type="pct"/>
            <w:vAlign w:val="center"/>
            <w:hideMark/>
          </w:tcPr>
          <w:p w14:paraId="3C43A633" w14:textId="77777777" w:rsidR="00BC24D3" w:rsidRPr="00BC24D3" w:rsidRDefault="00BC24D3" w:rsidP="00BC24D3">
            <w:pPr>
              <w:spacing w:before="0" w:after="0" w:line="240" w:lineRule="auto"/>
              <w:jc w:val="left"/>
              <w:rPr>
                <w:sz w:val="20"/>
                <w:szCs w:val="20"/>
                <w:lang w:val="en-IN"/>
              </w:rPr>
            </w:pPr>
          </w:p>
        </w:tc>
      </w:tr>
      <w:tr w:rsidR="00BC24D3" w:rsidRPr="00BC24D3" w14:paraId="0FB843C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7FA8EB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0240A9D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05C1586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65694E7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13F352E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78BF6CB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62BB50D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4718711D" w14:textId="77777777" w:rsidR="00BC24D3" w:rsidRPr="00BC24D3" w:rsidRDefault="00BC24D3" w:rsidP="00BC24D3">
            <w:pPr>
              <w:spacing w:before="0" w:after="0" w:line="240" w:lineRule="auto"/>
              <w:jc w:val="left"/>
              <w:rPr>
                <w:sz w:val="20"/>
                <w:szCs w:val="20"/>
                <w:lang w:val="en-IN"/>
              </w:rPr>
            </w:pPr>
          </w:p>
        </w:tc>
      </w:tr>
      <w:tr w:rsidR="00BC24D3" w:rsidRPr="00BC24D3" w14:paraId="257E669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B0DAFE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"Net Income "</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72296C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"Net Income / Total Assets"</w:t>
            </w:r>
          </w:p>
        </w:tc>
        <w:tc>
          <w:tcPr>
            <w:tcW w:w="512" w:type="pct"/>
            <w:tcBorders>
              <w:top w:val="nil"/>
              <w:left w:val="nil"/>
              <w:bottom w:val="single" w:sz="4" w:space="0" w:color="auto"/>
              <w:right w:val="single" w:sz="4" w:space="0" w:color="auto"/>
            </w:tcBorders>
            <w:shd w:val="clear" w:color="000000" w:fill="FFFFFF"/>
            <w:noWrap/>
            <w:vAlign w:val="bottom"/>
            <w:hideMark/>
          </w:tcPr>
          <w:p w14:paraId="14FFF47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12,394.00 </w:t>
            </w:r>
          </w:p>
        </w:tc>
        <w:tc>
          <w:tcPr>
            <w:tcW w:w="490" w:type="pct"/>
            <w:tcBorders>
              <w:top w:val="nil"/>
              <w:left w:val="nil"/>
              <w:bottom w:val="single" w:sz="4" w:space="0" w:color="auto"/>
              <w:right w:val="single" w:sz="4" w:space="0" w:color="auto"/>
            </w:tcBorders>
            <w:shd w:val="clear" w:color="000000" w:fill="FFFFFF"/>
            <w:noWrap/>
            <w:vAlign w:val="bottom"/>
            <w:hideMark/>
          </w:tcPr>
          <w:p w14:paraId="3A514ED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17,861.00 </w:t>
            </w:r>
          </w:p>
        </w:tc>
        <w:tc>
          <w:tcPr>
            <w:tcW w:w="490" w:type="pct"/>
            <w:tcBorders>
              <w:top w:val="nil"/>
              <w:left w:val="nil"/>
              <w:bottom w:val="single" w:sz="4" w:space="0" w:color="auto"/>
              <w:right w:val="single" w:sz="4" w:space="0" w:color="auto"/>
            </w:tcBorders>
            <w:shd w:val="clear" w:color="000000" w:fill="FFFFFF"/>
            <w:noWrap/>
            <w:vAlign w:val="bottom"/>
            <w:hideMark/>
          </w:tcPr>
          <w:p w14:paraId="5C4A8C5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15,836.00 </w:t>
            </w:r>
          </w:p>
        </w:tc>
        <w:tc>
          <w:tcPr>
            <w:tcW w:w="490" w:type="pct"/>
            <w:tcBorders>
              <w:top w:val="nil"/>
              <w:left w:val="nil"/>
              <w:bottom w:val="single" w:sz="4" w:space="0" w:color="auto"/>
              <w:right w:val="single" w:sz="4" w:space="0" w:color="auto"/>
            </w:tcBorders>
            <w:shd w:val="clear" w:color="000000" w:fill="FFFFFF"/>
            <w:noWrap/>
            <w:vAlign w:val="bottom"/>
            <w:hideMark/>
          </w:tcPr>
          <w:p w14:paraId="32F781B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15,428.00 </w:t>
            </w:r>
          </w:p>
        </w:tc>
        <w:tc>
          <w:tcPr>
            <w:tcW w:w="490" w:type="pct"/>
            <w:tcBorders>
              <w:top w:val="nil"/>
              <w:left w:val="nil"/>
              <w:bottom w:val="single" w:sz="4" w:space="0" w:color="auto"/>
              <w:right w:val="single" w:sz="4" w:space="0" w:color="auto"/>
            </w:tcBorders>
            <w:shd w:val="clear" w:color="000000" w:fill="FFFFFF"/>
            <w:noWrap/>
            <w:vAlign w:val="bottom"/>
            <w:hideMark/>
          </w:tcPr>
          <w:p w14:paraId="5C38DAB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8,824.00 </w:t>
            </w:r>
          </w:p>
        </w:tc>
        <w:tc>
          <w:tcPr>
            <w:tcW w:w="60" w:type="pct"/>
            <w:vAlign w:val="center"/>
            <w:hideMark/>
          </w:tcPr>
          <w:p w14:paraId="0C2C95E0" w14:textId="77777777" w:rsidR="00BC24D3" w:rsidRPr="00BC24D3" w:rsidRDefault="00BC24D3" w:rsidP="00BC24D3">
            <w:pPr>
              <w:spacing w:before="0" w:after="0" w:line="240" w:lineRule="auto"/>
              <w:jc w:val="left"/>
              <w:rPr>
                <w:sz w:val="20"/>
                <w:szCs w:val="20"/>
                <w:lang w:val="en-IN"/>
              </w:rPr>
            </w:pPr>
          </w:p>
        </w:tc>
      </w:tr>
      <w:tr w:rsidR="00BC24D3" w:rsidRPr="00BC24D3" w14:paraId="3C248D3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D32EC9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"Total Assets"</w:t>
            </w:r>
          </w:p>
        </w:tc>
        <w:tc>
          <w:tcPr>
            <w:tcW w:w="1173" w:type="pct"/>
            <w:vMerge/>
            <w:tcBorders>
              <w:top w:val="nil"/>
              <w:left w:val="single" w:sz="4" w:space="0" w:color="auto"/>
              <w:bottom w:val="single" w:sz="4" w:space="0" w:color="auto"/>
              <w:right w:val="single" w:sz="4" w:space="0" w:color="auto"/>
            </w:tcBorders>
            <w:vAlign w:val="center"/>
            <w:hideMark/>
          </w:tcPr>
          <w:p w14:paraId="25AA99F2"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1CE0AAF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6,32,905.00 </w:t>
            </w:r>
          </w:p>
        </w:tc>
        <w:tc>
          <w:tcPr>
            <w:tcW w:w="490" w:type="pct"/>
            <w:tcBorders>
              <w:top w:val="nil"/>
              <w:left w:val="nil"/>
              <w:bottom w:val="single" w:sz="4" w:space="0" w:color="auto"/>
              <w:right w:val="single" w:sz="4" w:space="0" w:color="auto"/>
            </w:tcBorders>
            <w:shd w:val="clear" w:color="000000" w:fill="FFFFFF"/>
            <w:noWrap/>
            <w:vAlign w:val="bottom"/>
            <w:hideMark/>
          </w:tcPr>
          <w:p w14:paraId="720B753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€ 6,00,649.00 </w:t>
            </w:r>
          </w:p>
        </w:tc>
        <w:tc>
          <w:tcPr>
            <w:tcW w:w="490" w:type="pct"/>
            <w:tcBorders>
              <w:top w:val="nil"/>
              <w:left w:val="nil"/>
              <w:bottom w:val="single" w:sz="4" w:space="0" w:color="auto"/>
              <w:right w:val="single" w:sz="4" w:space="0" w:color="auto"/>
            </w:tcBorders>
            <w:shd w:val="clear" w:color="000000" w:fill="FFFFFF"/>
            <w:noWrap/>
            <w:vAlign w:val="bottom"/>
            <w:hideMark/>
          </w:tcPr>
          <w:p w14:paraId="3C9D5EC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€ 5,64,772.00 </w:t>
            </w:r>
          </w:p>
        </w:tc>
        <w:tc>
          <w:tcPr>
            <w:tcW w:w="490" w:type="pct"/>
            <w:tcBorders>
              <w:top w:val="nil"/>
              <w:left w:val="nil"/>
              <w:bottom w:val="single" w:sz="4" w:space="0" w:color="auto"/>
              <w:right w:val="single" w:sz="4" w:space="0" w:color="auto"/>
            </w:tcBorders>
            <w:shd w:val="clear" w:color="000000" w:fill="FFFFFF"/>
            <w:noWrap/>
            <w:vAlign w:val="bottom"/>
            <w:hideMark/>
          </w:tcPr>
          <w:p w14:paraId="7C49EC5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€ 5,28,609.00 </w:t>
            </w:r>
          </w:p>
        </w:tc>
        <w:tc>
          <w:tcPr>
            <w:tcW w:w="490" w:type="pct"/>
            <w:tcBorders>
              <w:top w:val="nil"/>
              <w:left w:val="nil"/>
              <w:bottom w:val="single" w:sz="4" w:space="0" w:color="auto"/>
              <w:right w:val="single" w:sz="4" w:space="0" w:color="auto"/>
            </w:tcBorders>
            <w:shd w:val="clear" w:color="000000" w:fill="FFFFFF"/>
            <w:noWrap/>
            <w:vAlign w:val="bottom"/>
            <w:hideMark/>
          </w:tcPr>
          <w:p w14:paraId="3AFD46C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€ 4,97,114.00 </w:t>
            </w:r>
          </w:p>
        </w:tc>
        <w:tc>
          <w:tcPr>
            <w:tcW w:w="60" w:type="pct"/>
            <w:vAlign w:val="center"/>
            <w:hideMark/>
          </w:tcPr>
          <w:p w14:paraId="2190694E" w14:textId="77777777" w:rsidR="00BC24D3" w:rsidRPr="00BC24D3" w:rsidRDefault="00BC24D3" w:rsidP="00BC24D3">
            <w:pPr>
              <w:spacing w:before="0" w:after="0" w:line="240" w:lineRule="auto"/>
              <w:jc w:val="left"/>
              <w:rPr>
                <w:sz w:val="20"/>
                <w:szCs w:val="20"/>
                <w:lang w:val="en-IN"/>
              </w:rPr>
            </w:pPr>
          </w:p>
        </w:tc>
      </w:tr>
      <w:tr w:rsidR="00BC24D3" w:rsidRPr="00BC24D3" w14:paraId="5115127D"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614AFD9A"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"Return on Assets (ROA)"</w:t>
            </w:r>
          </w:p>
        </w:tc>
        <w:tc>
          <w:tcPr>
            <w:tcW w:w="1173" w:type="pct"/>
            <w:vMerge/>
            <w:tcBorders>
              <w:top w:val="nil"/>
              <w:left w:val="single" w:sz="4" w:space="0" w:color="auto"/>
              <w:bottom w:val="single" w:sz="4" w:space="0" w:color="auto"/>
              <w:right w:val="single" w:sz="4" w:space="0" w:color="auto"/>
            </w:tcBorders>
            <w:vAlign w:val="center"/>
            <w:hideMark/>
          </w:tcPr>
          <w:p w14:paraId="14EFEFBD"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3CCE3A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0.02</w:t>
            </w:r>
          </w:p>
        </w:tc>
        <w:tc>
          <w:tcPr>
            <w:tcW w:w="490" w:type="pct"/>
            <w:tcBorders>
              <w:top w:val="nil"/>
              <w:left w:val="nil"/>
              <w:bottom w:val="single" w:sz="4" w:space="0" w:color="auto"/>
              <w:right w:val="single" w:sz="4" w:space="0" w:color="auto"/>
            </w:tcBorders>
            <w:shd w:val="clear" w:color="000000" w:fill="FFFFFF"/>
            <w:noWrap/>
            <w:vAlign w:val="bottom"/>
            <w:hideMark/>
          </w:tcPr>
          <w:p w14:paraId="7645534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0.03</w:t>
            </w:r>
          </w:p>
        </w:tc>
        <w:tc>
          <w:tcPr>
            <w:tcW w:w="490" w:type="pct"/>
            <w:tcBorders>
              <w:top w:val="nil"/>
              <w:left w:val="nil"/>
              <w:bottom w:val="single" w:sz="4" w:space="0" w:color="auto"/>
              <w:right w:val="single" w:sz="4" w:space="0" w:color="auto"/>
            </w:tcBorders>
            <w:shd w:val="clear" w:color="000000" w:fill="FFFFFF"/>
            <w:noWrap/>
            <w:vAlign w:val="bottom"/>
            <w:hideMark/>
          </w:tcPr>
          <w:p w14:paraId="5C98C90C"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0.03</w:t>
            </w:r>
          </w:p>
        </w:tc>
        <w:tc>
          <w:tcPr>
            <w:tcW w:w="490" w:type="pct"/>
            <w:tcBorders>
              <w:top w:val="nil"/>
              <w:left w:val="nil"/>
              <w:bottom w:val="single" w:sz="4" w:space="0" w:color="auto"/>
              <w:right w:val="single" w:sz="4" w:space="0" w:color="auto"/>
            </w:tcBorders>
            <w:shd w:val="clear" w:color="000000" w:fill="FFFFFF"/>
            <w:noWrap/>
            <w:vAlign w:val="bottom"/>
            <w:hideMark/>
          </w:tcPr>
          <w:p w14:paraId="6C65ADB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0.03</w:t>
            </w:r>
          </w:p>
        </w:tc>
        <w:tc>
          <w:tcPr>
            <w:tcW w:w="490" w:type="pct"/>
            <w:tcBorders>
              <w:top w:val="nil"/>
              <w:left w:val="nil"/>
              <w:bottom w:val="single" w:sz="4" w:space="0" w:color="auto"/>
              <w:right w:val="single" w:sz="4" w:space="0" w:color="auto"/>
            </w:tcBorders>
            <w:shd w:val="clear" w:color="000000" w:fill="FFFFFF"/>
            <w:noWrap/>
            <w:vAlign w:val="bottom"/>
            <w:hideMark/>
          </w:tcPr>
          <w:p w14:paraId="13C750CE"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0.02</w:t>
            </w:r>
          </w:p>
        </w:tc>
        <w:tc>
          <w:tcPr>
            <w:tcW w:w="60" w:type="pct"/>
            <w:vAlign w:val="center"/>
            <w:hideMark/>
          </w:tcPr>
          <w:p w14:paraId="6073AF33" w14:textId="77777777" w:rsidR="00BC24D3" w:rsidRPr="00BC24D3" w:rsidRDefault="00BC24D3" w:rsidP="00BC24D3">
            <w:pPr>
              <w:spacing w:before="0" w:after="0" w:line="240" w:lineRule="auto"/>
              <w:jc w:val="left"/>
              <w:rPr>
                <w:sz w:val="20"/>
                <w:szCs w:val="20"/>
                <w:lang w:val="en-IN"/>
              </w:rPr>
            </w:pPr>
          </w:p>
        </w:tc>
      </w:tr>
      <w:tr w:rsidR="00BC24D3" w:rsidRPr="00BC24D3" w14:paraId="4B1AB57A"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07332E2"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4E73CA0A" w14:textId="77777777" w:rsidR="00BC24D3" w:rsidRPr="00BC24D3" w:rsidRDefault="00BC24D3" w:rsidP="00BC24D3">
            <w:pPr>
              <w:spacing w:before="0" w:after="0" w:line="240" w:lineRule="auto"/>
              <w:jc w:val="left"/>
              <w:rPr>
                <w:sz w:val="20"/>
                <w:szCs w:val="20"/>
                <w:lang w:val="en-IN"/>
              </w:rPr>
            </w:pPr>
          </w:p>
        </w:tc>
      </w:tr>
      <w:tr w:rsidR="00BC24D3" w:rsidRPr="00BC24D3" w14:paraId="590B5CBE"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AB0ECF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"Return on Invested Capital (ROIC)"</w:t>
            </w:r>
          </w:p>
        </w:tc>
        <w:tc>
          <w:tcPr>
            <w:tcW w:w="60" w:type="pct"/>
            <w:vAlign w:val="center"/>
            <w:hideMark/>
          </w:tcPr>
          <w:p w14:paraId="507FFCA0" w14:textId="77777777" w:rsidR="00BC24D3" w:rsidRPr="00BC24D3" w:rsidRDefault="00BC24D3" w:rsidP="00BC24D3">
            <w:pPr>
              <w:spacing w:before="0" w:after="0" w:line="240" w:lineRule="auto"/>
              <w:jc w:val="left"/>
              <w:rPr>
                <w:sz w:val="20"/>
                <w:szCs w:val="20"/>
                <w:lang w:val="en-IN"/>
              </w:rPr>
            </w:pPr>
          </w:p>
        </w:tc>
      </w:tr>
      <w:tr w:rsidR="00BC24D3" w:rsidRPr="00BC24D3" w14:paraId="6D2B39E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3F1BDF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0C11778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15229AB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6B95DB7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6F11F3B1"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1EBED0C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195D19E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23B83739" w14:textId="77777777" w:rsidR="00BC24D3" w:rsidRPr="00BC24D3" w:rsidRDefault="00BC24D3" w:rsidP="00BC24D3">
            <w:pPr>
              <w:spacing w:before="0" w:after="0" w:line="240" w:lineRule="auto"/>
              <w:jc w:val="left"/>
              <w:rPr>
                <w:sz w:val="20"/>
                <w:szCs w:val="20"/>
                <w:lang w:val="en-IN"/>
              </w:rPr>
            </w:pPr>
          </w:p>
        </w:tc>
      </w:tr>
      <w:tr w:rsidR="00BC24D3" w:rsidRPr="00BC24D3" w14:paraId="5C0DE51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E5A507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"Net Income "</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9CD48A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"After-tax Profit or (EBIT−Taxation) / (Total Equity + Net Debt)"</w:t>
            </w:r>
          </w:p>
        </w:tc>
        <w:tc>
          <w:tcPr>
            <w:tcW w:w="512" w:type="pct"/>
            <w:tcBorders>
              <w:top w:val="nil"/>
              <w:left w:val="nil"/>
              <w:bottom w:val="single" w:sz="4" w:space="0" w:color="auto"/>
              <w:right w:val="single" w:sz="4" w:space="0" w:color="auto"/>
            </w:tcBorders>
            <w:shd w:val="clear" w:color="000000" w:fill="FFFFFF"/>
            <w:noWrap/>
            <w:vAlign w:val="bottom"/>
            <w:hideMark/>
          </w:tcPr>
          <w:p w14:paraId="336A338C"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12,394.00 </w:t>
            </w:r>
          </w:p>
        </w:tc>
        <w:tc>
          <w:tcPr>
            <w:tcW w:w="490" w:type="pct"/>
            <w:tcBorders>
              <w:top w:val="nil"/>
              <w:left w:val="nil"/>
              <w:bottom w:val="single" w:sz="4" w:space="0" w:color="auto"/>
              <w:right w:val="single" w:sz="4" w:space="0" w:color="auto"/>
            </w:tcBorders>
            <w:shd w:val="clear" w:color="000000" w:fill="FFFFFF"/>
            <w:noWrap/>
            <w:vAlign w:val="bottom"/>
            <w:hideMark/>
          </w:tcPr>
          <w:p w14:paraId="0C4850C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17,861.00 </w:t>
            </w:r>
          </w:p>
        </w:tc>
        <w:tc>
          <w:tcPr>
            <w:tcW w:w="490" w:type="pct"/>
            <w:tcBorders>
              <w:top w:val="nil"/>
              <w:left w:val="nil"/>
              <w:bottom w:val="single" w:sz="4" w:space="0" w:color="auto"/>
              <w:right w:val="single" w:sz="4" w:space="0" w:color="auto"/>
            </w:tcBorders>
            <w:shd w:val="clear" w:color="000000" w:fill="FFFFFF"/>
            <w:noWrap/>
            <w:vAlign w:val="bottom"/>
            <w:hideMark/>
          </w:tcPr>
          <w:p w14:paraId="4D4F069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15,836.00 </w:t>
            </w:r>
          </w:p>
        </w:tc>
        <w:tc>
          <w:tcPr>
            <w:tcW w:w="490" w:type="pct"/>
            <w:tcBorders>
              <w:top w:val="nil"/>
              <w:left w:val="nil"/>
              <w:bottom w:val="single" w:sz="4" w:space="0" w:color="auto"/>
              <w:right w:val="single" w:sz="4" w:space="0" w:color="auto"/>
            </w:tcBorders>
            <w:shd w:val="clear" w:color="000000" w:fill="FFFFFF"/>
            <w:noWrap/>
            <w:vAlign w:val="bottom"/>
            <w:hideMark/>
          </w:tcPr>
          <w:p w14:paraId="6BBC4F6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15,428.00 </w:t>
            </w:r>
          </w:p>
        </w:tc>
        <w:tc>
          <w:tcPr>
            <w:tcW w:w="490" w:type="pct"/>
            <w:tcBorders>
              <w:top w:val="nil"/>
              <w:left w:val="nil"/>
              <w:bottom w:val="single" w:sz="4" w:space="0" w:color="auto"/>
              <w:right w:val="single" w:sz="4" w:space="0" w:color="auto"/>
            </w:tcBorders>
            <w:shd w:val="clear" w:color="000000" w:fill="FFFFFF"/>
            <w:noWrap/>
            <w:vAlign w:val="bottom"/>
            <w:hideMark/>
          </w:tcPr>
          <w:p w14:paraId="323E207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8,824.00 </w:t>
            </w:r>
          </w:p>
        </w:tc>
        <w:tc>
          <w:tcPr>
            <w:tcW w:w="60" w:type="pct"/>
            <w:vAlign w:val="center"/>
            <w:hideMark/>
          </w:tcPr>
          <w:p w14:paraId="14715D1D" w14:textId="77777777" w:rsidR="00BC24D3" w:rsidRPr="00BC24D3" w:rsidRDefault="00BC24D3" w:rsidP="00BC24D3">
            <w:pPr>
              <w:spacing w:before="0" w:after="0" w:line="240" w:lineRule="auto"/>
              <w:jc w:val="left"/>
              <w:rPr>
                <w:sz w:val="20"/>
                <w:szCs w:val="20"/>
                <w:lang w:val="en-IN"/>
              </w:rPr>
            </w:pPr>
          </w:p>
        </w:tc>
      </w:tr>
      <w:tr w:rsidR="00BC24D3" w:rsidRPr="00BC24D3" w14:paraId="5859F3A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C1BA9F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(/):"Total Equity"</w:t>
            </w:r>
          </w:p>
        </w:tc>
        <w:tc>
          <w:tcPr>
            <w:tcW w:w="1173" w:type="pct"/>
            <w:vMerge/>
            <w:tcBorders>
              <w:top w:val="nil"/>
              <w:left w:val="single" w:sz="4" w:space="0" w:color="auto"/>
              <w:bottom w:val="single" w:sz="4" w:space="0" w:color="auto"/>
              <w:right w:val="single" w:sz="4" w:space="0" w:color="auto"/>
            </w:tcBorders>
            <w:vAlign w:val="center"/>
            <w:hideMark/>
          </w:tcPr>
          <w:p w14:paraId="6C53F1B8"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B6D184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1,96,731.00 </w:t>
            </w:r>
          </w:p>
        </w:tc>
        <w:tc>
          <w:tcPr>
            <w:tcW w:w="490" w:type="pct"/>
            <w:tcBorders>
              <w:top w:val="nil"/>
              <w:left w:val="nil"/>
              <w:bottom w:val="single" w:sz="4" w:space="0" w:color="auto"/>
              <w:right w:val="single" w:sz="4" w:space="0" w:color="auto"/>
            </w:tcBorders>
            <w:shd w:val="clear" w:color="000000" w:fill="FFFFFF"/>
            <w:noWrap/>
            <w:vAlign w:val="bottom"/>
            <w:hideMark/>
          </w:tcPr>
          <w:p w14:paraId="53484B8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€ 1,89,186.00 </w:t>
            </w:r>
          </w:p>
        </w:tc>
        <w:tc>
          <w:tcPr>
            <w:tcW w:w="490" w:type="pct"/>
            <w:tcBorders>
              <w:top w:val="nil"/>
              <w:left w:val="nil"/>
              <w:bottom w:val="single" w:sz="4" w:space="0" w:color="auto"/>
              <w:right w:val="single" w:sz="4" w:space="0" w:color="auto"/>
            </w:tcBorders>
            <w:shd w:val="clear" w:color="000000" w:fill="FFFFFF"/>
            <w:noWrap/>
            <w:vAlign w:val="bottom"/>
            <w:hideMark/>
          </w:tcPr>
          <w:p w14:paraId="17876D9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€ 1,78,327.00 </w:t>
            </w:r>
          </w:p>
        </w:tc>
        <w:tc>
          <w:tcPr>
            <w:tcW w:w="490" w:type="pct"/>
            <w:tcBorders>
              <w:top w:val="nil"/>
              <w:left w:val="nil"/>
              <w:bottom w:val="single" w:sz="4" w:space="0" w:color="auto"/>
              <w:right w:val="single" w:sz="4" w:space="0" w:color="auto"/>
            </w:tcBorders>
            <w:shd w:val="clear" w:color="000000" w:fill="FFFFFF"/>
            <w:noWrap/>
            <w:vAlign w:val="bottom"/>
            <w:hideMark/>
          </w:tcPr>
          <w:p w14:paraId="4184F08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€ 1,46,154.00 </w:t>
            </w:r>
          </w:p>
        </w:tc>
        <w:tc>
          <w:tcPr>
            <w:tcW w:w="490" w:type="pct"/>
            <w:tcBorders>
              <w:top w:val="nil"/>
              <w:left w:val="nil"/>
              <w:bottom w:val="single" w:sz="4" w:space="0" w:color="auto"/>
              <w:right w:val="single" w:sz="4" w:space="0" w:color="auto"/>
            </w:tcBorders>
            <w:shd w:val="clear" w:color="000000" w:fill="FFFFFF"/>
            <w:noWrap/>
            <w:vAlign w:val="bottom"/>
            <w:hideMark/>
          </w:tcPr>
          <w:p w14:paraId="240B883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€ 1,28,783.00 </w:t>
            </w:r>
          </w:p>
        </w:tc>
        <w:tc>
          <w:tcPr>
            <w:tcW w:w="60" w:type="pct"/>
            <w:vAlign w:val="center"/>
            <w:hideMark/>
          </w:tcPr>
          <w:p w14:paraId="6975696A" w14:textId="77777777" w:rsidR="00BC24D3" w:rsidRPr="00BC24D3" w:rsidRDefault="00BC24D3" w:rsidP="00BC24D3">
            <w:pPr>
              <w:spacing w:before="0" w:after="0" w:line="240" w:lineRule="auto"/>
              <w:jc w:val="left"/>
              <w:rPr>
                <w:sz w:val="20"/>
                <w:szCs w:val="20"/>
                <w:lang w:val="en-IN"/>
              </w:rPr>
            </w:pPr>
          </w:p>
        </w:tc>
      </w:tr>
      <w:tr w:rsidR="00BC24D3" w:rsidRPr="00BC24D3" w14:paraId="54BF236E"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DE4457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"Net Debt (Total Debt – Cash)"</w:t>
            </w:r>
          </w:p>
        </w:tc>
        <w:tc>
          <w:tcPr>
            <w:tcW w:w="1173" w:type="pct"/>
            <w:vMerge/>
            <w:tcBorders>
              <w:top w:val="nil"/>
              <w:left w:val="single" w:sz="4" w:space="0" w:color="auto"/>
              <w:bottom w:val="single" w:sz="4" w:space="0" w:color="auto"/>
              <w:right w:val="single" w:sz="4" w:space="0" w:color="auto"/>
            </w:tcBorders>
            <w:vAlign w:val="center"/>
            <w:hideMark/>
          </w:tcPr>
          <w:p w14:paraId="09491E14"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5139BD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3,95,877.00 </w:t>
            </w:r>
          </w:p>
        </w:tc>
        <w:tc>
          <w:tcPr>
            <w:tcW w:w="490" w:type="pct"/>
            <w:tcBorders>
              <w:top w:val="nil"/>
              <w:left w:val="nil"/>
              <w:bottom w:val="single" w:sz="4" w:space="0" w:color="auto"/>
              <w:right w:val="single" w:sz="4" w:space="0" w:color="auto"/>
            </w:tcBorders>
            <w:shd w:val="clear" w:color="000000" w:fill="FFFFFF"/>
            <w:noWrap/>
            <w:vAlign w:val="bottom"/>
            <w:hideMark/>
          </w:tcPr>
          <w:p w14:paraId="6C4D5D6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€ 3,68,014.00 </w:t>
            </w:r>
          </w:p>
        </w:tc>
        <w:tc>
          <w:tcPr>
            <w:tcW w:w="490" w:type="pct"/>
            <w:tcBorders>
              <w:top w:val="nil"/>
              <w:left w:val="nil"/>
              <w:bottom w:val="single" w:sz="4" w:space="0" w:color="auto"/>
              <w:right w:val="single" w:sz="4" w:space="0" w:color="auto"/>
            </w:tcBorders>
            <w:shd w:val="clear" w:color="000000" w:fill="FFFFFF"/>
            <w:noWrap/>
            <w:vAlign w:val="bottom"/>
            <w:hideMark/>
          </w:tcPr>
          <w:p w14:paraId="6F04B59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€ 3,57,273.00 </w:t>
            </w:r>
          </w:p>
        </w:tc>
        <w:tc>
          <w:tcPr>
            <w:tcW w:w="490" w:type="pct"/>
            <w:tcBorders>
              <w:top w:val="nil"/>
              <w:left w:val="nil"/>
              <w:bottom w:val="single" w:sz="4" w:space="0" w:color="auto"/>
              <w:right w:val="single" w:sz="4" w:space="0" w:color="auto"/>
            </w:tcBorders>
            <w:shd w:val="clear" w:color="000000" w:fill="FFFFFF"/>
            <w:noWrap/>
            <w:vAlign w:val="bottom"/>
            <w:hideMark/>
          </w:tcPr>
          <w:p w14:paraId="22B67FC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€ 3,42,732.00 </w:t>
            </w:r>
          </w:p>
        </w:tc>
        <w:tc>
          <w:tcPr>
            <w:tcW w:w="490" w:type="pct"/>
            <w:tcBorders>
              <w:top w:val="nil"/>
              <w:left w:val="nil"/>
              <w:bottom w:val="single" w:sz="4" w:space="0" w:color="auto"/>
              <w:right w:val="single" w:sz="4" w:space="0" w:color="auto"/>
            </w:tcBorders>
            <w:shd w:val="clear" w:color="000000" w:fill="FFFFFF"/>
            <w:noWrap/>
            <w:vAlign w:val="bottom"/>
            <w:hideMark/>
          </w:tcPr>
          <w:p w14:paraId="4E50B1C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€ 3,34,422.00 </w:t>
            </w:r>
          </w:p>
        </w:tc>
        <w:tc>
          <w:tcPr>
            <w:tcW w:w="60" w:type="pct"/>
            <w:vAlign w:val="center"/>
            <w:hideMark/>
          </w:tcPr>
          <w:p w14:paraId="08C04FB9" w14:textId="77777777" w:rsidR="00BC24D3" w:rsidRPr="00BC24D3" w:rsidRDefault="00BC24D3" w:rsidP="00BC24D3">
            <w:pPr>
              <w:spacing w:before="0" w:after="0" w:line="240" w:lineRule="auto"/>
              <w:jc w:val="left"/>
              <w:rPr>
                <w:sz w:val="20"/>
                <w:szCs w:val="20"/>
                <w:lang w:val="en-IN"/>
              </w:rPr>
            </w:pPr>
          </w:p>
        </w:tc>
      </w:tr>
      <w:tr w:rsidR="00BC24D3" w:rsidRPr="00BC24D3" w14:paraId="21F3A4E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3BF07C8"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"Return on Invested Capital (ROIC)"</w:t>
            </w:r>
          </w:p>
        </w:tc>
        <w:tc>
          <w:tcPr>
            <w:tcW w:w="1173" w:type="pct"/>
            <w:vMerge/>
            <w:tcBorders>
              <w:top w:val="nil"/>
              <w:left w:val="single" w:sz="4" w:space="0" w:color="auto"/>
              <w:bottom w:val="single" w:sz="4" w:space="0" w:color="auto"/>
              <w:right w:val="single" w:sz="4" w:space="0" w:color="auto"/>
            </w:tcBorders>
            <w:vAlign w:val="center"/>
            <w:hideMark/>
          </w:tcPr>
          <w:p w14:paraId="129A4ED0"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44CE3C2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0.02</w:t>
            </w:r>
          </w:p>
        </w:tc>
        <w:tc>
          <w:tcPr>
            <w:tcW w:w="490" w:type="pct"/>
            <w:tcBorders>
              <w:top w:val="nil"/>
              <w:left w:val="nil"/>
              <w:bottom w:val="single" w:sz="4" w:space="0" w:color="auto"/>
              <w:right w:val="single" w:sz="4" w:space="0" w:color="auto"/>
            </w:tcBorders>
            <w:shd w:val="clear" w:color="000000" w:fill="FFFFFF"/>
            <w:noWrap/>
            <w:vAlign w:val="bottom"/>
            <w:hideMark/>
          </w:tcPr>
          <w:p w14:paraId="36E6A605"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0.03</w:t>
            </w:r>
          </w:p>
        </w:tc>
        <w:tc>
          <w:tcPr>
            <w:tcW w:w="490" w:type="pct"/>
            <w:tcBorders>
              <w:top w:val="nil"/>
              <w:left w:val="nil"/>
              <w:bottom w:val="single" w:sz="4" w:space="0" w:color="auto"/>
              <w:right w:val="single" w:sz="4" w:space="0" w:color="auto"/>
            </w:tcBorders>
            <w:shd w:val="clear" w:color="000000" w:fill="FFFFFF"/>
            <w:noWrap/>
            <w:vAlign w:val="bottom"/>
            <w:hideMark/>
          </w:tcPr>
          <w:p w14:paraId="497BDF57"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0.03</w:t>
            </w:r>
          </w:p>
        </w:tc>
        <w:tc>
          <w:tcPr>
            <w:tcW w:w="490" w:type="pct"/>
            <w:tcBorders>
              <w:top w:val="nil"/>
              <w:left w:val="nil"/>
              <w:bottom w:val="single" w:sz="4" w:space="0" w:color="auto"/>
              <w:right w:val="single" w:sz="4" w:space="0" w:color="auto"/>
            </w:tcBorders>
            <w:shd w:val="clear" w:color="000000" w:fill="FFFFFF"/>
            <w:noWrap/>
            <w:vAlign w:val="bottom"/>
            <w:hideMark/>
          </w:tcPr>
          <w:p w14:paraId="3033D80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0.03</w:t>
            </w:r>
          </w:p>
        </w:tc>
        <w:tc>
          <w:tcPr>
            <w:tcW w:w="490" w:type="pct"/>
            <w:tcBorders>
              <w:top w:val="nil"/>
              <w:left w:val="nil"/>
              <w:bottom w:val="single" w:sz="4" w:space="0" w:color="auto"/>
              <w:right w:val="single" w:sz="4" w:space="0" w:color="auto"/>
            </w:tcBorders>
            <w:shd w:val="clear" w:color="000000" w:fill="FFFFFF"/>
            <w:noWrap/>
            <w:vAlign w:val="bottom"/>
            <w:hideMark/>
          </w:tcPr>
          <w:p w14:paraId="4FF48DEA"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0.02</w:t>
            </w:r>
          </w:p>
        </w:tc>
        <w:tc>
          <w:tcPr>
            <w:tcW w:w="60" w:type="pct"/>
            <w:vAlign w:val="center"/>
            <w:hideMark/>
          </w:tcPr>
          <w:p w14:paraId="73F53B5F" w14:textId="77777777" w:rsidR="00BC24D3" w:rsidRPr="00BC24D3" w:rsidRDefault="00BC24D3" w:rsidP="00BC24D3">
            <w:pPr>
              <w:spacing w:before="0" w:after="0" w:line="240" w:lineRule="auto"/>
              <w:jc w:val="left"/>
              <w:rPr>
                <w:sz w:val="20"/>
                <w:szCs w:val="20"/>
                <w:lang w:val="en-IN"/>
              </w:rPr>
            </w:pPr>
          </w:p>
        </w:tc>
      </w:tr>
      <w:tr w:rsidR="00BC24D3" w:rsidRPr="00BC24D3" w14:paraId="4DCB0BB9" w14:textId="77777777" w:rsidTr="00BC24D3">
        <w:trPr>
          <w:trHeight w:val="312"/>
          <w:jc w:val="center"/>
        </w:trPr>
        <w:tc>
          <w:tcPr>
            <w:tcW w:w="4940" w:type="pct"/>
            <w:gridSpan w:val="7"/>
            <w:vMerge w:val="restart"/>
            <w:tcBorders>
              <w:top w:val="single" w:sz="4" w:space="0" w:color="auto"/>
              <w:left w:val="single" w:sz="4" w:space="0" w:color="auto"/>
              <w:bottom w:val="single" w:sz="4" w:space="0" w:color="auto"/>
              <w:right w:val="single" w:sz="4" w:space="0" w:color="auto"/>
            </w:tcBorders>
            <w:shd w:val="clear" w:color="000000" w:fill="FF9999"/>
            <w:noWrap/>
            <w:vAlign w:val="center"/>
            <w:hideMark/>
          </w:tcPr>
          <w:p w14:paraId="1B09C8E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"Cash Flow Ratios"</w:t>
            </w:r>
          </w:p>
        </w:tc>
        <w:tc>
          <w:tcPr>
            <w:tcW w:w="60" w:type="pct"/>
            <w:vAlign w:val="center"/>
            <w:hideMark/>
          </w:tcPr>
          <w:p w14:paraId="616DD681" w14:textId="77777777" w:rsidR="00BC24D3" w:rsidRPr="00BC24D3" w:rsidRDefault="00BC24D3" w:rsidP="00BC24D3">
            <w:pPr>
              <w:spacing w:before="0" w:after="0" w:line="240" w:lineRule="auto"/>
              <w:jc w:val="left"/>
              <w:rPr>
                <w:sz w:val="20"/>
                <w:szCs w:val="20"/>
                <w:lang w:val="en-IN"/>
              </w:rPr>
            </w:pPr>
          </w:p>
        </w:tc>
      </w:tr>
      <w:tr w:rsidR="00BC24D3" w:rsidRPr="00BC24D3" w14:paraId="41D62F10" w14:textId="77777777" w:rsidTr="00BC24D3">
        <w:trPr>
          <w:trHeight w:val="312"/>
          <w:jc w:val="center"/>
        </w:trPr>
        <w:tc>
          <w:tcPr>
            <w:tcW w:w="4940" w:type="pct"/>
            <w:gridSpan w:val="7"/>
            <w:vMerge/>
            <w:tcBorders>
              <w:top w:val="single" w:sz="4" w:space="0" w:color="auto"/>
              <w:left w:val="single" w:sz="4" w:space="0" w:color="auto"/>
              <w:bottom w:val="single" w:sz="4" w:space="0" w:color="auto"/>
              <w:right w:val="single" w:sz="4" w:space="0" w:color="auto"/>
            </w:tcBorders>
            <w:vAlign w:val="center"/>
            <w:hideMark/>
          </w:tcPr>
          <w:p w14:paraId="018D9187" w14:textId="77777777" w:rsidR="00BC24D3" w:rsidRPr="00BC24D3" w:rsidRDefault="00BC24D3" w:rsidP="00BC24D3">
            <w:pPr>
              <w:spacing w:before="0" w:after="0" w:line="240" w:lineRule="auto"/>
              <w:jc w:val="left"/>
              <w:rPr>
                <w:rFonts w:ascii="Arial" w:hAnsi="Arial" w:cs="Arial"/>
                <w:b/>
                <w:bCs/>
                <w:color w:val="000000"/>
                <w:lang w:val="en-IN"/>
              </w:rPr>
            </w:pPr>
          </w:p>
        </w:tc>
        <w:tc>
          <w:tcPr>
            <w:tcW w:w="60" w:type="pct"/>
            <w:tcBorders>
              <w:top w:val="nil"/>
              <w:left w:val="nil"/>
              <w:bottom w:val="nil"/>
              <w:right w:val="nil"/>
            </w:tcBorders>
            <w:noWrap/>
            <w:vAlign w:val="bottom"/>
            <w:hideMark/>
          </w:tcPr>
          <w:p w14:paraId="2F1488F0" w14:textId="77777777" w:rsidR="00BC24D3" w:rsidRPr="00BC24D3" w:rsidRDefault="00BC24D3" w:rsidP="00BC24D3">
            <w:pPr>
              <w:spacing w:before="0" w:after="0" w:line="240" w:lineRule="auto"/>
              <w:jc w:val="center"/>
              <w:rPr>
                <w:rFonts w:ascii="Arial" w:hAnsi="Arial" w:cs="Arial"/>
                <w:b/>
                <w:bCs/>
                <w:color w:val="000000"/>
                <w:lang w:val="en-IN"/>
              </w:rPr>
            </w:pPr>
          </w:p>
        </w:tc>
      </w:tr>
      <w:tr w:rsidR="00BC24D3" w:rsidRPr="00BC24D3" w14:paraId="394313EC"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0D84FE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Cash Flow Ratio"</w:t>
            </w:r>
          </w:p>
        </w:tc>
        <w:tc>
          <w:tcPr>
            <w:tcW w:w="60" w:type="pct"/>
            <w:vAlign w:val="center"/>
            <w:hideMark/>
          </w:tcPr>
          <w:p w14:paraId="157EB71A" w14:textId="77777777" w:rsidR="00BC24D3" w:rsidRPr="00BC24D3" w:rsidRDefault="00BC24D3" w:rsidP="00BC24D3">
            <w:pPr>
              <w:spacing w:before="0" w:after="0" w:line="240" w:lineRule="auto"/>
              <w:jc w:val="left"/>
              <w:rPr>
                <w:sz w:val="20"/>
                <w:szCs w:val="20"/>
                <w:lang w:val="en-IN"/>
              </w:rPr>
            </w:pPr>
          </w:p>
        </w:tc>
      </w:tr>
      <w:tr w:rsidR="00BC24D3" w:rsidRPr="00BC24D3" w14:paraId="566FCF5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D60166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4A486D2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5790FF3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09B865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197EB67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2D2BBA7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019C6383"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67A23FA0" w14:textId="77777777" w:rsidR="00BC24D3" w:rsidRPr="00BC24D3" w:rsidRDefault="00BC24D3" w:rsidP="00BC24D3">
            <w:pPr>
              <w:spacing w:before="0" w:after="0" w:line="240" w:lineRule="auto"/>
              <w:jc w:val="left"/>
              <w:rPr>
                <w:sz w:val="20"/>
                <w:szCs w:val="20"/>
                <w:lang w:val="en-IN"/>
              </w:rPr>
            </w:pPr>
          </w:p>
        </w:tc>
      </w:tr>
      <w:tr w:rsidR="00BC24D3" w:rsidRPr="00BC24D3" w14:paraId="61BA40DB"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A7134D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"Operating Cash Flow"</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0404CA7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Cash Flow/Current Liabilities)"</w:t>
            </w:r>
          </w:p>
        </w:tc>
        <w:tc>
          <w:tcPr>
            <w:tcW w:w="512" w:type="pct"/>
            <w:tcBorders>
              <w:top w:val="nil"/>
              <w:left w:val="nil"/>
              <w:bottom w:val="single" w:sz="4" w:space="0" w:color="auto"/>
              <w:right w:val="single" w:sz="4" w:space="0" w:color="auto"/>
            </w:tcBorders>
            <w:shd w:val="clear" w:color="000000" w:fill="FFFFFF"/>
            <w:noWrap/>
            <w:vAlign w:val="bottom"/>
            <w:hideMark/>
          </w:tcPr>
          <w:p w14:paraId="46D8E19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17,151.00 </w:t>
            </w:r>
          </w:p>
        </w:tc>
        <w:tc>
          <w:tcPr>
            <w:tcW w:w="490" w:type="pct"/>
            <w:tcBorders>
              <w:top w:val="nil"/>
              <w:left w:val="nil"/>
              <w:bottom w:val="single" w:sz="4" w:space="0" w:color="auto"/>
              <w:right w:val="single" w:sz="4" w:space="0" w:color="auto"/>
            </w:tcBorders>
            <w:shd w:val="clear" w:color="000000" w:fill="FFFFFF"/>
            <w:noWrap/>
            <w:vAlign w:val="bottom"/>
            <w:hideMark/>
          </w:tcPr>
          <w:p w14:paraId="0953694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19,356.00 </w:t>
            </w:r>
          </w:p>
        </w:tc>
        <w:tc>
          <w:tcPr>
            <w:tcW w:w="490" w:type="pct"/>
            <w:tcBorders>
              <w:top w:val="nil"/>
              <w:left w:val="nil"/>
              <w:bottom w:val="single" w:sz="4" w:space="0" w:color="auto"/>
              <w:right w:val="single" w:sz="4" w:space="0" w:color="auto"/>
            </w:tcBorders>
            <w:shd w:val="clear" w:color="000000" w:fill="FFFFFF"/>
            <w:noWrap/>
            <w:vAlign w:val="bottom"/>
            <w:hideMark/>
          </w:tcPr>
          <w:p w14:paraId="5FFB63B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28,496.00 </w:t>
            </w:r>
          </w:p>
        </w:tc>
        <w:tc>
          <w:tcPr>
            <w:tcW w:w="490" w:type="pct"/>
            <w:tcBorders>
              <w:top w:val="nil"/>
              <w:left w:val="nil"/>
              <w:bottom w:val="single" w:sz="4" w:space="0" w:color="auto"/>
              <w:right w:val="single" w:sz="4" w:space="0" w:color="auto"/>
            </w:tcBorders>
            <w:shd w:val="clear" w:color="000000" w:fill="FFFFFF"/>
            <w:noWrap/>
            <w:vAlign w:val="bottom"/>
            <w:hideMark/>
          </w:tcPr>
          <w:p w14:paraId="4A2D854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38,633.00 </w:t>
            </w:r>
          </w:p>
        </w:tc>
        <w:tc>
          <w:tcPr>
            <w:tcW w:w="490" w:type="pct"/>
            <w:tcBorders>
              <w:top w:val="nil"/>
              <w:left w:val="nil"/>
              <w:bottom w:val="single" w:sz="4" w:space="0" w:color="auto"/>
              <w:right w:val="single" w:sz="4" w:space="0" w:color="auto"/>
            </w:tcBorders>
            <w:shd w:val="clear" w:color="000000" w:fill="FFFFFF"/>
            <w:noWrap/>
            <w:vAlign w:val="bottom"/>
            <w:hideMark/>
          </w:tcPr>
          <w:p w14:paraId="4F5DC84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24,901.00 </w:t>
            </w:r>
          </w:p>
        </w:tc>
        <w:tc>
          <w:tcPr>
            <w:tcW w:w="60" w:type="pct"/>
            <w:vAlign w:val="center"/>
            <w:hideMark/>
          </w:tcPr>
          <w:p w14:paraId="5BDA534B" w14:textId="77777777" w:rsidR="00BC24D3" w:rsidRPr="00BC24D3" w:rsidRDefault="00BC24D3" w:rsidP="00BC24D3">
            <w:pPr>
              <w:spacing w:before="0" w:after="0" w:line="240" w:lineRule="auto"/>
              <w:jc w:val="left"/>
              <w:rPr>
                <w:sz w:val="20"/>
                <w:szCs w:val="20"/>
                <w:lang w:val="en-IN"/>
              </w:rPr>
            </w:pPr>
          </w:p>
        </w:tc>
      </w:tr>
      <w:tr w:rsidR="00BC24D3" w:rsidRPr="00BC24D3" w14:paraId="4B22430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156FEE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Current Liabilities"</w:t>
            </w:r>
          </w:p>
        </w:tc>
        <w:tc>
          <w:tcPr>
            <w:tcW w:w="1173" w:type="pct"/>
            <w:vMerge/>
            <w:tcBorders>
              <w:top w:val="nil"/>
              <w:left w:val="single" w:sz="4" w:space="0" w:color="auto"/>
              <w:bottom w:val="single" w:sz="4" w:space="0" w:color="auto"/>
              <w:right w:val="single" w:sz="4" w:space="0" w:color="auto"/>
            </w:tcBorders>
            <w:vAlign w:val="center"/>
            <w:hideMark/>
          </w:tcPr>
          <w:p w14:paraId="417CD81A"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D7B398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2,17,039.00 </w:t>
            </w:r>
          </w:p>
        </w:tc>
        <w:tc>
          <w:tcPr>
            <w:tcW w:w="490" w:type="pct"/>
            <w:tcBorders>
              <w:top w:val="nil"/>
              <w:left w:val="nil"/>
              <w:bottom w:val="single" w:sz="4" w:space="0" w:color="auto"/>
              <w:right w:val="single" w:sz="4" w:space="0" w:color="auto"/>
            </w:tcBorders>
            <w:shd w:val="clear" w:color="000000" w:fill="FFFFFF"/>
            <w:noWrap/>
            <w:vAlign w:val="bottom"/>
            <w:hideMark/>
          </w:tcPr>
          <w:p w14:paraId="2B5AF95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€ 2,06,036.00 </w:t>
            </w:r>
          </w:p>
        </w:tc>
        <w:tc>
          <w:tcPr>
            <w:tcW w:w="490" w:type="pct"/>
            <w:tcBorders>
              <w:top w:val="nil"/>
              <w:left w:val="nil"/>
              <w:bottom w:val="single" w:sz="4" w:space="0" w:color="auto"/>
              <w:right w:val="single" w:sz="4" w:space="0" w:color="auto"/>
            </w:tcBorders>
            <w:shd w:val="clear" w:color="000000" w:fill="FFFFFF"/>
            <w:noWrap/>
            <w:vAlign w:val="bottom"/>
            <w:hideMark/>
          </w:tcPr>
          <w:p w14:paraId="5C1B42E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€ 1,82,992.00 </w:t>
            </w:r>
          </w:p>
        </w:tc>
        <w:tc>
          <w:tcPr>
            <w:tcW w:w="490" w:type="pct"/>
            <w:tcBorders>
              <w:top w:val="nil"/>
              <w:left w:val="nil"/>
              <w:bottom w:val="single" w:sz="4" w:space="0" w:color="auto"/>
              <w:right w:val="single" w:sz="4" w:space="0" w:color="auto"/>
            </w:tcBorders>
            <w:shd w:val="clear" w:color="000000" w:fill="FFFFFF"/>
            <w:noWrap/>
            <w:vAlign w:val="bottom"/>
            <w:hideMark/>
          </w:tcPr>
          <w:p w14:paraId="1CE2BE1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€ 1,64,393.00 </w:t>
            </w:r>
          </w:p>
        </w:tc>
        <w:tc>
          <w:tcPr>
            <w:tcW w:w="490" w:type="pct"/>
            <w:tcBorders>
              <w:top w:val="nil"/>
              <w:left w:val="nil"/>
              <w:bottom w:val="single" w:sz="4" w:space="0" w:color="auto"/>
              <w:right w:val="single" w:sz="4" w:space="0" w:color="auto"/>
            </w:tcBorders>
            <w:shd w:val="clear" w:color="000000" w:fill="FFFFFF"/>
            <w:noWrap/>
            <w:vAlign w:val="bottom"/>
            <w:hideMark/>
          </w:tcPr>
          <w:p w14:paraId="41A40D5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€ 1,65,410.00 </w:t>
            </w:r>
          </w:p>
        </w:tc>
        <w:tc>
          <w:tcPr>
            <w:tcW w:w="60" w:type="pct"/>
            <w:vAlign w:val="center"/>
            <w:hideMark/>
          </w:tcPr>
          <w:p w14:paraId="4DA196C8" w14:textId="77777777" w:rsidR="00BC24D3" w:rsidRPr="00BC24D3" w:rsidRDefault="00BC24D3" w:rsidP="00BC24D3">
            <w:pPr>
              <w:spacing w:before="0" w:after="0" w:line="240" w:lineRule="auto"/>
              <w:jc w:val="left"/>
              <w:rPr>
                <w:sz w:val="20"/>
                <w:szCs w:val="20"/>
                <w:lang w:val="en-IN"/>
              </w:rPr>
            </w:pPr>
          </w:p>
        </w:tc>
      </w:tr>
      <w:tr w:rsidR="00BC24D3" w:rsidRPr="00BC24D3" w14:paraId="1DE90545"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C718115"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"Operating Cash Flow Ratio"</w:t>
            </w:r>
          </w:p>
        </w:tc>
        <w:tc>
          <w:tcPr>
            <w:tcW w:w="1173" w:type="pct"/>
            <w:vMerge/>
            <w:tcBorders>
              <w:top w:val="nil"/>
              <w:left w:val="single" w:sz="4" w:space="0" w:color="auto"/>
              <w:bottom w:val="single" w:sz="4" w:space="0" w:color="auto"/>
              <w:right w:val="single" w:sz="4" w:space="0" w:color="auto"/>
            </w:tcBorders>
            <w:vAlign w:val="center"/>
            <w:hideMark/>
          </w:tcPr>
          <w:p w14:paraId="29720F45"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17C0A1A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0.08</w:t>
            </w:r>
          </w:p>
        </w:tc>
        <w:tc>
          <w:tcPr>
            <w:tcW w:w="490" w:type="pct"/>
            <w:tcBorders>
              <w:top w:val="nil"/>
              <w:left w:val="nil"/>
              <w:bottom w:val="single" w:sz="4" w:space="0" w:color="auto"/>
              <w:right w:val="single" w:sz="4" w:space="0" w:color="auto"/>
            </w:tcBorders>
            <w:shd w:val="clear" w:color="000000" w:fill="FFFFFF"/>
            <w:noWrap/>
            <w:vAlign w:val="bottom"/>
            <w:hideMark/>
          </w:tcPr>
          <w:p w14:paraId="540690D5"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0.09</w:t>
            </w:r>
          </w:p>
        </w:tc>
        <w:tc>
          <w:tcPr>
            <w:tcW w:w="490" w:type="pct"/>
            <w:tcBorders>
              <w:top w:val="nil"/>
              <w:left w:val="nil"/>
              <w:bottom w:val="single" w:sz="4" w:space="0" w:color="auto"/>
              <w:right w:val="single" w:sz="4" w:space="0" w:color="auto"/>
            </w:tcBorders>
            <w:shd w:val="clear" w:color="000000" w:fill="FFFFFF"/>
            <w:noWrap/>
            <w:vAlign w:val="bottom"/>
            <w:hideMark/>
          </w:tcPr>
          <w:p w14:paraId="1AEF1D50"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0.16</w:t>
            </w:r>
          </w:p>
        </w:tc>
        <w:tc>
          <w:tcPr>
            <w:tcW w:w="490" w:type="pct"/>
            <w:tcBorders>
              <w:top w:val="nil"/>
              <w:left w:val="nil"/>
              <w:bottom w:val="single" w:sz="4" w:space="0" w:color="auto"/>
              <w:right w:val="single" w:sz="4" w:space="0" w:color="auto"/>
            </w:tcBorders>
            <w:shd w:val="clear" w:color="000000" w:fill="FFFFFF"/>
            <w:noWrap/>
            <w:vAlign w:val="bottom"/>
            <w:hideMark/>
          </w:tcPr>
          <w:p w14:paraId="6244490C"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0.24</w:t>
            </w:r>
          </w:p>
        </w:tc>
        <w:tc>
          <w:tcPr>
            <w:tcW w:w="490" w:type="pct"/>
            <w:tcBorders>
              <w:top w:val="nil"/>
              <w:left w:val="nil"/>
              <w:bottom w:val="single" w:sz="4" w:space="0" w:color="auto"/>
              <w:right w:val="single" w:sz="4" w:space="0" w:color="auto"/>
            </w:tcBorders>
            <w:shd w:val="clear" w:color="000000" w:fill="FFFFFF"/>
            <w:noWrap/>
            <w:vAlign w:val="bottom"/>
            <w:hideMark/>
          </w:tcPr>
          <w:p w14:paraId="70B33A0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0.15</w:t>
            </w:r>
          </w:p>
        </w:tc>
        <w:tc>
          <w:tcPr>
            <w:tcW w:w="60" w:type="pct"/>
            <w:vAlign w:val="center"/>
            <w:hideMark/>
          </w:tcPr>
          <w:p w14:paraId="26C63B98" w14:textId="77777777" w:rsidR="00BC24D3" w:rsidRPr="00BC24D3" w:rsidRDefault="00BC24D3" w:rsidP="00BC24D3">
            <w:pPr>
              <w:spacing w:before="0" w:after="0" w:line="240" w:lineRule="auto"/>
              <w:jc w:val="left"/>
              <w:rPr>
                <w:sz w:val="20"/>
                <w:szCs w:val="20"/>
                <w:lang w:val="en-IN"/>
              </w:rPr>
            </w:pPr>
          </w:p>
        </w:tc>
      </w:tr>
      <w:tr w:rsidR="00BC24D3" w:rsidRPr="00BC24D3" w14:paraId="15B626B3"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F7BF3BF"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2142AB66" w14:textId="77777777" w:rsidR="00BC24D3" w:rsidRPr="00BC24D3" w:rsidRDefault="00BC24D3" w:rsidP="00BC24D3">
            <w:pPr>
              <w:spacing w:before="0" w:after="0" w:line="240" w:lineRule="auto"/>
              <w:jc w:val="left"/>
              <w:rPr>
                <w:sz w:val="20"/>
                <w:szCs w:val="20"/>
                <w:lang w:val="en-IN"/>
              </w:rPr>
            </w:pPr>
          </w:p>
        </w:tc>
      </w:tr>
      <w:tr w:rsidR="00BC24D3" w:rsidRPr="00BC24D3" w14:paraId="04C0B379"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7F74ED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"Cash Flow to Debt Ratio"</w:t>
            </w:r>
          </w:p>
        </w:tc>
        <w:tc>
          <w:tcPr>
            <w:tcW w:w="60" w:type="pct"/>
            <w:vAlign w:val="center"/>
            <w:hideMark/>
          </w:tcPr>
          <w:p w14:paraId="3597345D" w14:textId="77777777" w:rsidR="00BC24D3" w:rsidRPr="00BC24D3" w:rsidRDefault="00BC24D3" w:rsidP="00BC24D3">
            <w:pPr>
              <w:spacing w:before="0" w:after="0" w:line="240" w:lineRule="auto"/>
              <w:jc w:val="left"/>
              <w:rPr>
                <w:sz w:val="20"/>
                <w:szCs w:val="20"/>
                <w:lang w:val="en-IN"/>
              </w:rPr>
            </w:pPr>
          </w:p>
        </w:tc>
      </w:tr>
      <w:tr w:rsidR="00BC24D3" w:rsidRPr="00BC24D3" w14:paraId="1D37290A"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6FB1DAB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152042F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11B60F9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1081ECF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636CFEB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6774D91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08BA52E8"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6F0B3D2F" w14:textId="77777777" w:rsidR="00BC24D3" w:rsidRPr="00BC24D3" w:rsidRDefault="00BC24D3" w:rsidP="00BC24D3">
            <w:pPr>
              <w:spacing w:before="0" w:after="0" w:line="240" w:lineRule="auto"/>
              <w:jc w:val="left"/>
              <w:rPr>
                <w:sz w:val="20"/>
                <w:szCs w:val="20"/>
                <w:lang w:val="en-IN"/>
              </w:rPr>
            </w:pPr>
          </w:p>
        </w:tc>
      </w:tr>
      <w:tr w:rsidR="00BC24D3" w:rsidRPr="00BC24D3" w14:paraId="1F3EC892"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682E2CF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"Operating Cash Flow"</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4E7ED7E4"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Cash Flow/Total Debt)"</w:t>
            </w:r>
          </w:p>
        </w:tc>
        <w:tc>
          <w:tcPr>
            <w:tcW w:w="512" w:type="pct"/>
            <w:tcBorders>
              <w:top w:val="nil"/>
              <w:left w:val="nil"/>
              <w:bottom w:val="single" w:sz="4" w:space="0" w:color="auto"/>
              <w:right w:val="single" w:sz="4" w:space="0" w:color="auto"/>
            </w:tcBorders>
            <w:shd w:val="clear" w:color="000000" w:fill="FFFFFF"/>
            <w:noWrap/>
            <w:vAlign w:val="bottom"/>
            <w:hideMark/>
          </w:tcPr>
          <w:p w14:paraId="732D247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17,151.00 </w:t>
            </w:r>
          </w:p>
        </w:tc>
        <w:tc>
          <w:tcPr>
            <w:tcW w:w="490" w:type="pct"/>
            <w:tcBorders>
              <w:top w:val="nil"/>
              <w:left w:val="nil"/>
              <w:bottom w:val="single" w:sz="4" w:space="0" w:color="auto"/>
              <w:right w:val="single" w:sz="4" w:space="0" w:color="auto"/>
            </w:tcBorders>
            <w:shd w:val="clear" w:color="000000" w:fill="FFFFFF"/>
            <w:noWrap/>
            <w:vAlign w:val="bottom"/>
            <w:hideMark/>
          </w:tcPr>
          <w:p w14:paraId="25DCAC8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19,356.00 </w:t>
            </w:r>
          </w:p>
        </w:tc>
        <w:tc>
          <w:tcPr>
            <w:tcW w:w="490" w:type="pct"/>
            <w:tcBorders>
              <w:top w:val="nil"/>
              <w:left w:val="nil"/>
              <w:bottom w:val="single" w:sz="4" w:space="0" w:color="auto"/>
              <w:right w:val="single" w:sz="4" w:space="0" w:color="auto"/>
            </w:tcBorders>
            <w:shd w:val="clear" w:color="000000" w:fill="FFFFFF"/>
            <w:noWrap/>
            <w:vAlign w:val="bottom"/>
            <w:hideMark/>
          </w:tcPr>
          <w:p w14:paraId="1DD3224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28,496.00 </w:t>
            </w:r>
          </w:p>
        </w:tc>
        <w:tc>
          <w:tcPr>
            <w:tcW w:w="490" w:type="pct"/>
            <w:tcBorders>
              <w:top w:val="nil"/>
              <w:left w:val="nil"/>
              <w:bottom w:val="single" w:sz="4" w:space="0" w:color="auto"/>
              <w:right w:val="single" w:sz="4" w:space="0" w:color="auto"/>
            </w:tcBorders>
            <w:shd w:val="clear" w:color="000000" w:fill="FFFFFF"/>
            <w:noWrap/>
            <w:vAlign w:val="bottom"/>
            <w:hideMark/>
          </w:tcPr>
          <w:p w14:paraId="47D73EA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38,633.00 </w:t>
            </w:r>
          </w:p>
        </w:tc>
        <w:tc>
          <w:tcPr>
            <w:tcW w:w="490" w:type="pct"/>
            <w:tcBorders>
              <w:top w:val="nil"/>
              <w:left w:val="nil"/>
              <w:bottom w:val="single" w:sz="4" w:space="0" w:color="auto"/>
              <w:right w:val="single" w:sz="4" w:space="0" w:color="auto"/>
            </w:tcBorders>
            <w:shd w:val="clear" w:color="000000" w:fill="FFFFFF"/>
            <w:noWrap/>
            <w:vAlign w:val="bottom"/>
            <w:hideMark/>
          </w:tcPr>
          <w:p w14:paraId="278BA1B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24,901.00 </w:t>
            </w:r>
          </w:p>
        </w:tc>
        <w:tc>
          <w:tcPr>
            <w:tcW w:w="60" w:type="pct"/>
            <w:vAlign w:val="center"/>
            <w:hideMark/>
          </w:tcPr>
          <w:p w14:paraId="32C734BB" w14:textId="77777777" w:rsidR="00BC24D3" w:rsidRPr="00BC24D3" w:rsidRDefault="00BC24D3" w:rsidP="00BC24D3">
            <w:pPr>
              <w:spacing w:before="0" w:after="0" w:line="240" w:lineRule="auto"/>
              <w:jc w:val="left"/>
              <w:rPr>
                <w:sz w:val="20"/>
                <w:szCs w:val="20"/>
                <w:lang w:val="en-IN"/>
              </w:rPr>
            </w:pPr>
          </w:p>
        </w:tc>
      </w:tr>
      <w:tr w:rsidR="00BC24D3" w:rsidRPr="00BC24D3" w14:paraId="08E9821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6A14C5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Total Debt"</w:t>
            </w:r>
          </w:p>
        </w:tc>
        <w:tc>
          <w:tcPr>
            <w:tcW w:w="1173" w:type="pct"/>
            <w:vMerge/>
            <w:tcBorders>
              <w:top w:val="nil"/>
              <w:left w:val="single" w:sz="4" w:space="0" w:color="auto"/>
              <w:bottom w:val="single" w:sz="4" w:space="0" w:color="auto"/>
              <w:right w:val="single" w:sz="4" w:space="0" w:color="auto"/>
            </w:tcBorders>
            <w:vAlign w:val="center"/>
            <w:hideMark/>
          </w:tcPr>
          <w:p w14:paraId="34F9EA57"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729FCB7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4,36,173.00 </w:t>
            </w:r>
          </w:p>
        </w:tc>
        <w:tc>
          <w:tcPr>
            <w:tcW w:w="490" w:type="pct"/>
            <w:tcBorders>
              <w:top w:val="nil"/>
              <w:left w:val="nil"/>
              <w:bottom w:val="single" w:sz="4" w:space="0" w:color="auto"/>
              <w:right w:val="single" w:sz="4" w:space="0" w:color="auto"/>
            </w:tcBorders>
            <w:shd w:val="clear" w:color="000000" w:fill="FFFFFF"/>
            <w:noWrap/>
            <w:vAlign w:val="bottom"/>
            <w:hideMark/>
          </w:tcPr>
          <w:p w14:paraId="774CA4F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€ 4,11,463.00 </w:t>
            </w:r>
          </w:p>
        </w:tc>
        <w:tc>
          <w:tcPr>
            <w:tcW w:w="490" w:type="pct"/>
            <w:tcBorders>
              <w:top w:val="nil"/>
              <w:left w:val="nil"/>
              <w:bottom w:val="single" w:sz="4" w:space="0" w:color="auto"/>
              <w:right w:val="single" w:sz="4" w:space="0" w:color="auto"/>
            </w:tcBorders>
            <w:shd w:val="clear" w:color="000000" w:fill="FFFFFF"/>
            <w:noWrap/>
            <w:vAlign w:val="bottom"/>
            <w:hideMark/>
          </w:tcPr>
          <w:p w14:paraId="5261556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€ 3,86,445.00 </w:t>
            </w:r>
          </w:p>
        </w:tc>
        <w:tc>
          <w:tcPr>
            <w:tcW w:w="490" w:type="pct"/>
            <w:tcBorders>
              <w:top w:val="nil"/>
              <w:left w:val="nil"/>
              <w:bottom w:val="single" w:sz="4" w:space="0" w:color="auto"/>
              <w:right w:val="single" w:sz="4" w:space="0" w:color="auto"/>
            </w:tcBorders>
            <w:shd w:val="clear" w:color="000000" w:fill="FFFFFF"/>
            <w:noWrap/>
            <w:vAlign w:val="bottom"/>
            <w:hideMark/>
          </w:tcPr>
          <w:p w14:paraId="7B15F06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€ 3,82,455.00 </w:t>
            </w:r>
          </w:p>
        </w:tc>
        <w:tc>
          <w:tcPr>
            <w:tcW w:w="490" w:type="pct"/>
            <w:tcBorders>
              <w:top w:val="nil"/>
              <w:left w:val="nil"/>
              <w:bottom w:val="single" w:sz="4" w:space="0" w:color="auto"/>
              <w:right w:val="single" w:sz="4" w:space="0" w:color="auto"/>
            </w:tcBorders>
            <w:shd w:val="clear" w:color="000000" w:fill="FFFFFF"/>
            <w:noWrap/>
            <w:vAlign w:val="bottom"/>
            <w:hideMark/>
          </w:tcPr>
          <w:p w14:paraId="13B4DB7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€ 3,68,331.00 </w:t>
            </w:r>
          </w:p>
        </w:tc>
        <w:tc>
          <w:tcPr>
            <w:tcW w:w="60" w:type="pct"/>
            <w:vAlign w:val="center"/>
            <w:hideMark/>
          </w:tcPr>
          <w:p w14:paraId="1C552141" w14:textId="77777777" w:rsidR="00BC24D3" w:rsidRPr="00BC24D3" w:rsidRDefault="00BC24D3" w:rsidP="00BC24D3">
            <w:pPr>
              <w:spacing w:before="0" w:after="0" w:line="240" w:lineRule="auto"/>
              <w:jc w:val="left"/>
              <w:rPr>
                <w:sz w:val="20"/>
                <w:szCs w:val="20"/>
                <w:lang w:val="en-IN"/>
              </w:rPr>
            </w:pPr>
          </w:p>
        </w:tc>
      </w:tr>
      <w:tr w:rsidR="00BC24D3" w:rsidRPr="00BC24D3" w14:paraId="38100907"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0130B780"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"Cash Flow to Debt Ratio"</w:t>
            </w:r>
          </w:p>
        </w:tc>
        <w:tc>
          <w:tcPr>
            <w:tcW w:w="1173" w:type="pct"/>
            <w:vMerge/>
            <w:tcBorders>
              <w:top w:val="nil"/>
              <w:left w:val="single" w:sz="4" w:space="0" w:color="auto"/>
              <w:bottom w:val="single" w:sz="4" w:space="0" w:color="auto"/>
              <w:right w:val="single" w:sz="4" w:space="0" w:color="auto"/>
            </w:tcBorders>
            <w:vAlign w:val="center"/>
            <w:hideMark/>
          </w:tcPr>
          <w:p w14:paraId="44FC68BD"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24B003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0.04</w:t>
            </w:r>
          </w:p>
        </w:tc>
        <w:tc>
          <w:tcPr>
            <w:tcW w:w="490" w:type="pct"/>
            <w:tcBorders>
              <w:top w:val="nil"/>
              <w:left w:val="nil"/>
              <w:bottom w:val="single" w:sz="4" w:space="0" w:color="auto"/>
              <w:right w:val="single" w:sz="4" w:space="0" w:color="auto"/>
            </w:tcBorders>
            <w:shd w:val="clear" w:color="000000" w:fill="FFFFFF"/>
            <w:noWrap/>
            <w:vAlign w:val="bottom"/>
            <w:hideMark/>
          </w:tcPr>
          <w:p w14:paraId="32531B7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0.05</w:t>
            </w:r>
          </w:p>
        </w:tc>
        <w:tc>
          <w:tcPr>
            <w:tcW w:w="490" w:type="pct"/>
            <w:tcBorders>
              <w:top w:val="nil"/>
              <w:left w:val="nil"/>
              <w:bottom w:val="single" w:sz="4" w:space="0" w:color="auto"/>
              <w:right w:val="single" w:sz="4" w:space="0" w:color="auto"/>
            </w:tcBorders>
            <w:shd w:val="clear" w:color="000000" w:fill="FFFFFF"/>
            <w:noWrap/>
            <w:vAlign w:val="bottom"/>
            <w:hideMark/>
          </w:tcPr>
          <w:p w14:paraId="3951588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0.07</w:t>
            </w:r>
          </w:p>
        </w:tc>
        <w:tc>
          <w:tcPr>
            <w:tcW w:w="490" w:type="pct"/>
            <w:tcBorders>
              <w:top w:val="nil"/>
              <w:left w:val="nil"/>
              <w:bottom w:val="single" w:sz="4" w:space="0" w:color="auto"/>
              <w:right w:val="single" w:sz="4" w:space="0" w:color="auto"/>
            </w:tcBorders>
            <w:shd w:val="clear" w:color="000000" w:fill="FFFFFF"/>
            <w:noWrap/>
            <w:vAlign w:val="bottom"/>
            <w:hideMark/>
          </w:tcPr>
          <w:p w14:paraId="00BE2B0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0.10</w:t>
            </w:r>
          </w:p>
        </w:tc>
        <w:tc>
          <w:tcPr>
            <w:tcW w:w="490" w:type="pct"/>
            <w:tcBorders>
              <w:top w:val="nil"/>
              <w:left w:val="nil"/>
              <w:bottom w:val="single" w:sz="4" w:space="0" w:color="auto"/>
              <w:right w:val="single" w:sz="4" w:space="0" w:color="auto"/>
            </w:tcBorders>
            <w:shd w:val="clear" w:color="000000" w:fill="FFFFFF"/>
            <w:noWrap/>
            <w:vAlign w:val="bottom"/>
            <w:hideMark/>
          </w:tcPr>
          <w:p w14:paraId="1A8497C9"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0.07</w:t>
            </w:r>
          </w:p>
        </w:tc>
        <w:tc>
          <w:tcPr>
            <w:tcW w:w="60" w:type="pct"/>
            <w:vAlign w:val="center"/>
            <w:hideMark/>
          </w:tcPr>
          <w:p w14:paraId="6BBFCC5D" w14:textId="77777777" w:rsidR="00BC24D3" w:rsidRPr="00BC24D3" w:rsidRDefault="00BC24D3" w:rsidP="00BC24D3">
            <w:pPr>
              <w:spacing w:before="0" w:after="0" w:line="240" w:lineRule="auto"/>
              <w:jc w:val="left"/>
              <w:rPr>
                <w:sz w:val="20"/>
                <w:szCs w:val="20"/>
                <w:lang w:val="en-IN"/>
              </w:rPr>
            </w:pPr>
          </w:p>
        </w:tc>
      </w:tr>
      <w:tr w:rsidR="00BC24D3" w:rsidRPr="00BC24D3" w14:paraId="2F75CD55" w14:textId="77777777" w:rsidTr="00BC24D3">
        <w:trPr>
          <w:trHeight w:val="288"/>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A372FBA"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1173" w:type="pct"/>
            <w:tcBorders>
              <w:top w:val="nil"/>
              <w:left w:val="nil"/>
              <w:bottom w:val="single" w:sz="4" w:space="0" w:color="auto"/>
              <w:right w:val="single" w:sz="4" w:space="0" w:color="auto"/>
            </w:tcBorders>
            <w:shd w:val="clear" w:color="000000" w:fill="FFFFFF"/>
            <w:noWrap/>
            <w:vAlign w:val="bottom"/>
            <w:hideMark/>
          </w:tcPr>
          <w:p w14:paraId="122ED8C7"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512" w:type="pct"/>
            <w:tcBorders>
              <w:top w:val="nil"/>
              <w:left w:val="nil"/>
              <w:bottom w:val="single" w:sz="4" w:space="0" w:color="auto"/>
              <w:right w:val="single" w:sz="4" w:space="0" w:color="auto"/>
            </w:tcBorders>
            <w:shd w:val="clear" w:color="000000" w:fill="FFFFFF"/>
            <w:noWrap/>
            <w:vAlign w:val="bottom"/>
            <w:hideMark/>
          </w:tcPr>
          <w:p w14:paraId="2A3EF47B"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C35D046"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4783F31B"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2C123F4E"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490" w:type="pct"/>
            <w:tcBorders>
              <w:top w:val="nil"/>
              <w:left w:val="nil"/>
              <w:bottom w:val="single" w:sz="4" w:space="0" w:color="auto"/>
              <w:right w:val="single" w:sz="4" w:space="0" w:color="auto"/>
            </w:tcBorders>
            <w:shd w:val="clear" w:color="000000" w:fill="FFFFFF"/>
            <w:noWrap/>
            <w:vAlign w:val="bottom"/>
            <w:hideMark/>
          </w:tcPr>
          <w:p w14:paraId="53136DC6" w14:textId="77777777" w:rsidR="00BC24D3" w:rsidRPr="00BC24D3" w:rsidRDefault="00BC24D3" w:rsidP="00BC24D3">
            <w:pPr>
              <w:spacing w:before="0" w:after="0" w:line="240" w:lineRule="auto"/>
              <w:jc w:val="left"/>
              <w:rPr>
                <w:rFonts w:ascii="Aptos Narrow" w:hAnsi="Aptos Narrow"/>
                <w:color w:val="000000"/>
                <w:sz w:val="22"/>
                <w:szCs w:val="22"/>
                <w:lang w:val="en-IN"/>
              </w:rPr>
            </w:pPr>
            <w:r w:rsidRPr="00BC24D3">
              <w:rPr>
                <w:rFonts w:ascii="Aptos Narrow" w:hAnsi="Aptos Narrow"/>
                <w:color w:val="000000"/>
                <w:sz w:val="22"/>
                <w:szCs w:val="22"/>
                <w:lang w:val="en-IN"/>
              </w:rPr>
              <w:t> </w:t>
            </w:r>
          </w:p>
        </w:tc>
        <w:tc>
          <w:tcPr>
            <w:tcW w:w="60" w:type="pct"/>
            <w:vAlign w:val="center"/>
            <w:hideMark/>
          </w:tcPr>
          <w:p w14:paraId="2B6727FD" w14:textId="77777777" w:rsidR="00BC24D3" w:rsidRPr="00BC24D3" w:rsidRDefault="00BC24D3" w:rsidP="00BC24D3">
            <w:pPr>
              <w:spacing w:before="0" w:after="0" w:line="240" w:lineRule="auto"/>
              <w:jc w:val="left"/>
              <w:rPr>
                <w:sz w:val="20"/>
                <w:szCs w:val="20"/>
                <w:lang w:val="en-IN"/>
              </w:rPr>
            </w:pPr>
          </w:p>
        </w:tc>
      </w:tr>
      <w:tr w:rsidR="00BC24D3" w:rsidRPr="00BC24D3" w14:paraId="6F4D2AEA"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553071A"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"Cash Flow Margin"</w:t>
            </w:r>
          </w:p>
        </w:tc>
        <w:tc>
          <w:tcPr>
            <w:tcW w:w="60" w:type="pct"/>
            <w:vAlign w:val="center"/>
            <w:hideMark/>
          </w:tcPr>
          <w:p w14:paraId="6D444663" w14:textId="77777777" w:rsidR="00BC24D3" w:rsidRPr="00BC24D3" w:rsidRDefault="00BC24D3" w:rsidP="00BC24D3">
            <w:pPr>
              <w:spacing w:before="0" w:after="0" w:line="240" w:lineRule="auto"/>
              <w:jc w:val="left"/>
              <w:rPr>
                <w:sz w:val="20"/>
                <w:szCs w:val="20"/>
                <w:lang w:val="en-IN"/>
              </w:rPr>
            </w:pPr>
          </w:p>
        </w:tc>
      </w:tr>
      <w:tr w:rsidR="00BC24D3" w:rsidRPr="00BC24D3" w14:paraId="4E3D8256"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E74430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4D3C2C4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187C47D6"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72DCA99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1663FA2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148159DB"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4160E14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3CB03066" w14:textId="77777777" w:rsidR="00BC24D3" w:rsidRPr="00BC24D3" w:rsidRDefault="00BC24D3" w:rsidP="00BC24D3">
            <w:pPr>
              <w:spacing w:before="0" w:after="0" w:line="240" w:lineRule="auto"/>
              <w:jc w:val="left"/>
              <w:rPr>
                <w:sz w:val="20"/>
                <w:szCs w:val="20"/>
                <w:lang w:val="en-IN"/>
              </w:rPr>
            </w:pPr>
          </w:p>
        </w:tc>
      </w:tr>
      <w:tr w:rsidR="00BC24D3" w:rsidRPr="00BC24D3" w14:paraId="0437FC75"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28BDE97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"Operating Cash Flow"</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18B189D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Cash Flow/Sales)"</w:t>
            </w:r>
          </w:p>
        </w:tc>
        <w:tc>
          <w:tcPr>
            <w:tcW w:w="512" w:type="pct"/>
            <w:tcBorders>
              <w:top w:val="nil"/>
              <w:left w:val="nil"/>
              <w:bottom w:val="single" w:sz="4" w:space="0" w:color="auto"/>
              <w:right w:val="single" w:sz="4" w:space="0" w:color="auto"/>
            </w:tcBorders>
            <w:shd w:val="clear" w:color="000000" w:fill="FFFFFF"/>
            <w:noWrap/>
            <w:vAlign w:val="bottom"/>
            <w:hideMark/>
          </w:tcPr>
          <w:p w14:paraId="6E01C542"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17,151.00 </w:t>
            </w:r>
          </w:p>
        </w:tc>
        <w:tc>
          <w:tcPr>
            <w:tcW w:w="490" w:type="pct"/>
            <w:tcBorders>
              <w:top w:val="nil"/>
              <w:left w:val="nil"/>
              <w:bottom w:val="single" w:sz="4" w:space="0" w:color="auto"/>
              <w:right w:val="single" w:sz="4" w:space="0" w:color="auto"/>
            </w:tcBorders>
            <w:shd w:val="clear" w:color="000000" w:fill="FFFFFF"/>
            <w:noWrap/>
            <w:vAlign w:val="bottom"/>
            <w:hideMark/>
          </w:tcPr>
          <w:p w14:paraId="54F9721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19,356.00 </w:t>
            </w:r>
          </w:p>
        </w:tc>
        <w:tc>
          <w:tcPr>
            <w:tcW w:w="490" w:type="pct"/>
            <w:tcBorders>
              <w:top w:val="nil"/>
              <w:left w:val="nil"/>
              <w:bottom w:val="single" w:sz="4" w:space="0" w:color="auto"/>
              <w:right w:val="single" w:sz="4" w:space="0" w:color="auto"/>
            </w:tcBorders>
            <w:shd w:val="clear" w:color="000000" w:fill="FFFFFF"/>
            <w:noWrap/>
            <w:vAlign w:val="bottom"/>
            <w:hideMark/>
          </w:tcPr>
          <w:p w14:paraId="009B5CD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28,496.00 </w:t>
            </w:r>
          </w:p>
        </w:tc>
        <w:tc>
          <w:tcPr>
            <w:tcW w:w="490" w:type="pct"/>
            <w:tcBorders>
              <w:top w:val="nil"/>
              <w:left w:val="nil"/>
              <w:bottom w:val="single" w:sz="4" w:space="0" w:color="auto"/>
              <w:right w:val="single" w:sz="4" w:space="0" w:color="auto"/>
            </w:tcBorders>
            <w:shd w:val="clear" w:color="000000" w:fill="FFFFFF"/>
            <w:noWrap/>
            <w:vAlign w:val="bottom"/>
            <w:hideMark/>
          </w:tcPr>
          <w:p w14:paraId="63454E3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38,633.00 </w:t>
            </w:r>
          </w:p>
        </w:tc>
        <w:tc>
          <w:tcPr>
            <w:tcW w:w="490" w:type="pct"/>
            <w:tcBorders>
              <w:top w:val="nil"/>
              <w:left w:val="nil"/>
              <w:bottom w:val="single" w:sz="4" w:space="0" w:color="auto"/>
              <w:right w:val="single" w:sz="4" w:space="0" w:color="auto"/>
            </w:tcBorders>
            <w:shd w:val="clear" w:color="000000" w:fill="FFFFFF"/>
            <w:noWrap/>
            <w:vAlign w:val="bottom"/>
            <w:hideMark/>
          </w:tcPr>
          <w:p w14:paraId="74D670F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24,901.00 </w:t>
            </w:r>
          </w:p>
        </w:tc>
        <w:tc>
          <w:tcPr>
            <w:tcW w:w="60" w:type="pct"/>
            <w:vAlign w:val="center"/>
            <w:hideMark/>
          </w:tcPr>
          <w:p w14:paraId="61B8A8FE" w14:textId="77777777" w:rsidR="00BC24D3" w:rsidRPr="00BC24D3" w:rsidRDefault="00BC24D3" w:rsidP="00BC24D3">
            <w:pPr>
              <w:spacing w:before="0" w:after="0" w:line="240" w:lineRule="auto"/>
              <w:jc w:val="left"/>
              <w:rPr>
                <w:sz w:val="20"/>
                <w:szCs w:val="20"/>
                <w:lang w:val="en-IN"/>
              </w:rPr>
            </w:pPr>
          </w:p>
        </w:tc>
      </w:tr>
      <w:tr w:rsidR="00BC24D3" w:rsidRPr="00BC24D3" w14:paraId="36C0BE99"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72DCC25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Sales"</w:t>
            </w:r>
          </w:p>
        </w:tc>
        <w:tc>
          <w:tcPr>
            <w:tcW w:w="1173" w:type="pct"/>
            <w:vMerge/>
            <w:tcBorders>
              <w:top w:val="nil"/>
              <w:left w:val="single" w:sz="4" w:space="0" w:color="auto"/>
              <w:bottom w:val="single" w:sz="4" w:space="0" w:color="auto"/>
              <w:right w:val="single" w:sz="4" w:space="0" w:color="auto"/>
            </w:tcBorders>
            <w:vAlign w:val="center"/>
            <w:hideMark/>
          </w:tcPr>
          <w:p w14:paraId="1A19238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175DA3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3,24,656.00 </w:t>
            </w:r>
          </w:p>
        </w:tc>
        <w:tc>
          <w:tcPr>
            <w:tcW w:w="490" w:type="pct"/>
            <w:tcBorders>
              <w:top w:val="nil"/>
              <w:left w:val="nil"/>
              <w:bottom w:val="single" w:sz="4" w:space="0" w:color="auto"/>
              <w:right w:val="single" w:sz="4" w:space="0" w:color="auto"/>
            </w:tcBorders>
            <w:shd w:val="clear" w:color="000000" w:fill="FFFFFF"/>
            <w:noWrap/>
            <w:vAlign w:val="bottom"/>
            <w:hideMark/>
          </w:tcPr>
          <w:p w14:paraId="31419C2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€ 3,22,284.00 </w:t>
            </w:r>
          </w:p>
        </w:tc>
        <w:tc>
          <w:tcPr>
            <w:tcW w:w="490" w:type="pct"/>
            <w:tcBorders>
              <w:top w:val="nil"/>
              <w:left w:val="nil"/>
              <w:bottom w:val="single" w:sz="4" w:space="0" w:color="auto"/>
              <w:right w:val="single" w:sz="4" w:space="0" w:color="auto"/>
            </w:tcBorders>
            <w:shd w:val="clear" w:color="000000" w:fill="FFFFFF"/>
            <w:noWrap/>
            <w:vAlign w:val="bottom"/>
            <w:hideMark/>
          </w:tcPr>
          <w:p w14:paraId="3D10E0D5"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€ 2,79,232.00 </w:t>
            </w:r>
          </w:p>
        </w:tc>
        <w:tc>
          <w:tcPr>
            <w:tcW w:w="490" w:type="pct"/>
            <w:tcBorders>
              <w:top w:val="nil"/>
              <w:left w:val="nil"/>
              <w:bottom w:val="single" w:sz="4" w:space="0" w:color="auto"/>
              <w:right w:val="single" w:sz="4" w:space="0" w:color="auto"/>
            </w:tcBorders>
            <w:shd w:val="clear" w:color="000000" w:fill="FFFFFF"/>
            <w:noWrap/>
            <w:vAlign w:val="bottom"/>
            <w:hideMark/>
          </w:tcPr>
          <w:p w14:paraId="4B8E229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€ 2,50,200.00 </w:t>
            </w:r>
          </w:p>
        </w:tc>
        <w:tc>
          <w:tcPr>
            <w:tcW w:w="490" w:type="pct"/>
            <w:tcBorders>
              <w:top w:val="nil"/>
              <w:left w:val="nil"/>
              <w:bottom w:val="single" w:sz="4" w:space="0" w:color="auto"/>
              <w:right w:val="single" w:sz="4" w:space="0" w:color="auto"/>
            </w:tcBorders>
            <w:shd w:val="clear" w:color="000000" w:fill="FFFFFF"/>
            <w:noWrap/>
            <w:vAlign w:val="bottom"/>
            <w:hideMark/>
          </w:tcPr>
          <w:p w14:paraId="26D20B8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€ 2,22,884.00 </w:t>
            </w:r>
          </w:p>
        </w:tc>
        <w:tc>
          <w:tcPr>
            <w:tcW w:w="60" w:type="pct"/>
            <w:vAlign w:val="center"/>
            <w:hideMark/>
          </w:tcPr>
          <w:p w14:paraId="6311A3AB" w14:textId="77777777" w:rsidR="00BC24D3" w:rsidRPr="00BC24D3" w:rsidRDefault="00BC24D3" w:rsidP="00BC24D3">
            <w:pPr>
              <w:spacing w:before="0" w:after="0" w:line="240" w:lineRule="auto"/>
              <w:jc w:val="left"/>
              <w:rPr>
                <w:sz w:val="20"/>
                <w:szCs w:val="20"/>
                <w:lang w:val="en-IN"/>
              </w:rPr>
            </w:pPr>
          </w:p>
        </w:tc>
      </w:tr>
      <w:tr w:rsidR="00BC24D3" w:rsidRPr="00BC24D3" w14:paraId="6A9C2B51"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B5CC781"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"Cash Flow Margin"</w:t>
            </w:r>
          </w:p>
        </w:tc>
        <w:tc>
          <w:tcPr>
            <w:tcW w:w="1173" w:type="pct"/>
            <w:vMerge/>
            <w:tcBorders>
              <w:top w:val="nil"/>
              <w:left w:val="single" w:sz="4" w:space="0" w:color="auto"/>
              <w:bottom w:val="single" w:sz="4" w:space="0" w:color="auto"/>
              <w:right w:val="single" w:sz="4" w:space="0" w:color="auto"/>
            </w:tcBorders>
            <w:vAlign w:val="center"/>
            <w:hideMark/>
          </w:tcPr>
          <w:p w14:paraId="515E641F"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2D33E54F"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0.05</w:t>
            </w:r>
          </w:p>
        </w:tc>
        <w:tc>
          <w:tcPr>
            <w:tcW w:w="490" w:type="pct"/>
            <w:tcBorders>
              <w:top w:val="nil"/>
              <w:left w:val="nil"/>
              <w:bottom w:val="single" w:sz="4" w:space="0" w:color="auto"/>
              <w:right w:val="single" w:sz="4" w:space="0" w:color="auto"/>
            </w:tcBorders>
            <w:shd w:val="clear" w:color="000000" w:fill="FFFFFF"/>
            <w:noWrap/>
            <w:vAlign w:val="bottom"/>
            <w:hideMark/>
          </w:tcPr>
          <w:p w14:paraId="3AF0DEB1"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0.06</w:t>
            </w:r>
          </w:p>
        </w:tc>
        <w:tc>
          <w:tcPr>
            <w:tcW w:w="490" w:type="pct"/>
            <w:tcBorders>
              <w:top w:val="nil"/>
              <w:left w:val="nil"/>
              <w:bottom w:val="single" w:sz="4" w:space="0" w:color="auto"/>
              <w:right w:val="single" w:sz="4" w:space="0" w:color="auto"/>
            </w:tcBorders>
            <w:shd w:val="clear" w:color="000000" w:fill="FFFFFF"/>
            <w:noWrap/>
            <w:vAlign w:val="bottom"/>
            <w:hideMark/>
          </w:tcPr>
          <w:p w14:paraId="459C01B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0.10</w:t>
            </w:r>
          </w:p>
        </w:tc>
        <w:tc>
          <w:tcPr>
            <w:tcW w:w="490" w:type="pct"/>
            <w:tcBorders>
              <w:top w:val="nil"/>
              <w:left w:val="nil"/>
              <w:bottom w:val="single" w:sz="4" w:space="0" w:color="auto"/>
              <w:right w:val="single" w:sz="4" w:space="0" w:color="auto"/>
            </w:tcBorders>
            <w:shd w:val="clear" w:color="000000" w:fill="FFFFFF"/>
            <w:noWrap/>
            <w:vAlign w:val="bottom"/>
            <w:hideMark/>
          </w:tcPr>
          <w:p w14:paraId="0CFACC62"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0.15</w:t>
            </w:r>
          </w:p>
        </w:tc>
        <w:tc>
          <w:tcPr>
            <w:tcW w:w="490" w:type="pct"/>
            <w:tcBorders>
              <w:top w:val="nil"/>
              <w:left w:val="nil"/>
              <w:bottom w:val="single" w:sz="4" w:space="0" w:color="auto"/>
              <w:right w:val="single" w:sz="4" w:space="0" w:color="auto"/>
            </w:tcBorders>
            <w:shd w:val="clear" w:color="000000" w:fill="FFFFFF"/>
            <w:noWrap/>
            <w:vAlign w:val="bottom"/>
            <w:hideMark/>
          </w:tcPr>
          <w:p w14:paraId="0C7F8B98"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0.11</w:t>
            </w:r>
          </w:p>
        </w:tc>
        <w:tc>
          <w:tcPr>
            <w:tcW w:w="60" w:type="pct"/>
            <w:vAlign w:val="center"/>
            <w:hideMark/>
          </w:tcPr>
          <w:p w14:paraId="141AFE58" w14:textId="77777777" w:rsidR="00BC24D3" w:rsidRPr="00BC24D3" w:rsidRDefault="00BC24D3" w:rsidP="00BC24D3">
            <w:pPr>
              <w:spacing w:before="0" w:after="0" w:line="240" w:lineRule="auto"/>
              <w:jc w:val="left"/>
              <w:rPr>
                <w:sz w:val="20"/>
                <w:szCs w:val="20"/>
                <w:lang w:val="en-IN"/>
              </w:rPr>
            </w:pPr>
          </w:p>
        </w:tc>
      </w:tr>
      <w:tr w:rsidR="00BC24D3" w:rsidRPr="00BC24D3" w14:paraId="3F04EFE5"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436A8DB"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w:t>
            </w:r>
          </w:p>
        </w:tc>
        <w:tc>
          <w:tcPr>
            <w:tcW w:w="60" w:type="pct"/>
            <w:vAlign w:val="center"/>
            <w:hideMark/>
          </w:tcPr>
          <w:p w14:paraId="3FF898A6" w14:textId="77777777" w:rsidR="00BC24D3" w:rsidRPr="00BC24D3" w:rsidRDefault="00BC24D3" w:rsidP="00BC24D3">
            <w:pPr>
              <w:spacing w:before="0" w:after="0" w:line="240" w:lineRule="auto"/>
              <w:jc w:val="left"/>
              <w:rPr>
                <w:sz w:val="20"/>
                <w:szCs w:val="20"/>
                <w:lang w:val="en-IN"/>
              </w:rPr>
            </w:pPr>
          </w:p>
        </w:tc>
      </w:tr>
      <w:tr w:rsidR="00BC24D3" w:rsidRPr="00BC24D3" w14:paraId="5C00783D" w14:textId="77777777" w:rsidTr="00BC24D3">
        <w:trPr>
          <w:trHeight w:val="312"/>
          <w:jc w:val="center"/>
        </w:trPr>
        <w:tc>
          <w:tcPr>
            <w:tcW w:w="4940" w:type="pct"/>
            <w:gridSpan w:val="7"/>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B740AF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"Free Cash Flow Margin"</w:t>
            </w:r>
          </w:p>
        </w:tc>
        <w:tc>
          <w:tcPr>
            <w:tcW w:w="60" w:type="pct"/>
            <w:vAlign w:val="center"/>
            <w:hideMark/>
          </w:tcPr>
          <w:p w14:paraId="6DD69434" w14:textId="77777777" w:rsidR="00BC24D3" w:rsidRPr="00BC24D3" w:rsidRDefault="00BC24D3" w:rsidP="00BC24D3">
            <w:pPr>
              <w:spacing w:before="0" w:after="0" w:line="240" w:lineRule="auto"/>
              <w:jc w:val="left"/>
              <w:rPr>
                <w:sz w:val="20"/>
                <w:szCs w:val="20"/>
                <w:lang w:val="en-IN"/>
              </w:rPr>
            </w:pPr>
          </w:p>
        </w:tc>
      </w:tr>
      <w:tr w:rsidR="00BC24D3" w:rsidRPr="00BC24D3" w14:paraId="373DAD88"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1911A4F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"Financial aspects"</w:t>
            </w:r>
          </w:p>
        </w:tc>
        <w:tc>
          <w:tcPr>
            <w:tcW w:w="1173" w:type="pct"/>
            <w:tcBorders>
              <w:top w:val="nil"/>
              <w:left w:val="nil"/>
              <w:bottom w:val="single" w:sz="4" w:space="0" w:color="auto"/>
              <w:right w:val="single" w:sz="4" w:space="0" w:color="auto"/>
            </w:tcBorders>
            <w:shd w:val="clear" w:color="000000" w:fill="FFFFFF"/>
            <w:noWrap/>
            <w:vAlign w:val="bottom"/>
            <w:hideMark/>
          </w:tcPr>
          <w:p w14:paraId="54F335C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"Formula"</w:t>
            </w:r>
          </w:p>
        </w:tc>
        <w:tc>
          <w:tcPr>
            <w:tcW w:w="512" w:type="pct"/>
            <w:tcBorders>
              <w:top w:val="nil"/>
              <w:left w:val="nil"/>
              <w:bottom w:val="single" w:sz="4" w:space="0" w:color="auto"/>
              <w:right w:val="single" w:sz="4" w:space="0" w:color="auto"/>
            </w:tcBorders>
            <w:shd w:val="clear" w:color="000000" w:fill="FFFFFF"/>
            <w:noWrap/>
            <w:vAlign w:val="bottom"/>
            <w:hideMark/>
          </w:tcPr>
          <w:p w14:paraId="11640D0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2024</w:t>
            </w:r>
          </w:p>
        </w:tc>
        <w:tc>
          <w:tcPr>
            <w:tcW w:w="490" w:type="pct"/>
            <w:tcBorders>
              <w:top w:val="nil"/>
              <w:left w:val="nil"/>
              <w:bottom w:val="single" w:sz="4" w:space="0" w:color="auto"/>
              <w:right w:val="single" w:sz="4" w:space="0" w:color="auto"/>
            </w:tcBorders>
            <w:shd w:val="clear" w:color="000000" w:fill="FFFFFF"/>
            <w:noWrap/>
            <w:vAlign w:val="bottom"/>
            <w:hideMark/>
          </w:tcPr>
          <w:p w14:paraId="4653D227"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2023</w:t>
            </w:r>
          </w:p>
        </w:tc>
        <w:tc>
          <w:tcPr>
            <w:tcW w:w="490" w:type="pct"/>
            <w:tcBorders>
              <w:top w:val="nil"/>
              <w:left w:val="nil"/>
              <w:bottom w:val="single" w:sz="4" w:space="0" w:color="auto"/>
              <w:right w:val="single" w:sz="4" w:space="0" w:color="auto"/>
            </w:tcBorders>
            <w:shd w:val="clear" w:color="000000" w:fill="FFFFFF"/>
            <w:noWrap/>
            <w:vAlign w:val="bottom"/>
            <w:hideMark/>
          </w:tcPr>
          <w:p w14:paraId="18B20680"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2022</w:t>
            </w:r>
          </w:p>
        </w:tc>
        <w:tc>
          <w:tcPr>
            <w:tcW w:w="490" w:type="pct"/>
            <w:tcBorders>
              <w:top w:val="nil"/>
              <w:left w:val="nil"/>
              <w:bottom w:val="single" w:sz="4" w:space="0" w:color="auto"/>
              <w:right w:val="single" w:sz="4" w:space="0" w:color="auto"/>
            </w:tcBorders>
            <w:shd w:val="clear" w:color="000000" w:fill="FFFFFF"/>
            <w:noWrap/>
            <w:vAlign w:val="bottom"/>
            <w:hideMark/>
          </w:tcPr>
          <w:p w14:paraId="00B0184C"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2021</w:t>
            </w:r>
          </w:p>
        </w:tc>
        <w:tc>
          <w:tcPr>
            <w:tcW w:w="490" w:type="pct"/>
            <w:tcBorders>
              <w:top w:val="nil"/>
              <w:left w:val="nil"/>
              <w:bottom w:val="single" w:sz="4" w:space="0" w:color="auto"/>
              <w:right w:val="single" w:sz="4" w:space="0" w:color="auto"/>
            </w:tcBorders>
            <w:shd w:val="clear" w:color="000000" w:fill="FFFFFF"/>
            <w:noWrap/>
            <w:vAlign w:val="bottom"/>
            <w:hideMark/>
          </w:tcPr>
          <w:p w14:paraId="7EA0CD22"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2020</w:t>
            </w:r>
          </w:p>
        </w:tc>
        <w:tc>
          <w:tcPr>
            <w:tcW w:w="60" w:type="pct"/>
            <w:vAlign w:val="center"/>
            <w:hideMark/>
          </w:tcPr>
          <w:p w14:paraId="79EA9406" w14:textId="77777777" w:rsidR="00BC24D3" w:rsidRPr="00BC24D3" w:rsidRDefault="00BC24D3" w:rsidP="00BC24D3">
            <w:pPr>
              <w:spacing w:before="0" w:after="0" w:line="240" w:lineRule="auto"/>
              <w:jc w:val="left"/>
              <w:rPr>
                <w:sz w:val="20"/>
                <w:szCs w:val="20"/>
                <w:lang w:val="en-IN"/>
              </w:rPr>
            </w:pPr>
          </w:p>
        </w:tc>
      </w:tr>
      <w:tr w:rsidR="00BC24D3" w:rsidRPr="00BC24D3" w14:paraId="2C87284B"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436FDE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"Operating Cash Flow"</w:t>
            </w:r>
          </w:p>
        </w:tc>
        <w:tc>
          <w:tcPr>
            <w:tcW w:w="1173" w:type="pct"/>
            <w:vMerge w:val="restart"/>
            <w:tcBorders>
              <w:top w:val="nil"/>
              <w:left w:val="single" w:sz="4" w:space="0" w:color="auto"/>
              <w:bottom w:val="single" w:sz="4" w:space="0" w:color="auto"/>
              <w:right w:val="single" w:sz="4" w:space="0" w:color="auto"/>
            </w:tcBorders>
            <w:shd w:val="clear" w:color="000000" w:fill="FFFFFF"/>
            <w:vAlign w:val="center"/>
            <w:hideMark/>
          </w:tcPr>
          <w:p w14:paraId="5CB7ED1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"(Operating Cash Flow-Capital Expenditure)/Sales"</w:t>
            </w:r>
          </w:p>
        </w:tc>
        <w:tc>
          <w:tcPr>
            <w:tcW w:w="512" w:type="pct"/>
            <w:tcBorders>
              <w:top w:val="nil"/>
              <w:left w:val="nil"/>
              <w:bottom w:val="single" w:sz="4" w:space="0" w:color="auto"/>
              <w:right w:val="single" w:sz="4" w:space="0" w:color="auto"/>
            </w:tcBorders>
            <w:shd w:val="clear" w:color="000000" w:fill="FFFFFF"/>
            <w:noWrap/>
            <w:vAlign w:val="bottom"/>
            <w:hideMark/>
          </w:tcPr>
          <w:p w14:paraId="170FB1ED"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17,151.00 </w:t>
            </w:r>
          </w:p>
        </w:tc>
        <w:tc>
          <w:tcPr>
            <w:tcW w:w="490" w:type="pct"/>
            <w:tcBorders>
              <w:top w:val="nil"/>
              <w:left w:val="nil"/>
              <w:bottom w:val="single" w:sz="4" w:space="0" w:color="auto"/>
              <w:right w:val="single" w:sz="4" w:space="0" w:color="auto"/>
            </w:tcBorders>
            <w:shd w:val="clear" w:color="000000" w:fill="FFFFFF"/>
            <w:noWrap/>
            <w:vAlign w:val="bottom"/>
            <w:hideMark/>
          </w:tcPr>
          <w:p w14:paraId="50297C68"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19,356.00 </w:t>
            </w:r>
          </w:p>
        </w:tc>
        <w:tc>
          <w:tcPr>
            <w:tcW w:w="490" w:type="pct"/>
            <w:tcBorders>
              <w:top w:val="nil"/>
              <w:left w:val="nil"/>
              <w:bottom w:val="single" w:sz="4" w:space="0" w:color="auto"/>
              <w:right w:val="single" w:sz="4" w:space="0" w:color="auto"/>
            </w:tcBorders>
            <w:shd w:val="clear" w:color="000000" w:fill="FFFFFF"/>
            <w:noWrap/>
            <w:vAlign w:val="bottom"/>
            <w:hideMark/>
          </w:tcPr>
          <w:p w14:paraId="62967B2B"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28,496.00 </w:t>
            </w:r>
          </w:p>
        </w:tc>
        <w:tc>
          <w:tcPr>
            <w:tcW w:w="490" w:type="pct"/>
            <w:tcBorders>
              <w:top w:val="nil"/>
              <w:left w:val="nil"/>
              <w:bottom w:val="single" w:sz="4" w:space="0" w:color="auto"/>
              <w:right w:val="single" w:sz="4" w:space="0" w:color="auto"/>
            </w:tcBorders>
            <w:shd w:val="clear" w:color="000000" w:fill="FFFFFF"/>
            <w:noWrap/>
            <w:vAlign w:val="bottom"/>
            <w:hideMark/>
          </w:tcPr>
          <w:p w14:paraId="4200153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38,633.00 </w:t>
            </w:r>
          </w:p>
        </w:tc>
        <w:tc>
          <w:tcPr>
            <w:tcW w:w="490" w:type="pct"/>
            <w:tcBorders>
              <w:top w:val="nil"/>
              <w:left w:val="nil"/>
              <w:bottom w:val="single" w:sz="4" w:space="0" w:color="auto"/>
              <w:right w:val="single" w:sz="4" w:space="0" w:color="auto"/>
            </w:tcBorders>
            <w:shd w:val="clear" w:color="000000" w:fill="FFFFFF"/>
            <w:noWrap/>
            <w:vAlign w:val="bottom"/>
            <w:hideMark/>
          </w:tcPr>
          <w:p w14:paraId="183A845F"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24,901.00 </w:t>
            </w:r>
          </w:p>
        </w:tc>
        <w:tc>
          <w:tcPr>
            <w:tcW w:w="60" w:type="pct"/>
            <w:vAlign w:val="center"/>
            <w:hideMark/>
          </w:tcPr>
          <w:p w14:paraId="17F4FC7E" w14:textId="77777777" w:rsidR="00BC24D3" w:rsidRPr="00BC24D3" w:rsidRDefault="00BC24D3" w:rsidP="00BC24D3">
            <w:pPr>
              <w:spacing w:before="0" w:after="0" w:line="240" w:lineRule="auto"/>
              <w:jc w:val="left"/>
              <w:rPr>
                <w:sz w:val="20"/>
                <w:szCs w:val="20"/>
                <w:lang w:val="en-IN"/>
              </w:rPr>
            </w:pPr>
          </w:p>
        </w:tc>
      </w:tr>
      <w:tr w:rsidR="00BC24D3" w:rsidRPr="00BC24D3" w14:paraId="704CA59D"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582199C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Capital Expenditure"</w:t>
            </w:r>
          </w:p>
        </w:tc>
        <w:tc>
          <w:tcPr>
            <w:tcW w:w="1173" w:type="pct"/>
            <w:vMerge/>
            <w:tcBorders>
              <w:top w:val="nil"/>
              <w:left w:val="single" w:sz="4" w:space="0" w:color="auto"/>
              <w:bottom w:val="single" w:sz="4" w:space="0" w:color="auto"/>
              <w:right w:val="single" w:sz="4" w:space="0" w:color="auto"/>
            </w:tcBorders>
            <w:vAlign w:val="center"/>
            <w:hideMark/>
          </w:tcPr>
          <w:p w14:paraId="1C14C9D9"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649054E9"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16,400.00 </w:t>
            </w:r>
          </w:p>
        </w:tc>
        <w:tc>
          <w:tcPr>
            <w:tcW w:w="490" w:type="pct"/>
            <w:tcBorders>
              <w:top w:val="nil"/>
              <w:left w:val="nil"/>
              <w:bottom w:val="single" w:sz="4" w:space="0" w:color="auto"/>
              <w:right w:val="single" w:sz="4" w:space="0" w:color="auto"/>
            </w:tcBorders>
            <w:shd w:val="clear" w:color="000000" w:fill="FFFFFF"/>
            <w:noWrap/>
            <w:vAlign w:val="bottom"/>
            <w:hideMark/>
          </w:tcPr>
          <w:p w14:paraId="101648A3"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14,371.00 </w:t>
            </w:r>
          </w:p>
        </w:tc>
        <w:tc>
          <w:tcPr>
            <w:tcW w:w="490" w:type="pct"/>
            <w:tcBorders>
              <w:top w:val="nil"/>
              <w:left w:val="nil"/>
              <w:bottom w:val="single" w:sz="4" w:space="0" w:color="auto"/>
              <w:right w:val="single" w:sz="4" w:space="0" w:color="auto"/>
            </w:tcBorders>
            <w:shd w:val="clear" w:color="000000" w:fill="FFFFFF"/>
            <w:noWrap/>
            <w:vAlign w:val="bottom"/>
            <w:hideMark/>
          </w:tcPr>
          <w:p w14:paraId="41ED4E7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12,731.00 </w:t>
            </w:r>
          </w:p>
        </w:tc>
        <w:tc>
          <w:tcPr>
            <w:tcW w:w="490" w:type="pct"/>
            <w:tcBorders>
              <w:top w:val="nil"/>
              <w:left w:val="nil"/>
              <w:bottom w:val="single" w:sz="4" w:space="0" w:color="auto"/>
              <w:right w:val="single" w:sz="4" w:space="0" w:color="auto"/>
            </w:tcBorders>
            <w:shd w:val="clear" w:color="000000" w:fill="FFFFFF"/>
            <w:noWrap/>
            <w:vAlign w:val="bottom"/>
            <w:hideMark/>
          </w:tcPr>
          <w:p w14:paraId="47E7D604"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10,496.00 </w:t>
            </w:r>
          </w:p>
        </w:tc>
        <w:tc>
          <w:tcPr>
            <w:tcW w:w="490" w:type="pct"/>
            <w:tcBorders>
              <w:top w:val="nil"/>
              <w:left w:val="nil"/>
              <w:bottom w:val="single" w:sz="4" w:space="0" w:color="auto"/>
              <w:right w:val="single" w:sz="4" w:space="0" w:color="auto"/>
            </w:tcBorders>
            <w:shd w:val="clear" w:color="000000" w:fill="FFFFFF"/>
            <w:noWrap/>
            <w:vAlign w:val="bottom"/>
            <w:hideMark/>
          </w:tcPr>
          <w:p w14:paraId="240A266E"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11,065.00 </w:t>
            </w:r>
          </w:p>
        </w:tc>
        <w:tc>
          <w:tcPr>
            <w:tcW w:w="60" w:type="pct"/>
            <w:vAlign w:val="center"/>
            <w:hideMark/>
          </w:tcPr>
          <w:p w14:paraId="34710EAC" w14:textId="77777777" w:rsidR="00BC24D3" w:rsidRPr="00BC24D3" w:rsidRDefault="00BC24D3" w:rsidP="00BC24D3">
            <w:pPr>
              <w:spacing w:before="0" w:after="0" w:line="240" w:lineRule="auto"/>
              <w:jc w:val="left"/>
              <w:rPr>
                <w:sz w:val="20"/>
                <w:szCs w:val="20"/>
                <w:lang w:val="en-IN"/>
              </w:rPr>
            </w:pPr>
          </w:p>
        </w:tc>
      </w:tr>
      <w:tr w:rsidR="00BC24D3" w:rsidRPr="00BC24D3" w14:paraId="2D3E321C"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77A5CA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Sales"</w:t>
            </w:r>
          </w:p>
        </w:tc>
        <w:tc>
          <w:tcPr>
            <w:tcW w:w="1173" w:type="pct"/>
            <w:vMerge/>
            <w:tcBorders>
              <w:top w:val="nil"/>
              <w:left w:val="single" w:sz="4" w:space="0" w:color="auto"/>
              <w:bottom w:val="single" w:sz="4" w:space="0" w:color="auto"/>
              <w:right w:val="single" w:sz="4" w:space="0" w:color="auto"/>
            </w:tcBorders>
            <w:vAlign w:val="center"/>
            <w:hideMark/>
          </w:tcPr>
          <w:p w14:paraId="3C41BD80"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410FA5E0"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3,24,656.00 </w:t>
            </w:r>
          </w:p>
        </w:tc>
        <w:tc>
          <w:tcPr>
            <w:tcW w:w="490" w:type="pct"/>
            <w:tcBorders>
              <w:top w:val="nil"/>
              <w:left w:val="nil"/>
              <w:bottom w:val="single" w:sz="4" w:space="0" w:color="auto"/>
              <w:right w:val="single" w:sz="4" w:space="0" w:color="auto"/>
            </w:tcBorders>
            <w:shd w:val="clear" w:color="000000" w:fill="FFFFFF"/>
            <w:noWrap/>
            <w:vAlign w:val="bottom"/>
            <w:hideMark/>
          </w:tcPr>
          <w:p w14:paraId="105B5C11"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€ 3,22,284.00 </w:t>
            </w:r>
          </w:p>
        </w:tc>
        <w:tc>
          <w:tcPr>
            <w:tcW w:w="490" w:type="pct"/>
            <w:tcBorders>
              <w:top w:val="nil"/>
              <w:left w:val="nil"/>
              <w:bottom w:val="single" w:sz="4" w:space="0" w:color="auto"/>
              <w:right w:val="single" w:sz="4" w:space="0" w:color="auto"/>
            </w:tcBorders>
            <w:shd w:val="clear" w:color="000000" w:fill="FFFFFF"/>
            <w:noWrap/>
            <w:vAlign w:val="bottom"/>
            <w:hideMark/>
          </w:tcPr>
          <w:p w14:paraId="1BE7BBEA"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€ 2,79,232.00 </w:t>
            </w:r>
          </w:p>
        </w:tc>
        <w:tc>
          <w:tcPr>
            <w:tcW w:w="490" w:type="pct"/>
            <w:tcBorders>
              <w:top w:val="nil"/>
              <w:left w:val="nil"/>
              <w:bottom w:val="single" w:sz="4" w:space="0" w:color="auto"/>
              <w:right w:val="single" w:sz="4" w:space="0" w:color="auto"/>
            </w:tcBorders>
            <w:shd w:val="clear" w:color="000000" w:fill="FFFFFF"/>
            <w:noWrap/>
            <w:vAlign w:val="bottom"/>
            <w:hideMark/>
          </w:tcPr>
          <w:p w14:paraId="2420BB47"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€ 2,50,200.00 </w:t>
            </w:r>
          </w:p>
        </w:tc>
        <w:tc>
          <w:tcPr>
            <w:tcW w:w="490" w:type="pct"/>
            <w:tcBorders>
              <w:top w:val="nil"/>
              <w:left w:val="nil"/>
              <w:bottom w:val="single" w:sz="4" w:space="0" w:color="auto"/>
              <w:right w:val="single" w:sz="4" w:space="0" w:color="auto"/>
            </w:tcBorders>
            <w:shd w:val="clear" w:color="000000" w:fill="FFFFFF"/>
            <w:noWrap/>
            <w:vAlign w:val="bottom"/>
            <w:hideMark/>
          </w:tcPr>
          <w:p w14:paraId="16BD6046" w14:textId="77777777" w:rsidR="00BC24D3" w:rsidRPr="00BC24D3" w:rsidRDefault="00BC24D3" w:rsidP="00BC24D3">
            <w:pPr>
              <w:spacing w:before="0" w:after="0" w:line="240" w:lineRule="auto"/>
              <w:jc w:val="left"/>
              <w:rPr>
                <w:rFonts w:ascii="Arial" w:hAnsi="Arial" w:cs="Arial"/>
                <w:color w:val="000000"/>
                <w:lang w:val="en-IN"/>
              </w:rPr>
            </w:pPr>
            <w:r w:rsidRPr="00BC24D3">
              <w:rPr>
                <w:rFonts w:ascii="Arial" w:hAnsi="Arial" w:cs="Arial"/>
                <w:color w:val="000000"/>
                <w:lang w:val="en-IN"/>
              </w:rPr>
              <w:t xml:space="preserve"> € 2,22,884.00 </w:t>
            </w:r>
          </w:p>
        </w:tc>
        <w:tc>
          <w:tcPr>
            <w:tcW w:w="60" w:type="pct"/>
            <w:vAlign w:val="center"/>
            <w:hideMark/>
          </w:tcPr>
          <w:p w14:paraId="7A2309DC" w14:textId="77777777" w:rsidR="00BC24D3" w:rsidRPr="00BC24D3" w:rsidRDefault="00BC24D3" w:rsidP="00BC24D3">
            <w:pPr>
              <w:spacing w:before="0" w:after="0" w:line="240" w:lineRule="auto"/>
              <w:jc w:val="left"/>
              <w:rPr>
                <w:sz w:val="20"/>
                <w:szCs w:val="20"/>
                <w:lang w:val="en-IN"/>
              </w:rPr>
            </w:pPr>
          </w:p>
        </w:tc>
      </w:tr>
      <w:tr w:rsidR="00BC24D3" w:rsidRPr="00BC24D3" w14:paraId="54354BEB" w14:textId="77777777" w:rsidTr="00BC24D3">
        <w:trPr>
          <w:trHeight w:val="312"/>
          <w:jc w:val="center"/>
        </w:trPr>
        <w:tc>
          <w:tcPr>
            <w:tcW w:w="1293" w:type="pct"/>
            <w:tcBorders>
              <w:top w:val="nil"/>
              <w:left w:val="single" w:sz="4" w:space="0" w:color="auto"/>
              <w:bottom w:val="single" w:sz="4" w:space="0" w:color="auto"/>
              <w:right w:val="single" w:sz="4" w:space="0" w:color="auto"/>
            </w:tcBorders>
            <w:shd w:val="clear" w:color="000000" w:fill="FFFFFF"/>
            <w:noWrap/>
            <w:vAlign w:val="bottom"/>
            <w:hideMark/>
          </w:tcPr>
          <w:p w14:paraId="4615394F" w14:textId="77777777" w:rsidR="00BC24D3" w:rsidRPr="00BC24D3" w:rsidRDefault="00BC24D3" w:rsidP="00BC24D3">
            <w:pPr>
              <w:spacing w:before="0" w:after="0" w:line="240" w:lineRule="auto"/>
              <w:jc w:val="left"/>
              <w:rPr>
                <w:rFonts w:ascii="Arial" w:hAnsi="Arial" w:cs="Arial"/>
                <w:b/>
                <w:bCs/>
                <w:color w:val="000000"/>
                <w:lang w:val="en-IN"/>
              </w:rPr>
            </w:pPr>
            <w:r w:rsidRPr="00BC24D3">
              <w:rPr>
                <w:rFonts w:ascii="Arial" w:hAnsi="Arial" w:cs="Arial"/>
                <w:b/>
                <w:bCs/>
                <w:color w:val="000000"/>
                <w:lang w:val="en-IN"/>
              </w:rPr>
              <w:t>"Free Cash Flow Margin"</w:t>
            </w:r>
          </w:p>
        </w:tc>
        <w:tc>
          <w:tcPr>
            <w:tcW w:w="1173" w:type="pct"/>
            <w:vMerge/>
            <w:tcBorders>
              <w:top w:val="nil"/>
              <w:left w:val="single" w:sz="4" w:space="0" w:color="auto"/>
              <w:bottom w:val="single" w:sz="4" w:space="0" w:color="auto"/>
              <w:right w:val="single" w:sz="4" w:space="0" w:color="auto"/>
            </w:tcBorders>
            <w:vAlign w:val="center"/>
            <w:hideMark/>
          </w:tcPr>
          <w:p w14:paraId="37445D12" w14:textId="77777777" w:rsidR="00BC24D3" w:rsidRPr="00BC24D3" w:rsidRDefault="00BC24D3" w:rsidP="00BC24D3">
            <w:pPr>
              <w:spacing w:before="0" w:after="0" w:line="240" w:lineRule="auto"/>
              <w:jc w:val="left"/>
              <w:rPr>
                <w:rFonts w:ascii="Arial" w:hAnsi="Arial" w:cs="Arial"/>
                <w:b/>
                <w:bCs/>
                <w:color w:val="000000"/>
                <w:lang w:val="en-IN"/>
              </w:rPr>
            </w:pPr>
          </w:p>
        </w:tc>
        <w:tc>
          <w:tcPr>
            <w:tcW w:w="512" w:type="pct"/>
            <w:tcBorders>
              <w:top w:val="nil"/>
              <w:left w:val="nil"/>
              <w:bottom w:val="single" w:sz="4" w:space="0" w:color="auto"/>
              <w:right w:val="single" w:sz="4" w:space="0" w:color="auto"/>
            </w:tcBorders>
            <w:shd w:val="clear" w:color="000000" w:fill="FFFFFF"/>
            <w:noWrap/>
            <w:vAlign w:val="bottom"/>
            <w:hideMark/>
          </w:tcPr>
          <w:p w14:paraId="54B35F6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0.002</w:t>
            </w:r>
          </w:p>
        </w:tc>
        <w:tc>
          <w:tcPr>
            <w:tcW w:w="490" w:type="pct"/>
            <w:tcBorders>
              <w:top w:val="nil"/>
              <w:left w:val="nil"/>
              <w:bottom w:val="single" w:sz="4" w:space="0" w:color="auto"/>
              <w:right w:val="single" w:sz="4" w:space="0" w:color="auto"/>
            </w:tcBorders>
            <w:shd w:val="clear" w:color="000000" w:fill="FFFFFF"/>
            <w:noWrap/>
            <w:vAlign w:val="bottom"/>
            <w:hideMark/>
          </w:tcPr>
          <w:p w14:paraId="00606A96"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0.015</w:t>
            </w:r>
          </w:p>
        </w:tc>
        <w:tc>
          <w:tcPr>
            <w:tcW w:w="490" w:type="pct"/>
            <w:tcBorders>
              <w:top w:val="nil"/>
              <w:left w:val="nil"/>
              <w:bottom w:val="single" w:sz="4" w:space="0" w:color="auto"/>
              <w:right w:val="single" w:sz="4" w:space="0" w:color="auto"/>
            </w:tcBorders>
            <w:shd w:val="clear" w:color="000000" w:fill="FFFFFF"/>
            <w:noWrap/>
            <w:vAlign w:val="bottom"/>
            <w:hideMark/>
          </w:tcPr>
          <w:p w14:paraId="0DE5A063"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0.056</w:t>
            </w:r>
          </w:p>
        </w:tc>
        <w:tc>
          <w:tcPr>
            <w:tcW w:w="490" w:type="pct"/>
            <w:tcBorders>
              <w:top w:val="nil"/>
              <w:left w:val="nil"/>
              <w:bottom w:val="single" w:sz="4" w:space="0" w:color="auto"/>
              <w:right w:val="single" w:sz="4" w:space="0" w:color="auto"/>
            </w:tcBorders>
            <w:shd w:val="clear" w:color="000000" w:fill="FFFFFF"/>
            <w:noWrap/>
            <w:vAlign w:val="bottom"/>
            <w:hideMark/>
          </w:tcPr>
          <w:p w14:paraId="3D46A9AB"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0.112</w:t>
            </w:r>
          </w:p>
        </w:tc>
        <w:tc>
          <w:tcPr>
            <w:tcW w:w="490" w:type="pct"/>
            <w:tcBorders>
              <w:top w:val="nil"/>
              <w:left w:val="nil"/>
              <w:bottom w:val="single" w:sz="4" w:space="0" w:color="auto"/>
              <w:right w:val="single" w:sz="4" w:space="0" w:color="auto"/>
            </w:tcBorders>
            <w:shd w:val="clear" w:color="000000" w:fill="FFFFFF"/>
            <w:noWrap/>
            <w:vAlign w:val="bottom"/>
            <w:hideMark/>
          </w:tcPr>
          <w:p w14:paraId="5AE7D3B3" w14:textId="77777777" w:rsidR="00BC24D3" w:rsidRPr="00BC24D3" w:rsidRDefault="00BC24D3" w:rsidP="00BC24D3">
            <w:pPr>
              <w:spacing w:before="0" w:after="0" w:line="240" w:lineRule="auto"/>
              <w:jc w:val="right"/>
              <w:rPr>
                <w:rFonts w:ascii="Arial" w:hAnsi="Arial" w:cs="Arial"/>
                <w:b/>
                <w:bCs/>
                <w:color w:val="000000"/>
                <w:lang w:val="en-IN"/>
              </w:rPr>
            </w:pPr>
            <w:r w:rsidRPr="00BC24D3">
              <w:rPr>
                <w:rFonts w:ascii="Arial" w:hAnsi="Arial" w:cs="Arial"/>
                <w:b/>
                <w:bCs/>
                <w:color w:val="000000"/>
                <w:lang w:val="en-IN"/>
              </w:rPr>
              <w:t>0.062</w:t>
            </w:r>
          </w:p>
        </w:tc>
        <w:tc>
          <w:tcPr>
            <w:tcW w:w="60" w:type="pct"/>
            <w:vAlign w:val="center"/>
            <w:hideMark/>
          </w:tcPr>
          <w:p w14:paraId="0AB1707E" w14:textId="77777777" w:rsidR="00BC24D3" w:rsidRPr="00BC24D3" w:rsidRDefault="00BC24D3" w:rsidP="00BC24D3">
            <w:pPr>
              <w:spacing w:before="0" w:after="0" w:line="240" w:lineRule="auto"/>
              <w:jc w:val="left"/>
              <w:rPr>
                <w:sz w:val="20"/>
                <w:szCs w:val="20"/>
                <w:lang w:val="en-IN"/>
              </w:rPr>
            </w:pPr>
          </w:p>
        </w:tc>
      </w:tr>
    </w:tbl>
    <w:p w14:paraId="2B020783" w14:textId="161A373A" w:rsidR="006F7CD0" w:rsidRDefault="00BC24D3" w:rsidP="00BC24D3">
      <w:pPr>
        <w:jc w:val="center"/>
        <w:rPr>
          <w:rFonts w:ascii="Arial" w:eastAsia="Arial" w:hAnsi="Arial" w:cs="Arial"/>
        </w:rPr>
      </w:pPr>
      <w:r>
        <w:rPr>
          <w:rFonts w:ascii="Arial" w:eastAsia="Arial" w:hAnsi="Arial" w:cs="Arial"/>
        </w:rPr>
        <w:t>(Source: Excel)</w:t>
      </w:r>
    </w:p>
    <w:tbl>
      <w:tblPr>
        <w:tblW w:w="5000" w:type="pct"/>
        <w:tblLook w:val="04A0" w:firstRow="1" w:lastRow="0" w:firstColumn="1" w:lastColumn="0" w:noHBand="0" w:noVBand="1"/>
      </w:tblPr>
      <w:tblGrid>
        <w:gridCol w:w="2638"/>
        <w:gridCol w:w="1726"/>
        <w:gridCol w:w="931"/>
        <w:gridCol w:w="931"/>
        <w:gridCol w:w="931"/>
        <w:gridCol w:w="931"/>
        <w:gridCol w:w="931"/>
      </w:tblGrid>
      <w:tr w:rsidR="00BC24D3" w:rsidRPr="00BC24D3" w14:paraId="68C54417" w14:textId="77777777" w:rsidTr="00BC24D3">
        <w:trPr>
          <w:trHeight w:val="312"/>
        </w:trPr>
        <w:tc>
          <w:tcPr>
            <w:tcW w:w="5000" w:type="pct"/>
            <w:gridSpan w:val="7"/>
            <w:tcBorders>
              <w:top w:val="single" w:sz="4" w:space="0" w:color="auto"/>
              <w:left w:val="single" w:sz="4" w:space="0" w:color="auto"/>
              <w:bottom w:val="single" w:sz="4" w:space="0" w:color="auto"/>
              <w:right w:val="single" w:sz="4" w:space="0" w:color="auto"/>
            </w:tcBorders>
            <w:shd w:val="clear" w:color="000000" w:fill="FF9999"/>
            <w:noWrap/>
            <w:vAlign w:val="bottom"/>
            <w:hideMark/>
          </w:tcPr>
          <w:p w14:paraId="68463752"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"Cash Operating Cycle (CCC)"</w:t>
            </w:r>
          </w:p>
        </w:tc>
      </w:tr>
      <w:tr w:rsidR="00BC24D3" w:rsidRPr="00BC24D3" w14:paraId="60ED0C9F"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72D2177F"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"Financial aspects"</w:t>
            </w:r>
          </w:p>
        </w:tc>
        <w:tc>
          <w:tcPr>
            <w:tcW w:w="1051" w:type="pct"/>
            <w:tcBorders>
              <w:top w:val="nil"/>
              <w:left w:val="nil"/>
              <w:bottom w:val="single" w:sz="4" w:space="0" w:color="auto"/>
              <w:right w:val="single" w:sz="4" w:space="0" w:color="auto"/>
            </w:tcBorders>
            <w:noWrap/>
            <w:vAlign w:val="bottom"/>
            <w:hideMark/>
          </w:tcPr>
          <w:p w14:paraId="00DC479F"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"Formula"</w:t>
            </w:r>
          </w:p>
        </w:tc>
        <w:tc>
          <w:tcPr>
            <w:tcW w:w="473" w:type="pct"/>
            <w:tcBorders>
              <w:top w:val="nil"/>
              <w:left w:val="nil"/>
              <w:bottom w:val="single" w:sz="4" w:space="0" w:color="auto"/>
              <w:right w:val="single" w:sz="4" w:space="0" w:color="auto"/>
            </w:tcBorders>
            <w:noWrap/>
            <w:vAlign w:val="bottom"/>
            <w:hideMark/>
          </w:tcPr>
          <w:p w14:paraId="1DB44235"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2024</w:t>
            </w:r>
          </w:p>
        </w:tc>
        <w:tc>
          <w:tcPr>
            <w:tcW w:w="473" w:type="pct"/>
            <w:tcBorders>
              <w:top w:val="nil"/>
              <w:left w:val="nil"/>
              <w:bottom w:val="single" w:sz="4" w:space="0" w:color="auto"/>
              <w:right w:val="single" w:sz="4" w:space="0" w:color="auto"/>
            </w:tcBorders>
            <w:noWrap/>
            <w:vAlign w:val="bottom"/>
            <w:hideMark/>
          </w:tcPr>
          <w:p w14:paraId="275C9B83"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2023</w:t>
            </w:r>
          </w:p>
        </w:tc>
        <w:tc>
          <w:tcPr>
            <w:tcW w:w="473" w:type="pct"/>
            <w:tcBorders>
              <w:top w:val="nil"/>
              <w:left w:val="nil"/>
              <w:bottom w:val="single" w:sz="4" w:space="0" w:color="auto"/>
              <w:right w:val="single" w:sz="4" w:space="0" w:color="auto"/>
            </w:tcBorders>
            <w:noWrap/>
            <w:vAlign w:val="bottom"/>
            <w:hideMark/>
          </w:tcPr>
          <w:p w14:paraId="26C6AEAB"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2022</w:t>
            </w:r>
          </w:p>
        </w:tc>
        <w:tc>
          <w:tcPr>
            <w:tcW w:w="473" w:type="pct"/>
            <w:tcBorders>
              <w:top w:val="nil"/>
              <w:left w:val="nil"/>
              <w:bottom w:val="single" w:sz="4" w:space="0" w:color="auto"/>
              <w:right w:val="single" w:sz="4" w:space="0" w:color="auto"/>
            </w:tcBorders>
            <w:noWrap/>
            <w:vAlign w:val="bottom"/>
            <w:hideMark/>
          </w:tcPr>
          <w:p w14:paraId="2F27AF8D"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2021</w:t>
            </w:r>
          </w:p>
        </w:tc>
        <w:tc>
          <w:tcPr>
            <w:tcW w:w="473" w:type="pct"/>
            <w:tcBorders>
              <w:top w:val="nil"/>
              <w:left w:val="nil"/>
              <w:bottom w:val="single" w:sz="4" w:space="0" w:color="auto"/>
              <w:right w:val="single" w:sz="4" w:space="0" w:color="auto"/>
            </w:tcBorders>
            <w:noWrap/>
            <w:vAlign w:val="bottom"/>
            <w:hideMark/>
          </w:tcPr>
          <w:p w14:paraId="208672C1" w14:textId="77777777" w:rsidR="00BC24D3" w:rsidRPr="00BC24D3" w:rsidRDefault="00BC24D3" w:rsidP="00BC24D3">
            <w:pPr>
              <w:spacing w:before="0" w:after="0" w:line="240" w:lineRule="auto"/>
              <w:jc w:val="center"/>
              <w:rPr>
                <w:rFonts w:ascii="Arial" w:hAnsi="Arial" w:cs="Arial"/>
                <w:b/>
                <w:bCs/>
                <w:lang w:val="en-IN"/>
              </w:rPr>
            </w:pPr>
            <w:r w:rsidRPr="00BC24D3">
              <w:rPr>
                <w:rFonts w:ascii="Arial" w:hAnsi="Arial" w:cs="Arial"/>
                <w:b/>
                <w:bCs/>
                <w:lang w:val="en-IN"/>
              </w:rPr>
              <w:t>2020</w:t>
            </w:r>
          </w:p>
        </w:tc>
      </w:tr>
      <w:tr w:rsidR="00BC24D3" w:rsidRPr="00BC24D3" w14:paraId="0AAA36FB"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010A224B"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1. Inventory Days (Inventory Holding Period)</w:t>
            </w:r>
          </w:p>
        </w:tc>
        <w:tc>
          <w:tcPr>
            <w:tcW w:w="1051" w:type="pct"/>
            <w:vMerge w:val="restart"/>
            <w:tcBorders>
              <w:top w:val="nil"/>
              <w:left w:val="single" w:sz="4" w:space="0" w:color="auto"/>
              <w:bottom w:val="single" w:sz="4" w:space="0" w:color="auto"/>
              <w:right w:val="single" w:sz="4" w:space="0" w:color="auto"/>
            </w:tcBorders>
            <w:vAlign w:val="center"/>
            <w:hideMark/>
          </w:tcPr>
          <w:p w14:paraId="7CD2500A"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(Inventory/Sales)*365</w:t>
            </w:r>
          </w:p>
        </w:tc>
        <w:tc>
          <w:tcPr>
            <w:tcW w:w="2366" w:type="pct"/>
            <w:gridSpan w:val="5"/>
            <w:tcBorders>
              <w:top w:val="single" w:sz="4" w:space="0" w:color="auto"/>
              <w:left w:val="nil"/>
              <w:bottom w:val="single" w:sz="4" w:space="0" w:color="auto"/>
              <w:right w:val="single" w:sz="4" w:space="0" w:color="auto"/>
            </w:tcBorders>
            <w:noWrap/>
            <w:vAlign w:val="bottom"/>
            <w:hideMark/>
          </w:tcPr>
          <w:p w14:paraId="2B5583B3"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 </w:t>
            </w:r>
          </w:p>
        </w:tc>
      </w:tr>
      <w:tr w:rsidR="00BC24D3" w:rsidRPr="00BC24D3" w14:paraId="68265DD0"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3F0C0391"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Inventory</w:t>
            </w:r>
          </w:p>
        </w:tc>
        <w:tc>
          <w:tcPr>
            <w:tcW w:w="1051" w:type="pct"/>
            <w:vMerge/>
            <w:tcBorders>
              <w:top w:val="nil"/>
              <w:left w:val="single" w:sz="4" w:space="0" w:color="auto"/>
              <w:bottom w:val="single" w:sz="4" w:space="0" w:color="auto"/>
              <w:right w:val="single" w:sz="4" w:space="0" w:color="auto"/>
            </w:tcBorders>
            <w:vAlign w:val="center"/>
            <w:hideMark/>
          </w:tcPr>
          <w:p w14:paraId="4AF196FC"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313A1C10"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56,720.00 </w:t>
            </w:r>
          </w:p>
        </w:tc>
        <w:tc>
          <w:tcPr>
            <w:tcW w:w="473" w:type="pct"/>
            <w:tcBorders>
              <w:top w:val="nil"/>
              <w:left w:val="nil"/>
              <w:bottom w:val="single" w:sz="4" w:space="0" w:color="auto"/>
              <w:right w:val="single" w:sz="4" w:space="0" w:color="auto"/>
            </w:tcBorders>
            <w:noWrap/>
            <w:vAlign w:val="bottom"/>
            <w:hideMark/>
          </w:tcPr>
          <w:p w14:paraId="1D53557A"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53,601.00 </w:t>
            </w:r>
          </w:p>
        </w:tc>
        <w:tc>
          <w:tcPr>
            <w:tcW w:w="473" w:type="pct"/>
            <w:tcBorders>
              <w:top w:val="nil"/>
              <w:left w:val="nil"/>
              <w:bottom w:val="single" w:sz="4" w:space="0" w:color="auto"/>
              <w:right w:val="single" w:sz="4" w:space="0" w:color="auto"/>
            </w:tcBorders>
            <w:noWrap/>
            <w:vAlign w:val="bottom"/>
            <w:hideMark/>
          </w:tcPr>
          <w:p w14:paraId="2102DD9F"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52,274.00 </w:t>
            </w:r>
          </w:p>
        </w:tc>
        <w:tc>
          <w:tcPr>
            <w:tcW w:w="473" w:type="pct"/>
            <w:tcBorders>
              <w:top w:val="nil"/>
              <w:left w:val="nil"/>
              <w:bottom w:val="single" w:sz="4" w:space="0" w:color="auto"/>
              <w:right w:val="single" w:sz="4" w:space="0" w:color="auto"/>
            </w:tcBorders>
            <w:noWrap/>
            <w:vAlign w:val="bottom"/>
            <w:hideMark/>
          </w:tcPr>
          <w:p w14:paraId="05FCEE5D"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43,725.00 </w:t>
            </w:r>
          </w:p>
        </w:tc>
        <w:tc>
          <w:tcPr>
            <w:tcW w:w="473" w:type="pct"/>
            <w:tcBorders>
              <w:top w:val="nil"/>
              <w:left w:val="nil"/>
              <w:bottom w:val="single" w:sz="4" w:space="0" w:color="auto"/>
              <w:right w:val="single" w:sz="4" w:space="0" w:color="auto"/>
            </w:tcBorders>
            <w:noWrap/>
            <w:vAlign w:val="bottom"/>
            <w:hideMark/>
          </w:tcPr>
          <w:p w14:paraId="535111D8"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43,823.00 </w:t>
            </w:r>
          </w:p>
        </w:tc>
      </w:tr>
      <w:tr w:rsidR="00BC24D3" w:rsidRPr="00BC24D3" w14:paraId="0D5C8D94"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22E9E64E"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Sales</w:t>
            </w:r>
          </w:p>
        </w:tc>
        <w:tc>
          <w:tcPr>
            <w:tcW w:w="1051" w:type="pct"/>
            <w:vMerge/>
            <w:tcBorders>
              <w:top w:val="nil"/>
              <w:left w:val="single" w:sz="4" w:space="0" w:color="auto"/>
              <w:bottom w:val="single" w:sz="4" w:space="0" w:color="auto"/>
              <w:right w:val="single" w:sz="4" w:space="0" w:color="auto"/>
            </w:tcBorders>
            <w:vAlign w:val="center"/>
            <w:hideMark/>
          </w:tcPr>
          <w:p w14:paraId="02350DD7"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486099DE"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€ 3,24,656.00 </w:t>
            </w:r>
          </w:p>
        </w:tc>
        <w:tc>
          <w:tcPr>
            <w:tcW w:w="473" w:type="pct"/>
            <w:tcBorders>
              <w:top w:val="nil"/>
              <w:left w:val="nil"/>
              <w:bottom w:val="single" w:sz="4" w:space="0" w:color="auto"/>
              <w:right w:val="single" w:sz="4" w:space="0" w:color="auto"/>
            </w:tcBorders>
            <w:noWrap/>
            <w:vAlign w:val="bottom"/>
            <w:hideMark/>
          </w:tcPr>
          <w:p w14:paraId="3CFBAC4C"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€ 3,22,284.00 </w:t>
            </w:r>
          </w:p>
        </w:tc>
        <w:tc>
          <w:tcPr>
            <w:tcW w:w="473" w:type="pct"/>
            <w:tcBorders>
              <w:top w:val="nil"/>
              <w:left w:val="nil"/>
              <w:bottom w:val="single" w:sz="4" w:space="0" w:color="auto"/>
              <w:right w:val="single" w:sz="4" w:space="0" w:color="auto"/>
            </w:tcBorders>
            <w:noWrap/>
            <w:vAlign w:val="bottom"/>
            <w:hideMark/>
          </w:tcPr>
          <w:p w14:paraId="1E0DB781"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€ 2,79,232.00 </w:t>
            </w:r>
          </w:p>
        </w:tc>
        <w:tc>
          <w:tcPr>
            <w:tcW w:w="473" w:type="pct"/>
            <w:tcBorders>
              <w:top w:val="nil"/>
              <w:left w:val="nil"/>
              <w:bottom w:val="single" w:sz="4" w:space="0" w:color="auto"/>
              <w:right w:val="single" w:sz="4" w:space="0" w:color="auto"/>
            </w:tcBorders>
            <w:noWrap/>
            <w:vAlign w:val="bottom"/>
            <w:hideMark/>
          </w:tcPr>
          <w:p w14:paraId="0F4585D1"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€ 2,50,200.00 </w:t>
            </w:r>
          </w:p>
        </w:tc>
        <w:tc>
          <w:tcPr>
            <w:tcW w:w="473" w:type="pct"/>
            <w:tcBorders>
              <w:top w:val="nil"/>
              <w:left w:val="nil"/>
              <w:bottom w:val="single" w:sz="4" w:space="0" w:color="auto"/>
              <w:right w:val="single" w:sz="4" w:space="0" w:color="auto"/>
            </w:tcBorders>
            <w:noWrap/>
            <w:vAlign w:val="bottom"/>
            <w:hideMark/>
          </w:tcPr>
          <w:p w14:paraId="792B4E02"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€ 2,22,884.00 </w:t>
            </w:r>
          </w:p>
        </w:tc>
      </w:tr>
      <w:tr w:rsidR="00BC24D3" w:rsidRPr="00BC24D3" w14:paraId="6C379191"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32B01B24"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Inventory Days</w:t>
            </w:r>
          </w:p>
        </w:tc>
        <w:tc>
          <w:tcPr>
            <w:tcW w:w="1051" w:type="pct"/>
            <w:vMerge/>
            <w:tcBorders>
              <w:top w:val="nil"/>
              <w:left w:val="single" w:sz="4" w:space="0" w:color="auto"/>
              <w:bottom w:val="single" w:sz="4" w:space="0" w:color="auto"/>
              <w:right w:val="single" w:sz="4" w:space="0" w:color="auto"/>
            </w:tcBorders>
            <w:vAlign w:val="center"/>
            <w:hideMark/>
          </w:tcPr>
          <w:p w14:paraId="290E0CA5"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1B07E43E"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63.77</w:t>
            </w:r>
          </w:p>
        </w:tc>
        <w:tc>
          <w:tcPr>
            <w:tcW w:w="473" w:type="pct"/>
            <w:tcBorders>
              <w:top w:val="nil"/>
              <w:left w:val="nil"/>
              <w:bottom w:val="single" w:sz="4" w:space="0" w:color="auto"/>
              <w:right w:val="single" w:sz="4" w:space="0" w:color="auto"/>
            </w:tcBorders>
            <w:noWrap/>
            <w:vAlign w:val="bottom"/>
            <w:hideMark/>
          </w:tcPr>
          <w:p w14:paraId="18CBF13F"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60.71</w:t>
            </w:r>
          </w:p>
        </w:tc>
        <w:tc>
          <w:tcPr>
            <w:tcW w:w="473" w:type="pct"/>
            <w:tcBorders>
              <w:top w:val="nil"/>
              <w:left w:val="nil"/>
              <w:bottom w:val="single" w:sz="4" w:space="0" w:color="auto"/>
              <w:right w:val="single" w:sz="4" w:space="0" w:color="auto"/>
            </w:tcBorders>
            <w:noWrap/>
            <w:vAlign w:val="bottom"/>
            <w:hideMark/>
          </w:tcPr>
          <w:p w14:paraId="62F2C5BE"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68.33</w:t>
            </w:r>
          </w:p>
        </w:tc>
        <w:tc>
          <w:tcPr>
            <w:tcW w:w="473" w:type="pct"/>
            <w:tcBorders>
              <w:top w:val="nil"/>
              <w:left w:val="nil"/>
              <w:bottom w:val="single" w:sz="4" w:space="0" w:color="auto"/>
              <w:right w:val="single" w:sz="4" w:space="0" w:color="auto"/>
            </w:tcBorders>
            <w:noWrap/>
            <w:vAlign w:val="bottom"/>
            <w:hideMark/>
          </w:tcPr>
          <w:p w14:paraId="1698EB49"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63.79</w:t>
            </w:r>
          </w:p>
        </w:tc>
        <w:tc>
          <w:tcPr>
            <w:tcW w:w="473" w:type="pct"/>
            <w:tcBorders>
              <w:top w:val="nil"/>
              <w:left w:val="nil"/>
              <w:bottom w:val="single" w:sz="4" w:space="0" w:color="auto"/>
              <w:right w:val="single" w:sz="4" w:space="0" w:color="auto"/>
            </w:tcBorders>
            <w:noWrap/>
            <w:vAlign w:val="bottom"/>
            <w:hideMark/>
          </w:tcPr>
          <w:p w14:paraId="0386FA28"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71.77</w:t>
            </w:r>
          </w:p>
        </w:tc>
      </w:tr>
      <w:tr w:rsidR="00BC24D3" w:rsidRPr="00BC24D3" w14:paraId="1F029203"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2AD85AFE"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2. Receivable Days (Debtor Collection Period)</w:t>
            </w:r>
          </w:p>
        </w:tc>
        <w:tc>
          <w:tcPr>
            <w:tcW w:w="1051" w:type="pct"/>
            <w:vMerge w:val="restart"/>
            <w:tcBorders>
              <w:top w:val="nil"/>
              <w:left w:val="single" w:sz="4" w:space="0" w:color="auto"/>
              <w:bottom w:val="single" w:sz="4" w:space="0" w:color="auto"/>
              <w:right w:val="single" w:sz="4" w:space="0" w:color="auto"/>
            </w:tcBorders>
            <w:vAlign w:val="center"/>
            <w:hideMark/>
          </w:tcPr>
          <w:p w14:paraId="49278ABB"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(Accounts Receivable​/Sales)*365</w:t>
            </w:r>
          </w:p>
        </w:tc>
        <w:tc>
          <w:tcPr>
            <w:tcW w:w="2366" w:type="pct"/>
            <w:gridSpan w:val="5"/>
            <w:tcBorders>
              <w:top w:val="single" w:sz="4" w:space="0" w:color="auto"/>
              <w:left w:val="nil"/>
              <w:bottom w:val="single" w:sz="4" w:space="0" w:color="auto"/>
              <w:right w:val="single" w:sz="4" w:space="0" w:color="auto"/>
            </w:tcBorders>
            <w:noWrap/>
            <w:vAlign w:val="bottom"/>
            <w:hideMark/>
          </w:tcPr>
          <w:p w14:paraId="0D01F437"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 </w:t>
            </w:r>
          </w:p>
        </w:tc>
      </w:tr>
      <w:tr w:rsidR="00BC24D3" w:rsidRPr="00BC24D3" w14:paraId="5CC1304E"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40A84120"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Accounts Receivable​</w:t>
            </w:r>
          </w:p>
        </w:tc>
        <w:tc>
          <w:tcPr>
            <w:tcW w:w="1051" w:type="pct"/>
            <w:vMerge/>
            <w:tcBorders>
              <w:top w:val="nil"/>
              <w:left w:val="single" w:sz="4" w:space="0" w:color="auto"/>
              <w:bottom w:val="single" w:sz="4" w:space="0" w:color="auto"/>
              <w:right w:val="single" w:sz="4" w:space="0" w:color="auto"/>
            </w:tcBorders>
            <w:vAlign w:val="center"/>
            <w:hideMark/>
          </w:tcPr>
          <w:p w14:paraId="11D73FC5"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09B62590"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21,130.00 </w:t>
            </w:r>
          </w:p>
        </w:tc>
        <w:tc>
          <w:tcPr>
            <w:tcW w:w="473" w:type="pct"/>
            <w:tcBorders>
              <w:top w:val="nil"/>
              <w:left w:val="nil"/>
              <w:bottom w:val="single" w:sz="4" w:space="0" w:color="auto"/>
              <w:right w:val="single" w:sz="4" w:space="0" w:color="auto"/>
            </w:tcBorders>
            <w:noWrap/>
            <w:vAlign w:val="bottom"/>
            <w:hideMark/>
          </w:tcPr>
          <w:p w14:paraId="2BCBB33F"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89,109.00 </w:t>
            </w:r>
          </w:p>
        </w:tc>
        <w:tc>
          <w:tcPr>
            <w:tcW w:w="473" w:type="pct"/>
            <w:tcBorders>
              <w:top w:val="nil"/>
              <w:left w:val="nil"/>
              <w:bottom w:val="single" w:sz="4" w:space="0" w:color="auto"/>
              <w:right w:val="single" w:sz="4" w:space="0" w:color="auto"/>
            </w:tcBorders>
            <w:noWrap/>
            <w:vAlign w:val="bottom"/>
            <w:hideMark/>
          </w:tcPr>
          <w:p w14:paraId="40A838A0"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83,241.00 </w:t>
            </w:r>
          </w:p>
        </w:tc>
        <w:tc>
          <w:tcPr>
            <w:tcW w:w="473" w:type="pct"/>
            <w:tcBorders>
              <w:top w:val="nil"/>
              <w:left w:val="nil"/>
              <w:bottom w:val="single" w:sz="4" w:space="0" w:color="auto"/>
              <w:right w:val="single" w:sz="4" w:space="0" w:color="auto"/>
            </w:tcBorders>
            <w:noWrap/>
            <w:vAlign w:val="bottom"/>
            <w:hideMark/>
          </w:tcPr>
          <w:p w14:paraId="10912992"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77,689.00 </w:t>
            </w:r>
          </w:p>
        </w:tc>
        <w:tc>
          <w:tcPr>
            <w:tcW w:w="473" w:type="pct"/>
            <w:tcBorders>
              <w:top w:val="nil"/>
              <w:left w:val="nil"/>
              <w:bottom w:val="single" w:sz="4" w:space="0" w:color="auto"/>
              <w:right w:val="single" w:sz="4" w:space="0" w:color="auto"/>
            </w:tcBorders>
            <w:noWrap/>
            <w:vAlign w:val="bottom"/>
            <w:hideMark/>
          </w:tcPr>
          <w:p w14:paraId="2BF4788B"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67,968.00 </w:t>
            </w:r>
          </w:p>
        </w:tc>
      </w:tr>
      <w:tr w:rsidR="00BC24D3" w:rsidRPr="00BC24D3" w14:paraId="028CEAEF"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7A6708EF"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Sales</w:t>
            </w:r>
          </w:p>
        </w:tc>
        <w:tc>
          <w:tcPr>
            <w:tcW w:w="1051" w:type="pct"/>
            <w:vMerge/>
            <w:tcBorders>
              <w:top w:val="nil"/>
              <w:left w:val="single" w:sz="4" w:space="0" w:color="auto"/>
              <w:bottom w:val="single" w:sz="4" w:space="0" w:color="auto"/>
              <w:right w:val="single" w:sz="4" w:space="0" w:color="auto"/>
            </w:tcBorders>
            <w:vAlign w:val="center"/>
            <w:hideMark/>
          </w:tcPr>
          <w:p w14:paraId="5DCEA88A"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5C24AFBD"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€ 3,24,656.00 </w:t>
            </w:r>
          </w:p>
        </w:tc>
        <w:tc>
          <w:tcPr>
            <w:tcW w:w="473" w:type="pct"/>
            <w:tcBorders>
              <w:top w:val="nil"/>
              <w:left w:val="nil"/>
              <w:bottom w:val="single" w:sz="4" w:space="0" w:color="auto"/>
              <w:right w:val="single" w:sz="4" w:space="0" w:color="auto"/>
            </w:tcBorders>
            <w:noWrap/>
            <w:vAlign w:val="bottom"/>
            <w:hideMark/>
          </w:tcPr>
          <w:p w14:paraId="0676DE4C"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€ 3,22,284.00 </w:t>
            </w:r>
          </w:p>
        </w:tc>
        <w:tc>
          <w:tcPr>
            <w:tcW w:w="473" w:type="pct"/>
            <w:tcBorders>
              <w:top w:val="nil"/>
              <w:left w:val="nil"/>
              <w:bottom w:val="single" w:sz="4" w:space="0" w:color="auto"/>
              <w:right w:val="single" w:sz="4" w:space="0" w:color="auto"/>
            </w:tcBorders>
            <w:noWrap/>
            <w:vAlign w:val="bottom"/>
            <w:hideMark/>
          </w:tcPr>
          <w:p w14:paraId="193ACE06"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€ 2,79,232.00 </w:t>
            </w:r>
          </w:p>
        </w:tc>
        <w:tc>
          <w:tcPr>
            <w:tcW w:w="473" w:type="pct"/>
            <w:tcBorders>
              <w:top w:val="nil"/>
              <w:left w:val="nil"/>
              <w:bottom w:val="single" w:sz="4" w:space="0" w:color="auto"/>
              <w:right w:val="single" w:sz="4" w:space="0" w:color="auto"/>
            </w:tcBorders>
            <w:noWrap/>
            <w:vAlign w:val="bottom"/>
            <w:hideMark/>
          </w:tcPr>
          <w:p w14:paraId="7FFE696F"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€ 2,50,200.00 </w:t>
            </w:r>
          </w:p>
        </w:tc>
        <w:tc>
          <w:tcPr>
            <w:tcW w:w="473" w:type="pct"/>
            <w:tcBorders>
              <w:top w:val="nil"/>
              <w:left w:val="nil"/>
              <w:bottom w:val="single" w:sz="4" w:space="0" w:color="auto"/>
              <w:right w:val="single" w:sz="4" w:space="0" w:color="auto"/>
            </w:tcBorders>
            <w:noWrap/>
            <w:vAlign w:val="bottom"/>
            <w:hideMark/>
          </w:tcPr>
          <w:p w14:paraId="5E1FBC70"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€ 2,22,884.00 </w:t>
            </w:r>
          </w:p>
        </w:tc>
      </w:tr>
      <w:tr w:rsidR="00BC24D3" w:rsidRPr="00BC24D3" w14:paraId="675B3F32"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731D88EB"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Receivable Days</w:t>
            </w:r>
          </w:p>
        </w:tc>
        <w:tc>
          <w:tcPr>
            <w:tcW w:w="1051" w:type="pct"/>
            <w:vMerge/>
            <w:tcBorders>
              <w:top w:val="nil"/>
              <w:left w:val="single" w:sz="4" w:space="0" w:color="auto"/>
              <w:bottom w:val="single" w:sz="4" w:space="0" w:color="auto"/>
              <w:right w:val="single" w:sz="4" w:space="0" w:color="auto"/>
            </w:tcBorders>
            <w:vAlign w:val="center"/>
            <w:hideMark/>
          </w:tcPr>
          <w:p w14:paraId="4F1AA51F"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4C3D6982"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23.76</w:t>
            </w:r>
          </w:p>
        </w:tc>
        <w:tc>
          <w:tcPr>
            <w:tcW w:w="473" w:type="pct"/>
            <w:tcBorders>
              <w:top w:val="nil"/>
              <w:left w:val="nil"/>
              <w:bottom w:val="single" w:sz="4" w:space="0" w:color="auto"/>
              <w:right w:val="single" w:sz="4" w:space="0" w:color="auto"/>
            </w:tcBorders>
            <w:noWrap/>
            <w:vAlign w:val="bottom"/>
            <w:hideMark/>
          </w:tcPr>
          <w:p w14:paraId="6B05727F"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100.92</w:t>
            </w:r>
          </w:p>
        </w:tc>
        <w:tc>
          <w:tcPr>
            <w:tcW w:w="473" w:type="pct"/>
            <w:tcBorders>
              <w:top w:val="nil"/>
              <w:left w:val="nil"/>
              <w:bottom w:val="single" w:sz="4" w:space="0" w:color="auto"/>
              <w:right w:val="single" w:sz="4" w:space="0" w:color="auto"/>
            </w:tcBorders>
            <w:noWrap/>
            <w:vAlign w:val="bottom"/>
            <w:hideMark/>
          </w:tcPr>
          <w:p w14:paraId="4B065CE9"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108.81</w:t>
            </w:r>
          </w:p>
        </w:tc>
        <w:tc>
          <w:tcPr>
            <w:tcW w:w="473" w:type="pct"/>
            <w:tcBorders>
              <w:top w:val="nil"/>
              <w:left w:val="nil"/>
              <w:bottom w:val="single" w:sz="4" w:space="0" w:color="auto"/>
              <w:right w:val="single" w:sz="4" w:space="0" w:color="auto"/>
            </w:tcBorders>
            <w:noWrap/>
            <w:vAlign w:val="bottom"/>
            <w:hideMark/>
          </w:tcPr>
          <w:p w14:paraId="4E272A57"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113.34</w:t>
            </w:r>
          </w:p>
        </w:tc>
        <w:tc>
          <w:tcPr>
            <w:tcW w:w="473" w:type="pct"/>
            <w:tcBorders>
              <w:top w:val="nil"/>
              <w:left w:val="nil"/>
              <w:bottom w:val="single" w:sz="4" w:space="0" w:color="auto"/>
              <w:right w:val="single" w:sz="4" w:space="0" w:color="auto"/>
            </w:tcBorders>
            <w:noWrap/>
            <w:vAlign w:val="bottom"/>
            <w:hideMark/>
          </w:tcPr>
          <w:p w14:paraId="4F902153"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111.31</w:t>
            </w:r>
          </w:p>
        </w:tc>
      </w:tr>
      <w:tr w:rsidR="00BC24D3" w:rsidRPr="00BC24D3" w14:paraId="38D1F7B1"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32945D65"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3. Payable Days (Creditor Payment Period)</w:t>
            </w:r>
          </w:p>
        </w:tc>
        <w:tc>
          <w:tcPr>
            <w:tcW w:w="1051" w:type="pct"/>
            <w:vMerge w:val="restart"/>
            <w:tcBorders>
              <w:top w:val="nil"/>
              <w:left w:val="single" w:sz="4" w:space="0" w:color="auto"/>
              <w:bottom w:val="single" w:sz="4" w:space="0" w:color="auto"/>
              <w:right w:val="single" w:sz="4" w:space="0" w:color="auto"/>
            </w:tcBorders>
            <w:noWrap/>
            <w:vAlign w:val="center"/>
            <w:hideMark/>
          </w:tcPr>
          <w:p w14:paraId="00CFCBAE"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(Accounts Payable​/Sales)*365</w:t>
            </w:r>
          </w:p>
        </w:tc>
        <w:tc>
          <w:tcPr>
            <w:tcW w:w="2366" w:type="pct"/>
            <w:gridSpan w:val="5"/>
            <w:tcBorders>
              <w:top w:val="single" w:sz="4" w:space="0" w:color="auto"/>
              <w:left w:val="nil"/>
              <w:bottom w:val="single" w:sz="4" w:space="0" w:color="auto"/>
              <w:right w:val="single" w:sz="4" w:space="0" w:color="auto"/>
            </w:tcBorders>
            <w:noWrap/>
            <w:vAlign w:val="bottom"/>
            <w:hideMark/>
          </w:tcPr>
          <w:p w14:paraId="3EC57979"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 </w:t>
            </w:r>
          </w:p>
        </w:tc>
      </w:tr>
      <w:tr w:rsidR="00BC24D3" w:rsidRPr="00BC24D3" w14:paraId="4432AD66"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6A181358"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Accounts Payable​</w:t>
            </w:r>
          </w:p>
        </w:tc>
        <w:tc>
          <w:tcPr>
            <w:tcW w:w="1051" w:type="pct"/>
            <w:vMerge/>
            <w:tcBorders>
              <w:top w:val="nil"/>
              <w:left w:val="single" w:sz="4" w:space="0" w:color="auto"/>
              <w:bottom w:val="single" w:sz="4" w:space="0" w:color="auto"/>
              <w:right w:val="single" w:sz="4" w:space="0" w:color="auto"/>
            </w:tcBorders>
            <w:vAlign w:val="center"/>
            <w:hideMark/>
          </w:tcPr>
          <w:p w14:paraId="38AB1333"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160C6B83"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29,772.00 </w:t>
            </w:r>
          </w:p>
        </w:tc>
        <w:tc>
          <w:tcPr>
            <w:tcW w:w="473" w:type="pct"/>
            <w:tcBorders>
              <w:top w:val="nil"/>
              <w:left w:val="nil"/>
              <w:bottom w:val="single" w:sz="4" w:space="0" w:color="auto"/>
              <w:right w:val="single" w:sz="4" w:space="0" w:color="auto"/>
            </w:tcBorders>
            <w:noWrap/>
            <w:vAlign w:val="bottom"/>
            <w:hideMark/>
          </w:tcPr>
          <w:p w14:paraId="75854E36"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30,901.00 </w:t>
            </w:r>
          </w:p>
        </w:tc>
        <w:tc>
          <w:tcPr>
            <w:tcW w:w="473" w:type="pct"/>
            <w:tcBorders>
              <w:top w:val="nil"/>
              <w:left w:val="nil"/>
              <w:bottom w:val="single" w:sz="4" w:space="0" w:color="auto"/>
              <w:right w:val="single" w:sz="4" w:space="0" w:color="auto"/>
            </w:tcBorders>
            <w:noWrap/>
            <w:vAlign w:val="bottom"/>
            <w:hideMark/>
          </w:tcPr>
          <w:p w14:paraId="161674B7"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28,748.00 </w:t>
            </w:r>
          </w:p>
        </w:tc>
        <w:tc>
          <w:tcPr>
            <w:tcW w:w="473" w:type="pct"/>
            <w:tcBorders>
              <w:top w:val="nil"/>
              <w:left w:val="nil"/>
              <w:bottom w:val="single" w:sz="4" w:space="0" w:color="auto"/>
              <w:right w:val="single" w:sz="4" w:space="0" w:color="auto"/>
            </w:tcBorders>
            <w:noWrap/>
            <w:vAlign w:val="bottom"/>
            <w:hideMark/>
          </w:tcPr>
          <w:p w14:paraId="76885723"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23,624.00 </w:t>
            </w:r>
          </w:p>
        </w:tc>
        <w:tc>
          <w:tcPr>
            <w:tcW w:w="473" w:type="pct"/>
            <w:tcBorders>
              <w:top w:val="nil"/>
              <w:left w:val="nil"/>
              <w:bottom w:val="single" w:sz="4" w:space="0" w:color="auto"/>
              <w:right w:val="single" w:sz="4" w:space="0" w:color="auto"/>
            </w:tcBorders>
            <w:noWrap/>
            <w:vAlign w:val="bottom"/>
            <w:hideMark/>
          </w:tcPr>
          <w:p w14:paraId="6783BE91"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22,677.00 </w:t>
            </w:r>
          </w:p>
        </w:tc>
      </w:tr>
      <w:tr w:rsidR="00BC24D3" w:rsidRPr="00BC24D3" w14:paraId="36E59670"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6732EB08"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Sales</w:t>
            </w:r>
          </w:p>
        </w:tc>
        <w:tc>
          <w:tcPr>
            <w:tcW w:w="1051" w:type="pct"/>
            <w:vMerge/>
            <w:tcBorders>
              <w:top w:val="nil"/>
              <w:left w:val="single" w:sz="4" w:space="0" w:color="auto"/>
              <w:bottom w:val="single" w:sz="4" w:space="0" w:color="auto"/>
              <w:right w:val="single" w:sz="4" w:space="0" w:color="auto"/>
            </w:tcBorders>
            <w:vAlign w:val="center"/>
            <w:hideMark/>
          </w:tcPr>
          <w:p w14:paraId="276F8EF7"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7DCC5346"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€ 3,24,656.00 </w:t>
            </w:r>
          </w:p>
        </w:tc>
        <w:tc>
          <w:tcPr>
            <w:tcW w:w="473" w:type="pct"/>
            <w:tcBorders>
              <w:top w:val="nil"/>
              <w:left w:val="nil"/>
              <w:bottom w:val="single" w:sz="4" w:space="0" w:color="auto"/>
              <w:right w:val="single" w:sz="4" w:space="0" w:color="auto"/>
            </w:tcBorders>
            <w:noWrap/>
            <w:vAlign w:val="bottom"/>
            <w:hideMark/>
          </w:tcPr>
          <w:p w14:paraId="22A39174"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€ 3,22,284.00 </w:t>
            </w:r>
          </w:p>
        </w:tc>
        <w:tc>
          <w:tcPr>
            <w:tcW w:w="473" w:type="pct"/>
            <w:tcBorders>
              <w:top w:val="nil"/>
              <w:left w:val="nil"/>
              <w:bottom w:val="single" w:sz="4" w:space="0" w:color="auto"/>
              <w:right w:val="single" w:sz="4" w:space="0" w:color="auto"/>
            </w:tcBorders>
            <w:noWrap/>
            <w:vAlign w:val="bottom"/>
            <w:hideMark/>
          </w:tcPr>
          <w:p w14:paraId="780FCDB4"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€ 2,79,232.00 </w:t>
            </w:r>
          </w:p>
        </w:tc>
        <w:tc>
          <w:tcPr>
            <w:tcW w:w="473" w:type="pct"/>
            <w:tcBorders>
              <w:top w:val="nil"/>
              <w:left w:val="nil"/>
              <w:bottom w:val="single" w:sz="4" w:space="0" w:color="auto"/>
              <w:right w:val="single" w:sz="4" w:space="0" w:color="auto"/>
            </w:tcBorders>
            <w:noWrap/>
            <w:vAlign w:val="bottom"/>
            <w:hideMark/>
          </w:tcPr>
          <w:p w14:paraId="115365EF"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€ 2,50,200.00 </w:t>
            </w:r>
          </w:p>
        </w:tc>
        <w:tc>
          <w:tcPr>
            <w:tcW w:w="473" w:type="pct"/>
            <w:tcBorders>
              <w:top w:val="nil"/>
              <w:left w:val="nil"/>
              <w:bottom w:val="single" w:sz="4" w:space="0" w:color="auto"/>
              <w:right w:val="single" w:sz="4" w:space="0" w:color="auto"/>
            </w:tcBorders>
            <w:noWrap/>
            <w:vAlign w:val="bottom"/>
            <w:hideMark/>
          </w:tcPr>
          <w:p w14:paraId="477A38E5" w14:textId="77777777" w:rsidR="00BC24D3" w:rsidRPr="00BC24D3" w:rsidRDefault="00BC24D3" w:rsidP="00BC24D3">
            <w:pPr>
              <w:spacing w:before="0" w:after="0" w:line="240" w:lineRule="auto"/>
              <w:jc w:val="left"/>
              <w:rPr>
                <w:rFonts w:ascii="Arial" w:hAnsi="Arial" w:cs="Arial"/>
                <w:lang w:val="en-IN"/>
              </w:rPr>
            </w:pPr>
            <w:r w:rsidRPr="00BC24D3">
              <w:rPr>
                <w:rFonts w:ascii="Arial" w:hAnsi="Arial" w:cs="Arial"/>
                <w:lang w:val="en-IN"/>
              </w:rPr>
              <w:t xml:space="preserve"> € 2,22,884.00 </w:t>
            </w:r>
          </w:p>
        </w:tc>
      </w:tr>
      <w:tr w:rsidR="00BC24D3" w:rsidRPr="00BC24D3" w14:paraId="4D4E0A93" w14:textId="77777777" w:rsidTr="00BC24D3">
        <w:trPr>
          <w:trHeight w:val="312"/>
        </w:trPr>
        <w:tc>
          <w:tcPr>
            <w:tcW w:w="1583" w:type="pct"/>
            <w:tcBorders>
              <w:top w:val="nil"/>
              <w:left w:val="single" w:sz="4" w:space="0" w:color="auto"/>
              <w:bottom w:val="single" w:sz="4" w:space="0" w:color="auto"/>
              <w:right w:val="single" w:sz="4" w:space="0" w:color="auto"/>
            </w:tcBorders>
            <w:noWrap/>
            <w:vAlign w:val="bottom"/>
            <w:hideMark/>
          </w:tcPr>
          <w:p w14:paraId="20C91A16"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Payable Days</w:t>
            </w:r>
          </w:p>
        </w:tc>
        <w:tc>
          <w:tcPr>
            <w:tcW w:w="1051" w:type="pct"/>
            <w:vMerge/>
            <w:tcBorders>
              <w:top w:val="nil"/>
              <w:left w:val="single" w:sz="4" w:space="0" w:color="auto"/>
              <w:bottom w:val="single" w:sz="4" w:space="0" w:color="auto"/>
              <w:right w:val="single" w:sz="4" w:space="0" w:color="auto"/>
            </w:tcBorders>
            <w:vAlign w:val="center"/>
            <w:hideMark/>
          </w:tcPr>
          <w:p w14:paraId="5DFA77D6" w14:textId="77777777" w:rsidR="00BC24D3" w:rsidRPr="00BC24D3" w:rsidRDefault="00BC24D3" w:rsidP="00BC24D3">
            <w:pPr>
              <w:spacing w:before="0" w:after="0" w:line="240" w:lineRule="auto"/>
              <w:jc w:val="left"/>
              <w:rPr>
                <w:rFonts w:ascii="Arial" w:hAnsi="Arial" w:cs="Arial"/>
                <w:lang w:val="en-IN"/>
              </w:rPr>
            </w:pPr>
          </w:p>
        </w:tc>
        <w:tc>
          <w:tcPr>
            <w:tcW w:w="473" w:type="pct"/>
            <w:tcBorders>
              <w:top w:val="nil"/>
              <w:left w:val="nil"/>
              <w:bottom w:val="single" w:sz="4" w:space="0" w:color="auto"/>
              <w:right w:val="single" w:sz="4" w:space="0" w:color="auto"/>
            </w:tcBorders>
            <w:noWrap/>
            <w:vAlign w:val="bottom"/>
            <w:hideMark/>
          </w:tcPr>
          <w:p w14:paraId="6CD42F45"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33.47</w:t>
            </w:r>
          </w:p>
        </w:tc>
        <w:tc>
          <w:tcPr>
            <w:tcW w:w="473" w:type="pct"/>
            <w:tcBorders>
              <w:top w:val="nil"/>
              <w:left w:val="nil"/>
              <w:bottom w:val="single" w:sz="4" w:space="0" w:color="auto"/>
              <w:right w:val="single" w:sz="4" w:space="0" w:color="auto"/>
            </w:tcBorders>
            <w:noWrap/>
            <w:vAlign w:val="bottom"/>
            <w:hideMark/>
          </w:tcPr>
          <w:p w14:paraId="232664CD"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35.00</w:t>
            </w:r>
          </w:p>
        </w:tc>
        <w:tc>
          <w:tcPr>
            <w:tcW w:w="473" w:type="pct"/>
            <w:tcBorders>
              <w:top w:val="nil"/>
              <w:left w:val="nil"/>
              <w:bottom w:val="single" w:sz="4" w:space="0" w:color="auto"/>
              <w:right w:val="single" w:sz="4" w:space="0" w:color="auto"/>
            </w:tcBorders>
            <w:noWrap/>
            <w:vAlign w:val="bottom"/>
            <w:hideMark/>
          </w:tcPr>
          <w:p w14:paraId="12F5D455"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37.58</w:t>
            </w:r>
          </w:p>
        </w:tc>
        <w:tc>
          <w:tcPr>
            <w:tcW w:w="473" w:type="pct"/>
            <w:tcBorders>
              <w:top w:val="nil"/>
              <w:left w:val="nil"/>
              <w:bottom w:val="single" w:sz="4" w:space="0" w:color="auto"/>
              <w:right w:val="single" w:sz="4" w:space="0" w:color="auto"/>
            </w:tcBorders>
            <w:noWrap/>
            <w:vAlign w:val="bottom"/>
            <w:hideMark/>
          </w:tcPr>
          <w:p w14:paraId="7BDF7BC5"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34.46</w:t>
            </w:r>
          </w:p>
        </w:tc>
        <w:tc>
          <w:tcPr>
            <w:tcW w:w="473" w:type="pct"/>
            <w:tcBorders>
              <w:top w:val="nil"/>
              <w:left w:val="nil"/>
              <w:bottom w:val="single" w:sz="4" w:space="0" w:color="auto"/>
              <w:right w:val="single" w:sz="4" w:space="0" w:color="auto"/>
            </w:tcBorders>
            <w:noWrap/>
            <w:vAlign w:val="bottom"/>
            <w:hideMark/>
          </w:tcPr>
          <w:p w14:paraId="479C2BED"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37.14</w:t>
            </w:r>
          </w:p>
        </w:tc>
      </w:tr>
      <w:tr w:rsidR="00BC24D3" w:rsidRPr="00BC24D3" w14:paraId="2AFCB691" w14:textId="77777777" w:rsidTr="00BC24D3">
        <w:trPr>
          <w:trHeight w:val="600"/>
        </w:trPr>
        <w:tc>
          <w:tcPr>
            <w:tcW w:w="1583" w:type="pct"/>
            <w:tcBorders>
              <w:top w:val="nil"/>
              <w:left w:val="single" w:sz="4" w:space="0" w:color="auto"/>
              <w:bottom w:val="single" w:sz="4" w:space="0" w:color="auto"/>
              <w:right w:val="single" w:sz="4" w:space="0" w:color="auto"/>
            </w:tcBorders>
            <w:shd w:val="clear" w:color="000000" w:fill="FF9999"/>
            <w:noWrap/>
            <w:vAlign w:val="center"/>
            <w:hideMark/>
          </w:tcPr>
          <w:p w14:paraId="45F87D52" w14:textId="77777777" w:rsidR="00BC24D3" w:rsidRPr="00BC24D3" w:rsidRDefault="00BC24D3" w:rsidP="00BC24D3">
            <w:pPr>
              <w:spacing w:before="0" w:after="0" w:line="240" w:lineRule="auto"/>
              <w:jc w:val="left"/>
              <w:rPr>
                <w:rFonts w:ascii="Arial" w:hAnsi="Arial" w:cs="Arial"/>
                <w:b/>
                <w:bCs/>
                <w:lang w:val="en-IN"/>
              </w:rPr>
            </w:pPr>
            <w:r w:rsidRPr="00BC24D3">
              <w:rPr>
                <w:rFonts w:ascii="Arial" w:hAnsi="Arial" w:cs="Arial"/>
                <w:b/>
                <w:bCs/>
                <w:lang w:val="en-IN"/>
              </w:rPr>
              <w:t>Calculate Cash Operating Cycle (CCC)</w:t>
            </w:r>
          </w:p>
        </w:tc>
        <w:tc>
          <w:tcPr>
            <w:tcW w:w="1051" w:type="pct"/>
            <w:tcBorders>
              <w:top w:val="nil"/>
              <w:left w:val="nil"/>
              <w:bottom w:val="single" w:sz="4" w:space="0" w:color="auto"/>
              <w:right w:val="single" w:sz="4" w:space="0" w:color="auto"/>
            </w:tcBorders>
            <w:vAlign w:val="center"/>
            <w:hideMark/>
          </w:tcPr>
          <w:p w14:paraId="68EC9D69" w14:textId="77777777" w:rsidR="00BC24D3" w:rsidRPr="00BC24D3" w:rsidRDefault="00BC24D3" w:rsidP="00BC24D3">
            <w:pPr>
              <w:spacing w:before="0" w:after="0" w:line="240" w:lineRule="auto"/>
              <w:jc w:val="center"/>
              <w:rPr>
                <w:rFonts w:ascii="Arial" w:hAnsi="Arial" w:cs="Arial"/>
                <w:lang w:val="en-IN"/>
              </w:rPr>
            </w:pPr>
            <w:r w:rsidRPr="00BC24D3">
              <w:rPr>
                <w:rFonts w:ascii="Arial" w:hAnsi="Arial" w:cs="Arial"/>
                <w:lang w:val="en-IN"/>
              </w:rPr>
              <w:t xml:space="preserve">Inventory </w:t>
            </w:r>
            <w:proofErr w:type="spellStart"/>
            <w:r w:rsidRPr="00BC24D3">
              <w:rPr>
                <w:rFonts w:ascii="Arial" w:hAnsi="Arial" w:cs="Arial"/>
                <w:lang w:val="en-IN"/>
              </w:rPr>
              <w:t>Days+Receivable</w:t>
            </w:r>
            <w:proofErr w:type="spellEnd"/>
            <w:r w:rsidRPr="00BC24D3">
              <w:rPr>
                <w:rFonts w:ascii="Arial" w:hAnsi="Arial" w:cs="Arial"/>
                <w:lang w:val="en-IN"/>
              </w:rPr>
              <w:t xml:space="preserve"> Days−Payable Days</w:t>
            </w:r>
          </w:p>
        </w:tc>
        <w:tc>
          <w:tcPr>
            <w:tcW w:w="473" w:type="pct"/>
            <w:tcBorders>
              <w:top w:val="nil"/>
              <w:left w:val="nil"/>
              <w:bottom w:val="single" w:sz="4" w:space="0" w:color="auto"/>
              <w:right w:val="single" w:sz="4" w:space="0" w:color="auto"/>
            </w:tcBorders>
            <w:shd w:val="clear" w:color="000000" w:fill="FF9999"/>
            <w:noWrap/>
            <w:vAlign w:val="center"/>
            <w:hideMark/>
          </w:tcPr>
          <w:p w14:paraId="585FB131"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54.05</w:t>
            </w:r>
          </w:p>
        </w:tc>
        <w:tc>
          <w:tcPr>
            <w:tcW w:w="473" w:type="pct"/>
            <w:tcBorders>
              <w:top w:val="nil"/>
              <w:left w:val="nil"/>
              <w:bottom w:val="single" w:sz="4" w:space="0" w:color="auto"/>
              <w:right w:val="single" w:sz="4" w:space="0" w:color="auto"/>
            </w:tcBorders>
            <w:shd w:val="clear" w:color="000000" w:fill="FF9999"/>
            <w:noWrap/>
            <w:vAlign w:val="center"/>
            <w:hideMark/>
          </w:tcPr>
          <w:p w14:paraId="6A1D7BCA"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126.63</w:t>
            </w:r>
          </w:p>
        </w:tc>
        <w:tc>
          <w:tcPr>
            <w:tcW w:w="473" w:type="pct"/>
            <w:tcBorders>
              <w:top w:val="nil"/>
              <w:left w:val="nil"/>
              <w:bottom w:val="single" w:sz="4" w:space="0" w:color="auto"/>
              <w:right w:val="single" w:sz="4" w:space="0" w:color="auto"/>
            </w:tcBorders>
            <w:shd w:val="clear" w:color="000000" w:fill="FF9999"/>
            <w:noWrap/>
            <w:vAlign w:val="center"/>
            <w:hideMark/>
          </w:tcPr>
          <w:p w14:paraId="0822F02B"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139.56</w:t>
            </w:r>
          </w:p>
        </w:tc>
        <w:tc>
          <w:tcPr>
            <w:tcW w:w="473" w:type="pct"/>
            <w:tcBorders>
              <w:top w:val="nil"/>
              <w:left w:val="nil"/>
              <w:bottom w:val="single" w:sz="4" w:space="0" w:color="auto"/>
              <w:right w:val="single" w:sz="4" w:space="0" w:color="auto"/>
            </w:tcBorders>
            <w:shd w:val="clear" w:color="000000" w:fill="FF9999"/>
            <w:noWrap/>
            <w:vAlign w:val="center"/>
            <w:hideMark/>
          </w:tcPr>
          <w:p w14:paraId="3F6457CB"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142.66</w:t>
            </w:r>
          </w:p>
        </w:tc>
        <w:tc>
          <w:tcPr>
            <w:tcW w:w="473" w:type="pct"/>
            <w:tcBorders>
              <w:top w:val="nil"/>
              <w:left w:val="nil"/>
              <w:bottom w:val="single" w:sz="4" w:space="0" w:color="auto"/>
              <w:right w:val="single" w:sz="4" w:space="0" w:color="auto"/>
            </w:tcBorders>
            <w:shd w:val="clear" w:color="000000" w:fill="FF9999"/>
            <w:noWrap/>
            <w:vAlign w:val="center"/>
            <w:hideMark/>
          </w:tcPr>
          <w:p w14:paraId="0788ED1A" w14:textId="77777777" w:rsidR="00BC24D3" w:rsidRPr="00BC24D3" w:rsidRDefault="00BC24D3" w:rsidP="00BC24D3">
            <w:pPr>
              <w:spacing w:before="0" w:after="0" w:line="240" w:lineRule="auto"/>
              <w:jc w:val="right"/>
              <w:rPr>
                <w:rFonts w:ascii="Arial" w:hAnsi="Arial" w:cs="Arial"/>
                <w:b/>
                <w:bCs/>
                <w:lang w:val="en-IN"/>
              </w:rPr>
            </w:pPr>
            <w:r w:rsidRPr="00BC24D3">
              <w:rPr>
                <w:rFonts w:ascii="Arial" w:hAnsi="Arial" w:cs="Arial"/>
                <w:b/>
                <w:bCs/>
                <w:lang w:val="en-IN"/>
              </w:rPr>
              <w:t>145.94</w:t>
            </w:r>
          </w:p>
        </w:tc>
      </w:tr>
    </w:tbl>
    <w:p w14:paraId="421E1C6A" w14:textId="3AC1B355" w:rsidR="00BC24D3" w:rsidRDefault="00BC24D3" w:rsidP="00BC24D3">
      <w:pPr>
        <w:jc w:val="center"/>
        <w:rPr>
          <w:rFonts w:ascii="Arial" w:eastAsia="Arial" w:hAnsi="Arial" w:cs="Arial"/>
        </w:rPr>
      </w:pPr>
      <w:r>
        <w:rPr>
          <w:rFonts w:ascii="Arial" w:eastAsia="Arial" w:hAnsi="Arial" w:cs="Arial"/>
        </w:rPr>
        <w:t>(Source: Excel)</w:t>
      </w:r>
    </w:p>
    <w:p w14:paraId="07E6E58B" w14:textId="34099D92" w:rsidR="006F7CD0" w:rsidRDefault="000E4802">
      <w:pPr>
        <w:pStyle w:val="Heading2"/>
      </w:pPr>
      <w:bookmarkStart w:id="61" w:name="_Toc227719606"/>
      <w:r>
        <w:t>Appendix C: Ratio Graphs</w:t>
      </w:r>
      <w:bookmarkEnd w:id="61"/>
      <w:r w:rsidR="00BC24D3">
        <w:t xml:space="preserve"> </w:t>
      </w:r>
    </w:p>
    <w:p w14:paraId="4000AB69" w14:textId="50A910B1" w:rsidR="006F7CD0" w:rsidRDefault="00BC24D3" w:rsidP="00BC24D3">
      <w:pPr>
        <w:jc w:val="center"/>
        <w:rPr>
          <w:rFonts w:ascii="Arial" w:eastAsia="Arial" w:hAnsi="Arial" w:cs="Arial"/>
        </w:rPr>
      </w:pPr>
      <w:r>
        <w:rPr>
          <w:rFonts w:ascii="Arial" w:eastAsia="Arial" w:hAnsi="Arial" w:cs="Arial"/>
          <w:noProof/>
        </w:rPr>
        <w:drawing>
          <wp:inline distT="0" distB="0" distL="0" distR="0" wp14:anchorId="22532761" wp14:editId="22BBB531">
            <wp:extent cx="5624195" cy="2694693"/>
            <wp:effectExtent l="0" t="0" r="0" b="0"/>
            <wp:docPr id="568138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37899" cy="2701259"/>
                    </a:xfrm>
                    <a:prstGeom prst="rect">
                      <a:avLst/>
                    </a:prstGeom>
                    <a:noFill/>
                  </pic:spPr>
                </pic:pic>
              </a:graphicData>
            </a:graphic>
          </wp:inline>
        </w:drawing>
      </w:r>
      <w:r>
        <w:rPr>
          <w:rFonts w:ascii="Arial" w:eastAsia="Arial" w:hAnsi="Arial" w:cs="Arial"/>
          <w:noProof/>
        </w:rPr>
        <w:drawing>
          <wp:inline distT="0" distB="0" distL="0" distR="0" wp14:anchorId="54815DBC" wp14:editId="7225A768">
            <wp:extent cx="5562481" cy="2756410"/>
            <wp:effectExtent l="0" t="0" r="635" b="6350"/>
            <wp:docPr id="12376891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85137" cy="2767637"/>
                    </a:xfrm>
                    <a:prstGeom prst="rect">
                      <a:avLst/>
                    </a:prstGeom>
                    <a:noFill/>
                  </pic:spPr>
                </pic:pic>
              </a:graphicData>
            </a:graphic>
          </wp:inline>
        </w:drawing>
      </w:r>
      <w:r>
        <w:rPr>
          <w:rFonts w:ascii="Arial" w:eastAsia="Arial" w:hAnsi="Arial" w:cs="Arial"/>
          <w:noProof/>
        </w:rPr>
        <w:drawing>
          <wp:inline distT="0" distB="0" distL="0" distR="0" wp14:anchorId="372C19B1" wp14:editId="33C41A2A">
            <wp:extent cx="5561965" cy="2985135"/>
            <wp:effectExtent l="0" t="0" r="635" b="5715"/>
            <wp:docPr id="370946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77602" cy="2993527"/>
                    </a:xfrm>
                    <a:prstGeom prst="rect">
                      <a:avLst/>
                    </a:prstGeom>
                    <a:noFill/>
                  </pic:spPr>
                </pic:pic>
              </a:graphicData>
            </a:graphic>
          </wp:inline>
        </w:drawing>
      </w:r>
      <w:r>
        <w:rPr>
          <w:rFonts w:ascii="Arial" w:eastAsia="Arial" w:hAnsi="Arial" w:cs="Arial"/>
          <w:noProof/>
        </w:rPr>
        <w:drawing>
          <wp:inline distT="0" distB="0" distL="0" distR="0" wp14:anchorId="1729B43C" wp14:editId="56C685D6">
            <wp:extent cx="5600700" cy="3163570"/>
            <wp:effectExtent l="0" t="0" r="0" b="0"/>
            <wp:docPr id="1211617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09570" cy="3168580"/>
                    </a:xfrm>
                    <a:prstGeom prst="rect">
                      <a:avLst/>
                    </a:prstGeom>
                    <a:noFill/>
                  </pic:spPr>
                </pic:pic>
              </a:graphicData>
            </a:graphic>
          </wp:inline>
        </w:drawing>
      </w:r>
      <w:r>
        <w:rPr>
          <w:rFonts w:ascii="Arial" w:eastAsia="Arial" w:hAnsi="Arial" w:cs="Arial"/>
          <w:noProof/>
        </w:rPr>
        <w:drawing>
          <wp:inline distT="0" distB="0" distL="0" distR="0" wp14:anchorId="11C4F90C" wp14:editId="7DEB3CC7">
            <wp:extent cx="5638800" cy="3721100"/>
            <wp:effectExtent l="0" t="0" r="0" b="0"/>
            <wp:docPr id="3702931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45534" cy="3725544"/>
                    </a:xfrm>
                    <a:prstGeom prst="rect">
                      <a:avLst/>
                    </a:prstGeom>
                    <a:noFill/>
                  </pic:spPr>
                </pic:pic>
              </a:graphicData>
            </a:graphic>
          </wp:inline>
        </w:drawing>
      </w:r>
      <w:r>
        <w:rPr>
          <w:rFonts w:ascii="Arial" w:eastAsia="Arial" w:hAnsi="Arial" w:cs="Arial"/>
          <w:noProof/>
        </w:rPr>
        <w:drawing>
          <wp:inline distT="0" distB="0" distL="0" distR="0" wp14:anchorId="1EA504D2" wp14:editId="2D6C2C93">
            <wp:extent cx="5501914" cy="3909060"/>
            <wp:effectExtent l="0" t="0" r="3810" b="0"/>
            <wp:docPr id="8556358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11659" cy="3915984"/>
                    </a:xfrm>
                    <a:prstGeom prst="rect">
                      <a:avLst/>
                    </a:prstGeom>
                    <a:noFill/>
                  </pic:spPr>
                </pic:pic>
              </a:graphicData>
            </a:graphic>
          </wp:inline>
        </w:drawing>
      </w:r>
      <w:r>
        <w:rPr>
          <w:rFonts w:ascii="Arial" w:eastAsia="Arial" w:hAnsi="Arial" w:cs="Arial"/>
          <w:noProof/>
        </w:rPr>
        <w:drawing>
          <wp:inline distT="0" distB="0" distL="0" distR="0" wp14:anchorId="7F41BD4E" wp14:editId="16EDF663">
            <wp:extent cx="5394960" cy="3599815"/>
            <wp:effectExtent l="0" t="0" r="0" b="635"/>
            <wp:docPr id="6752527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98927" cy="3602462"/>
                    </a:xfrm>
                    <a:prstGeom prst="rect">
                      <a:avLst/>
                    </a:prstGeom>
                    <a:noFill/>
                  </pic:spPr>
                </pic:pic>
              </a:graphicData>
            </a:graphic>
          </wp:inline>
        </w:drawing>
      </w:r>
    </w:p>
    <w:p w14:paraId="6C7CA727" w14:textId="77777777" w:rsidR="00BC24D3" w:rsidRDefault="00BC24D3" w:rsidP="00BC24D3">
      <w:pPr>
        <w:jc w:val="center"/>
        <w:rPr>
          <w:rFonts w:ascii="Arial" w:eastAsia="Arial" w:hAnsi="Arial" w:cs="Arial"/>
        </w:rPr>
      </w:pPr>
      <w:r>
        <w:rPr>
          <w:rFonts w:ascii="Arial" w:eastAsia="Arial" w:hAnsi="Arial" w:cs="Arial"/>
        </w:rPr>
        <w:t>(Source: Excel)</w:t>
      </w:r>
    </w:p>
    <w:p w14:paraId="74BCB189" w14:textId="77777777" w:rsidR="006F7CD0" w:rsidRDefault="000E4802">
      <w:pPr>
        <w:pStyle w:val="Heading2"/>
      </w:pPr>
      <w:bookmarkStart w:id="62" w:name="_Toc227719607"/>
      <w:r>
        <w:t>Appendix D: Investment Appraisal Calculations</w:t>
      </w:r>
      <w:bookmarkEnd w:id="62"/>
    </w:p>
    <w:tbl>
      <w:tblPr>
        <w:tblW w:w="5000" w:type="pct"/>
        <w:jc w:val="center"/>
        <w:tblLook w:val="04A0" w:firstRow="1" w:lastRow="0" w:firstColumn="1" w:lastColumn="0" w:noHBand="0" w:noVBand="1"/>
      </w:tblPr>
      <w:tblGrid>
        <w:gridCol w:w="1030"/>
        <w:gridCol w:w="1595"/>
        <w:gridCol w:w="1340"/>
        <w:gridCol w:w="1944"/>
        <w:gridCol w:w="1328"/>
        <w:gridCol w:w="1782"/>
      </w:tblGrid>
      <w:tr w:rsidR="00BC24D3" w:rsidRPr="00BC24D3" w14:paraId="3EE7FB1A" w14:textId="77777777" w:rsidTr="00BC24D3">
        <w:trPr>
          <w:trHeight w:val="816"/>
          <w:jc w:val="center"/>
        </w:trPr>
        <w:tc>
          <w:tcPr>
            <w:tcW w:w="571"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12F6251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Project</w:t>
            </w:r>
          </w:p>
        </w:tc>
        <w:tc>
          <w:tcPr>
            <w:tcW w:w="884" w:type="pct"/>
            <w:tcBorders>
              <w:top w:val="single" w:sz="4" w:space="0" w:color="000000"/>
              <w:left w:val="nil"/>
              <w:bottom w:val="single" w:sz="4" w:space="0" w:color="000000"/>
              <w:right w:val="single" w:sz="4" w:space="0" w:color="000000"/>
            </w:tcBorders>
            <w:shd w:val="clear" w:color="000000" w:fill="FFFFFF"/>
            <w:vAlign w:val="center"/>
            <w:hideMark/>
          </w:tcPr>
          <w:p w14:paraId="07FA97F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NPV</w:t>
            </w:r>
          </w:p>
        </w:tc>
        <w:tc>
          <w:tcPr>
            <w:tcW w:w="743" w:type="pct"/>
            <w:tcBorders>
              <w:top w:val="single" w:sz="4" w:space="0" w:color="000000"/>
              <w:left w:val="nil"/>
              <w:bottom w:val="single" w:sz="4" w:space="0" w:color="000000"/>
              <w:right w:val="single" w:sz="4" w:space="0" w:color="000000"/>
            </w:tcBorders>
            <w:shd w:val="clear" w:color="000000" w:fill="FFFFFF"/>
            <w:vAlign w:val="center"/>
            <w:hideMark/>
          </w:tcPr>
          <w:p w14:paraId="33A57F35"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PI</w:t>
            </w:r>
          </w:p>
        </w:tc>
        <w:tc>
          <w:tcPr>
            <w:tcW w:w="1078" w:type="pct"/>
            <w:tcBorders>
              <w:top w:val="single" w:sz="4" w:space="0" w:color="000000"/>
              <w:left w:val="nil"/>
              <w:bottom w:val="single" w:sz="4" w:space="0" w:color="000000"/>
              <w:right w:val="single" w:sz="4" w:space="0" w:color="000000"/>
            </w:tcBorders>
            <w:shd w:val="clear" w:color="000000" w:fill="FFFFFF"/>
            <w:vAlign w:val="center"/>
            <w:hideMark/>
          </w:tcPr>
          <w:p w14:paraId="6F0DD3DE"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PBP</w:t>
            </w:r>
          </w:p>
        </w:tc>
        <w:tc>
          <w:tcPr>
            <w:tcW w:w="736" w:type="pct"/>
            <w:tcBorders>
              <w:top w:val="single" w:sz="4" w:space="0" w:color="000000"/>
              <w:left w:val="nil"/>
              <w:bottom w:val="single" w:sz="4" w:space="0" w:color="000000"/>
              <w:right w:val="single" w:sz="4" w:space="0" w:color="000000"/>
            </w:tcBorders>
            <w:shd w:val="clear" w:color="000000" w:fill="FFFFFF"/>
            <w:vAlign w:val="center"/>
            <w:hideMark/>
          </w:tcPr>
          <w:p w14:paraId="0085CDA9"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IRR</w:t>
            </w:r>
          </w:p>
        </w:tc>
        <w:tc>
          <w:tcPr>
            <w:tcW w:w="988" w:type="pct"/>
            <w:tcBorders>
              <w:top w:val="single" w:sz="4" w:space="0" w:color="000000"/>
              <w:left w:val="nil"/>
              <w:bottom w:val="single" w:sz="4" w:space="0" w:color="000000"/>
              <w:right w:val="single" w:sz="4" w:space="0" w:color="000000"/>
            </w:tcBorders>
            <w:shd w:val="clear" w:color="000000" w:fill="FFFFFF"/>
            <w:vAlign w:val="center"/>
            <w:hideMark/>
          </w:tcPr>
          <w:p w14:paraId="282F6FFD" w14:textId="77777777" w:rsidR="00BC24D3" w:rsidRPr="00BC24D3" w:rsidRDefault="00BC24D3" w:rsidP="00BC24D3">
            <w:pPr>
              <w:spacing w:before="0" w:after="0" w:line="240" w:lineRule="auto"/>
              <w:jc w:val="center"/>
              <w:rPr>
                <w:rFonts w:ascii="Arial" w:hAnsi="Arial" w:cs="Arial"/>
                <w:b/>
                <w:bCs/>
                <w:color w:val="000000"/>
                <w:lang w:val="en-IN"/>
              </w:rPr>
            </w:pPr>
            <w:r w:rsidRPr="00BC24D3">
              <w:rPr>
                <w:rFonts w:ascii="Arial" w:hAnsi="Arial" w:cs="Arial"/>
                <w:b/>
                <w:bCs/>
                <w:color w:val="000000"/>
                <w:lang w:val="en-IN"/>
              </w:rPr>
              <w:t>ARR</w:t>
            </w:r>
          </w:p>
        </w:tc>
      </w:tr>
      <w:tr w:rsidR="00BC24D3" w:rsidRPr="00BC24D3" w14:paraId="0348EFA7" w14:textId="77777777" w:rsidTr="00BC24D3">
        <w:trPr>
          <w:trHeight w:val="852"/>
          <w:jc w:val="center"/>
        </w:trPr>
        <w:tc>
          <w:tcPr>
            <w:tcW w:w="571" w:type="pct"/>
            <w:tcBorders>
              <w:top w:val="nil"/>
              <w:left w:val="single" w:sz="4" w:space="0" w:color="000000"/>
              <w:bottom w:val="single" w:sz="4" w:space="0" w:color="000000"/>
              <w:right w:val="single" w:sz="4" w:space="0" w:color="000000"/>
            </w:tcBorders>
            <w:shd w:val="clear" w:color="000000" w:fill="FF9999"/>
            <w:vAlign w:val="center"/>
            <w:hideMark/>
          </w:tcPr>
          <w:p w14:paraId="6498F0A5"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A</w:t>
            </w:r>
          </w:p>
        </w:tc>
        <w:tc>
          <w:tcPr>
            <w:tcW w:w="884" w:type="pct"/>
            <w:tcBorders>
              <w:top w:val="nil"/>
              <w:left w:val="nil"/>
              <w:bottom w:val="single" w:sz="4" w:space="0" w:color="000000"/>
              <w:right w:val="single" w:sz="4" w:space="0" w:color="000000"/>
            </w:tcBorders>
            <w:shd w:val="clear" w:color="000000" w:fill="FF9999"/>
            <w:vAlign w:val="center"/>
            <w:hideMark/>
          </w:tcPr>
          <w:p w14:paraId="5A54C427"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xml:space="preserve">-£               8.7 </w:t>
            </w:r>
          </w:p>
        </w:tc>
        <w:tc>
          <w:tcPr>
            <w:tcW w:w="743" w:type="pct"/>
            <w:tcBorders>
              <w:top w:val="nil"/>
              <w:left w:val="nil"/>
              <w:bottom w:val="single" w:sz="4" w:space="0" w:color="000000"/>
              <w:right w:val="single" w:sz="4" w:space="0" w:color="000000"/>
            </w:tcBorders>
            <w:shd w:val="clear" w:color="000000" w:fill="FF9999"/>
            <w:vAlign w:val="center"/>
            <w:hideMark/>
          </w:tcPr>
          <w:p w14:paraId="00F600B0"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1.2</w:t>
            </w:r>
          </w:p>
        </w:tc>
        <w:tc>
          <w:tcPr>
            <w:tcW w:w="1078" w:type="pct"/>
            <w:tcBorders>
              <w:top w:val="nil"/>
              <w:left w:val="nil"/>
              <w:bottom w:val="single" w:sz="4" w:space="0" w:color="000000"/>
              <w:right w:val="single" w:sz="4" w:space="0" w:color="000000"/>
            </w:tcBorders>
            <w:shd w:val="clear" w:color="000000" w:fill="FF9999"/>
            <w:noWrap/>
            <w:vAlign w:val="center"/>
            <w:hideMark/>
          </w:tcPr>
          <w:p w14:paraId="7884FE5B"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Not Recovered</w:t>
            </w:r>
          </w:p>
        </w:tc>
        <w:tc>
          <w:tcPr>
            <w:tcW w:w="736" w:type="pct"/>
            <w:tcBorders>
              <w:top w:val="nil"/>
              <w:left w:val="nil"/>
              <w:bottom w:val="single" w:sz="4" w:space="0" w:color="000000"/>
              <w:right w:val="single" w:sz="4" w:space="0" w:color="000000"/>
            </w:tcBorders>
            <w:shd w:val="clear" w:color="000000" w:fill="FF9999"/>
            <w:noWrap/>
            <w:vAlign w:val="center"/>
            <w:hideMark/>
          </w:tcPr>
          <w:p w14:paraId="211EDF86"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2.7%</w:t>
            </w:r>
          </w:p>
        </w:tc>
        <w:tc>
          <w:tcPr>
            <w:tcW w:w="988" w:type="pct"/>
            <w:tcBorders>
              <w:top w:val="nil"/>
              <w:left w:val="nil"/>
              <w:bottom w:val="single" w:sz="4" w:space="0" w:color="000000"/>
              <w:right w:val="single" w:sz="4" w:space="0" w:color="000000"/>
            </w:tcBorders>
            <w:shd w:val="clear" w:color="000000" w:fill="FF9999"/>
            <w:noWrap/>
            <w:vAlign w:val="center"/>
            <w:hideMark/>
          </w:tcPr>
          <w:p w14:paraId="3871DD70"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1.6%</w:t>
            </w:r>
          </w:p>
        </w:tc>
      </w:tr>
      <w:tr w:rsidR="00BC24D3" w:rsidRPr="00BC24D3" w14:paraId="155A9589" w14:textId="77777777" w:rsidTr="00BC24D3">
        <w:trPr>
          <w:trHeight w:val="768"/>
          <w:jc w:val="center"/>
        </w:trPr>
        <w:tc>
          <w:tcPr>
            <w:tcW w:w="571" w:type="pct"/>
            <w:tcBorders>
              <w:top w:val="nil"/>
              <w:left w:val="single" w:sz="4" w:space="0" w:color="000000"/>
              <w:bottom w:val="single" w:sz="4" w:space="0" w:color="000000"/>
              <w:right w:val="single" w:sz="4" w:space="0" w:color="000000"/>
            </w:tcBorders>
            <w:shd w:val="clear" w:color="000000" w:fill="FF9999"/>
            <w:vAlign w:val="center"/>
            <w:hideMark/>
          </w:tcPr>
          <w:p w14:paraId="201E849B"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B</w:t>
            </w:r>
          </w:p>
        </w:tc>
        <w:tc>
          <w:tcPr>
            <w:tcW w:w="884" w:type="pct"/>
            <w:tcBorders>
              <w:top w:val="nil"/>
              <w:left w:val="nil"/>
              <w:bottom w:val="single" w:sz="4" w:space="0" w:color="000000"/>
              <w:right w:val="single" w:sz="4" w:space="0" w:color="000000"/>
            </w:tcBorders>
            <w:shd w:val="clear" w:color="000000" w:fill="FF9999"/>
            <w:vAlign w:val="center"/>
            <w:hideMark/>
          </w:tcPr>
          <w:p w14:paraId="4DD1E4DC"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xml:space="preserve">-£               8.3 </w:t>
            </w:r>
          </w:p>
        </w:tc>
        <w:tc>
          <w:tcPr>
            <w:tcW w:w="743" w:type="pct"/>
            <w:tcBorders>
              <w:top w:val="nil"/>
              <w:left w:val="nil"/>
              <w:bottom w:val="single" w:sz="4" w:space="0" w:color="000000"/>
              <w:right w:val="single" w:sz="4" w:space="0" w:color="000000"/>
            </w:tcBorders>
            <w:shd w:val="clear" w:color="000000" w:fill="FF9999"/>
            <w:vAlign w:val="center"/>
            <w:hideMark/>
          </w:tcPr>
          <w:p w14:paraId="08459F65"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1.2</w:t>
            </w:r>
          </w:p>
        </w:tc>
        <w:tc>
          <w:tcPr>
            <w:tcW w:w="1078" w:type="pct"/>
            <w:tcBorders>
              <w:top w:val="nil"/>
              <w:left w:val="nil"/>
              <w:bottom w:val="single" w:sz="4" w:space="0" w:color="000000"/>
              <w:right w:val="single" w:sz="4" w:space="0" w:color="000000"/>
            </w:tcBorders>
            <w:shd w:val="clear" w:color="000000" w:fill="FF9999"/>
            <w:noWrap/>
            <w:vAlign w:val="center"/>
            <w:hideMark/>
          </w:tcPr>
          <w:p w14:paraId="7200A680"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Not Recovered</w:t>
            </w:r>
          </w:p>
        </w:tc>
        <w:tc>
          <w:tcPr>
            <w:tcW w:w="736" w:type="pct"/>
            <w:tcBorders>
              <w:top w:val="nil"/>
              <w:left w:val="nil"/>
              <w:bottom w:val="single" w:sz="4" w:space="0" w:color="000000"/>
              <w:right w:val="single" w:sz="4" w:space="0" w:color="000000"/>
            </w:tcBorders>
            <w:shd w:val="clear" w:color="000000" w:fill="FF9999"/>
            <w:noWrap/>
            <w:vAlign w:val="center"/>
            <w:hideMark/>
          </w:tcPr>
          <w:p w14:paraId="1E008146"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3.3%</w:t>
            </w:r>
          </w:p>
        </w:tc>
        <w:tc>
          <w:tcPr>
            <w:tcW w:w="988" w:type="pct"/>
            <w:tcBorders>
              <w:top w:val="nil"/>
              <w:left w:val="nil"/>
              <w:bottom w:val="single" w:sz="4" w:space="0" w:color="000000"/>
              <w:right w:val="single" w:sz="4" w:space="0" w:color="000000"/>
            </w:tcBorders>
            <w:shd w:val="clear" w:color="000000" w:fill="FF9999"/>
            <w:noWrap/>
            <w:vAlign w:val="center"/>
            <w:hideMark/>
          </w:tcPr>
          <w:p w14:paraId="146C2F2D"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2.0%</w:t>
            </w:r>
          </w:p>
        </w:tc>
      </w:tr>
      <w:tr w:rsidR="00BC24D3" w:rsidRPr="00BC24D3" w14:paraId="2081D192" w14:textId="77777777" w:rsidTr="00BC24D3">
        <w:trPr>
          <w:trHeight w:val="756"/>
          <w:jc w:val="center"/>
        </w:trPr>
        <w:tc>
          <w:tcPr>
            <w:tcW w:w="571" w:type="pct"/>
            <w:tcBorders>
              <w:top w:val="nil"/>
              <w:left w:val="single" w:sz="4" w:space="0" w:color="000000"/>
              <w:bottom w:val="single" w:sz="4" w:space="0" w:color="000000"/>
              <w:right w:val="single" w:sz="4" w:space="0" w:color="000000"/>
            </w:tcBorders>
            <w:shd w:val="clear" w:color="000000" w:fill="FF9999"/>
            <w:vAlign w:val="center"/>
            <w:hideMark/>
          </w:tcPr>
          <w:p w14:paraId="4F27677C"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C</w:t>
            </w:r>
          </w:p>
        </w:tc>
        <w:tc>
          <w:tcPr>
            <w:tcW w:w="884" w:type="pct"/>
            <w:tcBorders>
              <w:top w:val="nil"/>
              <w:left w:val="nil"/>
              <w:bottom w:val="single" w:sz="4" w:space="0" w:color="000000"/>
              <w:right w:val="single" w:sz="4" w:space="0" w:color="000000"/>
            </w:tcBorders>
            <w:shd w:val="clear" w:color="000000" w:fill="FF9999"/>
            <w:vAlign w:val="center"/>
            <w:hideMark/>
          </w:tcPr>
          <w:p w14:paraId="35B9DB29"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 xml:space="preserve">-£               2.0 </w:t>
            </w:r>
          </w:p>
        </w:tc>
        <w:tc>
          <w:tcPr>
            <w:tcW w:w="743" w:type="pct"/>
            <w:tcBorders>
              <w:top w:val="nil"/>
              <w:left w:val="nil"/>
              <w:bottom w:val="single" w:sz="4" w:space="0" w:color="000000"/>
              <w:right w:val="single" w:sz="4" w:space="0" w:color="000000"/>
            </w:tcBorders>
            <w:shd w:val="clear" w:color="000000" w:fill="FF9999"/>
            <w:vAlign w:val="center"/>
            <w:hideMark/>
          </w:tcPr>
          <w:p w14:paraId="361988F0"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1.0</w:t>
            </w:r>
          </w:p>
        </w:tc>
        <w:tc>
          <w:tcPr>
            <w:tcW w:w="1078" w:type="pct"/>
            <w:tcBorders>
              <w:top w:val="nil"/>
              <w:left w:val="nil"/>
              <w:bottom w:val="single" w:sz="4" w:space="0" w:color="000000"/>
              <w:right w:val="single" w:sz="4" w:space="0" w:color="000000"/>
            </w:tcBorders>
            <w:shd w:val="clear" w:color="000000" w:fill="FF9999"/>
            <w:noWrap/>
            <w:vAlign w:val="center"/>
            <w:hideMark/>
          </w:tcPr>
          <w:p w14:paraId="0CA73F40"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Not Recovered</w:t>
            </w:r>
          </w:p>
        </w:tc>
        <w:tc>
          <w:tcPr>
            <w:tcW w:w="736" w:type="pct"/>
            <w:tcBorders>
              <w:top w:val="nil"/>
              <w:left w:val="nil"/>
              <w:bottom w:val="single" w:sz="4" w:space="0" w:color="000000"/>
              <w:right w:val="single" w:sz="4" w:space="0" w:color="000000"/>
            </w:tcBorders>
            <w:shd w:val="clear" w:color="000000" w:fill="FF9999"/>
            <w:noWrap/>
            <w:vAlign w:val="center"/>
            <w:hideMark/>
          </w:tcPr>
          <w:p w14:paraId="0732287C"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8.6%</w:t>
            </w:r>
          </w:p>
        </w:tc>
        <w:tc>
          <w:tcPr>
            <w:tcW w:w="988" w:type="pct"/>
            <w:tcBorders>
              <w:top w:val="nil"/>
              <w:left w:val="nil"/>
              <w:bottom w:val="single" w:sz="4" w:space="0" w:color="000000"/>
              <w:right w:val="single" w:sz="4" w:space="0" w:color="000000"/>
            </w:tcBorders>
            <w:shd w:val="clear" w:color="000000" w:fill="FF9999"/>
            <w:noWrap/>
            <w:vAlign w:val="center"/>
            <w:hideMark/>
          </w:tcPr>
          <w:p w14:paraId="2A47D34C" w14:textId="77777777" w:rsidR="00BC24D3" w:rsidRPr="00BC24D3" w:rsidRDefault="00BC24D3" w:rsidP="00BC24D3">
            <w:pPr>
              <w:spacing w:before="0" w:after="0" w:line="240" w:lineRule="auto"/>
              <w:jc w:val="center"/>
              <w:rPr>
                <w:rFonts w:ascii="Arial" w:hAnsi="Arial" w:cs="Arial"/>
                <w:color w:val="000000"/>
                <w:lang w:val="en-IN"/>
              </w:rPr>
            </w:pPr>
            <w:r w:rsidRPr="00BC24D3">
              <w:rPr>
                <w:rFonts w:ascii="Arial" w:hAnsi="Arial" w:cs="Arial"/>
                <w:color w:val="000000"/>
                <w:lang w:val="en-IN"/>
              </w:rPr>
              <w:t>6.0%</w:t>
            </w:r>
          </w:p>
        </w:tc>
      </w:tr>
    </w:tbl>
    <w:p w14:paraId="0D71A0B5" w14:textId="77777777" w:rsidR="00BC24D3" w:rsidRDefault="00BC24D3" w:rsidP="00BC24D3">
      <w:pPr>
        <w:jc w:val="center"/>
        <w:rPr>
          <w:rFonts w:ascii="Arial" w:eastAsia="Arial" w:hAnsi="Arial" w:cs="Arial"/>
        </w:rPr>
      </w:pPr>
      <w:r>
        <w:rPr>
          <w:rFonts w:ascii="Arial" w:eastAsia="Arial" w:hAnsi="Arial" w:cs="Arial"/>
        </w:rPr>
        <w:t>(Source: Excel)</w:t>
      </w:r>
    </w:p>
    <w:p w14:paraId="05F3BF2C" w14:textId="77777777" w:rsidR="006F7CD0" w:rsidRDefault="006F7CD0">
      <w:pPr>
        <w:rPr>
          <w:rFonts w:ascii="Arial" w:eastAsia="Arial" w:hAnsi="Arial" w:cs="Arial"/>
        </w:rPr>
      </w:pPr>
    </w:p>
    <w:sectPr w:rsidR="006F7CD0" w:rsidSect="00BC24D3">
      <w:footerReference w:type="default" r:id="rId40"/>
      <w:footerReference w:type="first" r:id="rId4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19A79" w14:textId="77777777" w:rsidR="000E4802" w:rsidRDefault="000E4802">
      <w:pPr>
        <w:spacing w:before="0" w:after="0" w:line="240" w:lineRule="auto"/>
      </w:pPr>
      <w:r>
        <w:separator/>
      </w:r>
    </w:p>
  </w:endnote>
  <w:endnote w:type="continuationSeparator" w:id="0">
    <w:p w14:paraId="344FE361" w14:textId="77777777" w:rsidR="000E4802" w:rsidRDefault="000E48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embedRegular r:id="rId1" w:fontKey="{879E9C25-CA9A-43AA-A2BE-C92E437218E5}"/>
  </w:font>
  <w:font w:name="Calibri">
    <w:panose1 w:val="020F0502020204030204"/>
    <w:charset w:val="00"/>
    <w:family w:val="swiss"/>
    <w:pitch w:val="variable"/>
    <w:sig w:usb0="E4002EFF" w:usb1="C200ACFF" w:usb2="00000009" w:usb3="00000000" w:csb0="000001FF" w:csb1="00000000"/>
    <w:embedRegular r:id="rId2" w:fontKey="{CC38A71B-18A1-4159-B257-B09CA95430A7}"/>
  </w:font>
  <w:font w:name="Cambria">
    <w:panose1 w:val="02040503050406030204"/>
    <w:charset w:val="00"/>
    <w:family w:val="roman"/>
    <w:pitch w:val="variable"/>
    <w:sig w:usb0="E00006FF" w:usb1="420024FF" w:usb2="02000000" w:usb3="00000000" w:csb0="0000019F" w:csb1="00000000"/>
    <w:embedRegular r:id="rId3" w:fontKey="{C6036ACF-7803-41F5-9157-08B0BD37F0C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1BF9B" w14:textId="77777777" w:rsidR="006F7CD0" w:rsidRDefault="000E4802">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BC24D3">
      <w:rPr>
        <w:rFonts w:ascii="Arial" w:eastAsia="Arial" w:hAnsi="Arial" w:cs="Arial"/>
        <w:noProof/>
        <w:sz w:val="20"/>
        <w:szCs w:val="20"/>
      </w:rPr>
      <w:t>1</w:t>
    </w:r>
    <w:r>
      <w:rPr>
        <w:rFonts w:ascii="Arial" w:eastAsia="Arial" w:hAnsi="Arial" w:cs="Arial"/>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D337F" w14:textId="77777777" w:rsidR="006F7CD0" w:rsidRDefault="006F7CD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B0526" w14:textId="77777777" w:rsidR="000E4802" w:rsidRDefault="000E4802">
      <w:pPr>
        <w:spacing w:before="0" w:after="0" w:line="240" w:lineRule="auto"/>
      </w:pPr>
      <w:r>
        <w:separator/>
      </w:r>
    </w:p>
  </w:footnote>
  <w:footnote w:type="continuationSeparator" w:id="0">
    <w:p w14:paraId="0D0FF15A" w14:textId="77777777" w:rsidR="000E4802" w:rsidRDefault="000E480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CD0"/>
    <w:rsid w:val="000E4802"/>
    <w:rsid w:val="00210905"/>
    <w:rsid w:val="003069F8"/>
    <w:rsid w:val="00363B81"/>
    <w:rsid w:val="004361E2"/>
    <w:rsid w:val="005626DB"/>
    <w:rsid w:val="00660852"/>
    <w:rsid w:val="006F7CD0"/>
    <w:rsid w:val="00804DEB"/>
    <w:rsid w:val="009246F7"/>
    <w:rsid w:val="009D50EC"/>
    <w:rsid w:val="00A546C3"/>
    <w:rsid w:val="00BC24D3"/>
    <w:rsid w:val="00CC0BFB"/>
    <w:rsid w:val="00EB3D0C"/>
    <w:rsid w:val="00F279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4926D"/>
  <w15:docId w15:val="{DA09D34C-D315-4D3B-B47E-496FBB6D1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spacing w:before="200" w:after="200"/>
      <w:outlineLvl w:val="1"/>
    </w:pPr>
    <w:rPr>
      <w:rFonts w:ascii="Arial" w:eastAsia="Arial" w:hAnsi="Arial" w:cs="Arial"/>
      <w:b/>
      <w:bCs/>
      <w:sz w:val="26"/>
      <w:szCs w:val="26"/>
    </w:rPr>
  </w:style>
  <w:style w:type="paragraph" w:styleId="Heading3">
    <w:name w:val="heading 3"/>
    <w:basedOn w:val="Normal"/>
    <w:next w:val="Normal"/>
    <w:uiPriority w:val="9"/>
    <w:unhideWhenUsed/>
    <w:qFormat/>
    <w:pPr>
      <w:keepNext/>
      <w:keepLines/>
      <w:spacing w:before="200" w:after="200"/>
      <w:outlineLvl w:val="2"/>
    </w:pPr>
    <w:rPr>
      <w:rFonts w:ascii="Arial" w:eastAsia="Arial" w:hAnsi="Arial" w:cs="Arial"/>
      <w:b/>
      <w:bCs/>
      <w:u w:val="single"/>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BC24D3"/>
    <w:pPr>
      <w:spacing w:after="100"/>
    </w:pPr>
  </w:style>
  <w:style w:type="paragraph" w:styleId="TOC2">
    <w:name w:val="toc 2"/>
    <w:basedOn w:val="Normal"/>
    <w:next w:val="Normal"/>
    <w:autoRedefine/>
    <w:uiPriority w:val="39"/>
    <w:unhideWhenUsed/>
    <w:rsid w:val="00BC24D3"/>
    <w:pPr>
      <w:spacing w:after="100"/>
      <w:ind w:left="240"/>
    </w:pPr>
  </w:style>
  <w:style w:type="paragraph" w:styleId="TOC3">
    <w:name w:val="toc 3"/>
    <w:basedOn w:val="Normal"/>
    <w:next w:val="Normal"/>
    <w:autoRedefine/>
    <w:uiPriority w:val="39"/>
    <w:unhideWhenUsed/>
    <w:rsid w:val="00BC24D3"/>
    <w:pPr>
      <w:spacing w:after="100"/>
      <w:ind w:left="480"/>
    </w:pPr>
  </w:style>
  <w:style w:type="character" w:styleId="Hyperlink">
    <w:name w:val="Hyperlink"/>
    <w:basedOn w:val="DefaultParagraphFont"/>
    <w:uiPriority w:val="99"/>
    <w:unhideWhenUsed/>
    <w:rsid w:val="00BC24D3"/>
    <w:rPr>
      <w:color w:val="0000FF" w:themeColor="hyperlink"/>
      <w:u w:val="single"/>
    </w:rPr>
  </w:style>
  <w:style w:type="character" w:styleId="FollowedHyperlink">
    <w:name w:val="FollowedHyperlink"/>
    <w:basedOn w:val="DefaultParagraphFont"/>
    <w:uiPriority w:val="99"/>
    <w:semiHidden/>
    <w:unhideWhenUsed/>
    <w:rsid w:val="00BC24D3"/>
    <w:rPr>
      <w:color w:val="96607D"/>
      <w:u w:val="single"/>
    </w:rPr>
  </w:style>
  <w:style w:type="paragraph" w:customStyle="1" w:styleId="msonormal0">
    <w:name w:val="msonormal"/>
    <w:basedOn w:val="Normal"/>
    <w:rsid w:val="00BC24D3"/>
    <w:pPr>
      <w:spacing w:before="100" w:beforeAutospacing="1" w:after="100" w:afterAutospacing="1" w:line="240" w:lineRule="auto"/>
      <w:jc w:val="left"/>
    </w:pPr>
    <w:rPr>
      <w:lang w:val="en-IN"/>
    </w:rPr>
  </w:style>
  <w:style w:type="paragraph" w:customStyle="1" w:styleId="xl65">
    <w:name w:val="xl65"/>
    <w:basedOn w:val="Normal"/>
    <w:rsid w:val="00BC24D3"/>
    <w:pPr>
      <w:shd w:val="clear" w:color="000000" w:fill="FFFFFF"/>
      <w:spacing w:before="100" w:beforeAutospacing="1" w:after="100" w:afterAutospacing="1" w:line="240" w:lineRule="auto"/>
      <w:jc w:val="left"/>
    </w:pPr>
    <w:rPr>
      <w:lang w:val="en-IN"/>
    </w:rPr>
  </w:style>
  <w:style w:type="paragraph" w:customStyle="1" w:styleId="xl66">
    <w:name w:val="xl66"/>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hAnsi="Arial" w:cs="Arial"/>
      <w:b/>
      <w:bCs/>
      <w:lang w:val="en-IN"/>
    </w:rPr>
  </w:style>
  <w:style w:type="paragraph" w:customStyle="1" w:styleId="xl67">
    <w:name w:val="xl67"/>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lang w:val="en-IN"/>
    </w:rPr>
  </w:style>
  <w:style w:type="paragraph" w:customStyle="1" w:styleId="xl68">
    <w:name w:val="xl68"/>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hAnsi="Arial" w:cs="Arial"/>
      <w:b/>
      <w:bCs/>
      <w:lang w:val="en-IN"/>
    </w:rPr>
  </w:style>
  <w:style w:type="paragraph" w:customStyle="1" w:styleId="xl69">
    <w:name w:val="xl69"/>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0">
    <w:name w:val="xl70"/>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1">
    <w:name w:val="xl71"/>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2">
    <w:name w:val="xl72"/>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3">
    <w:name w:val="xl73"/>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lang w:val="en-IN"/>
    </w:rPr>
  </w:style>
  <w:style w:type="paragraph" w:customStyle="1" w:styleId="xl74">
    <w:name w:val="xl74"/>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lang w:val="en-IN"/>
    </w:rPr>
  </w:style>
  <w:style w:type="paragraph" w:customStyle="1" w:styleId="xl75">
    <w:name w:val="xl75"/>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6">
    <w:name w:val="xl76"/>
    <w:basedOn w:val="Normal"/>
    <w:rsid w:val="00BC24D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hAnsi="Arial" w:cs="Arial"/>
      <w:lang w:val="en-IN"/>
    </w:rPr>
  </w:style>
  <w:style w:type="paragraph" w:customStyle="1" w:styleId="xl77">
    <w:name w:val="xl77"/>
    <w:basedOn w:val="Normal"/>
    <w:rsid w:val="00BC24D3"/>
    <w:pPr>
      <w:pBdr>
        <w:top w:val="single" w:sz="4" w:space="0" w:color="auto"/>
        <w:left w:val="single" w:sz="4" w:space="0" w:color="auto"/>
        <w:bottom w:val="single" w:sz="4" w:space="0" w:color="auto"/>
        <w:right w:val="single" w:sz="4" w:space="0" w:color="auto"/>
      </w:pBdr>
      <w:shd w:val="clear" w:color="000000" w:fill="FF9999"/>
      <w:spacing w:before="100" w:beforeAutospacing="1" w:after="100" w:afterAutospacing="1" w:line="240" w:lineRule="auto"/>
      <w:jc w:val="center"/>
      <w:textAlignment w:val="center"/>
    </w:pPr>
    <w:rPr>
      <w:rFonts w:ascii="Arial" w:hAnsi="Arial" w:cs="Arial"/>
      <w:b/>
      <w:bCs/>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hyperlink" Target="https://jurnal.ibik.ac.id/index.php/jimkes/article/download/2742/1966" TargetMode="External" /><Relationship Id="rId26" Type="http://schemas.openxmlformats.org/officeDocument/2006/relationships/hyperlink" Target="https://www.annualreports.com/HostedData/AnnualReportArchive/v/OTC_VWAGY_2020.pdf" TargetMode="External" /><Relationship Id="rId39" Type="http://schemas.openxmlformats.org/officeDocument/2006/relationships/image" Target="media/image20.png" /><Relationship Id="rId3" Type="http://schemas.openxmlformats.org/officeDocument/2006/relationships/webSettings" Target="webSettings.xml" /><Relationship Id="rId21" Type="http://schemas.openxmlformats.org/officeDocument/2006/relationships/hyperlink" Target="https://www.researchgate.net/profile/Marcin-Majka-2/publication/381402363_Understanding_Efficiency_Ratios/links/666b64b9de777205a32c2aa5/Understanding-Efficiency-Ratios.pdf" TargetMode="External" /><Relationship Id="rId34" Type="http://schemas.openxmlformats.org/officeDocument/2006/relationships/image" Target="media/image15.png" /><Relationship Id="rId42"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papers.ssrn.com/sol3/Delivery.cfm?abstractid=5188095" TargetMode="External" /><Relationship Id="rId25" Type="http://schemas.openxmlformats.org/officeDocument/2006/relationships/hyperlink" Target="https://stratfordjournalpublishers.org/journals/index.php/journal-of-accounting/article/download/1996/2554" TargetMode="External" /><Relationship Id="rId33" Type="http://schemas.openxmlformats.org/officeDocument/2006/relationships/image" Target="media/image14.png" /><Relationship Id="rId38" Type="http://schemas.openxmlformats.org/officeDocument/2006/relationships/image" Target="media/image19.png" /><Relationship Id="rId2" Type="http://schemas.openxmlformats.org/officeDocument/2006/relationships/settings" Target="settings.xml" /><Relationship Id="rId16" Type="http://schemas.openxmlformats.org/officeDocument/2006/relationships/hyperlink" Target="https://www.academia.edu/download/115377930/Capital_Budgeting_and_Financial_Investme.pdf" TargetMode="External" /><Relationship Id="rId20" Type="http://schemas.openxmlformats.org/officeDocument/2006/relationships/hyperlink" Target="https://www.academia.edu/download/106769993/cash-conversion-cycle-and-firms-performance.pdf" TargetMode="External" /><Relationship Id="rId29" Type="http://schemas.openxmlformats.org/officeDocument/2006/relationships/hyperlink" Target="https://unitesi.unive.it/bitstream/20.500.14247/4284/1/872666-1280209.pdf" TargetMode="External" /><Relationship Id="rId41" Type="http://schemas.openxmlformats.org/officeDocument/2006/relationships/footer" Target="footer2.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e-journal.uac.ac.id/index.php/iijse/article/download/8824/3590" TargetMode="External" /><Relationship Id="rId32" Type="http://schemas.openxmlformats.org/officeDocument/2006/relationships/image" Target="media/image13.png" /><Relationship Id="rId37" Type="http://schemas.openxmlformats.org/officeDocument/2006/relationships/image" Target="media/image18.png" /><Relationship Id="rId40"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image" Target="media/image10.png" /><Relationship Id="rId23" Type="http://schemas.openxmlformats.org/officeDocument/2006/relationships/hyperlink" Target="https://www.neliti.com/publications/620973/gearing-ratio-and-operating-cash-flow-performance-of-quoted-manufacturing-firms" TargetMode="External" /><Relationship Id="rId28" Type="http://schemas.openxmlformats.org/officeDocument/2006/relationships/hyperlink" Target="https://www.annualreports.com/HostedData/AnnualReports/PDF/OTC_VWAGY_2024.pdf" TargetMode="External" /><Relationship Id="rId36" Type="http://schemas.openxmlformats.org/officeDocument/2006/relationships/image" Target="media/image17.png" /><Relationship Id="rId10" Type="http://schemas.openxmlformats.org/officeDocument/2006/relationships/image" Target="media/image5.png" /><Relationship Id="rId19" Type="http://schemas.openxmlformats.org/officeDocument/2006/relationships/hyperlink" Target="https://www.iea.org/reports/global-ev-outlook-2024" TargetMode="External" /><Relationship Id="rId31" Type="http://schemas.openxmlformats.org/officeDocument/2006/relationships/image" Target="media/image12.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hyperlink" Target="https://proceeding.umsu.ac.id/index.php/Miceb/article/download/282/303" TargetMode="External" /><Relationship Id="rId27" Type="http://schemas.openxmlformats.org/officeDocument/2006/relationships/hyperlink" Target="https://www.annualreports.com/HostedData/AnnualReportArchive/v/OTC_VWAGY_2022.pdf" TargetMode="External" /><Relationship Id="rId30" Type="http://schemas.openxmlformats.org/officeDocument/2006/relationships/image" Target="media/image11.png" /><Relationship Id="rId35" Type="http://schemas.openxmlformats.org/officeDocument/2006/relationships/image" Target="media/image16.png" /><Relationship Id="rId43"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8792</Words>
  <Characters>50115</Characters>
  <Application>Microsoft Office Word</Application>
  <DocSecurity>0</DocSecurity>
  <Lines>417</Lines>
  <Paragraphs>117</Paragraphs>
  <ScaleCrop>false</ScaleCrop>
  <Company/>
  <LinksUpToDate>false</LinksUpToDate>
  <CharactersWithSpaces>58790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Keshvala</cp:lastModifiedBy>
  <cp:revision>2</cp:revision>
  <dcterms:created xsi:type="dcterms:W3CDTF">2026-04-23T19:42:00Z</dcterms:created>
  <dcterms:modified xsi:type="dcterms:W3CDTF">2026-04-23T19:42:00Z</dcterms:modified>
</cp:coreProperties>
</file>