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09BA6816" w:rsidP="37B85A59" w:rsidRDefault="09BA6816" w14:paraId="260F90AF" w14:textId="6093FAA8">
      <w:pPr>
        <w:pStyle w:val="Normal"/>
        <w:spacing w:after="0" w:afterAutospacing="off" w:line="360" w:lineRule="auto"/>
        <w:jc w:val="left"/>
        <w:rPr>
          <w:rFonts w:ascii="Arial" w:hAnsi="Arial" w:eastAsia="Arial" w:cs="Arial"/>
          <w:sz w:val="24"/>
          <w:szCs w:val="24"/>
        </w:rPr>
      </w:pPr>
    </w:p>
    <w:p w:rsidR="09BA6816" w:rsidP="37B85A59" w:rsidRDefault="09BA6816" w14:paraId="145D0BA6" w14:textId="1B0BE6F6">
      <w:pPr>
        <w:spacing w:after="0" w:afterAutospacing="off" w:line="360" w:lineRule="auto"/>
      </w:pPr>
      <w:r>
        <w:br w:type="page"/>
      </w:r>
    </w:p>
    <w:p w:rsidR="09BA6816" w:rsidP="49CCF617" w:rsidRDefault="09BA6816" w14:paraId="63D49B0A" w14:textId="12DABE0B">
      <w:pPr>
        <w:pStyle w:val="Normal"/>
        <w:spacing w:after="0" w:afterAutospacing="off" w:line="360" w:lineRule="auto"/>
        <w:jc w:val="left"/>
        <w:rPr>
          <w:rFonts w:ascii="Arial" w:hAnsi="Arial" w:eastAsia="Arial" w:cs="Arial"/>
          <w:sz w:val="24"/>
          <w:szCs w:val="24"/>
        </w:rPr>
      </w:pPr>
      <w:r w:rsidRPr="37B85A59" w:rsidR="09BA6816">
        <w:rPr>
          <w:rFonts w:ascii="Arial" w:hAnsi="Arial" w:eastAsia="Arial" w:cs="Arial"/>
          <w:sz w:val="24"/>
          <w:szCs w:val="24"/>
        </w:rPr>
        <w:t xml:space="preserve">Case study and reflective </w:t>
      </w:r>
      <w:r w:rsidRPr="37B85A59" w:rsidR="09BA6816">
        <w:rPr>
          <w:rFonts w:ascii="Arial" w:hAnsi="Arial" w:eastAsia="Arial" w:cs="Arial"/>
          <w:sz w:val="24"/>
          <w:szCs w:val="24"/>
        </w:rPr>
        <w:t xml:space="preserve">account: Choose one of the </w:t>
      </w:r>
      <w:r w:rsidRPr="37B85A59" w:rsidR="09BA6816">
        <w:rPr>
          <w:rFonts w:ascii="Arial" w:hAnsi="Arial" w:eastAsia="Arial" w:cs="Arial"/>
          <w:sz w:val="24"/>
          <w:szCs w:val="24"/>
        </w:rPr>
        <w:t>case studies highlighted in the</w:t>
      </w:r>
    </w:p>
    <w:p w:rsidR="09BA6816" w:rsidP="49CCF617" w:rsidRDefault="09BA6816" w14:paraId="282FAF37" w14:textId="7434DAEA">
      <w:pPr>
        <w:pStyle w:val="Normal"/>
        <w:spacing w:after="0" w:afterAutospacing="off" w:line="360" w:lineRule="auto"/>
        <w:jc w:val="left"/>
        <w:rPr>
          <w:rFonts w:ascii="Arial" w:hAnsi="Arial" w:eastAsia="Arial" w:cs="Arial"/>
          <w:sz w:val="24"/>
          <w:szCs w:val="24"/>
        </w:rPr>
      </w:pPr>
      <w:r w:rsidRPr="753D09A8" w:rsidR="09BA6816">
        <w:rPr>
          <w:rFonts w:ascii="Arial" w:hAnsi="Arial" w:eastAsia="Arial" w:cs="Arial"/>
          <w:sz w:val="24"/>
          <w:szCs w:val="24"/>
        </w:rPr>
        <w:t xml:space="preserve">task description and critically </w:t>
      </w:r>
      <w:r w:rsidRPr="753D09A8" w:rsidR="09BA6816">
        <w:rPr>
          <w:rFonts w:ascii="Arial" w:hAnsi="Arial" w:eastAsia="Arial" w:cs="Arial"/>
          <w:sz w:val="24"/>
          <w:szCs w:val="24"/>
        </w:rPr>
        <w:t xml:space="preserve">engage with the two questions </w:t>
      </w:r>
      <w:r w:rsidRPr="753D09A8" w:rsidR="09BA6816">
        <w:rPr>
          <w:rFonts w:ascii="Arial" w:hAnsi="Arial" w:eastAsia="Arial" w:cs="Arial"/>
          <w:sz w:val="24"/>
          <w:szCs w:val="24"/>
        </w:rPr>
        <w:t xml:space="preserve">that </w:t>
      </w:r>
      <w:r w:rsidRPr="753D09A8" w:rsidR="7C9B0B58">
        <w:rPr>
          <w:rFonts w:ascii="Arial" w:hAnsi="Arial" w:eastAsia="Arial" w:cs="Arial"/>
          <w:sz w:val="24"/>
          <w:szCs w:val="24"/>
        </w:rPr>
        <w:t>follow</w:t>
      </w:r>
      <w:r w:rsidRPr="753D09A8" w:rsidR="09BA6816">
        <w:rPr>
          <w:rFonts w:ascii="Arial" w:hAnsi="Arial" w:eastAsia="Arial" w:cs="Arial"/>
          <w:sz w:val="24"/>
          <w:szCs w:val="24"/>
        </w:rPr>
        <w:t xml:space="preserve"> the case.</w:t>
      </w:r>
    </w:p>
    <w:p w:rsidR="12DC0C06" w:rsidP="49CCF617" w:rsidRDefault="12DC0C06" w14:paraId="6ED369EF" w14:textId="74BD6D9C">
      <w:pPr>
        <w:pStyle w:val="Normal"/>
        <w:spacing w:after="0" w:afterAutospacing="off" w:line="360" w:lineRule="auto"/>
        <w:jc w:val="left"/>
        <w:rPr>
          <w:rFonts w:ascii="Arial" w:hAnsi="Arial" w:eastAsia="Arial" w:cs="Arial"/>
          <w:sz w:val="24"/>
          <w:szCs w:val="24"/>
        </w:rPr>
      </w:pPr>
    </w:p>
    <w:p w:rsidR="12DC0C06" w:rsidP="64EBD032" w:rsidRDefault="12DC0C06" w14:paraId="4A2A1043" w14:textId="2DBDE921">
      <w:pPr>
        <w:pStyle w:val="Normal"/>
        <w:suppressLineNumbers w:val="0"/>
        <w:spacing w:before="0" w:beforeAutospacing="off" w:after="120" w:afterAutospacing="off" w:line="360" w:lineRule="auto"/>
        <w:ind w:left="0" w:right="0" w:firstLine="0"/>
        <w:jc w:val="left"/>
        <w:rPr>
          <w:rFonts w:ascii="Arial" w:hAnsi="Arial" w:eastAsia="Arial" w:cs="Arial"/>
          <w:sz w:val="24"/>
          <w:szCs w:val="24"/>
        </w:rPr>
      </w:pPr>
      <w:r w:rsidRPr="753D09A8" w:rsidR="753ABCA5">
        <w:rPr>
          <w:rFonts w:ascii="Arial" w:hAnsi="Arial" w:eastAsia="Arial" w:cs="Arial"/>
          <w:sz w:val="24"/>
          <w:szCs w:val="24"/>
        </w:rPr>
        <w:t>The case study in which this essay is focused upon is about an eleven-year-old boy called Jack</w:t>
      </w:r>
      <w:r w:rsidRPr="753D09A8" w:rsidR="7DE962E5">
        <w:rPr>
          <w:rFonts w:ascii="Arial" w:hAnsi="Arial" w:eastAsia="Arial" w:cs="Arial"/>
          <w:sz w:val="24"/>
          <w:szCs w:val="24"/>
        </w:rPr>
        <w:t xml:space="preserve">. Jack has come </w:t>
      </w:r>
      <w:r w:rsidRPr="753D09A8" w:rsidR="753ABCA5">
        <w:rPr>
          <w:rFonts w:ascii="Arial" w:hAnsi="Arial" w:eastAsia="Arial" w:cs="Arial"/>
          <w:sz w:val="24"/>
          <w:szCs w:val="24"/>
        </w:rPr>
        <w:t xml:space="preserve">a very unstable background. </w:t>
      </w:r>
      <w:r w:rsidRPr="753D09A8" w:rsidR="3B46352B">
        <w:rPr>
          <w:rFonts w:ascii="Arial" w:hAnsi="Arial" w:eastAsia="Arial" w:cs="Arial"/>
          <w:sz w:val="24"/>
          <w:szCs w:val="24"/>
        </w:rPr>
        <w:t>Jack has been removed twice from his parents at</w:t>
      </w:r>
      <w:r w:rsidRPr="753D09A8" w:rsidR="152280B7">
        <w:rPr>
          <w:rFonts w:ascii="Arial" w:hAnsi="Arial" w:eastAsia="Arial" w:cs="Arial"/>
          <w:sz w:val="24"/>
          <w:szCs w:val="24"/>
        </w:rPr>
        <w:t xml:space="preserve"> </w:t>
      </w:r>
      <w:r w:rsidRPr="753D09A8" w:rsidR="01CFF412">
        <w:rPr>
          <w:rFonts w:ascii="Arial" w:hAnsi="Arial" w:eastAsia="Arial" w:cs="Arial"/>
          <w:sz w:val="24"/>
          <w:szCs w:val="24"/>
        </w:rPr>
        <w:t>age</w:t>
      </w:r>
      <w:r w:rsidRPr="753D09A8" w:rsidR="3B46352B">
        <w:rPr>
          <w:rFonts w:ascii="Arial" w:hAnsi="Arial" w:eastAsia="Arial" w:cs="Arial"/>
          <w:sz w:val="24"/>
          <w:szCs w:val="24"/>
        </w:rPr>
        <w:t xml:space="preserve"> two and </w:t>
      </w:r>
      <w:r w:rsidRPr="753D09A8" w:rsidR="1DB61C9B">
        <w:rPr>
          <w:rFonts w:ascii="Arial" w:hAnsi="Arial" w:eastAsia="Arial" w:cs="Arial"/>
          <w:sz w:val="24"/>
          <w:szCs w:val="24"/>
        </w:rPr>
        <w:t>five and</w:t>
      </w:r>
      <w:r w:rsidRPr="753D09A8" w:rsidR="3B46352B">
        <w:rPr>
          <w:rFonts w:ascii="Arial" w:hAnsi="Arial" w:eastAsia="Arial" w:cs="Arial"/>
          <w:sz w:val="24"/>
          <w:szCs w:val="24"/>
        </w:rPr>
        <w:t xml:space="preserve"> was placed</w:t>
      </w:r>
      <w:r w:rsidRPr="753D09A8" w:rsidR="0A4B9F35">
        <w:rPr>
          <w:rFonts w:ascii="Arial" w:hAnsi="Arial" w:eastAsia="Arial" w:cs="Arial"/>
          <w:sz w:val="24"/>
          <w:szCs w:val="24"/>
        </w:rPr>
        <w:t xml:space="preserve"> into </w:t>
      </w:r>
      <w:r w:rsidRPr="753D09A8" w:rsidR="24CD7542">
        <w:rPr>
          <w:rFonts w:ascii="Arial" w:hAnsi="Arial" w:eastAsia="Arial" w:cs="Arial"/>
          <w:sz w:val="24"/>
          <w:szCs w:val="24"/>
        </w:rPr>
        <w:t xml:space="preserve">foster care. He has moved </w:t>
      </w:r>
      <w:r w:rsidRPr="753D09A8" w:rsidR="3C6BA118">
        <w:rPr>
          <w:rFonts w:ascii="Arial" w:hAnsi="Arial" w:eastAsia="Arial" w:cs="Arial"/>
          <w:sz w:val="24"/>
          <w:szCs w:val="24"/>
        </w:rPr>
        <w:t>frequently</w:t>
      </w:r>
      <w:r w:rsidRPr="753D09A8" w:rsidR="4D5C1793">
        <w:rPr>
          <w:rFonts w:ascii="Arial" w:hAnsi="Arial" w:eastAsia="Arial" w:cs="Arial"/>
          <w:sz w:val="24"/>
          <w:szCs w:val="24"/>
        </w:rPr>
        <w:t xml:space="preserve"> between family members and foster placements.</w:t>
      </w:r>
      <w:r w:rsidRPr="753D09A8" w:rsidR="009F5064">
        <w:rPr>
          <w:rFonts w:ascii="Arial" w:hAnsi="Arial" w:eastAsia="Arial" w:cs="Arial"/>
          <w:sz w:val="24"/>
          <w:szCs w:val="24"/>
        </w:rPr>
        <w:t xml:space="preserve"> Jack’s</w:t>
      </w:r>
      <w:r w:rsidRPr="753D09A8" w:rsidR="082CAD5A">
        <w:rPr>
          <w:rFonts w:ascii="Arial" w:hAnsi="Arial" w:eastAsia="Arial" w:cs="Arial"/>
          <w:sz w:val="24"/>
          <w:szCs w:val="24"/>
        </w:rPr>
        <w:t xml:space="preserve"> parents</w:t>
      </w:r>
      <w:r w:rsidRPr="753D09A8" w:rsidR="662ADF0B">
        <w:rPr>
          <w:rFonts w:ascii="Arial" w:hAnsi="Arial" w:eastAsia="Arial" w:cs="Arial"/>
          <w:sz w:val="24"/>
          <w:szCs w:val="24"/>
        </w:rPr>
        <w:t xml:space="preserve"> exposed </w:t>
      </w:r>
      <w:r w:rsidRPr="753D09A8" w:rsidR="301F2772">
        <w:rPr>
          <w:rFonts w:ascii="Arial" w:hAnsi="Arial" w:eastAsia="Arial" w:cs="Arial"/>
          <w:sz w:val="24"/>
          <w:szCs w:val="24"/>
        </w:rPr>
        <w:t xml:space="preserve">him </w:t>
      </w:r>
      <w:r w:rsidRPr="753D09A8" w:rsidR="43CF918D">
        <w:rPr>
          <w:rFonts w:ascii="Arial" w:hAnsi="Arial" w:eastAsia="Arial" w:cs="Arial"/>
          <w:sz w:val="24"/>
          <w:szCs w:val="24"/>
        </w:rPr>
        <w:t>t</w:t>
      </w:r>
      <w:r w:rsidRPr="753D09A8" w:rsidR="662ADF0B">
        <w:rPr>
          <w:rFonts w:ascii="Arial" w:hAnsi="Arial" w:eastAsia="Arial" w:cs="Arial"/>
          <w:sz w:val="24"/>
          <w:szCs w:val="24"/>
        </w:rPr>
        <w:t>o physical abuse</w:t>
      </w:r>
      <w:r w:rsidRPr="753D09A8" w:rsidR="5751653D">
        <w:rPr>
          <w:rFonts w:ascii="Arial" w:hAnsi="Arial" w:eastAsia="Arial" w:cs="Arial"/>
          <w:sz w:val="24"/>
          <w:szCs w:val="24"/>
        </w:rPr>
        <w:t>,</w:t>
      </w:r>
      <w:r w:rsidRPr="753D09A8" w:rsidR="662ADF0B">
        <w:rPr>
          <w:rFonts w:ascii="Arial" w:hAnsi="Arial" w:eastAsia="Arial" w:cs="Arial"/>
          <w:sz w:val="24"/>
          <w:szCs w:val="24"/>
        </w:rPr>
        <w:t xml:space="preserve"> </w:t>
      </w:r>
      <w:r w:rsidRPr="753D09A8" w:rsidR="0373E214">
        <w:rPr>
          <w:rFonts w:ascii="Arial" w:hAnsi="Arial" w:eastAsia="Arial" w:cs="Arial"/>
          <w:sz w:val="24"/>
          <w:szCs w:val="24"/>
        </w:rPr>
        <w:t>neglect,</w:t>
      </w:r>
      <w:r w:rsidRPr="753D09A8" w:rsidR="5DAAEC66">
        <w:rPr>
          <w:rFonts w:ascii="Arial" w:hAnsi="Arial" w:eastAsia="Arial" w:cs="Arial"/>
          <w:sz w:val="24"/>
          <w:szCs w:val="24"/>
        </w:rPr>
        <w:t xml:space="preserve"> and</w:t>
      </w:r>
      <w:r w:rsidRPr="753D09A8" w:rsidR="662ADF0B">
        <w:rPr>
          <w:rFonts w:ascii="Arial" w:hAnsi="Arial" w:eastAsia="Arial" w:cs="Arial"/>
          <w:sz w:val="24"/>
          <w:szCs w:val="24"/>
        </w:rPr>
        <w:t xml:space="preserve"> </w:t>
      </w:r>
      <w:r w:rsidRPr="753D09A8" w:rsidR="17B514F6">
        <w:rPr>
          <w:rFonts w:ascii="Arial" w:hAnsi="Arial" w:eastAsia="Arial" w:cs="Arial"/>
          <w:sz w:val="24"/>
          <w:szCs w:val="24"/>
        </w:rPr>
        <w:t>do</w:t>
      </w:r>
      <w:r w:rsidRPr="753D09A8" w:rsidR="662ADF0B">
        <w:rPr>
          <w:rFonts w:ascii="Arial" w:hAnsi="Arial" w:eastAsia="Arial" w:cs="Arial"/>
          <w:sz w:val="24"/>
          <w:szCs w:val="24"/>
        </w:rPr>
        <w:t xml:space="preserve">mestic violence within the </w:t>
      </w:r>
      <w:r w:rsidRPr="753D09A8" w:rsidR="65CEE33D">
        <w:rPr>
          <w:rFonts w:ascii="Arial" w:hAnsi="Arial" w:eastAsia="Arial" w:cs="Arial"/>
          <w:sz w:val="24"/>
          <w:szCs w:val="24"/>
        </w:rPr>
        <w:t>family’s</w:t>
      </w:r>
      <w:r w:rsidRPr="753D09A8" w:rsidR="662ADF0B">
        <w:rPr>
          <w:rFonts w:ascii="Arial" w:hAnsi="Arial" w:eastAsia="Arial" w:cs="Arial"/>
          <w:sz w:val="24"/>
          <w:szCs w:val="24"/>
        </w:rPr>
        <w:t xml:space="preserve"> hom</w:t>
      </w:r>
      <w:r w:rsidRPr="753D09A8" w:rsidR="05D9E370">
        <w:rPr>
          <w:rFonts w:ascii="Arial" w:hAnsi="Arial" w:eastAsia="Arial" w:cs="Arial"/>
          <w:sz w:val="24"/>
          <w:szCs w:val="24"/>
        </w:rPr>
        <w:t xml:space="preserve">e. </w:t>
      </w:r>
      <w:r w:rsidRPr="753D09A8" w:rsidR="547644A6">
        <w:rPr>
          <w:rFonts w:ascii="Arial" w:hAnsi="Arial" w:eastAsia="Arial" w:cs="Arial"/>
          <w:sz w:val="24"/>
          <w:szCs w:val="24"/>
        </w:rPr>
        <w:t>Jack</w:t>
      </w:r>
      <w:r w:rsidRPr="753D09A8" w:rsidR="5A44F6D6">
        <w:rPr>
          <w:rFonts w:ascii="Arial" w:hAnsi="Arial" w:eastAsia="Arial" w:cs="Arial"/>
          <w:sz w:val="24"/>
          <w:szCs w:val="24"/>
        </w:rPr>
        <w:t xml:space="preserve"> </w:t>
      </w:r>
      <w:r w:rsidRPr="753D09A8" w:rsidR="05D9E370">
        <w:rPr>
          <w:rFonts w:ascii="Arial" w:hAnsi="Arial" w:eastAsia="Arial" w:cs="Arial"/>
          <w:sz w:val="24"/>
          <w:szCs w:val="24"/>
        </w:rPr>
        <w:t>engage</w:t>
      </w:r>
      <w:r w:rsidRPr="753D09A8" w:rsidR="458E50DC">
        <w:rPr>
          <w:rFonts w:ascii="Arial" w:hAnsi="Arial" w:eastAsia="Arial" w:cs="Arial"/>
          <w:sz w:val="24"/>
          <w:szCs w:val="24"/>
        </w:rPr>
        <w:t>s</w:t>
      </w:r>
      <w:r w:rsidRPr="753D09A8" w:rsidR="05D9E370">
        <w:rPr>
          <w:rFonts w:ascii="Arial" w:hAnsi="Arial" w:eastAsia="Arial" w:cs="Arial"/>
          <w:sz w:val="24"/>
          <w:szCs w:val="24"/>
        </w:rPr>
        <w:t xml:space="preserve"> </w:t>
      </w:r>
      <w:r w:rsidRPr="753D09A8" w:rsidR="654AEBFA">
        <w:rPr>
          <w:rFonts w:ascii="Arial" w:hAnsi="Arial" w:eastAsia="Arial" w:cs="Arial"/>
          <w:sz w:val="24"/>
          <w:szCs w:val="24"/>
        </w:rPr>
        <w:t>well</w:t>
      </w:r>
      <w:r w:rsidRPr="753D09A8" w:rsidR="05D9E370">
        <w:rPr>
          <w:rFonts w:ascii="Arial" w:hAnsi="Arial" w:eastAsia="Arial" w:cs="Arial"/>
          <w:sz w:val="24"/>
          <w:szCs w:val="24"/>
        </w:rPr>
        <w:t xml:space="preserve"> with others and </w:t>
      </w:r>
      <w:r w:rsidRPr="753D09A8" w:rsidR="54FCDA6D">
        <w:rPr>
          <w:rFonts w:ascii="Arial" w:hAnsi="Arial" w:eastAsia="Arial" w:cs="Arial"/>
          <w:sz w:val="24"/>
          <w:szCs w:val="24"/>
        </w:rPr>
        <w:t xml:space="preserve">is </w:t>
      </w:r>
      <w:r w:rsidRPr="753D09A8" w:rsidR="54FCDA6D">
        <w:rPr>
          <w:rFonts w:ascii="Arial" w:hAnsi="Arial" w:eastAsia="Arial" w:cs="Arial"/>
          <w:sz w:val="24"/>
          <w:szCs w:val="24"/>
        </w:rPr>
        <w:t>generally</w:t>
      </w:r>
      <w:r w:rsidRPr="753D09A8" w:rsidR="05D9E370">
        <w:rPr>
          <w:rFonts w:ascii="Arial" w:hAnsi="Arial" w:eastAsia="Arial" w:cs="Arial"/>
          <w:sz w:val="24"/>
          <w:szCs w:val="24"/>
        </w:rPr>
        <w:t xml:space="preserve"> </w:t>
      </w:r>
      <w:r w:rsidRPr="753D09A8" w:rsidR="3DC029B5">
        <w:rPr>
          <w:rFonts w:ascii="Arial" w:hAnsi="Arial" w:eastAsia="Arial" w:cs="Arial"/>
          <w:sz w:val="24"/>
          <w:szCs w:val="24"/>
        </w:rPr>
        <w:t>energetic</w:t>
      </w:r>
      <w:r w:rsidRPr="753D09A8" w:rsidR="3DC029B5">
        <w:rPr>
          <w:rFonts w:ascii="Arial" w:hAnsi="Arial" w:eastAsia="Arial" w:cs="Arial"/>
          <w:sz w:val="24"/>
          <w:szCs w:val="24"/>
        </w:rPr>
        <w:t xml:space="preserve"> and </w:t>
      </w:r>
      <w:r w:rsidRPr="753D09A8" w:rsidR="05D9E370">
        <w:rPr>
          <w:rFonts w:ascii="Arial" w:hAnsi="Arial" w:eastAsia="Arial" w:cs="Arial"/>
          <w:sz w:val="24"/>
          <w:szCs w:val="24"/>
        </w:rPr>
        <w:t xml:space="preserve">happy, however </w:t>
      </w:r>
      <w:r w:rsidRPr="753D09A8" w:rsidR="37FE7268">
        <w:rPr>
          <w:rFonts w:ascii="Arial" w:hAnsi="Arial" w:eastAsia="Arial" w:cs="Arial"/>
          <w:sz w:val="24"/>
          <w:szCs w:val="24"/>
        </w:rPr>
        <w:t xml:space="preserve">he is also clingy with his current foster carer and </w:t>
      </w:r>
      <w:r w:rsidRPr="753D09A8" w:rsidR="7A8B0AE4">
        <w:rPr>
          <w:rFonts w:ascii="Arial" w:hAnsi="Arial" w:eastAsia="Arial" w:cs="Arial"/>
          <w:sz w:val="24"/>
          <w:szCs w:val="24"/>
        </w:rPr>
        <w:t>tends to</w:t>
      </w:r>
      <w:r w:rsidRPr="753D09A8" w:rsidR="37FE7268">
        <w:rPr>
          <w:rFonts w:ascii="Arial" w:hAnsi="Arial" w:eastAsia="Arial" w:cs="Arial"/>
          <w:sz w:val="24"/>
          <w:szCs w:val="24"/>
        </w:rPr>
        <w:t xml:space="preserve"> become physically aggressive in stressful situations.</w:t>
      </w:r>
      <w:r w:rsidRPr="753D09A8" w:rsidR="02475DF2">
        <w:rPr>
          <w:rFonts w:ascii="Arial" w:hAnsi="Arial" w:eastAsia="Arial" w:cs="Arial"/>
          <w:sz w:val="24"/>
          <w:szCs w:val="24"/>
        </w:rPr>
        <w:t xml:space="preserve"> </w:t>
      </w:r>
      <w:r w:rsidRPr="753D09A8" w:rsidR="6BA05EA4">
        <w:rPr>
          <w:rFonts w:ascii="Arial" w:hAnsi="Arial" w:eastAsia="Arial" w:cs="Arial"/>
          <w:sz w:val="24"/>
          <w:szCs w:val="24"/>
        </w:rPr>
        <w:t>To</w:t>
      </w:r>
      <w:r w:rsidRPr="753D09A8" w:rsidR="02475DF2">
        <w:rPr>
          <w:rFonts w:ascii="Arial" w:hAnsi="Arial" w:eastAsia="Arial" w:cs="Arial"/>
          <w:sz w:val="24"/>
          <w:szCs w:val="24"/>
        </w:rPr>
        <w:t xml:space="preserve"> be able to support Jack appropriately it is important to consider how these </w:t>
      </w:r>
      <w:r w:rsidRPr="753D09A8" w:rsidR="4E0BE730">
        <w:rPr>
          <w:rFonts w:ascii="Arial" w:hAnsi="Arial" w:eastAsia="Arial" w:cs="Arial"/>
          <w:sz w:val="24"/>
          <w:szCs w:val="24"/>
        </w:rPr>
        <w:t xml:space="preserve">traumatic experiences have </w:t>
      </w:r>
      <w:r w:rsidRPr="753D09A8" w:rsidR="4E0BE730">
        <w:rPr>
          <w:rFonts w:ascii="Arial" w:hAnsi="Arial" w:eastAsia="Arial" w:cs="Arial"/>
          <w:sz w:val="24"/>
          <w:szCs w:val="24"/>
        </w:rPr>
        <w:t>impacted</w:t>
      </w:r>
      <w:r w:rsidRPr="753D09A8" w:rsidR="4E0BE730">
        <w:rPr>
          <w:rFonts w:ascii="Arial" w:hAnsi="Arial" w:eastAsia="Arial" w:cs="Arial"/>
          <w:sz w:val="24"/>
          <w:szCs w:val="24"/>
        </w:rPr>
        <w:t xml:space="preserve"> him, and the way he can be supported developmentally to reduce the impact the experiences continue to have on his development and improve his social, </w:t>
      </w:r>
      <w:r w:rsidRPr="753D09A8" w:rsidR="4E0BE730">
        <w:rPr>
          <w:rFonts w:ascii="Arial" w:hAnsi="Arial" w:eastAsia="Arial" w:cs="Arial"/>
          <w:sz w:val="24"/>
          <w:szCs w:val="24"/>
        </w:rPr>
        <w:t>emotional</w:t>
      </w:r>
      <w:r w:rsidRPr="753D09A8" w:rsidR="4E0BE730">
        <w:rPr>
          <w:rFonts w:ascii="Arial" w:hAnsi="Arial" w:eastAsia="Arial" w:cs="Arial"/>
          <w:sz w:val="24"/>
          <w:szCs w:val="24"/>
        </w:rPr>
        <w:t xml:space="preserve"> and </w:t>
      </w:r>
      <w:r w:rsidRPr="753D09A8" w:rsidR="64853558">
        <w:rPr>
          <w:rFonts w:ascii="Arial" w:hAnsi="Arial" w:eastAsia="Arial" w:cs="Arial"/>
          <w:sz w:val="24"/>
          <w:szCs w:val="24"/>
        </w:rPr>
        <w:t>behavioural</w:t>
      </w:r>
      <w:r w:rsidRPr="753D09A8" w:rsidR="4E0BE730">
        <w:rPr>
          <w:rFonts w:ascii="Arial" w:hAnsi="Arial" w:eastAsia="Arial" w:cs="Arial"/>
          <w:sz w:val="24"/>
          <w:szCs w:val="24"/>
        </w:rPr>
        <w:t xml:space="preserve"> skills</w:t>
      </w:r>
      <w:r w:rsidRPr="753D09A8" w:rsidR="6F8E1721">
        <w:rPr>
          <w:rFonts w:ascii="Arial" w:hAnsi="Arial" w:eastAsia="Arial" w:cs="Arial"/>
          <w:sz w:val="24"/>
          <w:szCs w:val="24"/>
        </w:rPr>
        <w:t xml:space="preserve">. </w:t>
      </w:r>
      <w:r w:rsidRPr="753D09A8" w:rsidR="4926CB90">
        <w:rPr>
          <w:rFonts w:ascii="Arial" w:hAnsi="Arial" w:eastAsia="Arial" w:cs="Arial"/>
          <w:sz w:val="24"/>
          <w:szCs w:val="24"/>
        </w:rPr>
        <w:t xml:space="preserve">It is also necessary to consider the difficulties involved in supporting Jack and the ways to prevent burnout and build </w:t>
      </w:r>
      <w:r w:rsidRPr="753D09A8" w:rsidR="3FF13CB4">
        <w:rPr>
          <w:rFonts w:ascii="Arial" w:hAnsi="Arial" w:eastAsia="Arial" w:cs="Arial"/>
          <w:sz w:val="24"/>
          <w:szCs w:val="24"/>
        </w:rPr>
        <w:t>resilience</w:t>
      </w:r>
      <w:r w:rsidRPr="753D09A8" w:rsidR="4926CB90">
        <w:rPr>
          <w:rFonts w:ascii="Arial" w:hAnsi="Arial" w:eastAsia="Arial" w:cs="Arial"/>
          <w:sz w:val="24"/>
          <w:szCs w:val="24"/>
        </w:rPr>
        <w:t xml:space="preserve"> </w:t>
      </w:r>
      <w:r w:rsidRPr="753D09A8" w:rsidR="56C963DD">
        <w:rPr>
          <w:rFonts w:ascii="Arial" w:hAnsi="Arial" w:eastAsia="Arial" w:cs="Arial"/>
          <w:sz w:val="24"/>
          <w:szCs w:val="24"/>
        </w:rPr>
        <w:t>to</w:t>
      </w:r>
      <w:r w:rsidRPr="753D09A8" w:rsidR="4926CB90">
        <w:rPr>
          <w:rFonts w:ascii="Arial" w:hAnsi="Arial" w:eastAsia="Arial" w:cs="Arial"/>
          <w:sz w:val="24"/>
          <w:szCs w:val="24"/>
        </w:rPr>
        <w:t xml:space="preserve"> be able to support Jack effectively.</w:t>
      </w:r>
    </w:p>
    <w:p w:rsidR="33BC20A1" w:rsidP="753D09A8" w:rsidRDefault="33BC20A1" w14:paraId="1C6C8D3F" w14:textId="4992215D">
      <w:pPr>
        <w:pStyle w:val="Normal"/>
        <w:suppressLineNumbers w:val="0"/>
        <w:spacing w:before="0" w:beforeAutospacing="off" w:after="120" w:afterAutospacing="off" w:line="360" w:lineRule="auto"/>
        <w:ind w:left="0" w:right="0" w:firstLine="72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53D09A8" w:rsidR="0A873E59">
        <w:rPr>
          <w:rFonts w:ascii="Arial" w:hAnsi="Arial" w:eastAsia="Arial" w:cs="Arial"/>
          <w:sz w:val="24"/>
          <w:szCs w:val="24"/>
        </w:rPr>
        <w:t xml:space="preserve">If an individual is exposed to adverse childhood experiences when they are young, the cortisone </w:t>
      </w:r>
      <w:r w:rsidRPr="753D09A8" w:rsidR="338A3AB8">
        <w:rPr>
          <w:rFonts w:ascii="Arial" w:hAnsi="Arial" w:eastAsia="Arial" w:cs="Arial"/>
          <w:sz w:val="24"/>
          <w:szCs w:val="24"/>
        </w:rPr>
        <w:t>levels within the brain are known to increase. If they are exposed to c</w:t>
      </w:r>
      <w:r w:rsidRPr="753D09A8" w:rsidR="4F9AC4FD">
        <w:rPr>
          <w:rFonts w:ascii="Arial" w:hAnsi="Arial" w:eastAsia="Arial" w:cs="Arial"/>
          <w:sz w:val="24"/>
          <w:szCs w:val="24"/>
        </w:rPr>
        <w:t>h</w:t>
      </w:r>
      <w:r w:rsidRPr="753D09A8" w:rsidR="338A3AB8">
        <w:rPr>
          <w:rFonts w:ascii="Arial" w:hAnsi="Arial" w:eastAsia="Arial" w:cs="Arial"/>
          <w:sz w:val="24"/>
          <w:szCs w:val="24"/>
        </w:rPr>
        <w:t xml:space="preserve">ronic levels of </w:t>
      </w:r>
      <w:r w:rsidRPr="753D09A8" w:rsidR="59120DCB">
        <w:rPr>
          <w:rFonts w:ascii="Arial" w:hAnsi="Arial" w:eastAsia="Arial" w:cs="Arial"/>
          <w:sz w:val="24"/>
          <w:szCs w:val="24"/>
        </w:rPr>
        <w:t>stress,</w:t>
      </w:r>
      <w:r w:rsidRPr="753D09A8" w:rsidR="338A3AB8">
        <w:rPr>
          <w:rFonts w:ascii="Arial" w:hAnsi="Arial" w:eastAsia="Arial" w:cs="Arial"/>
          <w:sz w:val="24"/>
          <w:szCs w:val="24"/>
        </w:rPr>
        <w:t xml:space="preserve"> th</w:t>
      </w:r>
      <w:r w:rsidRPr="753D09A8" w:rsidR="60337F1E">
        <w:rPr>
          <w:rFonts w:ascii="Arial" w:hAnsi="Arial" w:eastAsia="Arial" w:cs="Arial"/>
          <w:sz w:val="24"/>
          <w:szCs w:val="24"/>
        </w:rPr>
        <w:t>ere is a lasting impact on the way in which the body responds to stress (</w:t>
      </w:r>
      <w:r w:rsidRPr="753D09A8" w:rsidR="60337F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Evans et al.</w:t>
      </w:r>
      <w:r w:rsidRPr="753D09A8" w:rsidR="22D2D0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,</w:t>
      </w:r>
      <w:r w:rsidRPr="753D09A8" w:rsidR="60337F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2020). </w:t>
      </w:r>
      <w:r w:rsidRPr="753D09A8" w:rsidR="785761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People experience stress when </w:t>
      </w:r>
      <w:r w:rsidRPr="753D09A8" w:rsidR="56E660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in</w:t>
      </w:r>
      <w:r w:rsidRPr="753D09A8" w:rsidR="2679CD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situations that are too </w:t>
      </w:r>
      <w:r w:rsidRPr="753D09A8" w:rsidR="3B8364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overwhelming </w:t>
      </w:r>
      <w:r w:rsidRPr="753D09A8" w:rsidR="725F91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and when the stress is too high to cope</w:t>
      </w:r>
      <w:r w:rsidRPr="753D09A8" w:rsidR="25A044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with. T</w:t>
      </w:r>
      <w:r w:rsidRPr="753D09A8" w:rsidR="725F91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he </w:t>
      </w:r>
      <w:r w:rsidRPr="753D09A8" w:rsidR="377BDC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body's</w:t>
      </w:r>
      <w:r w:rsidRPr="753D09A8" w:rsidR="725F91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stress response is activated. Th</w:t>
      </w:r>
      <w:r w:rsidRPr="753D09A8" w:rsidR="2E6AA4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 stress response</w:t>
      </w:r>
      <w:r w:rsidRPr="753D09A8" w:rsidR="3C9440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causes the amygdala to notify the </w:t>
      </w:r>
      <w:r w:rsidRPr="753D09A8" w:rsidR="060304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hypothalamus</w:t>
      </w:r>
      <w:r w:rsidRPr="753D09A8" w:rsidR="3C9440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of a </w:t>
      </w:r>
      <w:r w:rsidRPr="753D09A8" w:rsidR="3C9440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possible </w:t>
      </w:r>
      <w:r w:rsidRPr="753D09A8" w:rsidR="04757B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threat</w:t>
      </w:r>
      <w:r w:rsidRPr="753D09A8" w:rsidR="3C9440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, which leads to adre</w:t>
      </w:r>
      <w:r w:rsidRPr="753D09A8" w:rsidR="7A215E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naline and cortisol being released</w:t>
      </w:r>
      <w:r w:rsidRPr="753D09A8" w:rsidR="3D8159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. This is known as the fight or flight response and is the body’s natural way to cope with </w:t>
      </w:r>
      <w:r w:rsidRPr="753D09A8" w:rsidR="3D8159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 difficult situation</w:t>
      </w:r>
      <w:r w:rsidRPr="753D09A8" w:rsidR="72DE47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, however if the cause of the stress is not removed then the body continues to pr</w:t>
      </w:r>
      <w:r w:rsidRPr="753D09A8" w:rsidR="24CBAA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oduce cortisol</w:t>
      </w:r>
      <w:r w:rsidRPr="753D09A8" w:rsidR="1DBC88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(Gerhardt</w:t>
      </w:r>
      <w:r w:rsidRPr="753D09A8" w:rsidR="609278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,</w:t>
      </w:r>
      <w:r w:rsidRPr="753D09A8" w:rsidR="1DBC88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2004a)</w:t>
      </w:r>
      <w:r w:rsidRPr="753D09A8" w:rsidR="182068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.</w:t>
      </w:r>
      <w:r w:rsidRPr="753D09A8" w:rsidR="7D759B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753D09A8" w:rsidR="1D32C4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The way in which the body releases hormones </w:t>
      </w:r>
      <w:r w:rsidRPr="753D09A8" w:rsidR="3C079E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impact</w:t>
      </w:r>
      <w:r w:rsidRPr="753D09A8" w:rsidR="1D32C4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upon </w:t>
      </w:r>
      <w:r w:rsidRPr="753D09A8" w:rsidR="6D69AD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how a </w:t>
      </w:r>
      <w:r w:rsidRPr="753D09A8" w:rsidR="1BE1D2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person's</w:t>
      </w:r>
      <w:r w:rsidRPr="753D09A8" w:rsidR="1D32C4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genes are expressed</w:t>
      </w:r>
      <w:r w:rsidRPr="753D09A8" w:rsidR="7B405B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. This then </w:t>
      </w:r>
      <w:r w:rsidRPr="753D09A8" w:rsidR="1E02C4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influence</w:t>
      </w:r>
      <w:r w:rsidRPr="753D09A8" w:rsidR="2FE454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</w:t>
      </w:r>
      <w:r w:rsidRPr="753D09A8" w:rsidR="1E02C4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753D09A8" w:rsidR="5A172F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behaviour</w:t>
      </w:r>
      <w:r w:rsidRPr="753D09A8" w:rsidR="2D8679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and the way in which the body responds to future stress (Gerhardt</w:t>
      </w:r>
      <w:r w:rsidRPr="753D09A8" w:rsidR="3324CD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,</w:t>
      </w:r>
      <w:r w:rsidRPr="753D09A8" w:rsidR="2D8679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2004a). </w:t>
      </w:r>
      <w:r w:rsidRPr="753D09A8" w:rsidR="7960A7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When considering the impact that adverse childhood experiences have on babies and young children, the way in which stress </w:t>
      </w:r>
      <w:r w:rsidRPr="753D09A8" w:rsidR="7960A7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impacts</w:t>
      </w:r>
      <w:r w:rsidRPr="753D09A8" w:rsidR="7960A7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their genetics and </w:t>
      </w:r>
      <w:r w:rsidRPr="753D09A8" w:rsidR="4D1DB2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development is important. </w:t>
      </w:r>
      <w:r w:rsidRPr="753D09A8" w:rsidR="5BDD41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An infant or child</w:t>
      </w:r>
      <w:r w:rsidRPr="753D09A8" w:rsidR="19D91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753D09A8" w:rsidR="5BDD41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that is already predisposed to </w:t>
      </w:r>
      <w:r w:rsidRPr="753D09A8" w:rsidR="48A643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illnesses</w:t>
      </w:r>
      <w:r w:rsidRPr="753D09A8" w:rsidR="5BDD41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like depression</w:t>
      </w:r>
      <w:r w:rsidRPr="753D09A8" w:rsidR="4D6F24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753D09A8" w:rsidR="5BDD41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or schizophrenia </w:t>
      </w:r>
      <w:r w:rsidRPr="753D09A8" w:rsidR="1EA20A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could be at higher risk of developing them due to the way that such genes can be activated by their environment</w:t>
      </w:r>
      <w:r w:rsidRPr="753D09A8" w:rsidR="75CD2D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(Gerhardt</w:t>
      </w:r>
      <w:r w:rsidRPr="753D09A8" w:rsidR="05FBD2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,</w:t>
      </w:r>
      <w:r w:rsidRPr="753D09A8" w:rsidR="75CD2D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2004a).</w:t>
      </w:r>
      <w:r w:rsidRPr="753D09A8" w:rsidR="713CF4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This is particularly concerning for children that experience trauma. </w:t>
      </w:r>
    </w:p>
    <w:p w:rsidR="641D5027" w:rsidP="786450B4" w:rsidRDefault="641D5027" w14:paraId="4C6933D7" w14:textId="5D2DAB0C">
      <w:pPr>
        <w:pStyle w:val="Normal"/>
        <w:suppressLineNumbers w:val="0"/>
        <w:bidi w:val="0"/>
        <w:spacing w:before="0" w:beforeAutospacing="off" w:after="120" w:afterAutospacing="off" w:line="360" w:lineRule="auto"/>
        <w:ind w:left="0" w:right="0" w:firstLine="72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86450B4" w:rsidR="713CF4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Trauma, defined as the </w:t>
      </w:r>
      <w:r w:rsidRPr="786450B4" w:rsidR="5D30CF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either experiencing or </w:t>
      </w:r>
      <w:r w:rsidRPr="786450B4" w:rsidR="5D30CF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witnessing</w:t>
      </w:r>
      <w:r w:rsidRPr="786450B4" w:rsidR="5D30CF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life threating</w:t>
      </w:r>
      <w:r w:rsidRPr="786450B4" w:rsidR="5C867B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situations</w:t>
      </w:r>
      <w:r w:rsidRPr="786450B4" w:rsidR="5D30CF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or extreme harm as well as death, </w:t>
      </w:r>
      <w:r w:rsidRPr="786450B4" w:rsidR="21CE18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leads to feelings of total helplessness and fear. In such situations the amygdala can be activated, causing the fight or flight response </w:t>
      </w:r>
      <w:r w:rsidRPr="786450B4" w:rsidR="2EB9C4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and the release of cortisol</w:t>
      </w:r>
      <w:r w:rsidRPr="786450B4" w:rsidR="79B2C7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(Gerhardt</w:t>
      </w:r>
      <w:r w:rsidRPr="786450B4" w:rsidR="644BA7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,</w:t>
      </w:r>
      <w:r w:rsidRPr="786450B4" w:rsidR="79B2C7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2004b)</w:t>
      </w:r>
      <w:r w:rsidRPr="786450B4" w:rsidR="2EB9C4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. </w:t>
      </w:r>
      <w:r w:rsidRPr="786450B4" w:rsidR="1AAFEB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 person that has experienced adverse childhood experiences a</w:t>
      </w:r>
      <w:r w:rsidRPr="786450B4" w:rsidR="26FA39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re likely to have </w:t>
      </w:r>
      <w:r w:rsidRPr="786450B4" w:rsidR="4DED3B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difficulty</w:t>
      </w:r>
      <w:r w:rsidRPr="786450B4" w:rsidR="26FA39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recovering from traumatic experiences due to the way in which adverse childhood experiences can </w:t>
      </w:r>
      <w:r w:rsidRPr="786450B4" w:rsidR="26FA39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impact</w:t>
      </w:r>
      <w:r w:rsidRPr="786450B4" w:rsidR="26FA39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upon </w:t>
      </w:r>
      <w:r w:rsidRPr="786450B4" w:rsidR="771DC1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body’s ability to cope with stress (Weaver</w:t>
      </w:r>
      <w:r w:rsidRPr="786450B4" w:rsidR="681FBB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,</w:t>
      </w:r>
      <w:r w:rsidRPr="786450B4" w:rsidR="771DC1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2007, cited in Gerhardt</w:t>
      </w:r>
      <w:r w:rsidRPr="786450B4" w:rsidR="36ADB3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,</w:t>
      </w:r>
      <w:r w:rsidRPr="786450B4" w:rsidR="771DC1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2004). </w:t>
      </w:r>
      <w:r w:rsidRPr="786450B4" w:rsidR="6453C9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</w:t>
      </w:r>
      <w:r w:rsidRPr="786450B4" w:rsidR="733A74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ven into adulthood this can increase the </w:t>
      </w:r>
      <w:r w:rsidRPr="786450B4" w:rsidR="733A74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likelihood</w:t>
      </w:r>
      <w:r w:rsidRPr="786450B4" w:rsidR="733A74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of developing PTSD</w:t>
      </w:r>
      <w:r w:rsidRPr="786450B4" w:rsidR="2671D2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, which </w:t>
      </w:r>
      <w:r w:rsidRPr="786450B4" w:rsidR="0BEC61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involves</w:t>
      </w:r>
      <w:r w:rsidRPr="786450B4" w:rsidR="2671D2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memories of a traumatic event being intrusive through flashbacks/dreams</w:t>
      </w:r>
      <w:r w:rsidRPr="786450B4" w:rsidR="64C73A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leading to avoidance, </w:t>
      </w:r>
      <w:r w:rsidRPr="786450B4" w:rsidR="3FDCC7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hypervigilance</w:t>
      </w:r>
      <w:r w:rsidRPr="786450B4" w:rsidR="64C73A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and hyperarousal (DSM-5, American Psychiatric Association, 2013</w:t>
      </w:r>
      <w:r w:rsidRPr="786450B4" w:rsidR="560479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, cited in John-Baptiste Bastien et al., 2020</w:t>
      </w:r>
      <w:r w:rsidRPr="786450B4" w:rsidR="64C73A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),</w:t>
      </w:r>
      <w:r w:rsidRPr="786450B4" w:rsidR="733A74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and increase vulnerability to trauma (</w:t>
      </w:r>
      <w:r w:rsidRPr="786450B4" w:rsidR="733A74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Seckl</w:t>
      </w:r>
      <w:r w:rsidRPr="786450B4" w:rsidR="089D72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,</w:t>
      </w:r>
      <w:r w:rsidRPr="786450B4" w:rsidR="733A74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2008; Seckl and Meaney</w:t>
      </w:r>
      <w:r w:rsidRPr="786450B4" w:rsidR="407611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,</w:t>
      </w:r>
      <w:r w:rsidRPr="786450B4" w:rsidR="733A74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2006; Yehuda and LeDoux</w:t>
      </w:r>
      <w:r w:rsidRPr="786450B4" w:rsidR="1C1D66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,</w:t>
      </w:r>
      <w:r w:rsidRPr="786450B4" w:rsidR="733A74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2007, cited in Gerhardt</w:t>
      </w:r>
      <w:r w:rsidRPr="786450B4" w:rsidR="63F20B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,</w:t>
      </w:r>
      <w:r w:rsidRPr="786450B4" w:rsidR="733A74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2004). </w:t>
      </w:r>
      <w:r w:rsidRPr="786450B4" w:rsidR="70CA4E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Physical and mental health can be </w:t>
      </w:r>
      <w:r w:rsidRPr="786450B4" w:rsidR="70CA4E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impacted</w:t>
      </w:r>
      <w:r w:rsidRPr="786450B4" w:rsidR="70CA4E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if a person is exposed to adverse childhood experiences or neglect</w:t>
      </w:r>
      <w:r w:rsidRPr="786450B4" w:rsidR="01E46E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. Research has found that children with such experiences are more likely to develop behavioural problems, anxiety and depression or conduct disorder </w:t>
      </w:r>
      <w:r w:rsidRPr="786450B4" w:rsidR="78D6A6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(Norman et al., 2012, cited in Golm and Kreppner, 2021). </w:t>
      </w:r>
      <w:r w:rsidRPr="786450B4" w:rsidR="78BD82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Li and colleagues (2016, cited in Golm and Kreppner, 2021) also reported an increased risk of emotional problems due to adverse childhood expe</w:t>
      </w:r>
      <w:r w:rsidRPr="786450B4" w:rsidR="158D3E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riences</w:t>
      </w:r>
      <w:r w:rsidRPr="786450B4" w:rsidR="2E8F61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, however they did not include any other outcomes in their study. </w:t>
      </w:r>
    </w:p>
    <w:p w:rsidR="641D5027" w:rsidP="78A0974C" w:rsidRDefault="641D5027" w14:paraId="10EB224E" w14:textId="6653E88E">
      <w:pPr>
        <w:pStyle w:val="Normal"/>
        <w:suppressLineNumbers w:val="0"/>
        <w:bidi w:val="0"/>
        <w:spacing w:before="0" w:beforeAutospacing="off" w:after="120" w:afterAutospacing="off" w:line="360" w:lineRule="auto"/>
        <w:ind w:left="0" w:right="0" w:firstLine="72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8A0974C" w:rsidR="49269A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It is thought that the way a person copes with stress, adverse experiences and trauma, is largely impacted by their attachment </w:t>
      </w:r>
      <w:r w:rsidRPr="78A0974C" w:rsidR="371BB9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relationships</w:t>
      </w:r>
      <w:r w:rsidRPr="78A0974C" w:rsidR="49269A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and whether a person feels</w:t>
      </w:r>
      <w:r w:rsidRPr="78A0974C" w:rsidR="67E545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secure (Gerhardt</w:t>
      </w:r>
      <w:r w:rsidRPr="78A0974C" w:rsidR="443B88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,</w:t>
      </w:r>
      <w:r w:rsidRPr="78A0974C" w:rsidR="67E545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2004b)</w:t>
      </w:r>
      <w:r w:rsidRPr="78A0974C" w:rsidR="39E620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, and if an individual had negative experiences of attachment relationships as a child, then their body would not have produced the oxytocin levels needed to be able to </w:t>
      </w:r>
      <w:r w:rsidRPr="78A0974C" w:rsidR="6F1B09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switch off the stress response and release of cortisol (Fries</w:t>
      </w:r>
      <w:r w:rsidRPr="78A0974C" w:rsidR="1168B5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,</w:t>
      </w:r>
      <w:r w:rsidRPr="78A0974C" w:rsidR="6F1B09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2005; </w:t>
      </w:r>
      <w:bookmarkStart w:name="_Int_jopDzFOT" w:id="28718449"/>
      <w:r w:rsidRPr="78A0974C" w:rsidR="6F1B09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Charuvastra</w:t>
      </w:r>
      <w:bookmarkEnd w:id="28718449"/>
      <w:r w:rsidRPr="78A0974C" w:rsidR="6F1B09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and </w:t>
      </w:r>
      <w:r w:rsidRPr="78A0974C" w:rsidR="6F1B09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Cloitre</w:t>
      </w:r>
      <w:r w:rsidRPr="78A0974C" w:rsidR="46EF83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,</w:t>
      </w:r>
      <w:r w:rsidRPr="78A0974C" w:rsidR="6F1B09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2008, cited in Gerhardt</w:t>
      </w:r>
      <w:r w:rsidRPr="78A0974C" w:rsidR="72886C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,</w:t>
      </w:r>
      <w:r w:rsidRPr="78A0974C" w:rsidR="6F1B09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2004).  </w:t>
      </w:r>
      <w:r w:rsidRPr="78A0974C" w:rsidR="5C52E0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Attachments are the relationships we have with others that</w:t>
      </w:r>
      <w:r w:rsidRPr="78A0974C" w:rsidR="74364E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can make us feel safe and loved</w:t>
      </w:r>
      <w:r w:rsidRPr="78A0974C" w:rsidR="5D8400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, and they </w:t>
      </w:r>
      <w:r w:rsidRPr="78A0974C" w:rsidR="5D8400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essentially set</w:t>
      </w:r>
      <w:r w:rsidRPr="78A0974C" w:rsidR="5D8400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the basis for all future relationships</w:t>
      </w:r>
      <w:r w:rsidRPr="78A0974C" w:rsidR="74364E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.</w:t>
      </w:r>
      <w:r w:rsidRPr="78A0974C" w:rsidR="55BE49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The attachments that are formed in infancy and early child is </w:t>
      </w:r>
      <w:r w:rsidRPr="78A0974C" w:rsidR="3784FB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central to psychological development and </w:t>
      </w:r>
      <w:r w:rsidRPr="78A0974C" w:rsidR="3784FB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impacts</w:t>
      </w:r>
      <w:r w:rsidRPr="78A0974C" w:rsidR="3784FB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the likelihood of developing mental health issues throughout life</w:t>
      </w:r>
      <w:r w:rsidRPr="78A0974C" w:rsidR="027E5B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(</w:t>
      </w:r>
      <w:r w:rsidRPr="78A0974C" w:rsidR="75E70F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Weiss</w:t>
      </w:r>
      <w:r w:rsidRPr="78A0974C" w:rsidR="73DB45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,</w:t>
      </w:r>
      <w:r w:rsidRPr="78A0974C" w:rsidR="75E70F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1982, cited in </w:t>
      </w:r>
      <w:r w:rsidRPr="78A0974C" w:rsidR="027E5B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Holmes</w:t>
      </w:r>
      <w:r w:rsidRPr="78A0974C" w:rsidR="4C38B7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,</w:t>
      </w:r>
      <w:r w:rsidRPr="78A0974C" w:rsidR="027E5B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2014</w:t>
      </w:r>
      <w:r w:rsidRPr="78A0974C" w:rsidR="1A9CA8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</w:t>
      </w:r>
      <w:r w:rsidRPr="78A0974C" w:rsidR="027E5B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)</w:t>
      </w:r>
      <w:r w:rsidRPr="78A0974C" w:rsidR="3784FB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. </w:t>
      </w:r>
      <w:r w:rsidRPr="78A0974C" w:rsidR="0357B7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 aim of attachment is for the infant to be able to form a se</w:t>
      </w:r>
      <w:r w:rsidRPr="78A0974C" w:rsidR="39A705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</w:t>
      </w:r>
      <w:r w:rsidRPr="78A0974C" w:rsidR="0357B7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ure base from which they feel safe to explore their surroundings confidently</w:t>
      </w:r>
      <w:r w:rsidRPr="78A0974C" w:rsidR="0FD74E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with the knowledge that they can </w:t>
      </w:r>
      <w:r w:rsidRPr="78A0974C" w:rsidR="185583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return to their caregiver for comfort if needed</w:t>
      </w:r>
      <w:r w:rsidRPr="78A0974C" w:rsidR="6EA6E1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(Gale, 2021).</w:t>
      </w:r>
      <w:r w:rsidRPr="78A0974C" w:rsidR="1FC4E8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78A0974C" w:rsidR="6BD932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Infants form these attachments in the attempt to get their needs for survival met, due to the degree in which they depend on their caregiver for survival</w:t>
      </w:r>
      <w:r w:rsidRPr="78A0974C" w:rsidR="383A36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. </w:t>
      </w:r>
    </w:p>
    <w:p w:rsidR="641D5027" w:rsidP="753D09A8" w:rsidRDefault="641D5027" w14:paraId="1D1680DA" w14:textId="59C3DC3D">
      <w:pPr>
        <w:pStyle w:val="Normal"/>
        <w:suppressLineNumbers w:val="0"/>
        <w:bidi w:val="0"/>
        <w:spacing w:before="0" w:beforeAutospacing="off" w:after="120" w:afterAutospacing="off" w:line="360" w:lineRule="auto"/>
        <w:ind w:left="0" w:right="0" w:firstLine="72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53D09A8" w:rsidR="383A36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There are two main forms of attachment which are secure or insecure</w:t>
      </w:r>
      <w:r w:rsidRPr="753D09A8" w:rsidR="6BD932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753D09A8" w:rsidR="6BD932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(</w:t>
      </w:r>
      <w:r w:rsidRPr="753D09A8" w:rsidR="07276D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Holmes</w:t>
      </w:r>
      <w:r w:rsidRPr="753D09A8" w:rsidR="7F65BF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,</w:t>
      </w:r>
      <w:r w:rsidRPr="753D09A8" w:rsidR="07276D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2014</w:t>
      </w:r>
      <w:r w:rsidRPr="753D09A8" w:rsidR="18E050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</w:t>
      </w:r>
      <w:r w:rsidRPr="753D09A8" w:rsidR="07276D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)</w:t>
      </w:r>
      <w:r w:rsidRPr="753D09A8" w:rsidR="6BD932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.</w:t>
      </w:r>
      <w:r w:rsidRPr="753D09A8" w:rsidR="2DB63C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If an infant forms a secure </w:t>
      </w:r>
      <w:r w:rsidRPr="753D09A8" w:rsidR="027370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attachment,</w:t>
      </w:r>
      <w:r w:rsidRPr="753D09A8" w:rsidR="6FD472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then the</w:t>
      </w:r>
      <w:r w:rsidRPr="753D09A8" w:rsidR="4CA144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y tend to be able to </w:t>
      </w:r>
      <w:r w:rsidRPr="753D09A8" w:rsidR="70B57C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separate</w:t>
      </w:r>
      <w:r w:rsidRPr="753D09A8" w:rsidR="4CA144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from their caregiver and </w:t>
      </w:r>
      <w:r w:rsidRPr="753D09A8" w:rsidR="4372B7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when they </w:t>
      </w:r>
      <w:r w:rsidRPr="753D09A8" w:rsidR="7B285D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reunite</w:t>
      </w:r>
      <w:r w:rsidRPr="753D09A8" w:rsidR="4372B7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with their caregiver they</w:t>
      </w:r>
      <w:r w:rsidRPr="753D09A8" w:rsidR="4CA144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753D09A8" w:rsidR="4CA144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are </w:t>
      </w:r>
      <w:r w:rsidRPr="753D09A8" w:rsidR="2F38CA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accepting</w:t>
      </w:r>
      <w:r w:rsidRPr="753D09A8" w:rsidR="44E4CA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of comfort and able to continue playing. </w:t>
      </w:r>
      <w:r w:rsidRPr="753D09A8" w:rsidR="79813F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Infants that are insecurely attached to their caregive</w:t>
      </w:r>
      <w:r w:rsidRPr="753D09A8" w:rsidR="0495F5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r</w:t>
      </w:r>
      <w:r w:rsidRPr="753D09A8" w:rsidR="79813F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can be avoidant or ambivalent. If they are </w:t>
      </w:r>
      <w:r w:rsidRPr="753D09A8" w:rsidR="02E1F8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avoidant,</w:t>
      </w:r>
      <w:r w:rsidRPr="753D09A8" w:rsidR="79813F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753D09A8" w:rsidR="730B56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then they do not tend to outwardly show signs of distress upon </w:t>
      </w:r>
      <w:r w:rsidRPr="753D09A8" w:rsidR="0DE481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separation</w:t>
      </w:r>
      <w:r w:rsidRPr="753D09A8" w:rsidR="730B56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f</w:t>
      </w:r>
      <w:r w:rsidRPr="753D09A8" w:rsidR="2D5B9C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rom their </w:t>
      </w:r>
      <w:r w:rsidRPr="753D09A8" w:rsidR="03B4A8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caregiver </w:t>
      </w:r>
      <w:r w:rsidRPr="753D09A8" w:rsidR="7360C5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and</w:t>
      </w:r>
      <w:r w:rsidRPr="753D09A8" w:rsidR="2D5B9C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ignore them when they reunite. Their play is affected as they are focused on </w:t>
      </w:r>
      <w:r w:rsidRPr="753D09A8" w:rsidR="2D5B9C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observing</w:t>
      </w:r>
      <w:r w:rsidRPr="753D09A8" w:rsidR="2D5B9C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their caregiver</w:t>
      </w:r>
      <w:r w:rsidRPr="753D09A8" w:rsidR="41CB28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. </w:t>
      </w:r>
      <w:r w:rsidRPr="753D09A8" w:rsidR="1A5FC4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Infants that are ambivalent </w:t>
      </w:r>
      <w:r w:rsidRPr="753D09A8" w:rsidR="143565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then they tend to get </w:t>
      </w:r>
      <w:r w:rsidRPr="753D09A8" w:rsidR="143565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very upset</w:t>
      </w:r>
      <w:r w:rsidRPr="753D09A8" w:rsidR="143565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when separating from their caregiver and when they reunite, they do not resettle very easily and want to be comforted by their </w:t>
      </w:r>
      <w:r w:rsidRPr="753D09A8" w:rsidR="772A75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caregiver,</w:t>
      </w:r>
      <w:r w:rsidRPr="753D09A8" w:rsidR="143565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but they </w:t>
      </w:r>
      <w:r w:rsidRPr="753D09A8" w:rsidR="3FF100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can be resistant to the comfort and even aggressive. This effects their willingness to go back to playing and </w:t>
      </w:r>
      <w:r w:rsidRPr="753D09A8" w:rsidR="4D6A15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they can be angry an</w:t>
      </w:r>
      <w:r w:rsidRPr="753D09A8" w:rsidR="71ABAD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d</w:t>
      </w:r>
      <w:r w:rsidRPr="753D09A8" w:rsidR="4D6A15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clingy w</w:t>
      </w:r>
      <w:r w:rsidRPr="753D09A8" w:rsidR="6D5666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</w:t>
      </w:r>
      <w:r w:rsidRPr="753D09A8" w:rsidR="4D6A15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 the caregiver</w:t>
      </w:r>
      <w:r w:rsidRPr="753D09A8" w:rsidR="294E52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(Ainsworth et al., 1971; 1978, cited in </w:t>
      </w:r>
      <w:r w:rsidRPr="753D09A8" w:rsidR="11D229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Holmes</w:t>
      </w:r>
      <w:r w:rsidRPr="753D09A8" w:rsidR="6773DD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,</w:t>
      </w:r>
      <w:r w:rsidRPr="753D09A8" w:rsidR="11D229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2014b)</w:t>
      </w:r>
      <w:r w:rsidRPr="753D09A8" w:rsidR="4D6A15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. </w:t>
      </w:r>
      <w:r w:rsidRPr="753D09A8" w:rsidR="7A69AC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Main and Solomon (1990, cited in Holmes 2014b) also proposed an </w:t>
      </w:r>
      <w:r w:rsidRPr="753D09A8" w:rsidR="7A69AC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addition</w:t>
      </w:r>
      <w:r w:rsidRPr="753D09A8" w:rsidR="5818EA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al</w:t>
      </w:r>
      <w:r w:rsidRPr="753D09A8" w:rsidR="7A69AC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insecure attachment in which infants are thought to </w:t>
      </w:r>
      <w:r w:rsidRPr="753D09A8" w:rsidR="02884C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have a </w:t>
      </w:r>
      <w:r w:rsidRPr="753D09A8" w:rsidR="3705AE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disorganised</w:t>
      </w:r>
      <w:r w:rsidRPr="753D09A8" w:rsidR="02884C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attachment. In this instance, infants' behaviour was </w:t>
      </w:r>
      <w:r w:rsidRPr="753D09A8" w:rsidR="259BDE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unpredictable and involved a range of behaviours such as </w:t>
      </w:r>
      <w:r w:rsidRPr="753D09A8" w:rsidR="259BDE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disassociation</w:t>
      </w:r>
      <w:r w:rsidRPr="753D09A8" w:rsidR="259BDE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, freezing, curling up in a </w:t>
      </w:r>
      <w:r w:rsidRPr="753D09A8" w:rsidR="259BDE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ball</w:t>
      </w:r>
      <w:r w:rsidRPr="753D09A8" w:rsidR="259BDE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or rocking back and forth</w:t>
      </w:r>
      <w:r w:rsidRPr="753D09A8" w:rsidR="259BDE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. </w:t>
      </w:r>
      <w:r w:rsidRPr="753D09A8" w:rsidR="02884C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</w:p>
    <w:p w:rsidR="24D8215D" w:rsidP="753D09A8" w:rsidRDefault="24D8215D" w14:paraId="2A3D3326" w14:textId="32476D89">
      <w:pPr>
        <w:pStyle w:val="Normal"/>
        <w:suppressLineNumbers w:val="0"/>
        <w:spacing w:before="0" w:beforeAutospacing="off" w:after="120" w:afterAutospacing="off" w:line="360" w:lineRule="auto"/>
        <w:ind w:left="0" w:right="0" w:firstLine="72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753D09A8" w:rsidR="1405FC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Research suggests that the </w:t>
      </w:r>
      <w:r w:rsidRPr="753D09A8" w:rsidR="1405FC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different types</w:t>
      </w:r>
      <w:r w:rsidRPr="753D09A8" w:rsidR="1405FC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of attachment are a result of different methods of parent</w:t>
      </w:r>
      <w:r w:rsidRPr="753D09A8" w:rsidR="3578F9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ing</w:t>
      </w:r>
      <w:r w:rsidRPr="753D09A8" w:rsidR="1405FC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, rather than </w:t>
      </w:r>
      <w:r w:rsidRPr="753D09A8" w:rsidR="661B30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being due to </w:t>
      </w:r>
      <w:r w:rsidRPr="753D09A8" w:rsidR="1405FC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 infant's temperament (</w:t>
      </w:r>
      <w:r w:rsidRPr="753D09A8" w:rsidR="1585F7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Sroufe, 1985, cited in </w:t>
      </w:r>
      <w:r w:rsidRPr="753D09A8" w:rsidR="1585F7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Holmes</w:t>
      </w:r>
      <w:r w:rsidRPr="753D09A8" w:rsidR="6DF542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,</w:t>
      </w:r>
      <w:r w:rsidRPr="753D09A8" w:rsidR="1585F7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2014b). </w:t>
      </w:r>
      <w:r w:rsidRPr="753D09A8" w:rsidR="024951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This is supported even further by the fact that infants can form </w:t>
      </w:r>
      <w:r w:rsidRPr="753D09A8" w:rsidR="024951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different types</w:t>
      </w:r>
      <w:r w:rsidRPr="753D09A8" w:rsidR="024951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of attachment with different caregivers</w:t>
      </w:r>
      <w:r w:rsidRPr="753D09A8" w:rsidR="75D1B9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(Holmes</w:t>
      </w:r>
      <w:r w:rsidRPr="753D09A8" w:rsidR="49E47C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,</w:t>
      </w:r>
      <w:r w:rsidRPr="753D09A8" w:rsidR="75D1B9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2014b)</w:t>
      </w:r>
      <w:r w:rsidRPr="753D09A8" w:rsidR="024951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.</w:t>
      </w:r>
      <w:r w:rsidRPr="753D09A8" w:rsidR="1A101B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753D09A8" w:rsidR="3DEE52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For infants to form a secure attachment, they need a caregiver that actively interacts </w:t>
      </w:r>
      <w:r w:rsidRPr="753D09A8" w:rsidR="47B55C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reciprocally</w:t>
      </w:r>
      <w:r w:rsidRPr="753D09A8" w:rsidR="3DEE52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with the infant (</w:t>
      </w:r>
      <w:r w:rsidRPr="753D09A8" w:rsidR="3DEE52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Rutter, 1981, cited </w:t>
      </w:r>
      <w:r w:rsidRPr="753D09A8" w:rsidR="3DEE52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in Holmes</w:t>
      </w:r>
      <w:r w:rsidRPr="753D09A8" w:rsidR="49344C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</w:t>
      </w:r>
      <w:r w:rsidRPr="753D09A8" w:rsidR="3DEE52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2014b)</w:t>
      </w:r>
      <w:r w:rsidRPr="753D09A8" w:rsidR="70AD29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. </w:t>
      </w:r>
      <w:r w:rsidRPr="753D09A8" w:rsidR="7A619E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 secure attachment is formed when </w:t>
      </w:r>
      <w:r w:rsidRPr="753D09A8" w:rsidR="7DB011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caregivers </w:t>
      </w:r>
      <w:r w:rsidRPr="753D09A8" w:rsidR="4CE7F9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are more attentive and affectionate towards their baby. Whereas infants that form an </w:t>
      </w:r>
      <w:r w:rsidRPr="753D09A8" w:rsidR="64D546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avoidant</w:t>
      </w:r>
      <w:r w:rsidRPr="753D09A8" w:rsidR="4CE7F9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attachment, do so when their </w:t>
      </w:r>
      <w:r w:rsidRPr="753D09A8" w:rsidR="2B683C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caregiver is </w:t>
      </w:r>
      <w:r w:rsidRPr="753D09A8" w:rsidR="38D5F9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able to meet their needs but with less frequent contact and affection. For an ambivalent attachment to form, </w:t>
      </w:r>
      <w:r w:rsidRPr="753D09A8" w:rsidR="7F66FD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caregivers could either </w:t>
      </w:r>
      <w:r w:rsidRPr="753D09A8" w:rsidR="78B377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be more intrusive with their interactions with the baby or not respond to the infants needs when </w:t>
      </w:r>
      <w:r w:rsidRPr="753D09A8" w:rsidR="78B377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requir</w:t>
      </w:r>
      <w:r w:rsidRPr="753D09A8" w:rsidR="5F62A4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ed</w:t>
      </w:r>
      <w:r w:rsidRPr="753D09A8" w:rsidR="5F62A4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 Therefore, the unpredictability of their responsiveness leads to the ambivalent attachment (Bretherton, 1991b, cited in Holmes</w:t>
      </w:r>
      <w:r w:rsidRPr="753D09A8" w:rsidR="10A1DD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</w:t>
      </w:r>
      <w:r w:rsidRPr="753D09A8" w:rsidR="5F62A4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2014b).</w:t>
      </w:r>
      <w:r w:rsidRPr="753D09A8" w:rsidR="6B8B5D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753D09A8" w:rsidR="74DD59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It is thought that an infant that develops a disorganised attachment, has a caregiver that either causes fear in the infant, or is fearfu</w:t>
      </w:r>
      <w:r w:rsidRPr="753D09A8" w:rsidR="2B4981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l themselves due to their own history of trauma or loss. This results in the caregiver </w:t>
      </w:r>
      <w:r w:rsidRPr="753D09A8" w:rsidR="4F7C42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becoming the </w:t>
      </w:r>
      <w:r w:rsidRPr="753D09A8" w:rsidR="4D4379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infant's</w:t>
      </w:r>
      <w:r w:rsidRPr="753D09A8" w:rsidR="4F7C42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source of</w:t>
      </w:r>
      <w:r w:rsidRPr="753D09A8" w:rsidR="46647D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753D09A8" w:rsidR="4F7C42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comfort and fear (Main and Hesse, 1990, supported by </w:t>
      </w:r>
      <w:r w:rsidRPr="753D09A8" w:rsidR="563D32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Schuengel et al., 1999, cited in </w:t>
      </w:r>
      <w:r w:rsidRPr="753D09A8" w:rsidR="4E9BD4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Holmes 2014a).</w:t>
      </w:r>
      <w:r w:rsidRPr="753D09A8" w:rsidR="299D37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These </w:t>
      </w:r>
      <w:r w:rsidRPr="753D09A8" w:rsidR="674479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attachments</w:t>
      </w:r>
      <w:r w:rsidRPr="753D09A8" w:rsidR="299D37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can continue to </w:t>
      </w:r>
      <w:r w:rsidRPr="753D09A8" w:rsidR="299D37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impact</w:t>
      </w:r>
      <w:r w:rsidRPr="753D09A8" w:rsidR="299D37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people </w:t>
      </w:r>
      <w:r w:rsidRPr="753D09A8" w:rsidR="4F9870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into adolescence and adulthood</w:t>
      </w:r>
      <w:r w:rsidRPr="753D09A8" w:rsidR="299D37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</w:p>
    <w:p w:rsidR="49CCF617" w:rsidP="753D09A8" w:rsidRDefault="49CCF617" w14:paraId="0CD4643B" w14:textId="454B1CF6">
      <w:pPr>
        <w:pStyle w:val="Normal"/>
        <w:suppressLineNumbers w:val="0"/>
        <w:bidi w:val="0"/>
        <w:spacing w:before="0" w:beforeAutospacing="off" w:after="120" w:afterAutospacing="off" w:line="360" w:lineRule="auto"/>
        <w:ind w:left="0" w:right="0" w:firstLine="72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753D09A8" w:rsidR="58E4C4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Following research by Grossman and Grossman (1991, cited in Holmes</w:t>
      </w:r>
      <w:r w:rsidRPr="753D09A8" w:rsidR="721DF5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</w:t>
      </w:r>
      <w:r w:rsidRPr="753D09A8" w:rsidR="58E4C4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2014b), sound the attachment behaviours to still occu</w:t>
      </w:r>
      <w:r w:rsidRPr="753D09A8" w:rsidR="5A31EC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 at one year of age and six years of age. The six-year-olds that were securely attached at one year old</w:t>
      </w:r>
      <w:r w:rsidRPr="753D09A8" w:rsidR="346B92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were more socially adept than their peers and better able to manage conflict compared to those with </w:t>
      </w:r>
      <w:r w:rsidRPr="753D09A8" w:rsidR="540541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insecure</w:t>
      </w:r>
      <w:r w:rsidRPr="753D09A8" w:rsidR="346B92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attachments. </w:t>
      </w:r>
      <w:r w:rsidRPr="753D09A8" w:rsidR="254525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Children that formed secure attachments in infancy are thought to be more resilient</w:t>
      </w:r>
      <w:r w:rsidRPr="753D09A8" w:rsidR="1EF960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 confident</w:t>
      </w:r>
      <w:r w:rsidRPr="753D09A8" w:rsidR="254525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753D09A8" w:rsidR="1A27DA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flexible, regardless of temperament and intelligence (Sroufe</w:t>
      </w:r>
      <w:r w:rsidRPr="753D09A8" w:rsidR="608004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</w:t>
      </w:r>
      <w:r w:rsidRPr="753D09A8" w:rsidR="1A27DA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1979, cited in Holmes</w:t>
      </w:r>
      <w:r w:rsidRPr="753D09A8" w:rsidR="7102BA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</w:t>
      </w:r>
      <w:r w:rsidRPr="753D09A8" w:rsidR="1A27DA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2014b)</w:t>
      </w:r>
      <w:r w:rsidRPr="753D09A8" w:rsidR="495D38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. </w:t>
      </w:r>
      <w:r w:rsidRPr="753D09A8" w:rsidR="3B8118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It is thought that infants </w:t>
      </w:r>
      <w:r w:rsidRPr="753D09A8" w:rsidR="427216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that form an avoidant </w:t>
      </w:r>
      <w:r w:rsidRPr="753D09A8" w:rsidR="7B4D68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attachment</w:t>
      </w:r>
      <w:r w:rsidRPr="753D09A8" w:rsidR="427216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as </w:t>
      </w:r>
      <w:r w:rsidRPr="753D09A8" w:rsidR="23E716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adults</w:t>
      </w:r>
      <w:r w:rsidRPr="753D09A8" w:rsidR="427216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they are more likely to struggle with anger, </w:t>
      </w:r>
      <w:r w:rsidRPr="753D09A8" w:rsidR="27DAE5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isolate themselves socially, and have limited awareness of themselves (Holmes</w:t>
      </w:r>
      <w:r w:rsidRPr="753D09A8" w:rsidR="4AE9D3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</w:t>
      </w:r>
      <w:r w:rsidRPr="753D09A8" w:rsidR="27DAE5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2014b). </w:t>
      </w:r>
      <w:r w:rsidRPr="753D09A8" w:rsidR="3FBF93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Lyons-Ruth et al. (</w:t>
      </w:r>
      <w:r w:rsidRPr="753D09A8" w:rsidR="50DFC9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2005</w:t>
      </w:r>
      <w:r w:rsidRPr="753D09A8" w:rsidR="3FBF93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 cited in Holmes</w:t>
      </w:r>
      <w:r w:rsidRPr="753D09A8" w:rsidR="5BC4A6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</w:t>
      </w:r>
      <w:r w:rsidRPr="753D09A8" w:rsidR="3FBF93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2014b) suggests that infants that form a disorganized attachment style </w:t>
      </w:r>
      <w:r w:rsidRPr="753D09A8" w:rsidR="1BE1C8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are more likely to develop the symptoms of borderline personality disorder by the time they are adolescents. </w:t>
      </w:r>
      <w:r w:rsidRPr="753D09A8" w:rsidR="739429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Infant</w:t>
      </w:r>
      <w:r w:rsidRPr="753D09A8" w:rsidR="1BE1C8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chi</w:t>
      </w:r>
      <w:r w:rsidRPr="753D09A8" w:rsidR="61625C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ldhood relationships continue to have an impact on social</w:t>
      </w:r>
      <w:r w:rsidRPr="753D09A8" w:rsidR="2528B5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</w:t>
      </w:r>
      <w:r w:rsidRPr="753D09A8" w:rsidR="61625C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emotional </w:t>
      </w:r>
      <w:r w:rsidRPr="753D09A8" w:rsidR="0C5FD2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behaviour and cognition at least until adolescence and early adulthood (Holmes</w:t>
      </w:r>
      <w:r w:rsidRPr="753D09A8" w:rsidR="2D5935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</w:t>
      </w:r>
      <w:r w:rsidRPr="753D09A8" w:rsidR="0C5FD2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2014b). </w:t>
      </w:r>
      <w:r w:rsidRPr="753D09A8" w:rsidR="3544F8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Infants' behaviour is </w:t>
      </w:r>
      <w:r w:rsidRPr="753D09A8" w:rsidR="3544F8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determined</w:t>
      </w:r>
      <w:r w:rsidRPr="753D09A8" w:rsidR="3544F8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by schemas, the structure that influences the way we see the wo</w:t>
      </w:r>
      <w:r w:rsidRPr="753D09A8" w:rsidR="4D8CB6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rld. In infants their schemas are reflexes that are used to influence their environment, then they are gradually </w:t>
      </w:r>
      <w:r w:rsidRPr="753D09A8" w:rsidR="0307CD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replaced with established schemas as a person matures</w:t>
      </w:r>
      <w:r w:rsidRPr="753D09A8" w:rsidR="726814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(Thompson, 2021)</w:t>
      </w:r>
      <w:r w:rsidRPr="753D09A8" w:rsidR="0307CD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. </w:t>
      </w:r>
    </w:p>
    <w:p w:rsidR="49CCF617" w:rsidP="753D09A8" w:rsidRDefault="49CCF617" w14:paraId="20731031" w14:textId="003547E9">
      <w:pPr>
        <w:pStyle w:val="Normal"/>
        <w:suppressLineNumbers w:val="0"/>
        <w:bidi w:val="0"/>
        <w:spacing w:before="0" w:beforeAutospacing="off" w:after="120" w:afterAutospacing="off" w:line="360" w:lineRule="auto"/>
        <w:ind w:left="0" w:right="0" w:firstLine="72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53D09A8" w:rsidR="4663EF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While the brain develops, there are times when it can be more adaptable which means that </w:t>
      </w:r>
      <w:r w:rsidRPr="753D09A8" w:rsidR="713B6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 person's environmental experiences can more easily adapt brain development (Knudsen, 2004, cited by </w:t>
      </w:r>
      <w:r w:rsidRPr="753D09A8" w:rsidR="5A3361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Golm and Kreppner, 2021</w:t>
      </w:r>
      <w:r w:rsidRPr="753D09A8" w:rsidR="713B6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)</w:t>
      </w:r>
      <w:r w:rsidRPr="753D09A8" w:rsidR="408616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 The way in which this occurs is explained by Piaget.</w:t>
      </w:r>
      <w:r w:rsidRPr="753D09A8" w:rsidR="314FC0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753D09A8" w:rsidR="457009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According to Piaget, </w:t>
      </w:r>
      <w:r w:rsidRPr="753D09A8" w:rsidR="0D88C3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people adapt to their environment </w:t>
      </w:r>
      <w:r w:rsidRPr="753D09A8" w:rsidR="016906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using</w:t>
      </w:r>
      <w:r w:rsidRPr="753D09A8" w:rsidR="0D88C3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753D09A8" w:rsidR="6A9B2A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assimilation</w:t>
      </w:r>
      <w:r w:rsidRPr="753D09A8" w:rsidR="0D88C3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which </w:t>
      </w:r>
      <w:r w:rsidRPr="753D09A8" w:rsidR="221144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involves</w:t>
      </w:r>
      <w:r w:rsidRPr="753D09A8" w:rsidR="0D88C3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making use of or adapting the environment to fit it into pre-existing schemas, or </w:t>
      </w:r>
      <w:r w:rsidRPr="753D09A8" w:rsidR="0CD772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accommodation</w:t>
      </w:r>
      <w:r w:rsidRPr="753D09A8" w:rsidR="0D88C3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 wh</w:t>
      </w:r>
      <w:r w:rsidRPr="753D09A8" w:rsidR="51993F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ich involved the schemas being </w:t>
      </w:r>
      <w:r w:rsidRPr="753D09A8" w:rsidR="427FCB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adapted</w:t>
      </w:r>
      <w:r w:rsidRPr="753D09A8" w:rsidR="51993F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to accept the </w:t>
      </w:r>
      <w:r w:rsidRPr="753D09A8" w:rsidR="0A5124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environment</w:t>
      </w:r>
      <w:r w:rsidRPr="753D09A8" w:rsidR="2D5EFE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(Thompson, 2021)</w:t>
      </w:r>
      <w:r w:rsidRPr="753D09A8" w:rsidR="51993F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  <w:r w:rsidRPr="753D09A8" w:rsidR="67222E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753D09A8" w:rsidR="71C90E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Research suggests that the adaption that occurs to the brain following adverse </w:t>
      </w:r>
      <w:r w:rsidRPr="753D09A8" w:rsidR="367144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experiences</w:t>
      </w:r>
      <w:r w:rsidRPr="753D09A8" w:rsidR="71C90E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trauma involves </w:t>
      </w:r>
      <w:r w:rsidRPr="753D09A8" w:rsidR="519BDE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an abnormal threat response being developed allowing a person to be more alert to threats</w:t>
      </w:r>
      <w:r w:rsidRPr="753D09A8" w:rsidR="3294C2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to avoid danger</w:t>
      </w:r>
      <w:r w:rsidRPr="753D09A8" w:rsidR="0AB318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. If the environment changes and becomes secure, the adaptions that have </w:t>
      </w:r>
      <w:r w:rsidRPr="753D09A8" w:rsidR="07E387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led</w:t>
      </w:r>
      <w:r w:rsidRPr="753D09A8" w:rsidR="0AB318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to increased vigilance</w:t>
      </w:r>
      <w:r w:rsidRPr="753D09A8" w:rsidR="3C1BEB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</w:t>
      </w:r>
      <w:r w:rsidRPr="753D09A8" w:rsidR="619085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may not adapt leaving the individual vulnerable to mental health pr</w:t>
      </w:r>
      <w:r w:rsidRPr="753D09A8" w:rsidR="6EEEDF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oblems later in life </w:t>
      </w:r>
      <w:r w:rsidRPr="753D09A8" w:rsidR="1112E1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McCrory et al., 2017; Teicher et al., 2016, and Hein and Monk’s, 2017, cited by Golm and Kreppner, 2021). </w:t>
      </w:r>
      <w:r w:rsidRPr="753D09A8" w:rsidR="06E150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This is important </w:t>
      </w:r>
      <w:r w:rsidRPr="753D09A8" w:rsidR="6B551D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when considering the long-term impacts of attachment. </w:t>
      </w:r>
      <w:r w:rsidRPr="753D09A8" w:rsidR="2811A0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There is research that argues that insecure attachments </w:t>
      </w:r>
      <w:r w:rsidRPr="753D09A8" w:rsidR="2D7B1D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can be reversed if a person is exposed to positive experiences later in life (Smith, Cameron, and Reimer, 2017 </w:t>
      </w:r>
      <w:r w:rsidRPr="753D09A8" w:rsidR="42E439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cited in Harlow, 2021</w:t>
      </w:r>
      <w:r w:rsidRPr="753D09A8" w:rsidR="2D7B1D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)</w:t>
      </w:r>
      <w:r w:rsidRPr="753D09A8" w:rsidR="6E7748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. </w:t>
      </w:r>
      <w:r w:rsidRPr="753D09A8" w:rsidR="314870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Cummings &amp; Davies (1996, cited in Harlow, 2021) also point out that </w:t>
      </w:r>
      <w:r w:rsidRPr="753D09A8" w:rsidR="1E2420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relationships outside of the caregiver attachment and other experiences also can be significant and that the </w:t>
      </w:r>
      <w:r w:rsidRPr="753D09A8" w:rsidR="1E2420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initial</w:t>
      </w:r>
      <w:r w:rsidRPr="753D09A8" w:rsidR="1E2420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753D09A8" w:rsidR="792168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attachment</w:t>
      </w:r>
      <w:r w:rsidRPr="753D09A8" w:rsidR="1E2420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r</w:t>
      </w:r>
      <w:r w:rsidRPr="753D09A8" w:rsidR="53167E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elationship alone is not solely responsible for the development of relationships, something that was not considered in Bowlby's model of attachment.</w:t>
      </w:r>
    </w:p>
    <w:p w:rsidR="49CCF617" w:rsidP="753D09A8" w:rsidRDefault="49CCF617" w14:paraId="2AEA105E" w14:textId="633E16C1">
      <w:pPr>
        <w:pStyle w:val="Normal"/>
        <w:suppressLineNumbers w:val="0"/>
        <w:bidi w:val="0"/>
        <w:spacing w:before="0" w:beforeAutospacing="off" w:after="120" w:afterAutospacing="off" w:line="360" w:lineRule="auto"/>
        <w:ind w:left="0" w:right="0" w:firstLine="72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78A0974C" w:rsidR="7D35A9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It is important however to consider the validity of the research </w:t>
      </w:r>
      <w:r w:rsidRPr="78A0974C" w:rsidR="05A529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of attachment</w:t>
      </w:r>
      <w:r w:rsidRPr="78A0974C" w:rsidR="7D35A9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. </w:t>
      </w:r>
      <w:r w:rsidRPr="78A0974C" w:rsidR="4EDB76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The research that was originally conducted on attachment took place within families that were middle-class </w:t>
      </w:r>
      <w:r w:rsidRPr="78A0974C" w:rsidR="14E334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that did not</w:t>
      </w:r>
      <w:r w:rsidRPr="78A0974C" w:rsidR="560B75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have pre-existing illnesses</w:t>
      </w:r>
      <w:r w:rsidRPr="78A0974C" w:rsidR="5365DA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(Holmes</w:t>
      </w:r>
      <w:r w:rsidRPr="78A0974C" w:rsidR="31D6AE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</w:t>
      </w:r>
      <w:r w:rsidRPr="78A0974C" w:rsidR="5365DA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2014b)</w:t>
      </w:r>
      <w:r w:rsidRPr="78A0974C" w:rsidR="560B75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. </w:t>
      </w:r>
      <w:r w:rsidRPr="78A0974C" w:rsidR="470B7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The following research that discovered the disorganised attachment style </w:t>
      </w:r>
      <w:r w:rsidRPr="78A0974C" w:rsidR="2F5B84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encouraged greater research focus </w:t>
      </w:r>
      <w:r w:rsidRPr="78A0974C" w:rsidR="234C7D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on the impact of the environment and child maltreatment and </w:t>
      </w:r>
      <w:r w:rsidRPr="78A0974C" w:rsidR="662A5C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disrupted attachments. This realisation is </w:t>
      </w:r>
      <w:r w:rsidRPr="78A0974C" w:rsidR="4EDB3F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central to when considering the psychological </w:t>
      </w:r>
      <w:r w:rsidRPr="78A0974C" w:rsidR="423CD0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effects</w:t>
      </w:r>
      <w:r w:rsidRPr="78A0974C" w:rsidR="4EDB3F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treatment options for individuals that </w:t>
      </w:r>
      <w:r w:rsidRPr="78A0974C" w:rsidR="703C68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have been exposed to adverse childhood experiences and trauma </w:t>
      </w:r>
      <w:r w:rsidRPr="78A0974C" w:rsidR="10E2A5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(Carlson, et al., 1989; Carlson, 1998, cited in Holmes</w:t>
      </w:r>
      <w:r w:rsidRPr="78A0974C" w:rsidR="61E0D0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</w:t>
      </w:r>
      <w:r w:rsidRPr="78A0974C" w:rsidR="10E2A5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2014b).</w:t>
      </w:r>
      <w:r w:rsidRPr="78A0974C" w:rsidR="1EE253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78A0974C" w:rsidR="4A8B3F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Research conducted by Felitti et al. (2019), explored the </w:t>
      </w:r>
      <w:r w:rsidRPr="78A0974C" w:rsidR="75164F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long-term</w:t>
      </w:r>
      <w:r w:rsidRPr="78A0974C" w:rsidR="4A8B3F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impacts that adverse childhood </w:t>
      </w:r>
      <w:r w:rsidRPr="78A0974C" w:rsidR="0104CC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experiences within the family</w:t>
      </w:r>
      <w:r w:rsidRPr="78A0974C" w:rsidR="784A0B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78A0974C" w:rsidR="0104CC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home</w:t>
      </w:r>
      <w:r w:rsidRPr="78A0974C" w:rsidR="02EAB3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 They found that over hal</w:t>
      </w:r>
      <w:r w:rsidRPr="78A0974C" w:rsidR="2DEF0C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f </w:t>
      </w:r>
      <w:r w:rsidRPr="78A0974C" w:rsidR="02EAB3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of participants had experienced at least one adverse childhood experience, and </w:t>
      </w:r>
      <w:r w:rsidRPr="78A0974C" w:rsidR="337927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the more they </w:t>
      </w:r>
      <w:r w:rsidRPr="78A0974C" w:rsidR="4885F3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experienced</w:t>
      </w:r>
      <w:r w:rsidRPr="78A0974C" w:rsidR="337927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the higher the </w:t>
      </w:r>
      <w:r w:rsidRPr="78A0974C" w:rsidR="179B5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likelihood</w:t>
      </w:r>
      <w:r w:rsidRPr="78A0974C" w:rsidR="337927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of experiencing </w:t>
      </w:r>
      <w:r w:rsidRPr="78A0974C" w:rsidR="486AAB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more adverse childhood experiences, then as an adolescent or adult there was a greater risk of </w:t>
      </w:r>
      <w:r w:rsidRPr="78A0974C" w:rsidR="6E181C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alcoholism</w:t>
      </w:r>
      <w:r w:rsidRPr="78A0974C" w:rsidR="337927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drug use, </w:t>
      </w:r>
      <w:r w:rsidRPr="78A0974C" w:rsidR="65FE43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physical health problems</w:t>
      </w:r>
      <w:r w:rsidRPr="78A0974C" w:rsidR="55CEEF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</w:t>
      </w:r>
      <w:r w:rsidRPr="78A0974C" w:rsidR="65FE43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diseases,</w:t>
      </w:r>
      <w:r w:rsidRPr="78A0974C" w:rsidR="435FEE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</w:t>
      </w:r>
      <w:r w:rsidRPr="78A0974C" w:rsidR="65FE43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78A0974C" w:rsidR="48E213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cancer</w:t>
      </w:r>
      <w:r w:rsidRPr="78A0974C" w:rsidR="27B70A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. </w:t>
      </w:r>
      <w:r w:rsidRPr="78A0974C" w:rsidR="1EE253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Considering the long-term impacts that a disorganised </w:t>
      </w:r>
      <w:r w:rsidRPr="78A0974C" w:rsidR="248A68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attachment</w:t>
      </w:r>
      <w:r w:rsidRPr="78A0974C" w:rsidR="1EE253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can have</w:t>
      </w:r>
      <w:r w:rsidRPr="78A0974C" w:rsidR="3021BC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on</w:t>
      </w:r>
      <w:r w:rsidRPr="78A0974C" w:rsidR="1EE253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behavioural difficulties</w:t>
      </w:r>
      <w:r w:rsidRPr="78A0974C" w:rsidR="576F4F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</w:t>
      </w:r>
      <w:r w:rsidRPr="78A0974C" w:rsidR="6E781D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mental health problems,</w:t>
      </w:r>
      <w:r w:rsidRPr="78A0974C" w:rsidR="4B0DB4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as well as all the different impacts that anxious attachments can have,</w:t>
      </w:r>
      <w:r w:rsidRPr="78A0974C" w:rsidR="6E781D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78A0974C" w:rsidR="3187DD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treatment options are paramount </w:t>
      </w:r>
      <w:r w:rsidRPr="78A0974C" w:rsidR="182C0D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(</w:t>
      </w:r>
      <w:r w:rsidRPr="78A0974C" w:rsidR="3187DD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Holmes</w:t>
      </w:r>
      <w:r w:rsidRPr="78A0974C" w:rsidR="2E6F14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</w:t>
      </w:r>
      <w:r w:rsidRPr="78A0974C" w:rsidR="3187DD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2014b). </w:t>
      </w:r>
      <w:r w:rsidRPr="78A0974C" w:rsidR="6FA951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Fortunately, interventions such as environmental changes and </w:t>
      </w:r>
      <w:r w:rsidRPr="78A0974C" w:rsidR="3C0316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psychotherapy</w:t>
      </w:r>
      <w:r w:rsidRPr="78A0974C" w:rsidR="6FA951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can allow for a </w:t>
      </w:r>
      <w:r w:rsidRPr="78A0974C" w:rsidR="6E898A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child's</w:t>
      </w:r>
      <w:r w:rsidRPr="78A0974C" w:rsidR="6FA951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attachment style to change</w:t>
      </w:r>
      <w:r w:rsidRPr="78A0974C" w:rsidR="1F7F3A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78A0974C" w:rsidR="734BEE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(</w:t>
      </w:r>
      <w:r w:rsidRPr="78A0974C" w:rsidR="1F7F3A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Murray et al., 2011</w:t>
      </w:r>
      <w:r w:rsidRPr="78A0974C" w:rsidR="57CFD7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</w:t>
      </w:r>
      <w:r w:rsidRPr="78A0974C" w:rsidR="1F7F3A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cited in Holmes</w:t>
      </w:r>
      <w:r w:rsidRPr="78A0974C" w:rsidR="5A897B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</w:t>
      </w:r>
      <w:r w:rsidRPr="78A0974C" w:rsidR="1F7F3A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2014b).</w:t>
      </w:r>
      <w:r w:rsidRPr="78A0974C" w:rsidR="549F9E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</w:p>
    <w:p w:rsidR="5A32224F" w:rsidP="78A0974C" w:rsidRDefault="5A32224F" w14:paraId="3A68978E" w14:textId="24D787D2">
      <w:pPr>
        <w:pStyle w:val="Normal"/>
        <w:suppressLineNumbers w:val="0"/>
        <w:bidi w:val="0"/>
        <w:spacing w:before="0" w:beforeAutospacing="off" w:after="120" w:afterAutospacing="off" w:line="360" w:lineRule="auto"/>
        <w:ind w:left="0" w:right="0" w:firstLine="720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78A0974C" w:rsidR="5A3222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Attachment relationships also </w:t>
      </w:r>
      <w:r w:rsidRPr="78A0974C" w:rsidR="5A3222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impact</w:t>
      </w:r>
      <w:r w:rsidRPr="78A0974C" w:rsidR="5A3222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on dyadic copin</w:t>
      </w:r>
      <w:r w:rsidRPr="78A0974C" w:rsidR="0C6D9B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g</w:t>
      </w:r>
      <w:r w:rsidRPr="78A0974C" w:rsidR="5A3222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which is the way a person copes with stress within relationships, </w:t>
      </w:r>
      <w:r w:rsidRPr="78A0974C" w:rsidR="727C98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impacting</w:t>
      </w:r>
      <w:r w:rsidRPr="78A0974C" w:rsidR="727C98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all future relationships in adulthood in a negative way if exposed to adverse childhood experiences</w:t>
      </w:r>
      <w:r w:rsidRPr="78A0974C" w:rsidR="5C7E82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(Alves et al., 2019; </w:t>
      </w:r>
      <w:bookmarkStart w:name="_Int_lD1Esjp1" w:id="1847409325"/>
      <w:r w:rsidRPr="78A0974C" w:rsidR="5C7E82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Fuenfhausen</w:t>
      </w:r>
      <w:bookmarkEnd w:id="1847409325"/>
      <w:r w:rsidRPr="78A0974C" w:rsidR="5C7E82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&amp; Cashwell, 2013, cited in Fitzgerald &amp; Shuler, 2023). </w:t>
      </w:r>
      <w:r w:rsidRPr="78A0974C" w:rsidR="627CC1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Fitzgerald &amp; Shuler (2023) found that the more adverse childhood experiences and trauma that </w:t>
      </w:r>
      <w:r w:rsidRPr="78A0974C" w:rsidR="2E1C01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occurred</w:t>
      </w:r>
      <w:r w:rsidRPr="78A0974C" w:rsidR="627CC1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had a</w:t>
      </w:r>
      <w:r w:rsidRPr="78A0974C" w:rsidR="76B5BD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n</w:t>
      </w:r>
      <w:r w:rsidRPr="78A0974C" w:rsidR="627CC1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78A0974C" w:rsidR="05D893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increased negative </w:t>
      </w:r>
      <w:r w:rsidRPr="78A0974C" w:rsidR="250EFD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effect</w:t>
      </w:r>
      <w:r w:rsidRPr="78A0974C" w:rsidR="05D893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on attachments </w:t>
      </w:r>
      <w:r w:rsidRPr="78A0974C" w:rsidR="5CC642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and increased levels of attachment avoidance and reduced dyadic coping. </w:t>
      </w:r>
      <w:r w:rsidRPr="78A0974C" w:rsidR="21310B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This </w:t>
      </w:r>
      <w:r w:rsidRPr="78A0974C" w:rsidR="21310B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indicated</w:t>
      </w:r>
      <w:r w:rsidRPr="78A0974C" w:rsidR="21310B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the importance of trauma informed interventions and support when supporting individuals with anxious attachments</w:t>
      </w:r>
      <w:r w:rsidRPr="78A0974C" w:rsidR="42D761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(Almeida, 2005, cited in Fitzgerald &amp; Shuler, 2023)</w:t>
      </w:r>
      <w:r w:rsidRPr="78A0974C" w:rsidR="21310B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. </w:t>
      </w:r>
      <w:r w:rsidRPr="78A0974C" w:rsidR="244295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To support children with anxious attachments, it is important to focus on the relationship between the child and the person supporting them. </w:t>
      </w:r>
      <w:r w:rsidRPr="78A0974C" w:rsidR="3FAC60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W</w:t>
      </w:r>
      <w:r w:rsidRPr="78A0974C" w:rsidR="244295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orki</w:t>
      </w:r>
      <w:r w:rsidRPr="78A0974C" w:rsidR="64C752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ng </w:t>
      </w:r>
      <w:r w:rsidRPr="78A0974C" w:rsidR="3FAC60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on attachment relationships can help the child build positive relationships with their peers, one example of this is the relationship which is what occurs be</w:t>
      </w:r>
      <w:r w:rsidRPr="78A0974C" w:rsidR="608CE9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tween a teacher and student</w:t>
      </w:r>
      <w:r w:rsidRPr="78A0974C" w:rsidR="01A950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(Spilt et al., 2025)</w:t>
      </w:r>
      <w:r w:rsidRPr="78A0974C" w:rsidR="608CE9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. </w:t>
      </w:r>
      <w:r w:rsidRPr="78A0974C" w:rsidR="754469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These relationships encompass supporting the student emotionally, </w:t>
      </w:r>
      <w:r w:rsidRPr="78A0974C" w:rsidR="687966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learning support and </w:t>
      </w:r>
      <w:r w:rsidRPr="78A0974C" w:rsidR="345177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guidance</w:t>
      </w:r>
      <w:r w:rsidRPr="78A0974C" w:rsidR="687966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which </w:t>
      </w:r>
      <w:r w:rsidRPr="78A0974C" w:rsidR="687966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greatly influences</w:t>
      </w:r>
      <w:r w:rsidRPr="78A0974C" w:rsidR="687966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positive cognitive development (Palermo et al., 2007; Pianta &amp; Stuhlman, 2004, cited in </w:t>
      </w:r>
      <w:r w:rsidRPr="78A0974C" w:rsidR="47EDF6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Spilt et al., 2025). </w:t>
      </w:r>
      <w:r w:rsidRPr="78A0974C" w:rsidR="7BDCA5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Students form attachments with their teachers when they are away from their caregiver to form a secure base </w:t>
      </w:r>
      <w:r w:rsidRPr="78A0974C" w:rsidR="1445E1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(Pianta, 1992; Verschueren &amp; Koomen, 2012, cited in Spilt et al., 2025)</w:t>
      </w:r>
      <w:r w:rsidRPr="78A0974C" w:rsidR="2F9D55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which is challenging in the early stages of working with a student that has experienced </w:t>
      </w:r>
      <w:r w:rsidRPr="78A0974C" w:rsidR="220FF3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trauma and has been placed with a foster carer. In such instances the </w:t>
      </w:r>
      <w:r w:rsidRPr="78A0974C" w:rsidR="2450EC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students'</w:t>
      </w:r>
      <w:r w:rsidRPr="78A0974C" w:rsidR="220FF3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attachments are likely to still be in the </w:t>
      </w:r>
      <w:r w:rsidRPr="78A0974C" w:rsidR="220FF3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early stages</w:t>
      </w:r>
      <w:r w:rsidRPr="78A0974C" w:rsidR="220FF3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meaning </w:t>
      </w:r>
      <w:r w:rsidRPr="78A0974C" w:rsidR="3E178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that they will need more support to form an attachment and feel secure (Brooks, 2019</w:t>
      </w:r>
      <w:r w:rsidRPr="78A0974C" w:rsidR="254FCF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</w:t>
      </w:r>
      <w:r w:rsidRPr="78A0974C" w:rsidR="3E178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)</w:t>
      </w:r>
      <w:r w:rsidRPr="78A0974C" w:rsidR="3917A8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</w:t>
      </w:r>
    </w:p>
    <w:p w:rsidR="49CCF617" w:rsidP="78A0974C" w:rsidRDefault="49CCF617" w14:paraId="474350C3" w14:textId="33A9EE43">
      <w:pPr>
        <w:pStyle w:val="Normal"/>
        <w:suppressLineNumbers w:val="0"/>
        <w:bidi w:val="0"/>
        <w:spacing w:before="0" w:beforeAutospacing="off" w:after="120" w:afterAutospacing="off" w:line="360" w:lineRule="auto"/>
        <w:ind w:left="0" w:right="0" w:firstLine="72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8A0974C" w:rsidR="44CB50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Using a trauma-informed framework within a school setting is beneficial for students with a history of adverse childhood experiences and trauma as </w:t>
      </w:r>
      <w:r w:rsidRPr="78A0974C" w:rsidR="49DEB0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such students are likely to have difficulty with their learning, </w:t>
      </w:r>
      <w:r w:rsidRPr="78A0974C" w:rsidR="49DEB0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emotions</w:t>
      </w:r>
      <w:r w:rsidRPr="78A0974C" w:rsidR="49DEB0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behaviour. The </w:t>
      </w:r>
      <w:r w:rsidRPr="78A0974C" w:rsidR="1E7463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trauma</w:t>
      </w:r>
      <w:r w:rsidRPr="78A0974C" w:rsidR="49DEB0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informed framework has been know</w:t>
      </w:r>
      <w:r w:rsidRPr="78A0974C" w:rsidR="411377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 to reduce the </w:t>
      </w:r>
      <w:r w:rsidRPr="78A0974C" w:rsidR="60B255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likelihood</w:t>
      </w:r>
      <w:r w:rsidRPr="78A0974C" w:rsidR="411377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depression and </w:t>
      </w:r>
      <w:r w:rsidRPr="78A0974C" w:rsidR="67E67A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post-traumatic</w:t>
      </w:r>
      <w:r w:rsidRPr="78A0974C" w:rsidR="411377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stress disorder as well as supporting students to be more engaged in school and </w:t>
      </w:r>
      <w:r w:rsidRPr="78A0974C" w:rsidR="21EF7C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have better academic outcomes (Berger, 2019, cited in Berger &amp; Martin, 2021). </w:t>
      </w:r>
      <w:r w:rsidRPr="78A0974C" w:rsidR="2A9007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aim of a trauma focused approach </w:t>
      </w:r>
      <w:r w:rsidRPr="78A0974C" w:rsidR="5CDCCF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it to </w:t>
      </w:r>
      <w:r w:rsidRPr="78A0974C" w:rsidR="3ABAF4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increase</w:t>
      </w:r>
      <w:r w:rsidRPr="78A0974C" w:rsidR="5CDCCF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social functioning within school, increase engagement in class</w:t>
      </w:r>
      <w:r w:rsidRPr="78A0974C" w:rsidR="13A250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improve </w:t>
      </w:r>
      <w:r w:rsidRPr="78A0974C" w:rsidR="344FE4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academic</w:t>
      </w:r>
      <w:r w:rsidRPr="78A0974C" w:rsidR="13A250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outcomes and improve behavioural and emotional skills</w:t>
      </w:r>
      <w:r w:rsidRPr="78A0974C" w:rsidR="58AB29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by reducing the amount of overwhelm and stress in the individual's environment (Blaustein &amp; Kinniburgh, 2019; Holmes, Levy, Smith, </w:t>
      </w:r>
      <w:r w:rsidRPr="78A0974C" w:rsidR="58AB29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Pinne</w:t>
      </w:r>
      <w:r w:rsidRPr="78A0974C" w:rsidR="58AB29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&amp; Neese, 2015, cited in Berger &amp; Martin, 2021). </w:t>
      </w:r>
      <w:r w:rsidRPr="78A0974C" w:rsidR="12E7DA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It has also been reported that trauma informed cognitive behavioural therapy is effective for decreasing the symp</w:t>
      </w:r>
      <w:r w:rsidRPr="78A0974C" w:rsidR="7BA35C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toms of PTSD</w:t>
      </w:r>
      <w:r w:rsidRPr="78A0974C" w:rsidR="7542E9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8A0974C" w:rsidR="7BA35C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</w:t>
      </w:r>
      <w:r w:rsidRPr="78A0974C" w:rsidR="7BA35C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Mavranezouli</w:t>
      </w:r>
      <w:r w:rsidRPr="78A0974C" w:rsidR="7BA35C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et al., 2020, cited in J</w:t>
      </w:r>
      <w:r w:rsidRPr="78A0974C" w:rsidR="597E8A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ohn-Baptiste Bastien et al., 2020</w:t>
      </w:r>
      <w:r w:rsidRPr="78A0974C" w:rsidR="7BA35C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).</w:t>
      </w:r>
      <w:r w:rsidRPr="78A0974C" w:rsidR="182380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While John-Baptiste Bastien et al. (2020) found that trauma informed cognitive behavioural therapy h</w:t>
      </w:r>
      <w:r w:rsidRPr="78A0974C" w:rsidR="3FE3CA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ad a moderate effect on PTSD symptoms, while cognitive behavioural therapy that is not trauma informed, was </w:t>
      </w:r>
      <w:r w:rsidRPr="78A0974C" w:rsidR="051FBA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not as effective at decreasing the symptoms of PTSD (Ehlers et al., 2010 cited in John-Baptiste Bastien et al., 2020). </w:t>
      </w:r>
    </w:p>
    <w:p w:rsidR="0B2903B8" w:rsidP="78A0974C" w:rsidRDefault="0B2903B8" w14:paraId="562D8E78" w14:textId="389D3812">
      <w:pPr>
        <w:pStyle w:val="Normal"/>
        <w:suppressLineNumbers w:val="0"/>
        <w:bidi w:val="0"/>
        <w:spacing w:before="0" w:beforeAutospacing="off" w:after="120" w:afterAutospacing="off" w:line="360" w:lineRule="auto"/>
        <w:ind w:left="0" w:right="0" w:firstLine="72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78A0974C" w:rsidR="02661D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Once a child feels secure, it is important they are supported to understand their experienced. T</w:t>
      </w:r>
      <w:r w:rsidRPr="78A0974C" w:rsidR="0C35D3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herapeutic</w:t>
      </w:r>
      <w:r w:rsidRPr="78A0974C" w:rsidR="0B2903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interventions such as cognitive behavioural therapy can help. It important that the </w:t>
      </w:r>
      <w:r w:rsidRPr="78A0974C" w:rsidR="7A4B55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therapeutic</w:t>
      </w:r>
      <w:r w:rsidRPr="78A0974C" w:rsidR="0B2903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intervention is age </w:t>
      </w:r>
      <w:r w:rsidRPr="78A0974C" w:rsidR="7C40A1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appropriate</w:t>
      </w:r>
      <w:r w:rsidRPr="78A0974C" w:rsidR="0B2903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8A0974C" w:rsidR="69785D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flexile and person centred. </w:t>
      </w:r>
      <w:r w:rsidRPr="78A0974C" w:rsidR="33E1A2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It is </w:t>
      </w:r>
      <w:r w:rsidRPr="78A0974C" w:rsidR="31EC24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necessary</w:t>
      </w:r>
      <w:r w:rsidRPr="78A0974C" w:rsidR="33E1A2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for the child to feel safe in their environment to be able t</w:t>
      </w:r>
      <w:r w:rsidRPr="78A0974C" w:rsidR="68A6DC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 partake in therapy and </w:t>
      </w:r>
      <w:r w:rsidRPr="78A0974C" w:rsidR="71034E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make progress. In cognitive behavioural therapy</w:t>
      </w:r>
      <w:r w:rsidRPr="78A0974C" w:rsidR="3A7078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the aim is to gradually change the way that a person thinks to improve their beh</w:t>
      </w:r>
      <w:r w:rsidRPr="78A0974C" w:rsidR="04CB2A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aviour and emotions. This occurs through the therapist teaching the individual how to </w:t>
      </w:r>
      <w:r w:rsidRPr="78A0974C" w:rsidR="04CB2A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ide</w:t>
      </w:r>
      <w:r w:rsidRPr="78A0974C" w:rsidR="04CB2A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ntify</w:t>
      </w:r>
      <w:r w:rsidRPr="78A0974C" w:rsidR="04CB2A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ne</w:t>
      </w:r>
      <w:r w:rsidRPr="78A0974C" w:rsidR="04CB2A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gative thoughts and replace them with more positive ones</w:t>
      </w:r>
      <w:r w:rsidRPr="78A0974C" w:rsidR="3DDA34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T</w:t>
      </w:r>
      <w:r w:rsidRPr="78A0974C" w:rsidR="3DDA34D2">
        <w:rPr>
          <w:rFonts w:ascii="Arial" w:hAnsi="Arial" w:eastAsia="Arial" w:cs="Arial"/>
          <w:b w:val="0"/>
          <w:bCs w:val="0"/>
          <w:sz w:val="24"/>
          <w:szCs w:val="24"/>
        </w:rPr>
        <w:t>he focus of the therapy is decided by the child based on the way that they see it</w:t>
      </w:r>
      <w:r w:rsidRPr="78A0974C" w:rsidR="04CB2A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8A0974C" w:rsidR="030B78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</w:t>
      </w:r>
      <w:r w:rsidRPr="78A0974C" w:rsidR="030B780C">
        <w:rPr>
          <w:rFonts w:ascii="Arial" w:hAnsi="Arial" w:eastAsia="Arial" w:cs="Arial"/>
          <w:sz w:val="24"/>
          <w:szCs w:val="24"/>
        </w:rPr>
        <w:t xml:space="preserve">Burton and Pavord, 2014). </w:t>
      </w:r>
      <w:r w:rsidRPr="78A0974C" w:rsidR="12FA7905">
        <w:rPr>
          <w:rFonts w:ascii="Arial" w:hAnsi="Arial" w:eastAsia="Arial" w:cs="Arial"/>
          <w:sz w:val="24"/>
          <w:szCs w:val="24"/>
        </w:rPr>
        <w:t>Trauma focused cognitive behavioural therapy tends to take place over eight to twenty sessions</w:t>
      </w:r>
      <w:r w:rsidRPr="78A0974C" w:rsidR="2C5DAB80">
        <w:rPr>
          <w:rFonts w:ascii="Arial" w:hAnsi="Arial" w:eastAsia="Arial" w:cs="Arial"/>
          <w:sz w:val="24"/>
          <w:szCs w:val="24"/>
        </w:rPr>
        <w:t>, and the child or adolescent can be taught relaxation skills, co</w:t>
      </w:r>
      <w:r w:rsidRPr="78A0974C" w:rsidR="7705CDCA">
        <w:rPr>
          <w:rFonts w:ascii="Arial" w:hAnsi="Arial" w:eastAsia="Arial" w:cs="Arial"/>
          <w:sz w:val="24"/>
          <w:szCs w:val="24"/>
        </w:rPr>
        <w:t>ping skills and communication skills. They are also taught how to process the trauma</w:t>
      </w:r>
      <w:r w:rsidRPr="78A0974C" w:rsidR="78673658">
        <w:rPr>
          <w:rFonts w:ascii="Arial" w:hAnsi="Arial" w:eastAsia="Arial" w:cs="Arial"/>
          <w:sz w:val="24"/>
          <w:szCs w:val="24"/>
        </w:rPr>
        <w:t xml:space="preserve"> and is effective for reducing the symptoms caused by traumatic experiences and abuse (</w:t>
      </w:r>
      <w:r w:rsidRPr="78A0974C" w:rsidR="177549FC">
        <w:rPr>
          <w:rFonts w:ascii="Arial" w:hAnsi="Arial" w:eastAsia="Arial" w:cs="Arial"/>
          <w:sz w:val="24"/>
          <w:szCs w:val="24"/>
        </w:rPr>
        <w:t>Cohen et al., 2010; Feather &amp; Ronan</w:t>
      </w:r>
      <w:r w:rsidRPr="78A0974C" w:rsidR="4310F95B">
        <w:rPr>
          <w:rFonts w:ascii="Arial" w:hAnsi="Arial" w:eastAsia="Arial" w:cs="Arial"/>
          <w:sz w:val="24"/>
          <w:szCs w:val="24"/>
        </w:rPr>
        <w:t xml:space="preserve">, 2009; Little, Akin-Little, &amp; Gutierrez, 2009, cited in </w:t>
      </w:r>
      <w:r w:rsidRPr="78A0974C" w:rsidR="666E7D36">
        <w:rPr>
          <w:rFonts w:ascii="Arial" w:hAnsi="Arial" w:eastAsia="Arial" w:cs="Arial"/>
          <w:b w:val="0"/>
          <w:bCs w:val="0"/>
          <w:sz w:val="24"/>
          <w:szCs w:val="24"/>
        </w:rPr>
        <w:t>Black et al. (2010)</w:t>
      </w:r>
      <w:r w:rsidRPr="78A0974C" w:rsidR="78673658">
        <w:rPr>
          <w:rFonts w:ascii="Arial" w:hAnsi="Arial" w:eastAsia="Arial" w:cs="Arial"/>
          <w:b w:val="0"/>
          <w:bCs w:val="0"/>
          <w:sz w:val="24"/>
          <w:szCs w:val="24"/>
        </w:rPr>
        <w:t xml:space="preserve">. </w:t>
      </w:r>
      <w:r w:rsidRPr="78A0974C" w:rsidR="78C78C5D">
        <w:rPr>
          <w:rFonts w:ascii="Arial" w:hAnsi="Arial" w:eastAsia="Arial" w:cs="Arial"/>
          <w:b w:val="0"/>
          <w:bCs w:val="0"/>
          <w:sz w:val="24"/>
          <w:szCs w:val="24"/>
        </w:rPr>
        <w:t xml:space="preserve">Research conducted by Palfrey, Ryan &amp; Reay (2022) </w:t>
      </w:r>
      <w:r w:rsidRPr="78A0974C" w:rsidR="4B5FF803">
        <w:rPr>
          <w:rFonts w:ascii="Arial" w:hAnsi="Arial" w:eastAsia="Arial" w:cs="Arial"/>
          <w:b w:val="0"/>
          <w:bCs w:val="0"/>
          <w:sz w:val="24"/>
          <w:szCs w:val="24"/>
        </w:rPr>
        <w:t>found significant decreases in mental health and PTSD symptoms after receiving trauma informed cognitive behavioural therapy and the need for cont</w:t>
      </w:r>
      <w:r w:rsidRPr="78A0974C" w:rsidR="12476541">
        <w:rPr>
          <w:rFonts w:ascii="Arial" w:hAnsi="Arial" w:eastAsia="Arial" w:cs="Arial"/>
          <w:b w:val="0"/>
          <w:bCs w:val="0"/>
          <w:sz w:val="24"/>
          <w:szCs w:val="24"/>
        </w:rPr>
        <w:t>inued support for at least two years after therapy due to the complexity of trauma and to ensure t</w:t>
      </w:r>
      <w:r w:rsidRPr="78A0974C" w:rsidR="4028D985">
        <w:rPr>
          <w:rFonts w:ascii="Arial" w:hAnsi="Arial" w:eastAsia="Arial" w:cs="Arial"/>
          <w:b w:val="0"/>
          <w:bCs w:val="0"/>
          <w:sz w:val="24"/>
          <w:szCs w:val="24"/>
        </w:rPr>
        <w:t>he continuation of improvements</w:t>
      </w:r>
      <w:r w:rsidRPr="78A0974C" w:rsidR="3881F985">
        <w:rPr>
          <w:rFonts w:ascii="Arial" w:hAnsi="Arial" w:eastAsia="Arial" w:cs="Arial"/>
          <w:b w:val="0"/>
          <w:bCs w:val="0"/>
          <w:sz w:val="24"/>
          <w:szCs w:val="24"/>
        </w:rPr>
        <w:t xml:space="preserve">. </w:t>
      </w:r>
    </w:p>
    <w:p w:rsidR="786450B4" w:rsidP="78A0974C" w:rsidRDefault="786450B4" w14:paraId="57A812C1" w14:textId="6882E685">
      <w:pPr>
        <w:pStyle w:val="Normal"/>
        <w:suppressLineNumbers w:val="0"/>
        <w:bidi w:val="0"/>
        <w:spacing w:before="0" w:beforeAutospacing="off" w:after="120" w:afterAutospacing="off" w:line="360" w:lineRule="auto"/>
        <w:ind w:left="0" w:right="0" w:firstLine="72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8A0974C" w:rsidR="1AB0685B">
        <w:rPr>
          <w:rFonts w:ascii="Arial" w:hAnsi="Arial" w:eastAsia="Arial" w:cs="Arial"/>
          <w:sz w:val="24"/>
          <w:szCs w:val="24"/>
        </w:rPr>
        <w:t xml:space="preserve">Unfortunately, supporting children with a history of adverse childhood experiences and trauma can be </w:t>
      </w:r>
      <w:r w:rsidRPr="78A0974C" w:rsidR="1A5DA171">
        <w:rPr>
          <w:rFonts w:ascii="Arial" w:hAnsi="Arial" w:eastAsia="Arial" w:cs="Arial"/>
          <w:sz w:val="24"/>
          <w:szCs w:val="24"/>
        </w:rPr>
        <w:t xml:space="preserve">emotionally draining on </w:t>
      </w:r>
      <w:r w:rsidRPr="78A0974C" w:rsidR="6CAA8064">
        <w:rPr>
          <w:rFonts w:ascii="Arial" w:hAnsi="Arial" w:eastAsia="Arial" w:cs="Arial"/>
          <w:sz w:val="24"/>
          <w:szCs w:val="24"/>
        </w:rPr>
        <w:t>care providers. Trauma informed support also needs t</w:t>
      </w:r>
      <w:r w:rsidRPr="78A0974C" w:rsidR="591600EC">
        <w:rPr>
          <w:rFonts w:ascii="Arial" w:hAnsi="Arial" w:eastAsia="Arial" w:cs="Arial"/>
          <w:sz w:val="24"/>
          <w:szCs w:val="24"/>
        </w:rPr>
        <w:t>o ensure care is provided for the people working with such children, f</w:t>
      </w:r>
      <w:r w:rsidRPr="78A0974C" w:rsidR="073D972A">
        <w:rPr>
          <w:rFonts w:ascii="Arial" w:hAnsi="Arial" w:eastAsia="Arial" w:cs="Arial"/>
          <w:sz w:val="24"/>
          <w:szCs w:val="24"/>
        </w:rPr>
        <w:t>ocus on self-care is also important</w:t>
      </w:r>
      <w:r w:rsidRPr="78A0974C" w:rsidR="073D97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78A0974C" w:rsidR="7E5031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8A0974C" w:rsidR="6F3E44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Self-care</w:t>
      </w:r>
      <w:r w:rsidRPr="78A0974C" w:rsidR="0D8BA5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is important to reduce the effects of secondary trauma</w:t>
      </w:r>
      <w:r w:rsidRPr="78A0974C" w:rsidR="04D465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78A0974C" w:rsidR="0D8BA5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which </w:t>
      </w:r>
      <w:r w:rsidRPr="78A0974C" w:rsidR="5F91A8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occurs when the traumatic experiences </w:t>
      </w:r>
      <w:r w:rsidRPr="78A0974C" w:rsidR="5F91A8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disclosed</w:t>
      </w:r>
      <w:r w:rsidRPr="78A0974C" w:rsidR="5F91A8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by the child has</w:t>
      </w:r>
      <w:r w:rsidRPr="78A0974C" w:rsidR="4F42C1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8A0974C" w:rsidR="5F91A8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 lasting impact on the person it was </w:t>
      </w:r>
      <w:r w:rsidRPr="78A0974C" w:rsidR="5F91A8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disclosed</w:t>
      </w:r>
      <w:r w:rsidRPr="78A0974C" w:rsidR="5F91A8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to, </w:t>
      </w:r>
      <w:r w:rsidRPr="78A0974C" w:rsidR="7D11BA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and fosters resilience </w:t>
      </w:r>
      <w:r w:rsidRPr="78A0974C" w:rsidR="7D11BA9E">
        <w:rPr>
          <w:rFonts w:ascii="Arial" w:hAnsi="Arial" w:eastAsia="Arial" w:cs="Arial"/>
          <w:sz w:val="24"/>
          <w:szCs w:val="24"/>
        </w:rPr>
        <w:t>(</w:t>
      </w:r>
      <w:r w:rsidRPr="78A0974C" w:rsidR="7D11BA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Brooks, 2019b). </w:t>
      </w:r>
      <w:r w:rsidRPr="78A0974C" w:rsidR="2D2554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As a practitioner, resilience</w:t>
      </w:r>
      <w:r w:rsidRPr="78A0974C" w:rsidR="2D2554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is </w:t>
      </w:r>
      <w:r w:rsidRPr="78A0974C" w:rsidR="1FEB59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necessary</w:t>
      </w:r>
      <w:r w:rsidRPr="78A0974C" w:rsidR="2D2554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8A0974C" w:rsidR="73B24F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to</w:t>
      </w:r>
      <w:r w:rsidRPr="78A0974C" w:rsidR="2D2554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recover from stressful/overwhelming experiences and ensure that the student gets the best care and support p</w:t>
      </w:r>
      <w:r w:rsidRPr="78A0974C" w:rsidR="19103D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ossible. </w:t>
      </w:r>
      <w:r w:rsidRPr="78A0974C" w:rsidR="6B89C4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To</w:t>
      </w:r>
      <w:r w:rsidRPr="78A0974C" w:rsidR="1F2D30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build </w:t>
      </w:r>
      <w:r w:rsidRPr="78A0974C" w:rsidR="23B928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resilience</w:t>
      </w:r>
      <w:r w:rsidRPr="78A0974C" w:rsidR="1F2D30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it is necessary to experience risk, be able to rely on support, </w:t>
      </w:r>
      <w:r w:rsidRPr="78A0974C" w:rsidR="5F66E9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receive</w:t>
      </w:r>
      <w:r w:rsidRPr="78A0974C" w:rsidR="1F2D30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feedback from a supervisor and the be able to use such feedback </w:t>
      </w:r>
      <w:r w:rsidRPr="78A0974C" w:rsidR="0C0BA2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to make changes in the future. </w:t>
      </w:r>
      <w:r w:rsidRPr="78A0974C" w:rsidR="703736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Therefore,</w:t>
      </w:r>
      <w:r w:rsidRPr="78A0974C" w:rsidR="0C0BA2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as a practitioner, it is paramount to have adequate support when providing care for a traumatised </w:t>
      </w:r>
      <w:r w:rsidRPr="78A0974C" w:rsidR="06EB5E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child (Bassot, 2020a).</w:t>
      </w:r>
      <w:r w:rsidRPr="78A0974C" w:rsidR="730BE0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8A0974C" w:rsidR="5C0F3C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Therefore,</w:t>
      </w:r>
      <w:r w:rsidRPr="78A0974C" w:rsidR="730BE0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8A0974C" w:rsidR="26A86A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as a practi</w:t>
      </w:r>
      <w:r w:rsidRPr="78A0974C" w:rsidR="047F5B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ti</w:t>
      </w:r>
      <w:r w:rsidRPr="78A0974C" w:rsidR="26A86A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oner, </w:t>
      </w:r>
      <w:r w:rsidRPr="78A0974C" w:rsidR="74061A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use of Fink-Samnick</w:t>
      </w:r>
      <w:r w:rsidRPr="78A0974C" w:rsidR="1CD36A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'</w:t>
      </w:r>
      <w:r w:rsidRPr="78A0974C" w:rsidR="74061A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 (2007, cited in Bassot, 2020a) </w:t>
      </w:r>
      <w:r w:rsidRPr="78A0974C" w:rsidR="3E1DCA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recommended</w:t>
      </w:r>
      <w:r w:rsidRPr="78A0974C" w:rsidR="74061A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8A0974C" w:rsidR="29423D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self-care strategies. He suggested that practi</w:t>
      </w:r>
      <w:r w:rsidRPr="78A0974C" w:rsidR="3FF4D0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ti</w:t>
      </w:r>
      <w:r w:rsidRPr="78A0974C" w:rsidR="29423D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oners</w:t>
      </w:r>
      <w:r w:rsidRPr="78A0974C" w:rsidR="29423D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ensure they can avoid emotional overload by disc</w:t>
      </w:r>
      <w:r w:rsidRPr="78A0974C" w:rsidR="52747F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u</w:t>
      </w:r>
      <w:r w:rsidRPr="78A0974C" w:rsidR="709625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ssing with the practi</w:t>
      </w:r>
      <w:r w:rsidRPr="78A0974C" w:rsidR="71D9B1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ti</w:t>
      </w:r>
      <w:r w:rsidRPr="78A0974C" w:rsidR="709625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oners that they work with. </w:t>
      </w:r>
      <w:r w:rsidRPr="78A0974C" w:rsidR="6E1B74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He also recommended taking time making decisions within professional and personal lives to avoid reg</w:t>
      </w:r>
      <w:r w:rsidRPr="78A0974C" w:rsidR="2D0FE1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ret. Having fun </w:t>
      </w:r>
      <w:r w:rsidRPr="78A0974C" w:rsidR="02EE56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without </w:t>
      </w:r>
      <w:r w:rsidRPr="78A0974C" w:rsidR="2D0FE1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feeling guilty</w:t>
      </w:r>
      <w:r w:rsidRPr="78A0974C" w:rsidR="48975D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along with taking breaks and allowing time to </w:t>
      </w:r>
      <w:r w:rsidRPr="78A0974C" w:rsidR="6F9B33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re-energize is paramount in self-care. Finally, his last recommendation </w:t>
      </w:r>
      <w:r w:rsidRPr="78A0974C" w:rsidR="131879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is to make use of frustration to support </w:t>
      </w:r>
      <w:r w:rsidRPr="78A0974C" w:rsidR="622169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professional</w:t>
      </w:r>
      <w:r w:rsidRPr="78A0974C" w:rsidR="622169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community development. </w:t>
      </w:r>
    </w:p>
    <w:p w:rsidR="49CCF617" w:rsidP="78A0974C" w:rsidRDefault="49CCF617" w14:paraId="2A37CFAB" w14:textId="209CA938">
      <w:pPr>
        <w:pStyle w:val="Normal"/>
        <w:suppressLineNumbers w:val="0"/>
        <w:bidi w:val="0"/>
        <w:spacing w:before="0" w:beforeAutospacing="off" w:after="120" w:afterAutospacing="off" w:line="360" w:lineRule="auto"/>
        <w:ind w:left="0" w:right="0" w:firstLine="72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8A0974C" w:rsidR="43F4ED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Another issue to be aware of as a practitioner </w:t>
      </w:r>
      <w:r w:rsidRPr="78A0974C" w:rsidR="57F0B5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working with children tha</w:t>
      </w:r>
      <w:r w:rsidRPr="78A0974C" w:rsidR="0C5E1D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</w:t>
      </w:r>
      <w:r w:rsidRPr="78A0974C" w:rsidR="57F0B5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have experienced trauma </w:t>
      </w:r>
      <w:r w:rsidRPr="78A0974C" w:rsidR="43F4ED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is </w:t>
      </w:r>
      <w:r w:rsidRPr="78A0974C" w:rsidR="10EA5C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countertransference</w:t>
      </w:r>
      <w:r w:rsidRPr="78A0974C" w:rsidR="190E90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which occurs when </w:t>
      </w:r>
      <w:r w:rsidRPr="78A0974C" w:rsidR="3295AC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therapist develop negative or inappropriate feelings towar</w:t>
      </w:r>
      <w:r w:rsidRPr="78A0974C" w:rsidR="287CD6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</w:t>
      </w:r>
      <w:r w:rsidRPr="78A0974C" w:rsidR="3295AC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 the individual</w:t>
      </w:r>
      <w:r w:rsidRPr="78A0974C" w:rsidR="13B459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being supported</w:t>
      </w:r>
      <w:r w:rsidRPr="78A0974C" w:rsidR="5721D5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(Gelso &amp; Hayes, 2007; Kächele et al., 2015, cited in Berg, 2025).</w:t>
      </w:r>
      <w:r w:rsidRPr="78A0974C" w:rsidR="7CE901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8A0974C" w:rsidR="120673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This is more likely to </w:t>
      </w:r>
      <w:r w:rsidRPr="78A0974C" w:rsidR="631A7E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if the work environment is stressful and unsupportive (Morey, 2019, cited in Berg, 2025), or if there </w:t>
      </w:r>
      <w:r w:rsidRPr="78A0974C" w:rsidR="272C53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are </w:t>
      </w:r>
      <w:r w:rsidRPr="78A0974C" w:rsidR="272C53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large amounts</w:t>
      </w:r>
      <w:r w:rsidRPr="78A0974C" w:rsidR="272C53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external pressure (Berg, 2025). In a thematic analysis conducted by </w:t>
      </w:r>
      <w:r w:rsidRPr="78A0974C" w:rsidR="3D2E1A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(Berg, 2025), practitoners reported that reasons for negative feelings towards clients included personal emotions and vulnerab</w:t>
      </w:r>
      <w:r w:rsidRPr="78A0974C" w:rsidR="7F1AF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ilities, behavioural difficulties, </w:t>
      </w:r>
      <w:r w:rsidRPr="78A0974C" w:rsidR="600075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fear of </w:t>
      </w:r>
      <w:r w:rsidRPr="78A0974C" w:rsidR="72B901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client's</w:t>
      </w:r>
      <w:r w:rsidRPr="78A0974C" w:rsidR="600075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safety</w:t>
      </w:r>
      <w:r w:rsidRPr="78A0974C" w:rsidR="70E6A2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tension or anger, and environmental constraints</w:t>
      </w:r>
      <w:r w:rsidRPr="78A0974C" w:rsidR="4B6CD9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Even though these feelings did not occur often, it was challenging to cope with when they did occur. </w:t>
      </w:r>
      <w:r w:rsidRPr="78A0974C" w:rsidR="5A7A34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It is thought that such feelings do not </w:t>
      </w:r>
      <w:r w:rsidRPr="78A0974C" w:rsidR="17A8BA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indicate</w:t>
      </w:r>
      <w:r w:rsidRPr="78A0974C" w:rsidR="5A7A34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 failure of the </w:t>
      </w:r>
      <w:r w:rsidRPr="78A0974C" w:rsidR="6ED287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practitioner</w:t>
      </w:r>
      <w:r w:rsidRPr="78A0974C" w:rsidR="5A7A34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and that they are inevitable and allow </w:t>
      </w:r>
      <w:r w:rsidRPr="78A0974C" w:rsidR="66AF64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opportunities</w:t>
      </w:r>
      <w:r w:rsidRPr="78A0974C" w:rsidR="5A7A34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for a practi</w:t>
      </w:r>
      <w:r w:rsidRPr="78A0974C" w:rsidR="7A4B1D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ti</w:t>
      </w:r>
      <w:r w:rsidRPr="78A0974C" w:rsidR="5A7A34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oner</w:t>
      </w:r>
      <w:r w:rsidRPr="78A0974C" w:rsidR="5A7A34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 </w:t>
      </w:r>
      <w:r w:rsidRPr="78A0974C" w:rsidR="6D9B7F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reflect upon their feelings towards their client to prevent them from impacting the care they provide Winnicott (1949, cited in Berg, 2025).</w:t>
      </w:r>
      <w:r w:rsidRPr="78A0974C" w:rsidR="0EC6B8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8A0974C" w:rsidR="6B8163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Research conducted by Hong et al. (2023) that explored the relationship between </w:t>
      </w:r>
      <w:r w:rsidRPr="78A0974C" w:rsidR="50F29B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way that countertransference is </w:t>
      </w:r>
      <w:r w:rsidRPr="78A0974C" w:rsidR="21D651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managed,</w:t>
      </w:r>
      <w:r w:rsidRPr="78A0974C" w:rsidR="50F29B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</w:t>
      </w:r>
      <w:r w:rsidRPr="78A0974C" w:rsidR="049BA1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</w:t>
      </w:r>
      <w:r w:rsidRPr="78A0974C" w:rsidR="50F29B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emotional </w:t>
      </w:r>
      <w:r w:rsidRPr="78A0974C" w:rsidR="57E117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wellbeing</w:t>
      </w:r>
      <w:r w:rsidRPr="78A0974C" w:rsidR="50F29B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practitioners found that </w:t>
      </w:r>
      <w:r w:rsidRPr="78A0974C" w:rsidR="34F23E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better management of </w:t>
      </w:r>
      <w:r w:rsidRPr="78A0974C" w:rsidR="3A8E22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countertransference</w:t>
      </w:r>
      <w:r w:rsidRPr="78A0974C" w:rsidR="561E35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8A0974C" w:rsidR="02B5D1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resulted in </w:t>
      </w:r>
      <w:r w:rsidRPr="78A0974C" w:rsidR="421DCC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better emotional wellbeing. In</w:t>
      </w:r>
      <w:r w:rsidRPr="78A0974C" w:rsidR="56E06D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terestingly, participants that believed that they had adequately managed </w:t>
      </w:r>
      <w:r w:rsidRPr="78A0974C" w:rsidR="634D6C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countertransference</w:t>
      </w:r>
      <w:r w:rsidRPr="78A0974C" w:rsidR="56E06D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8A0974C" w:rsidR="14690D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tended to be </w:t>
      </w:r>
      <w:r w:rsidRPr="78A0974C" w:rsidR="56E06D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more positive </w:t>
      </w:r>
      <w:r w:rsidRPr="78A0974C" w:rsidR="693F04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and </w:t>
      </w:r>
      <w:r w:rsidRPr="78A0974C" w:rsidR="5EDC62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competent</w:t>
      </w:r>
      <w:r w:rsidRPr="78A0974C" w:rsidR="693F04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within their work </w:t>
      </w:r>
      <w:r w:rsidRPr="78A0974C" w:rsidR="5919D2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(Hong et al., 2023)</w:t>
      </w:r>
      <w:r w:rsidRPr="78A0974C" w:rsidR="693F04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78A0974C" w:rsidR="421DCC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198596AF" w:rsidP="37B85A59" w:rsidRDefault="198596AF" w14:paraId="0D42CB07" w14:textId="735DD519">
      <w:pPr>
        <w:pStyle w:val="Normal"/>
        <w:suppressLineNumbers w:val="0"/>
        <w:bidi w:val="0"/>
        <w:spacing w:before="0" w:beforeAutospacing="off" w:after="120" w:afterAutospacing="off" w:line="360" w:lineRule="auto"/>
        <w:ind w:left="0" w:right="0" w:firstLine="72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37B85A59" w:rsidR="198596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As a </w:t>
      </w:r>
      <w:r w:rsidRPr="37B85A59" w:rsidR="2CCE6A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practitioner</w:t>
      </w:r>
      <w:r w:rsidRPr="37B85A59" w:rsidR="29779D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7B85A59" w:rsidR="198596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37B85A59" w:rsidR="198596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 is beneficial to make use of reflexivity to ensure that the support provided to a vulnera</w:t>
      </w:r>
      <w:r w:rsidRPr="37B85A59" w:rsidR="19C8F7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ble young person </w:t>
      </w:r>
      <w:r w:rsidRPr="37B85A59" w:rsidR="1B7217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is not disrupted by issues such as countertransference. There are models that can be used to achieve ref</w:t>
      </w:r>
      <w:r w:rsidRPr="37B85A59" w:rsidR="77F363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lective practice. Firstly, is the ERA model which </w:t>
      </w:r>
      <w:r w:rsidRPr="37B85A59" w:rsidR="256B1A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encompasses</w:t>
      </w:r>
      <w:r w:rsidRPr="37B85A59" w:rsidR="77F363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three </w:t>
      </w:r>
      <w:r w:rsidRPr="37B85A59" w:rsidR="32DB39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components, </w:t>
      </w:r>
      <w:r w:rsidRPr="37B85A59" w:rsidR="6DF14D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experience, </w:t>
      </w:r>
      <w:r w:rsidRPr="37B85A59" w:rsidR="6DF14D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reflection</w:t>
      </w:r>
      <w:r w:rsidRPr="37B85A59" w:rsidR="6DF14D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action. Based on the model, practitioners </w:t>
      </w:r>
      <w:r w:rsidRPr="37B85A59" w:rsidR="2314A5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need to </w:t>
      </w:r>
      <w:r w:rsidRPr="37B85A59" w:rsidR="6DF14D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consider an </w:t>
      </w:r>
      <w:r w:rsidRPr="37B85A59" w:rsidR="0333FD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experience </w:t>
      </w:r>
      <w:r w:rsidRPr="37B85A59" w:rsidR="795015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they've</w:t>
      </w:r>
      <w:r w:rsidRPr="37B85A59" w:rsidR="0333FD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had</w:t>
      </w:r>
      <w:r w:rsidRPr="37B85A59" w:rsidR="6DF14D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then reflect </w:t>
      </w:r>
      <w:r w:rsidRPr="37B85A59" w:rsidR="77BAD9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</w:t>
      </w:r>
      <w:r w:rsidRPr="37B85A59" w:rsidR="6DF14D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 it and </w:t>
      </w:r>
      <w:r w:rsidRPr="37B85A59" w:rsidR="49A574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devise </w:t>
      </w:r>
      <w:r w:rsidRPr="37B85A59" w:rsidR="580000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ways that they can learn from it such as what they would do differently in the future, then they put this into action by adapting their </w:t>
      </w:r>
      <w:r w:rsidRPr="37B85A59" w:rsidR="6AB757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approach</w:t>
      </w:r>
      <w:r w:rsidRPr="37B85A59" w:rsidR="580000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 future situations </w:t>
      </w:r>
      <w:r w:rsidRPr="37B85A59" w:rsidR="153894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(Jasper, 2013, cited in Bassot, 2020</w:t>
      </w:r>
      <w:r w:rsidRPr="37B85A59" w:rsidR="620FF4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b</w:t>
      </w:r>
      <w:r w:rsidRPr="37B85A59" w:rsidR="153894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)</w:t>
      </w:r>
      <w:r w:rsidRPr="37B85A59" w:rsidR="65438A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</w:t>
      </w:r>
      <w:r w:rsidRPr="37B85A59" w:rsidR="2E9D3D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Driscoll (2007, cited in Bassot, 2020b) developed the ‘What?’ model which was </w:t>
      </w:r>
      <w:r w:rsidRPr="37B85A59" w:rsidR="70B406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like</w:t>
      </w:r>
      <w:r w:rsidRPr="37B85A59" w:rsidR="2E9D3D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 ERA model. In the </w:t>
      </w:r>
      <w:r w:rsidRPr="37B85A59" w:rsidR="273FFD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‘W</w:t>
      </w:r>
      <w:r w:rsidRPr="37B85A59" w:rsidR="2E9D3D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hat</w:t>
      </w:r>
      <w:r w:rsidRPr="37B85A59" w:rsidR="6D8CB9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?’ model in that it is suggested a practitioner describes an </w:t>
      </w:r>
      <w:r w:rsidRPr="37B85A59" w:rsidR="0157EC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experience</w:t>
      </w:r>
      <w:r w:rsidRPr="37B85A59" w:rsidR="6D8CB9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</w:t>
      </w:r>
      <w:r w:rsidRPr="37B85A59" w:rsidR="6E8157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w</w:t>
      </w:r>
      <w:r w:rsidRPr="37B85A59" w:rsidR="6D8CB9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hat</w:t>
      </w:r>
      <w:r w:rsidRPr="37B85A59" w:rsidR="777257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?),</w:t>
      </w:r>
      <w:r w:rsidRPr="37B85A59" w:rsidR="0A9CCB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then they are to analyse </w:t>
      </w:r>
      <w:r w:rsidRPr="37B85A59" w:rsidR="008674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what happened </w:t>
      </w:r>
      <w:r w:rsidRPr="37B85A59" w:rsidR="0A9CCB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focusing of aspects of the experience (so </w:t>
      </w:r>
      <w:r w:rsidRPr="37B85A59" w:rsidR="02EB88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what?), </w:t>
      </w:r>
      <w:r w:rsidRPr="37B85A59" w:rsidR="459F3F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then consider possible ways they can act on what they have learnt from the experience (now what?)</w:t>
      </w:r>
      <w:r w:rsidRPr="37B85A59" w:rsidR="38E57C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This model is beneficial for practitioners that lack experience of reflective practice as it is easy and memerable, however that also means that it often id not adequate for an </w:t>
      </w:r>
      <w:r w:rsidRPr="37B85A59" w:rsidR="1002E6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in-depth</w:t>
      </w:r>
      <w:r w:rsidRPr="37B85A59" w:rsidR="38E57C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37B85A59" w:rsidR="1429A6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reflection </w:t>
      </w:r>
      <w:r w:rsidRPr="37B85A59" w:rsidR="23FD83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meaning that practitioners will need to develop their skills to develop their practice (Bassot, 2020b).</w:t>
      </w:r>
      <w:r w:rsidRPr="37B85A59" w:rsidR="390132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37B85A59" w:rsidR="6EAABC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Practitioners also have the choice of Kolb’s (1984, </w:t>
      </w:r>
      <w:r w:rsidRPr="37B85A59" w:rsidR="30A69C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cited in Bassot, 2020b) experiential learning cycle which explores how people learn from experiences. </w:t>
      </w:r>
      <w:r w:rsidRPr="37B85A59" w:rsidR="4FD6ED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The cycle includes four sequential stages that begin with the person</w:t>
      </w:r>
      <w:r w:rsidRPr="37B85A59" w:rsidR="72EA92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considers an event that </w:t>
      </w:r>
      <w:r w:rsidRPr="37B85A59" w:rsidR="40BD2B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occurred</w:t>
      </w:r>
      <w:r w:rsidRPr="37B85A59" w:rsidR="72EA92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 then they</w:t>
      </w:r>
      <w:r w:rsidRPr="37B85A59" w:rsidR="4FD6ED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37B85A59" w:rsidR="2B629A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extract meaning from </w:t>
      </w:r>
      <w:r w:rsidRPr="37B85A59" w:rsidR="7D93CB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the experience</w:t>
      </w:r>
      <w:r w:rsidRPr="37B85A59" w:rsidR="4C293D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to develop ideas, these ideas can then be experimented with ready to be used within future experiences. However, it is argued that such processes do not occur </w:t>
      </w:r>
      <w:r w:rsidRPr="37B85A59" w:rsidR="398C57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sequentially</w:t>
      </w:r>
      <w:r w:rsidRPr="37B85A59" w:rsidR="39CE43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 as the practitioners learni</w:t>
      </w:r>
      <w:r w:rsidRPr="37B85A59" w:rsidR="1AEC54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n</w:t>
      </w:r>
      <w:r w:rsidRPr="37B85A59" w:rsidR="39CE43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g style will </w:t>
      </w:r>
      <w:r w:rsidRPr="37B85A59" w:rsidR="66EBBA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influence</w:t>
      </w:r>
      <w:r w:rsidRPr="37B85A59" w:rsidR="39CE43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how they progress. </w:t>
      </w:r>
      <w:r w:rsidRPr="37B85A59" w:rsidR="39CE43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</w:t>
      </w:r>
      <w:r w:rsidRPr="37B85A59" w:rsidR="77BE43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h</w:t>
      </w:r>
      <w:r w:rsidRPr="37B85A59" w:rsidR="39CE43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is</w:t>
      </w:r>
      <w:r w:rsidRPr="37B85A59" w:rsidR="39CE43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was not clear in the original depiction of the model (</w:t>
      </w:r>
      <w:r w:rsidRPr="37B85A59" w:rsidR="38C280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Bassot, 2020b).</w:t>
      </w:r>
    </w:p>
    <w:p w:rsidR="5FDDF8BD" w:rsidP="37B85A59" w:rsidRDefault="5FDDF8BD" w14:paraId="67D6629F" w14:textId="6CD45127">
      <w:pPr>
        <w:pStyle w:val="Normal"/>
        <w:suppressLineNumbers w:val="0"/>
        <w:bidi w:val="0"/>
        <w:spacing w:before="0" w:beforeAutospacing="off" w:after="120" w:afterAutospacing="off" w:line="360" w:lineRule="auto"/>
        <w:ind w:left="0" w:right="0" w:firstLine="72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37B85A59" w:rsidR="5FDDF8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It is possible for reflection to occur at any stage whether it may be before </w:t>
      </w:r>
      <w:r w:rsidRPr="37B85A59" w:rsidR="22A1C9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 session, during, or afterwards. When it takes place </w:t>
      </w:r>
      <w:r w:rsidRPr="37B85A59" w:rsidR="13BB0F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</w:t>
      </w:r>
      <w:r w:rsidRPr="37B85A59" w:rsidR="22A1C9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uring the session it is known as ‘reflection in action’ </w:t>
      </w:r>
      <w:r w:rsidRPr="37B85A59" w:rsidR="0BEA4B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(Schön</w:t>
      </w:r>
      <w:r w:rsidRPr="37B85A59" w:rsidR="2C5E72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</w:t>
      </w:r>
      <w:r w:rsidRPr="37B85A59" w:rsidR="0BEA4B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1983</w:t>
      </w:r>
      <w:r w:rsidRPr="37B85A59" w:rsidR="3B82E6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</w:t>
      </w:r>
      <w:r w:rsidRPr="37B85A59" w:rsidR="49B846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cited in Ghaye, 2011</w:t>
      </w:r>
      <w:r w:rsidRPr="37B85A59" w:rsidR="0BEA4B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)</w:t>
      </w:r>
      <w:r w:rsidRPr="37B85A59" w:rsidR="47C443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doing so allows for practioners to be responsive and adaptive</w:t>
      </w:r>
      <w:r w:rsidRPr="37B85A59" w:rsidR="345337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Reflective practitioners, or practitioners that provide </w:t>
      </w:r>
      <w:r w:rsidRPr="37B85A59" w:rsidR="2F0FC0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quality support, use their experiences to inform decisions they make</w:t>
      </w:r>
      <w:r w:rsidRPr="37B85A59" w:rsidR="721C00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improve practice continually</w:t>
      </w:r>
      <w:r w:rsidRPr="37B85A59" w:rsidR="721C00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</w:t>
      </w:r>
      <w:r w:rsidRPr="37B85A59" w:rsidR="168BF3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</w:t>
      </w:r>
      <w:r w:rsidRPr="37B85A59" w:rsidR="59439B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dequate reflexivity skills are </w:t>
      </w:r>
      <w:r w:rsidRPr="37B85A59" w:rsidR="4C05D1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important</w:t>
      </w:r>
      <w:r w:rsidRPr="37B85A59" w:rsidR="59439B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considering the amount of stress </w:t>
      </w:r>
      <w:r w:rsidRPr="37B85A59" w:rsidR="716FE7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involved</w:t>
      </w:r>
      <w:r w:rsidRPr="37B85A59" w:rsidR="59439B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within the </w:t>
      </w:r>
      <w:r w:rsidRPr="37B85A59" w:rsidR="0482E6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setting</w:t>
      </w:r>
      <w:r w:rsidRPr="37B85A59" w:rsidR="740EDC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 as it can prevent burnout. It is imp</w:t>
      </w:r>
      <w:r w:rsidRPr="37B85A59" w:rsidR="2A6625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ortant to recognise when under too much stress so that it can be managed appropriately (Ghaye, 2011). Stress can lead to changes in</w:t>
      </w:r>
      <w:r w:rsidRPr="37B85A59" w:rsidR="3B9750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cognition which cause distractibility and forgetfulness, as well as higher anxiety and uncharacteristic behavioural</w:t>
      </w:r>
      <w:r w:rsidRPr="37B85A59" w:rsidR="19D102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responses. Fontana (1989, cited in Ghaye, 2011). It is however possible to reduc</w:t>
      </w:r>
      <w:r w:rsidRPr="37B85A59" w:rsidR="60E3E9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e such occurrences through adequate sleep, time management, support from </w:t>
      </w:r>
      <w:r w:rsidRPr="37B85A59" w:rsidR="5A44CE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colleagues and friends, healthy diet, exercising, challenging ourselves, positivity, prioritisation, </w:t>
      </w:r>
      <w:r w:rsidRPr="37B85A59" w:rsidR="7CAF57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relaxing, and only focusing on what we can change, not on what we </w:t>
      </w:r>
      <w:r w:rsidRPr="37B85A59" w:rsidR="7CAF57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can't</w:t>
      </w:r>
      <w:r w:rsidRPr="37B85A59" w:rsidR="7CAF57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(Ghaye, 2011)</w:t>
      </w:r>
      <w:r w:rsidRPr="37B85A59" w:rsidR="5434BC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</w:t>
      </w:r>
      <w:r w:rsidRPr="37B85A59" w:rsidR="75D1EC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Baumeister (1991, cited in Ghaye, 2011) also recognized the importance of finding meaning in life through purpo</w:t>
      </w:r>
      <w:r w:rsidRPr="37B85A59" w:rsidR="3D5A65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se, value, </w:t>
      </w:r>
      <w:r w:rsidRPr="37B85A59" w:rsidR="3D5A65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efficacy</w:t>
      </w:r>
      <w:r w:rsidRPr="37B85A59" w:rsidR="3D5A65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self-worth</w:t>
      </w:r>
      <w:r w:rsidRPr="37B85A59" w:rsidR="1BB758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</w:t>
      </w:r>
      <w:r w:rsidRPr="37B85A59" w:rsidR="1BB758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All of</w:t>
      </w:r>
      <w:r w:rsidRPr="37B85A59" w:rsidR="1BB758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these skils are extemely beneficial for a practitioner supporting a child with a background of </w:t>
      </w:r>
      <w:r w:rsidRPr="37B85A59" w:rsidR="1BB758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adverse</w:t>
      </w:r>
      <w:r w:rsidRPr="37B85A59" w:rsidR="1BB758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social experiences and trauma. </w:t>
      </w:r>
    </w:p>
    <w:p w:rsidR="12DC0C06" w:rsidP="49CCF617" w:rsidRDefault="12DC0C06" w14:paraId="6152A955" w14:textId="61F714C8">
      <w:pPr>
        <w:spacing w:after="0" w:afterAutospacing="off" w:line="360" w:lineRule="auto"/>
        <w:jc w:val="left"/>
        <w:rPr>
          <w:rFonts w:ascii="Arial" w:hAnsi="Arial" w:eastAsia="Arial" w:cs="Arial"/>
          <w:sz w:val="24"/>
          <w:szCs w:val="24"/>
        </w:rPr>
      </w:pPr>
      <w:r w:rsidRPr="37B85A59">
        <w:rPr>
          <w:rFonts w:ascii="Arial" w:hAnsi="Arial" w:eastAsia="Arial" w:cs="Arial"/>
          <w:sz w:val="24"/>
          <w:szCs w:val="24"/>
        </w:rPr>
        <w:br w:type="page"/>
      </w:r>
    </w:p>
    <w:p w:rsidR="16FECE05" w:rsidP="49CCF617" w:rsidRDefault="16FECE05" w14:paraId="6D8CC00E" w14:textId="25EA51A9">
      <w:pPr>
        <w:pStyle w:val="Normal"/>
        <w:spacing w:before="0" w:beforeAutospacing="off" w:after="0" w:afterAutospacing="off" w:line="360" w:lineRule="auto"/>
        <w:jc w:val="left"/>
        <w:rPr>
          <w:rFonts w:ascii="Arial" w:hAnsi="Arial" w:eastAsia="Arial" w:cs="Arial"/>
          <w:sz w:val="24"/>
          <w:szCs w:val="24"/>
        </w:rPr>
      </w:pPr>
      <w:r w:rsidRPr="78A0974C" w:rsidR="16FECE05">
        <w:rPr>
          <w:rFonts w:ascii="Arial" w:hAnsi="Arial" w:eastAsia="Arial" w:cs="Arial"/>
          <w:sz w:val="24"/>
          <w:szCs w:val="24"/>
        </w:rPr>
        <w:t xml:space="preserve">References: </w:t>
      </w:r>
    </w:p>
    <w:p w:rsidR="6C01B9E6" w:rsidP="37B85A59" w:rsidRDefault="6C01B9E6" w14:paraId="7A330A91" w14:textId="025CDE3E">
      <w:pPr>
        <w:pStyle w:val="Normal"/>
        <w:spacing w:before="0" w:beforeAutospacing="off" w:after="0" w:afterAutospacing="off" w:line="360" w:lineRule="auto"/>
        <w:ind w:left="0"/>
        <w:contextualSpacing w:val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37B85A59" w:rsidR="7712DE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Bassot (2020a), Building resilience. In Bassot, B. (2020). </w:t>
      </w:r>
      <w:r w:rsidRPr="37B85A59" w:rsidR="7712DEC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The reflective journal (</w:t>
      </w:r>
      <w:r w:rsidRPr="37B85A59" w:rsidR="2E68598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3rd</w:t>
      </w:r>
      <w:r w:rsidRPr="37B85A59" w:rsidR="7712DEC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 ed.)</w:t>
      </w:r>
      <w:r w:rsidRPr="37B85A59" w:rsidR="7712DE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. </w:t>
      </w:r>
      <w:r w:rsidRPr="37B85A59" w:rsidR="1E63F8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54 - </w:t>
      </w:r>
      <w:r w:rsidRPr="37B85A59" w:rsidR="1A941F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66</w:t>
      </w:r>
      <w:r w:rsidRPr="37B85A59" w:rsidR="1E63F8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  <w:r w:rsidRPr="37B85A59" w:rsidR="1E63F8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37B85A59" w:rsidR="7712DE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Red Globe Press.</w:t>
      </w:r>
    </w:p>
    <w:p w:rsidR="6C01B9E6" w:rsidP="78A0974C" w:rsidRDefault="6C01B9E6" w14:paraId="621EDDBD" w14:textId="55545E1B">
      <w:pPr>
        <w:pStyle w:val="Normal"/>
        <w:spacing w:before="0" w:beforeAutospacing="off" w:after="0" w:afterAutospacing="off" w:line="360" w:lineRule="auto"/>
        <w:ind w:left="0"/>
        <w:contextualSpacing w:val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6C01B9E6" w:rsidP="37B85A59" w:rsidRDefault="6C01B9E6" w14:paraId="7C32604A" w14:textId="4D98493E">
      <w:pPr>
        <w:pStyle w:val="Normal"/>
        <w:spacing w:before="0" w:beforeAutospacing="off" w:after="0" w:afterAutospacing="off" w:line="360" w:lineRule="auto"/>
        <w:ind w:left="0"/>
        <w:contextualSpacing w:val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37B85A59" w:rsidR="25D193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Bassot (2020b), Learning from experience. In Bassot, B. (2020). </w:t>
      </w:r>
      <w:r w:rsidRPr="37B85A59" w:rsidR="25D193C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The reflective journal (</w:t>
      </w:r>
      <w:r w:rsidRPr="37B85A59" w:rsidR="28CC012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3rd</w:t>
      </w:r>
      <w:r w:rsidRPr="37B85A59" w:rsidR="25D193C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 ed.).</w:t>
      </w:r>
      <w:r w:rsidRPr="37B85A59" w:rsidR="49766B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29-39.</w:t>
      </w:r>
      <w:r w:rsidRPr="37B85A59" w:rsidR="25D193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Red Globe Press.</w:t>
      </w:r>
    </w:p>
    <w:p w:rsidR="6C01B9E6" w:rsidP="37B85A59" w:rsidRDefault="6C01B9E6" w14:paraId="12CA9A43" w14:textId="55CF9C92">
      <w:pPr>
        <w:pStyle w:val="Normal"/>
        <w:spacing w:before="0" w:beforeAutospacing="off" w:after="0" w:afterAutospacing="off" w:line="360" w:lineRule="auto"/>
        <w:ind w:left="0"/>
        <w:contextualSpacing w:val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29F080FD" w:rsidP="37B85A59" w:rsidRDefault="29F080FD" w14:paraId="54F71F4F" w14:textId="3AAF0CEE">
      <w:pPr>
        <w:pStyle w:val="Normal"/>
        <w:spacing w:after="0" w:afterAutospacing="off" w:line="360" w:lineRule="auto"/>
        <w:ind w:left="0"/>
        <w:contextualSpacing w:val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37B85A59" w:rsidR="29F080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Bassot (2020c), Reflective practice for personal and professional wellbeing. In Bassot, B. (2020). </w:t>
      </w:r>
      <w:r w:rsidRPr="37B85A59" w:rsidR="29F080F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The reflective j</w:t>
      </w:r>
      <w:r w:rsidRPr="37B85A59" w:rsidR="29F080F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our</w:t>
      </w:r>
      <w:r w:rsidRPr="37B85A59" w:rsidR="29F080F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nal</w:t>
      </w:r>
      <w:r w:rsidRPr="37B85A59" w:rsidR="29F080F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 (3rd ed.)</w:t>
      </w:r>
      <w:r w:rsidRPr="37B85A59" w:rsidR="29F080F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.</w:t>
      </w:r>
      <w:r w:rsidRPr="37B85A59" w:rsidR="29F080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119 - 132. Red Globe Press.</w:t>
      </w:r>
    </w:p>
    <w:p w:rsidR="37B85A59" w:rsidP="37B85A59" w:rsidRDefault="37B85A59" w14:paraId="71D9B13C" w14:textId="388B73BC">
      <w:pPr>
        <w:pStyle w:val="Normal"/>
        <w:spacing w:before="0" w:beforeAutospacing="off" w:after="0" w:afterAutospacing="off" w:line="360" w:lineRule="auto"/>
        <w:ind w:left="0"/>
        <w:contextualSpacing w:val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6C01B9E6" w:rsidP="37B85A59" w:rsidRDefault="6C01B9E6" w14:paraId="1EE59098" w14:textId="08ECE893">
      <w:pPr>
        <w:pStyle w:val="Normal"/>
        <w:spacing w:before="0" w:beforeAutospacing="off" w:after="0" w:afterAutospacing="off" w:line="360" w:lineRule="auto"/>
        <w:ind w:left="0"/>
        <w:contextualSpacing w:val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37B85A59" w:rsidR="418728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Black, P. J., Woodworth, M., Tremblay, M., &amp; Carpenter, T. (2012). A Review of Trauma-Informed Treatment for Adolescents. </w:t>
      </w:r>
      <w:r w:rsidRPr="37B85A59" w:rsidR="418728E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Canadian Psychology/</w:t>
      </w:r>
      <w:r w:rsidRPr="37B85A59" w:rsidR="418728E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Psychologie</w:t>
      </w:r>
      <w:r w:rsidRPr="37B85A59" w:rsidR="418728E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 Canadienne, 53(3)</w:t>
      </w:r>
      <w:r w:rsidRPr="37B85A59" w:rsidR="418728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192–203. </w:t>
      </w:r>
      <w:hyperlink r:id="Rbf7791232f6f4836">
        <w:r w:rsidRPr="37B85A59" w:rsidR="418728E0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z w:val="24"/>
            <w:szCs w:val="24"/>
          </w:rPr>
          <w:t>https://doi.org/10.1037/a0028441</w:t>
        </w:r>
      </w:hyperlink>
      <w:r w:rsidRPr="37B85A59" w:rsidR="418728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</w:p>
    <w:p w:rsidR="6C01B9E6" w:rsidP="786450B4" w:rsidRDefault="6C01B9E6" w14:paraId="2A9FA543" w14:textId="02B50A14">
      <w:pPr>
        <w:pStyle w:val="Normal"/>
        <w:spacing w:before="0" w:beforeAutospacing="off" w:after="0" w:afterAutospacing="off" w:line="360" w:lineRule="auto"/>
        <w:ind/>
        <w:contextualSpacing w:val="0"/>
        <w:jc w:val="left"/>
        <w:rPr>
          <w:rFonts w:ascii="Arial" w:hAnsi="Arial" w:eastAsia="Arial" w:cs="Arial"/>
          <w:sz w:val="24"/>
          <w:szCs w:val="24"/>
        </w:rPr>
      </w:pPr>
    </w:p>
    <w:p w:rsidR="163E5ECE" w:rsidP="78A0974C" w:rsidRDefault="163E5ECE" w14:paraId="030A4071" w14:textId="6719A2C7">
      <w:pPr>
        <w:pStyle w:val="Normal"/>
        <w:spacing w:before="0" w:beforeAutospacing="off" w:after="0" w:afterAutospacing="off" w:line="360" w:lineRule="auto"/>
        <w:contextualSpacing w:val="0"/>
        <w:jc w:val="left"/>
        <w:rPr>
          <w:rFonts w:ascii="Arial" w:hAnsi="Arial" w:eastAsia="Arial" w:cs="Arial"/>
          <w:sz w:val="24"/>
          <w:szCs w:val="24"/>
        </w:rPr>
      </w:pPr>
      <w:r w:rsidRPr="37B85A59" w:rsidR="163E5ECE">
        <w:rPr>
          <w:rFonts w:ascii="Arial" w:hAnsi="Arial" w:eastAsia="Arial" w:cs="Arial"/>
          <w:sz w:val="24"/>
          <w:szCs w:val="24"/>
        </w:rPr>
        <w:t xml:space="preserve">Brooks (2019a), Relationships are key. In Brooks, R. (2019). </w:t>
      </w:r>
      <w:r w:rsidRPr="37B85A59" w:rsidR="163E5ECE">
        <w:rPr>
          <w:rFonts w:ascii="Arial" w:hAnsi="Arial" w:eastAsia="Arial" w:cs="Arial"/>
          <w:i w:val="1"/>
          <w:iCs w:val="1"/>
          <w:sz w:val="24"/>
          <w:szCs w:val="24"/>
        </w:rPr>
        <w:t xml:space="preserve">The trauma and attachment-aware classroom: a practical guide to supporting children who have </w:t>
      </w:r>
      <w:r w:rsidRPr="37B85A59" w:rsidR="163E5ECE">
        <w:rPr>
          <w:rFonts w:ascii="Arial" w:hAnsi="Arial" w:eastAsia="Arial" w:cs="Arial"/>
          <w:i w:val="1"/>
          <w:iCs w:val="1"/>
          <w:sz w:val="24"/>
          <w:szCs w:val="24"/>
        </w:rPr>
        <w:t>encountered</w:t>
      </w:r>
      <w:r w:rsidRPr="37B85A59" w:rsidR="163E5ECE">
        <w:rPr>
          <w:rFonts w:ascii="Arial" w:hAnsi="Arial" w:eastAsia="Arial" w:cs="Arial"/>
          <w:i w:val="1"/>
          <w:iCs w:val="1"/>
          <w:sz w:val="24"/>
          <w:szCs w:val="24"/>
        </w:rPr>
        <w:t xml:space="preserve"> trauma and adverse childhood experiences. </w:t>
      </w:r>
      <w:r w:rsidRPr="37B85A59" w:rsidR="163E5ECE">
        <w:rPr>
          <w:rFonts w:ascii="Arial" w:hAnsi="Arial" w:eastAsia="Arial" w:cs="Arial"/>
          <w:sz w:val="24"/>
          <w:szCs w:val="24"/>
        </w:rPr>
        <w:t>41-53. Jessica Kingsley Publishers.</w:t>
      </w:r>
    </w:p>
    <w:p w:rsidR="78A0974C" w:rsidP="78A0974C" w:rsidRDefault="78A0974C" w14:paraId="5A587A8F" w14:textId="4780EB86">
      <w:pPr>
        <w:pStyle w:val="Normal"/>
        <w:spacing w:before="0" w:beforeAutospacing="off" w:after="0" w:afterAutospacing="off" w:line="360" w:lineRule="auto"/>
        <w:contextualSpacing w:val="0"/>
        <w:jc w:val="left"/>
        <w:rPr>
          <w:rFonts w:ascii="Arial" w:hAnsi="Arial" w:eastAsia="Arial" w:cs="Arial"/>
          <w:sz w:val="24"/>
          <w:szCs w:val="24"/>
        </w:rPr>
      </w:pPr>
    </w:p>
    <w:p w:rsidR="4D239125" w:rsidP="37B85A59" w:rsidRDefault="4D239125" w14:paraId="0D27F418" w14:textId="7D330E32">
      <w:pPr>
        <w:pStyle w:val="Normal"/>
        <w:spacing w:before="0" w:beforeAutospacing="off" w:after="0" w:afterAutospacing="off" w:line="360" w:lineRule="auto"/>
        <w:ind w:left="0"/>
        <w:contextualSpacing w:val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37B85A59" w:rsidR="4D2391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Berg, J. (2025). Countertransference struggles of mental health psychotherapists. </w:t>
      </w:r>
      <w:r w:rsidRPr="37B85A59" w:rsidR="4D23912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Social Work in Mental Health, </w:t>
      </w:r>
      <w:r w:rsidRPr="37B85A59" w:rsidR="4D2391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1–22</w:t>
      </w:r>
      <w:r w:rsidRPr="37B85A59" w:rsidR="4D2391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. </w:t>
      </w:r>
      <w:hyperlink r:id="R8894a819b6284fa5">
        <w:r w:rsidRPr="37B85A59" w:rsidR="4D239125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z w:val="24"/>
            <w:szCs w:val="24"/>
          </w:rPr>
          <w:t>https://doi.org/10.1080/15332985.2025.2550342</w:t>
        </w:r>
      </w:hyperlink>
      <w:r w:rsidRPr="37B85A59" w:rsidR="4D2391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</w:p>
    <w:p w:rsidR="4D239125" w:rsidP="37B85A59" w:rsidRDefault="4D239125" w14:paraId="6D2E19ED" w14:textId="6902B849">
      <w:pPr>
        <w:pStyle w:val="Normal"/>
        <w:spacing w:before="0" w:beforeAutospacing="off" w:after="0" w:afterAutospacing="off" w:line="360" w:lineRule="auto"/>
        <w:ind w:left="0"/>
        <w:contextualSpacing w:val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37B85A59" w:rsidR="1844BC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</w:p>
    <w:p w:rsidR="4D239125" w:rsidP="37B85A59" w:rsidRDefault="4D239125" w14:paraId="31BF684B" w14:textId="0C52440D">
      <w:pPr>
        <w:pStyle w:val="Normal"/>
        <w:spacing w:before="0" w:beforeAutospacing="off" w:after="0" w:afterAutospacing="off" w:line="360" w:lineRule="auto"/>
        <w:ind w:left="0"/>
        <w:contextualSpacing w:val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37B85A59" w:rsidR="4D2391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Berger, E., &amp; Martin, K. (2021). Embedding trauma‐informed practice within the education sector. </w:t>
      </w:r>
      <w:r w:rsidRPr="37B85A59" w:rsidR="4D23912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Journal of Community &amp; Applied Social Psychology, 31(2)</w:t>
      </w:r>
      <w:r w:rsidRPr="37B85A59" w:rsidR="4D2391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223–227. </w:t>
      </w:r>
      <w:hyperlink r:id="Rdeda6403776d4164">
        <w:r w:rsidRPr="37B85A59" w:rsidR="4D239125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z w:val="24"/>
            <w:szCs w:val="24"/>
          </w:rPr>
          <w:t>https://doi.org/10.1002/casp.2494</w:t>
        </w:r>
      </w:hyperlink>
    </w:p>
    <w:p w:rsidR="78A0974C" w:rsidP="78A0974C" w:rsidRDefault="78A0974C" w14:paraId="2FA43F1B" w14:textId="24042EC1">
      <w:pPr>
        <w:pStyle w:val="Normal"/>
        <w:spacing w:before="0" w:beforeAutospacing="off" w:after="0" w:afterAutospacing="off" w:line="360" w:lineRule="auto"/>
        <w:contextualSpacing w:val="0"/>
        <w:jc w:val="left"/>
        <w:rPr>
          <w:rFonts w:ascii="Arial" w:hAnsi="Arial" w:eastAsia="Arial" w:cs="Arial"/>
          <w:sz w:val="24"/>
          <w:szCs w:val="24"/>
        </w:rPr>
      </w:pPr>
    </w:p>
    <w:p w:rsidR="6792FF0A" w:rsidP="78A0974C" w:rsidRDefault="6792FF0A" w14:paraId="09293801" w14:textId="7CFE6DB9">
      <w:pPr>
        <w:pStyle w:val="Normal"/>
        <w:spacing w:before="0" w:beforeAutospacing="off" w:after="0" w:afterAutospacing="off" w:line="360" w:lineRule="auto"/>
        <w:contextualSpacing w:val="0"/>
        <w:jc w:val="left"/>
        <w:rPr>
          <w:rFonts w:ascii="Arial" w:hAnsi="Arial" w:eastAsia="Arial" w:cs="Arial"/>
          <w:sz w:val="24"/>
          <w:szCs w:val="24"/>
        </w:rPr>
      </w:pPr>
      <w:r w:rsidRPr="37B85A59" w:rsidR="6792FF0A">
        <w:rPr>
          <w:rFonts w:ascii="Arial" w:hAnsi="Arial" w:eastAsia="Arial" w:cs="Arial"/>
          <w:sz w:val="24"/>
          <w:szCs w:val="24"/>
        </w:rPr>
        <w:t xml:space="preserve">Brooks (2019b), Secondary trauma is real. In Brooks, R. (2019). </w:t>
      </w:r>
      <w:r w:rsidRPr="37B85A59" w:rsidR="6792FF0A">
        <w:rPr>
          <w:rFonts w:ascii="Arial" w:hAnsi="Arial" w:eastAsia="Arial" w:cs="Arial"/>
          <w:i w:val="1"/>
          <w:iCs w:val="1"/>
          <w:sz w:val="24"/>
          <w:szCs w:val="24"/>
        </w:rPr>
        <w:t xml:space="preserve">The trauma and attachment-aware classroom: a practical guide to supporting children who have </w:t>
      </w:r>
      <w:r w:rsidRPr="37B85A59" w:rsidR="6792FF0A">
        <w:rPr>
          <w:rFonts w:ascii="Arial" w:hAnsi="Arial" w:eastAsia="Arial" w:cs="Arial"/>
          <w:i w:val="1"/>
          <w:iCs w:val="1"/>
          <w:sz w:val="24"/>
          <w:szCs w:val="24"/>
        </w:rPr>
        <w:t>encountered</w:t>
      </w:r>
      <w:r w:rsidRPr="37B85A59" w:rsidR="6792FF0A">
        <w:rPr>
          <w:rFonts w:ascii="Arial" w:hAnsi="Arial" w:eastAsia="Arial" w:cs="Arial"/>
          <w:i w:val="1"/>
          <w:iCs w:val="1"/>
          <w:sz w:val="24"/>
          <w:szCs w:val="24"/>
        </w:rPr>
        <w:t xml:space="preserve"> trauma and adverse childhood experiences</w:t>
      </w:r>
      <w:r w:rsidRPr="37B85A59" w:rsidR="6792FF0A">
        <w:rPr>
          <w:rFonts w:ascii="Arial" w:hAnsi="Arial" w:eastAsia="Arial" w:cs="Arial"/>
          <w:sz w:val="24"/>
          <w:szCs w:val="24"/>
        </w:rPr>
        <w:t>. 184-187. Jessica Kingsley Publishers.</w:t>
      </w:r>
    </w:p>
    <w:p w:rsidR="78A0974C" w:rsidP="78A0974C" w:rsidRDefault="78A0974C" w14:paraId="3521AA2E" w14:textId="5B1A266A">
      <w:pPr>
        <w:pStyle w:val="Normal"/>
        <w:spacing w:before="0" w:beforeAutospacing="off" w:after="0" w:afterAutospacing="off" w:line="360" w:lineRule="auto"/>
        <w:contextualSpacing w:val="0"/>
        <w:jc w:val="left"/>
        <w:rPr>
          <w:rFonts w:ascii="Arial" w:hAnsi="Arial" w:eastAsia="Arial" w:cs="Arial"/>
          <w:sz w:val="24"/>
          <w:szCs w:val="24"/>
        </w:rPr>
      </w:pPr>
    </w:p>
    <w:p w:rsidR="6C01B9E6" w:rsidP="37B85A59" w:rsidRDefault="6C01B9E6" w14:paraId="7F89D719" w14:textId="1067C45E">
      <w:pPr>
        <w:pStyle w:val="Normal"/>
        <w:spacing w:before="0" w:beforeAutospacing="off" w:after="0" w:afterAutospacing="off" w:line="360" w:lineRule="auto"/>
        <w:ind/>
        <w:contextualSpacing w:val="0"/>
        <w:jc w:val="left"/>
        <w:rPr>
          <w:rFonts w:ascii="Arial" w:hAnsi="Arial" w:eastAsia="Arial" w:cs="Arial"/>
          <w:sz w:val="24"/>
          <w:szCs w:val="24"/>
          <w:highlight w:val="red"/>
        </w:rPr>
      </w:pPr>
      <w:r w:rsidRPr="37B85A59" w:rsidR="368CECA5">
        <w:rPr>
          <w:rFonts w:ascii="Arial" w:hAnsi="Arial" w:eastAsia="Arial" w:cs="Arial"/>
          <w:sz w:val="24"/>
          <w:szCs w:val="24"/>
          <w:highlight w:val="red"/>
        </w:rPr>
        <w:t xml:space="preserve">Burton and </w:t>
      </w:r>
      <w:r w:rsidRPr="37B85A59" w:rsidR="368CECA5">
        <w:rPr>
          <w:rFonts w:ascii="Arial" w:hAnsi="Arial" w:eastAsia="Arial" w:cs="Arial"/>
          <w:sz w:val="24"/>
          <w:szCs w:val="24"/>
          <w:highlight w:val="red"/>
        </w:rPr>
        <w:t>Pavord</w:t>
      </w:r>
      <w:r w:rsidRPr="37B85A59" w:rsidR="368CECA5">
        <w:rPr>
          <w:rFonts w:ascii="Arial" w:hAnsi="Arial" w:eastAsia="Arial" w:cs="Arial"/>
          <w:sz w:val="24"/>
          <w:szCs w:val="24"/>
          <w:highlight w:val="red"/>
        </w:rPr>
        <w:t xml:space="preserve"> (2014), Interventions with children, young </w:t>
      </w:r>
      <w:r w:rsidRPr="37B85A59" w:rsidR="368CECA5">
        <w:rPr>
          <w:rFonts w:ascii="Arial" w:hAnsi="Arial" w:eastAsia="Arial" w:cs="Arial"/>
          <w:sz w:val="24"/>
          <w:szCs w:val="24"/>
          <w:highlight w:val="red"/>
        </w:rPr>
        <w:t>people</w:t>
      </w:r>
      <w:r w:rsidRPr="37B85A59" w:rsidR="368CECA5">
        <w:rPr>
          <w:rFonts w:ascii="Arial" w:hAnsi="Arial" w:eastAsia="Arial" w:cs="Arial"/>
          <w:sz w:val="24"/>
          <w:szCs w:val="24"/>
          <w:highlight w:val="red"/>
        </w:rPr>
        <w:t xml:space="preserve"> and families. In Burton, M., </w:t>
      </w:r>
      <w:r w:rsidRPr="37B85A59" w:rsidR="368CECA5">
        <w:rPr>
          <w:rFonts w:ascii="Arial" w:hAnsi="Arial" w:eastAsia="Arial" w:cs="Arial"/>
          <w:sz w:val="24"/>
          <w:szCs w:val="24"/>
          <w:highlight w:val="red"/>
        </w:rPr>
        <w:t>Pavord</w:t>
      </w:r>
      <w:r w:rsidRPr="37B85A59" w:rsidR="368CECA5">
        <w:rPr>
          <w:rFonts w:ascii="Arial" w:hAnsi="Arial" w:eastAsia="Arial" w:cs="Arial"/>
          <w:sz w:val="24"/>
          <w:szCs w:val="24"/>
          <w:highlight w:val="red"/>
        </w:rPr>
        <w:t xml:space="preserve">, E., &amp; Williams, B. (2014). </w:t>
      </w:r>
      <w:r w:rsidRPr="37B85A59" w:rsidR="368CECA5">
        <w:rPr>
          <w:rFonts w:ascii="Arial" w:hAnsi="Arial" w:eastAsia="Arial" w:cs="Arial"/>
          <w:i w:val="1"/>
          <w:iCs w:val="1"/>
          <w:sz w:val="24"/>
          <w:szCs w:val="24"/>
          <w:highlight w:val="red"/>
        </w:rPr>
        <w:t>An introduction to child and adolescent mental health</w:t>
      </w:r>
      <w:r w:rsidRPr="37B85A59" w:rsidR="368CECA5">
        <w:rPr>
          <w:rFonts w:ascii="Arial" w:hAnsi="Arial" w:eastAsia="Arial" w:cs="Arial"/>
          <w:sz w:val="24"/>
          <w:szCs w:val="24"/>
          <w:highlight w:val="red"/>
        </w:rPr>
        <w:t>. SAGE.</w:t>
      </w:r>
    </w:p>
    <w:p w:rsidR="6C01B9E6" w:rsidP="78A0974C" w:rsidRDefault="6C01B9E6" w14:paraId="652FD8E1" w14:textId="63064BA3">
      <w:pPr>
        <w:pStyle w:val="Normal"/>
        <w:spacing w:before="0" w:beforeAutospacing="off" w:after="0" w:afterAutospacing="off" w:line="360" w:lineRule="auto"/>
        <w:ind w:left="0"/>
        <w:contextualSpacing w:val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12DC0C06" w:rsidP="49CCF617" w:rsidRDefault="12DC0C06" w14:paraId="30622CD1" w14:textId="2F45013A">
      <w:pPr>
        <w:pStyle w:val="Normal"/>
        <w:spacing w:before="0" w:beforeAutospacing="off" w:after="0" w:afterAutospacing="off" w:line="360" w:lineRule="auto"/>
        <w:ind w:left="0"/>
        <w:contextualSpacing w:val="0"/>
        <w:jc w:val="left"/>
        <w:rPr>
          <w:rFonts w:ascii="Arial" w:hAnsi="Arial" w:eastAsia="Arial" w:cs="Arial"/>
          <w:sz w:val="24"/>
          <w:szCs w:val="24"/>
        </w:rPr>
      </w:pPr>
      <w:r w:rsidRPr="37B85A59" w:rsidR="541D80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Evans, A., Hardcastle, K., Bandyopadhyay, A., Farewell, D., John, A., Lyons, R. A., Long, S., Bellis, M. A., &amp; </w:t>
      </w:r>
      <w:r w:rsidRPr="37B85A59" w:rsidR="541D80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Paranjothy</w:t>
      </w:r>
      <w:r w:rsidRPr="37B85A59" w:rsidR="541D80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S. (2020). Adverse childhood experiences during childhood and academic attainment at age 7 and 11 years: an electronic birth cohort study. </w:t>
      </w:r>
      <w:r w:rsidRPr="37B85A59" w:rsidR="541D801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Public Health (London), 189</w:t>
      </w:r>
      <w:r w:rsidRPr="37B85A59" w:rsidR="541D80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37–47. </w:t>
      </w:r>
      <w:hyperlink r:id="R7efb820ed6744305">
        <w:r w:rsidRPr="37B85A59" w:rsidR="541D801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z w:val="24"/>
            <w:szCs w:val="24"/>
          </w:rPr>
          <w:t>https://doi.org/10.1016/j.puhe.2020.08.027</w:t>
        </w:r>
      </w:hyperlink>
    </w:p>
    <w:p w:rsidR="12DC0C06" w:rsidP="78A0974C" w:rsidRDefault="12DC0C06" w14:paraId="7FF933B5" w14:textId="2BD05874">
      <w:pPr>
        <w:pStyle w:val="Normal"/>
        <w:spacing w:before="0" w:beforeAutospacing="off" w:after="0" w:afterAutospacing="off" w:line="360" w:lineRule="auto"/>
        <w:ind w:left="0"/>
        <w:contextualSpacing w:val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1189EBD" w:rsidP="37B85A59" w:rsidRDefault="71189EBD" w14:paraId="1E428D08" w14:textId="3C24F870">
      <w:pPr>
        <w:pStyle w:val="Normal"/>
        <w:spacing w:before="0" w:beforeAutospacing="off" w:after="0" w:afterAutospacing="off" w:line="360" w:lineRule="auto"/>
        <w:ind w:left="0"/>
        <w:contextualSpacing w:val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7B85A59" w:rsidR="71189E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Felitti, V. J., Anda, R. F., Nordenberg, D., Williamson, D. F., Spitz, A. M., Edwards, V., Koss, M. P., &amp; Marks, J. S. (2019). Relationship of Childhood Abuse and Household Dysfunction to Many of the Leading Causes of Death in Adults: The Adverse Childhood Experiences (ACE) Study. </w:t>
      </w:r>
      <w:r w:rsidRPr="37B85A59" w:rsidR="71189EB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American Journal of Preventive Medicine, 56(6)</w:t>
      </w:r>
      <w:r w:rsidRPr="37B85A59" w:rsidR="71189E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774. </w:t>
      </w:r>
      <w:hyperlink r:id="Rabf0fd5f18e64ce1">
        <w:r w:rsidRPr="37B85A59" w:rsidR="71189EB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z w:val="24"/>
            <w:szCs w:val="24"/>
          </w:rPr>
          <w:t>https://doi.org/10.1016/j.amepre.2019.04.001</w:t>
        </w:r>
      </w:hyperlink>
      <w:r w:rsidRPr="37B85A59" w:rsidR="71189E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</w:p>
    <w:p w:rsidR="64EBD032" w:rsidP="78A0974C" w:rsidRDefault="64EBD032" w14:paraId="68B133BA" w14:textId="624BE9FE">
      <w:pPr>
        <w:pStyle w:val="Normal"/>
        <w:spacing w:before="0" w:beforeAutospacing="off" w:after="0" w:afterAutospacing="off" w:line="360" w:lineRule="auto"/>
        <w:ind w:left="0"/>
        <w:contextualSpacing w:val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3313D49" w:rsidP="37B85A59" w:rsidRDefault="53313D49" w14:paraId="7A18406C" w14:textId="7F876D0D">
      <w:pPr>
        <w:pStyle w:val="Normal"/>
        <w:spacing w:before="0" w:beforeAutospacing="off" w:after="0" w:afterAutospacing="off" w:line="360" w:lineRule="auto"/>
        <w:ind w:left="0"/>
        <w:contextualSpacing w:val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37B85A59" w:rsidR="53313D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Fitzgerald, M., &amp; Shuler, J. (2023). Coping Together or Separate: Attachment and Dyadic Coping as Mediators Linking Childhood Maltreatment to Intimate Relationship Quality. </w:t>
      </w:r>
      <w:r w:rsidRPr="37B85A59" w:rsidR="53313D4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Journal of Couple &amp; Relationship Therapy, 22(4)</w:t>
      </w:r>
      <w:r w:rsidRPr="37B85A59" w:rsidR="53313D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344–361. </w:t>
      </w:r>
      <w:hyperlink r:id="Rdeacb2d87d3d472e">
        <w:r w:rsidRPr="37B85A59" w:rsidR="53313D49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z w:val="24"/>
            <w:szCs w:val="24"/>
          </w:rPr>
          <w:t>https://doi.org/10.1080/15332691.2022.2149650</w:t>
        </w:r>
      </w:hyperlink>
      <w:r w:rsidRPr="37B85A59" w:rsidR="53313D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</w:p>
    <w:p w:rsidR="78A0974C" w:rsidP="78A0974C" w:rsidRDefault="78A0974C" w14:paraId="16FA88B1" w14:textId="1C02EDA9">
      <w:pPr>
        <w:pStyle w:val="Normal"/>
        <w:spacing w:before="0" w:beforeAutospacing="off" w:after="0" w:afterAutospacing="off" w:line="360" w:lineRule="auto"/>
        <w:ind w:left="0"/>
        <w:contextualSpacing w:val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0E1EC045" w:rsidP="37B85A59" w:rsidRDefault="0E1EC045" w14:paraId="454DB228" w14:textId="0ADA27BE">
      <w:pPr>
        <w:pStyle w:val="Normal"/>
        <w:spacing w:before="0" w:beforeAutospacing="off" w:after="0" w:afterAutospacing="off" w:line="360" w:lineRule="auto"/>
        <w:ind w:left="0"/>
        <w:contextualSpacing w:val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7B85A59" w:rsidR="0E1EC0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Gale (2021), Attachment theory. In Laver-Bradbury, C., Thompson, M. J. J., Gale, C., Hooper, C. M., (Ed.), (2021). </w:t>
      </w:r>
      <w:r w:rsidRPr="37B85A59" w:rsidR="0E1EC04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Child and adolescent mental health: theory and practice (3rd ed.)</w:t>
      </w:r>
      <w:r w:rsidRPr="37B85A59" w:rsidR="0E1EC0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 47-54. Routledge.</w:t>
      </w:r>
    </w:p>
    <w:p w:rsidR="64EBD032" w:rsidP="78A0974C" w:rsidRDefault="64EBD032" w14:paraId="05EC6D63" w14:textId="73F98669">
      <w:pPr>
        <w:pStyle w:val="Normal"/>
        <w:spacing w:before="0" w:beforeAutospacing="off" w:after="0" w:afterAutospacing="off" w:line="360" w:lineRule="auto"/>
        <w:ind w:left="0"/>
        <w:contextualSpacing w:val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2DC0C06" w:rsidP="37B85A59" w:rsidRDefault="12DC0C06" w14:paraId="7A559B18" w14:textId="077A0180">
      <w:pPr>
        <w:pStyle w:val="Normal"/>
        <w:spacing w:before="0" w:beforeAutospacing="off" w:after="0" w:afterAutospacing="off" w:line="360" w:lineRule="auto"/>
        <w:ind w:left="0"/>
        <w:contextualSpacing w:val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7B85A59" w:rsidR="0B718B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Gerhardt (2004a), Corrosive cortisol. In Gerhardt, S. (2004). </w:t>
      </w:r>
      <w:r w:rsidRPr="37B85A59" w:rsidR="0B718BD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Why love matters: how affection shapes a baby’s brain</w:t>
      </w:r>
      <w:r w:rsidRPr="37B85A59" w:rsidR="0B718B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 74-103. Brunner-Routledge.</w:t>
      </w:r>
    </w:p>
    <w:p w:rsidR="49CCF617" w:rsidP="78A0974C" w:rsidRDefault="49CCF617" w14:paraId="7777CA79" w14:textId="5200BB28">
      <w:pPr>
        <w:pStyle w:val="Normal"/>
        <w:spacing w:before="0" w:beforeAutospacing="off" w:after="0" w:afterAutospacing="off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DD685F5" w:rsidP="37B85A59" w:rsidRDefault="5DD685F5" w14:paraId="41911971" w14:textId="2F97951C">
      <w:pPr>
        <w:pStyle w:val="Normal"/>
        <w:spacing w:before="0" w:beforeAutospacing="off" w:after="0" w:afterAutospacing="off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7B85A59" w:rsidR="294322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Gerhardt (2004b), Active harm: the links between trauma in babyhood and trauma in adult life. In Gerhardt, S. (2004). </w:t>
      </w:r>
      <w:r w:rsidRPr="37B85A59" w:rsidR="2943226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Why love matters: how affection shapes a baby’s brain</w:t>
      </w:r>
      <w:r w:rsidRPr="37B85A59" w:rsidR="294322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 157-173</w:t>
      </w:r>
      <w:r w:rsidRPr="37B85A59" w:rsidR="294322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. </w:t>
      </w:r>
      <w:r w:rsidRPr="37B85A59" w:rsidR="67A08A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Brunner-Routledge</w:t>
      </w:r>
      <w:r w:rsidRPr="37B85A59" w:rsidR="294322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</w:p>
    <w:p w:rsidR="64EBD032" w:rsidP="37B85A59" w:rsidRDefault="64EBD032" w14:paraId="66013423" w14:textId="002DC67D">
      <w:pPr>
        <w:pStyle w:val="Normal"/>
        <w:spacing w:before="0" w:beforeAutospacing="off" w:after="0" w:afterAutospacing="off" w:line="360" w:lineRule="auto"/>
        <w:ind w:left="0"/>
        <w:contextualSpacing w:val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highlight w:val="red"/>
        </w:rPr>
      </w:pPr>
    </w:p>
    <w:p w:rsidR="64EBD032" w:rsidP="37B85A59" w:rsidRDefault="64EBD032" w14:paraId="087FDC92" w14:textId="385452B8">
      <w:pPr>
        <w:pStyle w:val="Normal"/>
        <w:spacing w:before="0" w:beforeAutospacing="off" w:after="0" w:afterAutospacing="off" w:line="360" w:lineRule="auto"/>
        <w:ind w:left="0"/>
        <w:contextualSpacing w:val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red"/>
          <w:lang w:val="en-US"/>
        </w:rPr>
      </w:pPr>
      <w:r w:rsidRPr="37B85A59" w:rsidR="19E53D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highlight w:val="red"/>
        </w:rPr>
        <w:t xml:space="preserve">Ghaye (2011), Being a reflective practitioner. In Ghaye, T. (2011). </w:t>
      </w:r>
      <w:r w:rsidRPr="37B85A59" w:rsidR="19E53D6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  <w:highlight w:val="red"/>
        </w:rPr>
        <w:t>Teaching and learning through reflective practice: a practical guide for positive action</w:t>
      </w:r>
      <w:r w:rsidRPr="37B85A59" w:rsidR="19E53D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highlight w:val="red"/>
        </w:rPr>
        <w:t xml:space="preserve"> (2nd ed.). Routledge. </w:t>
      </w:r>
      <w:hyperlink r:id="Rccb1ad3dcc67410a">
        <w:r w:rsidRPr="37B85A59" w:rsidR="19E53D68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sz w:val="24"/>
            <w:szCs w:val="24"/>
            <w:highlight w:val="red"/>
          </w:rPr>
          <w:t>https://doi.org/10.4324/9780203833322</w:t>
        </w:r>
      </w:hyperlink>
    </w:p>
    <w:p w:rsidR="64EBD032" w:rsidP="37B85A59" w:rsidRDefault="64EBD032" w14:paraId="6E32FDFE" w14:textId="512E2D83">
      <w:pPr>
        <w:pStyle w:val="Normal"/>
        <w:spacing w:before="0" w:beforeAutospacing="off" w:after="0" w:afterAutospacing="off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05825FF" w:rsidP="37B85A59" w:rsidRDefault="605825FF" w14:paraId="191BC576" w14:textId="39395802">
      <w:pPr>
        <w:pStyle w:val="Normal"/>
        <w:spacing w:before="0" w:beforeAutospacing="off" w:after="0" w:afterAutospacing="off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7B85A59" w:rsidR="605825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Golm and Kreppner (2021), The effect of childhood maltreatment on brain development. In Laver-Bradbury, C., Thompson, </w:t>
      </w:r>
      <w:r w:rsidRPr="37B85A59" w:rsidR="605825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M. J</w:t>
      </w:r>
      <w:r w:rsidRPr="37B85A59" w:rsidR="605825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. J., Gale, C., Hooper, C. M. (Ed.), (2021). </w:t>
      </w:r>
      <w:r w:rsidRPr="37B85A59" w:rsidR="605825F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Child and adolescent mental health: theory and practice (3rd ed.)</w:t>
      </w:r>
      <w:r w:rsidRPr="37B85A59" w:rsidR="605825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 201-214. Routledge.</w:t>
      </w:r>
    </w:p>
    <w:p w:rsidR="42EC630A" w:rsidP="49CCF617" w:rsidRDefault="42EC630A" w14:paraId="13307375" w14:textId="7983ADFF">
      <w:pPr>
        <w:pStyle w:val="Normal"/>
        <w:spacing w:before="0" w:beforeAutospacing="off" w:after="0" w:afterAutospacing="off" w:line="360" w:lineRule="auto"/>
        <w:jc w:val="left"/>
        <w:rPr>
          <w:rFonts w:ascii="Arial" w:hAnsi="Arial" w:eastAsia="Arial" w:cs="Arial"/>
          <w:sz w:val="24"/>
          <w:szCs w:val="24"/>
        </w:rPr>
      </w:pPr>
    </w:p>
    <w:p w:rsidR="37829596" w:rsidP="753D09A8" w:rsidRDefault="37829596" w14:paraId="31D5D534" w14:textId="20065816">
      <w:pPr>
        <w:pStyle w:val="Normal"/>
        <w:spacing w:before="0" w:beforeAutospacing="off" w:after="0" w:afterAutospacing="off" w:line="360" w:lineRule="auto"/>
        <w:jc w:val="left"/>
        <w:rPr>
          <w:rFonts w:ascii="Arial" w:hAnsi="Arial" w:eastAsia="Arial" w:cs="Arial"/>
          <w:sz w:val="24"/>
          <w:szCs w:val="24"/>
        </w:rPr>
      </w:pPr>
      <w:r w:rsidRPr="37B85A59" w:rsidR="37829596">
        <w:rPr>
          <w:rFonts w:ascii="Arial" w:hAnsi="Arial" w:eastAsia="Arial" w:cs="Arial"/>
          <w:sz w:val="24"/>
          <w:szCs w:val="24"/>
        </w:rPr>
        <w:t xml:space="preserve">Harlow, E. (2021). Attachment theory: developments, debates and recent applications in social work, social </w:t>
      </w:r>
      <w:r w:rsidRPr="37B85A59" w:rsidR="37829596">
        <w:rPr>
          <w:rFonts w:ascii="Arial" w:hAnsi="Arial" w:eastAsia="Arial" w:cs="Arial"/>
          <w:sz w:val="24"/>
          <w:szCs w:val="24"/>
        </w:rPr>
        <w:t>care</w:t>
      </w:r>
      <w:r w:rsidRPr="37B85A59" w:rsidR="37829596">
        <w:rPr>
          <w:rFonts w:ascii="Arial" w:hAnsi="Arial" w:eastAsia="Arial" w:cs="Arial"/>
          <w:sz w:val="24"/>
          <w:szCs w:val="24"/>
        </w:rPr>
        <w:t xml:space="preserve"> and education.</w:t>
      </w:r>
      <w:r w:rsidRPr="37B85A59" w:rsidR="37829596">
        <w:rPr>
          <w:rFonts w:ascii="Arial" w:hAnsi="Arial" w:eastAsia="Arial" w:cs="Arial"/>
          <w:i w:val="1"/>
          <w:iCs w:val="1"/>
          <w:sz w:val="24"/>
          <w:szCs w:val="24"/>
        </w:rPr>
        <w:t xml:space="preserve"> Journal of Social Work Practice, 35(1)</w:t>
      </w:r>
      <w:r w:rsidRPr="37B85A59" w:rsidR="37829596">
        <w:rPr>
          <w:rFonts w:ascii="Arial" w:hAnsi="Arial" w:eastAsia="Arial" w:cs="Arial"/>
          <w:sz w:val="24"/>
          <w:szCs w:val="24"/>
        </w:rPr>
        <w:t xml:space="preserve">, 79–91. </w:t>
      </w:r>
      <w:hyperlink r:id="R25024b723e4645bf">
        <w:r w:rsidRPr="37B85A59" w:rsidR="37829596">
          <w:rPr>
            <w:rStyle w:val="Hyperlink"/>
            <w:rFonts w:ascii="Arial" w:hAnsi="Arial" w:eastAsia="Arial" w:cs="Arial"/>
            <w:sz w:val="24"/>
            <w:szCs w:val="24"/>
          </w:rPr>
          <w:t>https://doi.org/10.1080/02650533.2019.1700493</w:t>
        </w:r>
      </w:hyperlink>
      <w:r w:rsidRPr="37B85A59" w:rsidR="37829596">
        <w:rPr>
          <w:rFonts w:ascii="Arial" w:hAnsi="Arial" w:eastAsia="Arial" w:cs="Arial"/>
          <w:sz w:val="24"/>
          <w:szCs w:val="24"/>
        </w:rPr>
        <w:t xml:space="preserve"> </w:t>
      </w:r>
    </w:p>
    <w:p w:rsidR="753D09A8" w:rsidP="753D09A8" w:rsidRDefault="753D09A8" w14:paraId="446DC613" w14:textId="1ACE2E60">
      <w:pPr>
        <w:pStyle w:val="Normal"/>
        <w:spacing w:before="0" w:beforeAutospacing="off" w:after="0" w:afterAutospacing="off" w:line="360" w:lineRule="auto"/>
        <w:jc w:val="left"/>
        <w:rPr>
          <w:rFonts w:ascii="Arial" w:hAnsi="Arial" w:eastAsia="Arial" w:cs="Arial"/>
          <w:sz w:val="24"/>
          <w:szCs w:val="24"/>
        </w:rPr>
      </w:pPr>
    </w:p>
    <w:p w:rsidR="14ACDC6F" w:rsidP="49CCF617" w:rsidRDefault="14ACDC6F" w14:paraId="31C36DD4" w14:textId="45347CC6">
      <w:pPr>
        <w:pStyle w:val="Normal"/>
        <w:spacing w:before="0" w:beforeAutospacing="off" w:after="0" w:afterAutospacing="off" w:line="360" w:lineRule="auto"/>
        <w:jc w:val="left"/>
        <w:rPr>
          <w:rFonts w:ascii="Arial" w:hAnsi="Arial" w:eastAsia="Arial" w:cs="Arial"/>
          <w:sz w:val="24"/>
          <w:szCs w:val="24"/>
        </w:rPr>
      </w:pPr>
      <w:r w:rsidRPr="37B85A59" w:rsidR="14ACDC6F">
        <w:rPr>
          <w:rFonts w:ascii="Arial" w:hAnsi="Arial" w:eastAsia="Arial" w:cs="Arial"/>
          <w:sz w:val="24"/>
          <w:szCs w:val="24"/>
        </w:rPr>
        <w:t xml:space="preserve">Holmes (2014a), Attachment, anxiety, internal working models. In Holmes, J. (2014). </w:t>
      </w:r>
      <w:r w:rsidRPr="37B85A59" w:rsidR="14ACDC6F">
        <w:rPr>
          <w:rFonts w:ascii="Arial" w:hAnsi="Arial" w:eastAsia="Arial" w:cs="Arial"/>
          <w:i w:val="1"/>
          <w:iCs w:val="1"/>
          <w:sz w:val="24"/>
          <w:szCs w:val="24"/>
        </w:rPr>
        <w:t>John Bowlby and attachment theory (2nd ed.)</w:t>
      </w:r>
      <w:r w:rsidRPr="37B85A59" w:rsidR="14ACDC6F">
        <w:rPr>
          <w:rFonts w:ascii="Arial" w:hAnsi="Arial" w:eastAsia="Arial" w:cs="Arial"/>
          <w:sz w:val="24"/>
          <w:szCs w:val="24"/>
        </w:rPr>
        <w:t xml:space="preserve">. 47-69. Routledge, Taylor &amp; Francis Group. </w:t>
      </w:r>
    </w:p>
    <w:p w:rsidR="14ACDC6F" w:rsidP="49CCF617" w:rsidRDefault="14ACDC6F" w14:paraId="20C26E14" w14:textId="72355184">
      <w:pPr>
        <w:pStyle w:val="Normal"/>
        <w:spacing w:before="0" w:beforeAutospacing="off" w:after="0" w:afterAutospacing="off" w:line="360" w:lineRule="auto"/>
        <w:jc w:val="left"/>
        <w:rPr>
          <w:rFonts w:ascii="Arial" w:hAnsi="Arial" w:eastAsia="Arial" w:cs="Arial"/>
          <w:sz w:val="24"/>
          <w:szCs w:val="24"/>
        </w:rPr>
      </w:pPr>
      <w:r w:rsidRPr="753D09A8" w:rsidR="14ACDC6F">
        <w:rPr>
          <w:rFonts w:ascii="Arial" w:hAnsi="Arial" w:eastAsia="Arial" w:cs="Arial"/>
          <w:sz w:val="24"/>
          <w:szCs w:val="24"/>
        </w:rPr>
        <w:t xml:space="preserve"> </w:t>
      </w:r>
    </w:p>
    <w:p w:rsidR="14ACDC6F" w:rsidP="49CCF617" w:rsidRDefault="14ACDC6F" w14:paraId="16016E05" w14:textId="2A8F46B9">
      <w:pPr>
        <w:pStyle w:val="Normal"/>
        <w:spacing w:before="0" w:beforeAutospacing="off" w:after="0" w:afterAutospacing="off" w:line="360" w:lineRule="auto"/>
        <w:jc w:val="left"/>
        <w:rPr>
          <w:rFonts w:ascii="Arial" w:hAnsi="Arial" w:eastAsia="Arial" w:cs="Arial"/>
          <w:sz w:val="24"/>
          <w:szCs w:val="24"/>
        </w:rPr>
      </w:pPr>
      <w:r w:rsidRPr="37B85A59" w:rsidR="1BAC64F3">
        <w:rPr>
          <w:rFonts w:ascii="Arial" w:hAnsi="Arial" w:eastAsia="Arial" w:cs="Arial"/>
          <w:sz w:val="24"/>
          <w:szCs w:val="24"/>
        </w:rPr>
        <w:t xml:space="preserve">Holmes (2014b), Attachment </w:t>
      </w:r>
      <w:r w:rsidRPr="37B85A59" w:rsidR="1BAC64F3">
        <w:rPr>
          <w:rFonts w:ascii="Arial" w:hAnsi="Arial" w:eastAsia="Arial" w:cs="Arial"/>
          <w:sz w:val="24"/>
          <w:szCs w:val="24"/>
        </w:rPr>
        <w:t>Theory</w:t>
      </w:r>
      <w:r w:rsidRPr="37B85A59" w:rsidR="1BAC64F3">
        <w:rPr>
          <w:rFonts w:ascii="Arial" w:hAnsi="Arial" w:eastAsia="Arial" w:cs="Arial"/>
          <w:sz w:val="24"/>
          <w:szCs w:val="24"/>
        </w:rPr>
        <w:t xml:space="preserve"> and personality development: The research evidence, In Holmes, J. (2014). </w:t>
      </w:r>
      <w:r w:rsidRPr="37B85A59" w:rsidR="1BAC64F3">
        <w:rPr>
          <w:rFonts w:ascii="Arial" w:hAnsi="Arial" w:eastAsia="Arial" w:cs="Arial"/>
          <w:i w:val="1"/>
          <w:iCs w:val="1"/>
          <w:sz w:val="24"/>
          <w:szCs w:val="24"/>
        </w:rPr>
        <w:t>John Bowlby and attachment theory (2nd ed.)</w:t>
      </w:r>
      <w:r w:rsidRPr="37B85A59" w:rsidR="1BAC64F3">
        <w:rPr>
          <w:rFonts w:ascii="Arial" w:hAnsi="Arial" w:eastAsia="Arial" w:cs="Arial"/>
          <w:sz w:val="24"/>
          <w:szCs w:val="24"/>
        </w:rPr>
        <w:t>. 85-110. Routledge, Taylor &amp; Francis Group.</w:t>
      </w:r>
    </w:p>
    <w:p w:rsidR="786450B4" w:rsidP="786450B4" w:rsidRDefault="786450B4" w14:paraId="48E81AA2" w14:textId="388EDF13">
      <w:pPr>
        <w:pStyle w:val="Normal"/>
        <w:spacing w:before="0" w:beforeAutospacing="off" w:after="0" w:afterAutospacing="off" w:line="360" w:lineRule="auto"/>
        <w:jc w:val="left"/>
        <w:rPr>
          <w:rFonts w:ascii="Arial" w:hAnsi="Arial" w:eastAsia="Arial" w:cs="Arial"/>
          <w:sz w:val="24"/>
          <w:szCs w:val="24"/>
        </w:rPr>
      </w:pPr>
    </w:p>
    <w:p w:rsidR="183BD11F" w:rsidP="786450B4" w:rsidRDefault="183BD11F" w14:paraId="57CE72A3" w14:textId="07900D96">
      <w:pPr>
        <w:pStyle w:val="Normal"/>
        <w:spacing w:before="0" w:beforeAutospacing="off" w:after="0" w:afterAutospacing="off" w:line="360" w:lineRule="auto"/>
        <w:jc w:val="left"/>
        <w:rPr>
          <w:rFonts w:ascii="Arial" w:hAnsi="Arial" w:eastAsia="Arial" w:cs="Arial"/>
          <w:sz w:val="24"/>
          <w:szCs w:val="24"/>
        </w:rPr>
      </w:pPr>
      <w:r w:rsidRPr="37B85A59" w:rsidR="183BD11F">
        <w:rPr>
          <w:rFonts w:ascii="Arial" w:hAnsi="Arial" w:eastAsia="Arial" w:cs="Arial"/>
          <w:sz w:val="24"/>
          <w:szCs w:val="24"/>
        </w:rPr>
        <w:t xml:space="preserve">John-Baptiste Bastien, R., Jongsma, H. E., </w:t>
      </w:r>
      <w:r w:rsidRPr="37B85A59" w:rsidR="183BD11F">
        <w:rPr>
          <w:rFonts w:ascii="Arial" w:hAnsi="Arial" w:eastAsia="Arial" w:cs="Arial"/>
          <w:sz w:val="24"/>
          <w:szCs w:val="24"/>
        </w:rPr>
        <w:t>Kabadayi</w:t>
      </w:r>
      <w:r w:rsidRPr="37B85A59" w:rsidR="183BD11F">
        <w:rPr>
          <w:rFonts w:ascii="Arial" w:hAnsi="Arial" w:eastAsia="Arial" w:cs="Arial"/>
          <w:sz w:val="24"/>
          <w:szCs w:val="24"/>
        </w:rPr>
        <w:t xml:space="preserve">, M., &amp; Billings, J. (2020). The effectiveness of psychological interventions for post-traumatic stress disorder in children, </w:t>
      </w:r>
      <w:r w:rsidRPr="37B85A59" w:rsidR="183BD11F">
        <w:rPr>
          <w:rFonts w:ascii="Arial" w:hAnsi="Arial" w:eastAsia="Arial" w:cs="Arial"/>
          <w:sz w:val="24"/>
          <w:szCs w:val="24"/>
        </w:rPr>
        <w:t>adolescents</w:t>
      </w:r>
      <w:r w:rsidRPr="37B85A59" w:rsidR="183BD11F">
        <w:rPr>
          <w:rFonts w:ascii="Arial" w:hAnsi="Arial" w:eastAsia="Arial" w:cs="Arial"/>
          <w:sz w:val="24"/>
          <w:szCs w:val="24"/>
        </w:rPr>
        <w:t xml:space="preserve"> and young adults: a systematic review and meta-analysis. </w:t>
      </w:r>
      <w:r w:rsidRPr="37B85A59" w:rsidR="183BD11F">
        <w:rPr>
          <w:rFonts w:ascii="Arial" w:hAnsi="Arial" w:eastAsia="Arial" w:cs="Arial"/>
          <w:i w:val="1"/>
          <w:iCs w:val="1"/>
          <w:sz w:val="24"/>
          <w:szCs w:val="24"/>
        </w:rPr>
        <w:t>Psychological Medicine, 50(10)</w:t>
      </w:r>
      <w:r w:rsidRPr="37B85A59" w:rsidR="183BD11F">
        <w:rPr>
          <w:rFonts w:ascii="Arial" w:hAnsi="Arial" w:eastAsia="Arial" w:cs="Arial"/>
          <w:sz w:val="24"/>
          <w:szCs w:val="24"/>
        </w:rPr>
        <w:t xml:space="preserve">, 1598–1612. </w:t>
      </w:r>
      <w:hyperlink r:id="R161cca6a07574f32">
        <w:r w:rsidRPr="37B85A59" w:rsidR="183BD11F">
          <w:rPr>
            <w:rStyle w:val="Hyperlink"/>
            <w:rFonts w:ascii="Arial" w:hAnsi="Arial" w:eastAsia="Arial" w:cs="Arial"/>
            <w:sz w:val="24"/>
            <w:szCs w:val="24"/>
          </w:rPr>
          <w:t>https://doi.org/10.1017/S0033291720002007</w:t>
        </w:r>
      </w:hyperlink>
      <w:r w:rsidRPr="37B85A59" w:rsidR="183BD11F">
        <w:rPr>
          <w:rFonts w:ascii="Arial" w:hAnsi="Arial" w:eastAsia="Arial" w:cs="Arial"/>
          <w:sz w:val="24"/>
          <w:szCs w:val="24"/>
        </w:rPr>
        <w:t xml:space="preserve"> </w:t>
      </w:r>
    </w:p>
    <w:p w:rsidR="786450B4" w:rsidP="786450B4" w:rsidRDefault="786450B4" w14:paraId="62200F44" w14:textId="6730E522">
      <w:pPr>
        <w:pStyle w:val="Normal"/>
        <w:spacing w:before="0" w:beforeAutospacing="off" w:after="0" w:afterAutospacing="off" w:line="360" w:lineRule="auto"/>
        <w:jc w:val="left"/>
        <w:rPr>
          <w:rFonts w:ascii="Arial" w:hAnsi="Arial" w:eastAsia="Arial" w:cs="Arial"/>
          <w:sz w:val="24"/>
          <w:szCs w:val="24"/>
        </w:rPr>
      </w:pPr>
    </w:p>
    <w:p w:rsidR="71220FC5" w:rsidP="786450B4" w:rsidRDefault="71220FC5" w14:paraId="7D80B0A7" w14:textId="4F5E159B">
      <w:pPr>
        <w:pStyle w:val="Normal"/>
        <w:spacing w:before="0" w:beforeAutospacing="off" w:after="0" w:afterAutospacing="off" w:line="360" w:lineRule="auto"/>
        <w:jc w:val="left"/>
        <w:rPr>
          <w:rFonts w:ascii="Arial" w:hAnsi="Arial" w:eastAsia="Arial" w:cs="Arial"/>
          <w:sz w:val="24"/>
          <w:szCs w:val="24"/>
        </w:rPr>
      </w:pPr>
      <w:r w:rsidRPr="37B85A59" w:rsidR="71220FC5">
        <w:rPr>
          <w:rFonts w:ascii="Arial" w:hAnsi="Arial" w:eastAsia="Arial" w:cs="Arial"/>
          <w:sz w:val="24"/>
          <w:szCs w:val="24"/>
        </w:rPr>
        <w:t xml:space="preserve">Palfrey, N., Ryan, R., &amp; Reay, R. E. (2023). Implementation of Trauma-specific Interventions in a Child and Adolescent Mental Health Service. </w:t>
      </w:r>
      <w:r w:rsidRPr="37B85A59" w:rsidR="71220FC5">
        <w:rPr>
          <w:rFonts w:ascii="Arial" w:hAnsi="Arial" w:eastAsia="Arial" w:cs="Arial"/>
          <w:i w:val="1"/>
          <w:iCs w:val="1"/>
          <w:sz w:val="24"/>
          <w:szCs w:val="24"/>
        </w:rPr>
        <w:t>Journal of Child and Family Studies, 32(6),</w:t>
      </w:r>
      <w:r w:rsidRPr="37B85A59" w:rsidR="71220FC5">
        <w:rPr>
          <w:rFonts w:ascii="Arial" w:hAnsi="Arial" w:eastAsia="Arial" w:cs="Arial"/>
          <w:sz w:val="24"/>
          <w:szCs w:val="24"/>
        </w:rPr>
        <w:t xml:space="preserve"> 1722–1735. </w:t>
      </w:r>
      <w:hyperlink r:id="Rff517303405b47d4">
        <w:r w:rsidRPr="37B85A59" w:rsidR="71220FC5">
          <w:rPr>
            <w:rStyle w:val="Hyperlink"/>
            <w:rFonts w:ascii="Arial" w:hAnsi="Arial" w:eastAsia="Arial" w:cs="Arial"/>
            <w:sz w:val="24"/>
            <w:szCs w:val="24"/>
          </w:rPr>
          <w:t>https://doi.org/10.1007/s10826-022-02467-y</w:t>
        </w:r>
      </w:hyperlink>
      <w:r w:rsidRPr="37B85A59" w:rsidR="71220FC5">
        <w:rPr>
          <w:rFonts w:ascii="Arial" w:hAnsi="Arial" w:eastAsia="Arial" w:cs="Arial"/>
          <w:sz w:val="24"/>
          <w:szCs w:val="24"/>
        </w:rPr>
        <w:t xml:space="preserve"> </w:t>
      </w:r>
    </w:p>
    <w:p w:rsidR="78A0974C" w:rsidP="78A0974C" w:rsidRDefault="78A0974C" w14:paraId="0A67B673" w14:textId="113B0A65">
      <w:pPr>
        <w:pStyle w:val="Normal"/>
        <w:spacing w:before="0" w:beforeAutospacing="off" w:after="0" w:afterAutospacing="off" w:line="360" w:lineRule="auto"/>
        <w:jc w:val="left"/>
        <w:rPr>
          <w:rFonts w:ascii="Arial" w:hAnsi="Arial" w:eastAsia="Arial" w:cs="Arial"/>
          <w:sz w:val="24"/>
          <w:szCs w:val="24"/>
        </w:rPr>
      </w:pPr>
    </w:p>
    <w:p w:rsidR="41AC7CD5" w:rsidP="78A0974C" w:rsidRDefault="41AC7CD5" w14:paraId="1CF9EA1E" w14:textId="3C7CE0C6">
      <w:pPr>
        <w:pStyle w:val="Normal"/>
        <w:spacing w:before="0" w:beforeAutospacing="off" w:after="0" w:afterAutospacing="off" w:line="360" w:lineRule="auto"/>
        <w:jc w:val="left"/>
        <w:rPr>
          <w:rFonts w:ascii="Arial" w:hAnsi="Arial" w:eastAsia="Arial" w:cs="Arial"/>
          <w:sz w:val="24"/>
          <w:szCs w:val="24"/>
        </w:rPr>
      </w:pPr>
      <w:r w:rsidRPr="37B85A59" w:rsidR="41AC7CD5">
        <w:rPr>
          <w:rFonts w:ascii="Arial" w:hAnsi="Arial" w:eastAsia="Arial" w:cs="Arial"/>
          <w:sz w:val="24"/>
          <w:szCs w:val="24"/>
        </w:rPr>
        <w:t xml:space="preserve">Spilt, J. L., Borremans, L. F. N., </w:t>
      </w:r>
      <w:r w:rsidRPr="37B85A59" w:rsidR="41AC7CD5">
        <w:rPr>
          <w:rFonts w:ascii="Arial" w:hAnsi="Arial" w:eastAsia="Arial" w:cs="Arial"/>
          <w:sz w:val="24"/>
          <w:szCs w:val="24"/>
        </w:rPr>
        <w:t>Dieusaert</w:t>
      </w:r>
      <w:r w:rsidRPr="37B85A59" w:rsidR="41AC7CD5">
        <w:rPr>
          <w:rFonts w:ascii="Arial" w:hAnsi="Arial" w:eastAsia="Arial" w:cs="Arial"/>
          <w:sz w:val="24"/>
          <w:szCs w:val="24"/>
        </w:rPr>
        <w:t xml:space="preserve">, F., &amp; </w:t>
      </w:r>
      <w:r w:rsidRPr="37B85A59" w:rsidR="41AC7CD5">
        <w:rPr>
          <w:rFonts w:ascii="Arial" w:hAnsi="Arial" w:eastAsia="Arial" w:cs="Arial"/>
          <w:sz w:val="24"/>
          <w:szCs w:val="24"/>
        </w:rPr>
        <w:t>Vancraeyveldt</w:t>
      </w:r>
      <w:r w:rsidRPr="37B85A59" w:rsidR="41AC7CD5">
        <w:rPr>
          <w:rFonts w:ascii="Arial" w:hAnsi="Arial" w:eastAsia="Arial" w:cs="Arial"/>
          <w:sz w:val="24"/>
          <w:szCs w:val="24"/>
        </w:rPr>
        <w:t xml:space="preserve">, C. (2025). An Attachment Perspective on Dyadic Teacher-Child Relationships: Implications for Effective Practice in Early Childhood Education. </w:t>
      </w:r>
      <w:r w:rsidRPr="37B85A59" w:rsidR="41AC7CD5">
        <w:rPr>
          <w:rFonts w:ascii="Arial" w:hAnsi="Arial" w:eastAsia="Arial" w:cs="Arial"/>
          <w:i w:val="1"/>
          <w:iCs w:val="1"/>
          <w:sz w:val="24"/>
          <w:szCs w:val="24"/>
        </w:rPr>
        <w:t>Early Childhood Education Journal, 53(8),</w:t>
      </w:r>
      <w:r w:rsidRPr="37B85A59" w:rsidR="41AC7CD5">
        <w:rPr>
          <w:rFonts w:ascii="Arial" w:hAnsi="Arial" w:eastAsia="Arial" w:cs="Arial"/>
          <w:sz w:val="24"/>
          <w:szCs w:val="24"/>
        </w:rPr>
        <w:t xml:space="preserve"> 2961–2971. </w:t>
      </w:r>
      <w:hyperlink r:id="R35358918d4ed4867">
        <w:r w:rsidRPr="37B85A59" w:rsidR="41AC7CD5">
          <w:rPr>
            <w:rStyle w:val="Hyperlink"/>
            <w:rFonts w:ascii="Arial" w:hAnsi="Arial" w:eastAsia="Arial" w:cs="Arial"/>
            <w:sz w:val="24"/>
            <w:szCs w:val="24"/>
          </w:rPr>
          <w:t>https://doi.org/10.1007/s10643-025-01874-2</w:t>
        </w:r>
      </w:hyperlink>
      <w:r w:rsidRPr="37B85A59" w:rsidR="41AC7CD5">
        <w:rPr>
          <w:rFonts w:ascii="Arial" w:hAnsi="Arial" w:eastAsia="Arial" w:cs="Arial"/>
          <w:sz w:val="24"/>
          <w:szCs w:val="24"/>
        </w:rPr>
        <w:t xml:space="preserve"> </w:t>
      </w:r>
    </w:p>
    <w:p w:rsidR="64EBD032" w:rsidP="64EBD032" w:rsidRDefault="64EBD032" w14:paraId="1289C8CD" w14:textId="74E19821">
      <w:pPr>
        <w:pStyle w:val="Normal"/>
        <w:spacing w:before="0" w:beforeAutospacing="off" w:after="0" w:afterAutospacing="off" w:line="360" w:lineRule="auto"/>
        <w:jc w:val="left"/>
        <w:rPr>
          <w:rFonts w:ascii="Arial" w:hAnsi="Arial" w:eastAsia="Arial" w:cs="Arial"/>
          <w:sz w:val="24"/>
          <w:szCs w:val="24"/>
        </w:rPr>
      </w:pPr>
    </w:p>
    <w:p w:rsidR="10F48861" w:rsidP="64EBD032" w:rsidRDefault="10F48861" w14:paraId="673BFC99" w14:textId="771E646F">
      <w:pPr>
        <w:pStyle w:val="Normal"/>
        <w:spacing w:before="0" w:beforeAutospacing="off" w:after="0" w:afterAutospacing="off" w:line="360" w:lineRule="auto"/>
        <w:jc w:val="left"/>
        <w:rPr>
          <w:rFonts w:ascii="Arial" w:hAnsi="Arial" w:eastAsia="Arial" w:cs="Arial"/>
          <w:sz w:val="24"/>
          <w:szCs w:val="24"/>
        </w:rPr>
      </w:pPr>
      <w:r w:rsidRPr="37B85A59" w:rsidR="10F48861">
        <w:rPr>
          <w:rFonts w:ascii="Arial" w:hAnsi="Arial" w:eastAsia="Arial" w:cs="Arial"/>
          <w:sz w:val="24"/>
          <w:szCs w:val="24"/>
        </w:rPr>
        <w:t xml:space="preserve">Thompson (2021), Piaget’s stages of cognitive development and Erikson’s stages of psychosocial development. In Laver-Bradbury, C., Thompson, </w:t>
      </w:r>
      <w:r w:rsidRPr="37B85A59" w:rsidR="10F48861">
        <w:rPr>
          <w:rFonts w:ascii="Arial" w:hAnsi="Arial" w:eastAsia="Arial" w:cs="Arial"/>
          <w:sz w:val="24"/>
          <w:szCs w:val="24"/>
        </w:rPr>
        <w:t>M. J</w:t>
      </w:r>
      <w:r w:rsidRPr="37B85A59" w:rsidR="10F48861">
        <w:rPr>
          <w:rFonts w:ascii="Arial" w:hAnsi="Arial" w:eastAsia="Arial" w:cs="Arial"/>
          <w:sz w:val="24"/>
          <w:szCs w:val="24"/>
        </w:rPr>
        <w:t xml:space="preserve">. J., Gale, C., Hooper, C. M. (Ed.), (2021). </w:t>
      </w:r>
      <w:r w:rsidRPr="37B85A59" w:rsidR="10F48861">
        <w:rPr>
          <w:rFonts w:ascii="Arial" w:hAnsi="Arial" w:eastAsia="Arial" w:cs="Arial"/>
          <w:i w:val="1"/>
          <w:iCs w:val="1"/>
          <w:sz w:val="24"/>
          <w:szCs w:val="24"/>
        </w:rPr>
        <w:t>Child and adolescent mental health: theory and practice (3rd ed.)</w:t>
      </w:r>
      <w:r w:rsidRPr="37B85A59" w:rsidR="10F48861">
        <w:rPr>
          <w:rFonts w:ascii="Arial" w:hAnsi="Arial" w:eastAsia="Arial" w:cs="Arial"/>
          <w:sz w:val="24"/>
          <w:szCs w:val="24"/>
        </w:rPr>
        <w:t xml:space="preserve">. 55-59. Routledge. </w:t>
      </w:r>
    </w:p>
    <w:p w:rsidR="49CCF617" w:rsidP="49CCF617" w:rsidRDefault="49CCF617" w14:paraId="2F2B1810" w14:textId="630D83B7">
      <w:pPr>
        <w:pStyle w:val="Normal"/>
        <w:spacing w:before="0" w:beforeAutospacing="off" w:after="0" w:afterAutospacing="off" w:line="360" w:lineRule="auto"/>
        <w:jc w:val="left"/>
        <w:rPr>
          <w:rFonts w:ascii="Arial" w:hAnsi="Arial" w:eastAsia="Arial" w:cs="Arial"/>
          <w:sz w:val="24"/>
          <w:szCs w:val="24"/>
        </w:rPr>
      </w:pPr>
    </w:p>
    <w:p w:rsidR="78A0974C" w:rsidP="37B85A59" w:rsidRDefault="78A0974C" w14:paraId="0677A6A3" w14:textId="62A5CE5A">
      <w:pPr>
        <w:pStyle w:val="Normal"/>
        <w:spacing w:before="0" w:beforeAutospacing="off" w:after="0" w:afterAutospacing="off" w:line="360" w:lineRule="auto"/>
        <w:contextualSpacing w:val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ae9ca1efd9ce47c1"/>
      <w:footerReference w:type="default" r:id="R1d094e2e0d3940e3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12DC0C06" w:rsidTr="753D09A8" w14:paraId="00D1806E">
      <w:trPr>
        <w:trHeight w:val="300"/>
      </w:trPr>
      <w:tc>
        <w:tcPr>
          <w:tcW w:w="3120" w:type="dxa"/>
          <w:tcMar/>
        </w:tcPr>
        <w:p w:rsidR="12DC0C06" w:rsidP="12DC0C06" w:rsidRDefault="12DC0C06" w14:paraId="1A90F557" w14:textId="0A080021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12DC0C06" w:rsidP="12DC0C06" w:rsidRDefault="12DC0C06" w14:paraId="7959C394" w14:textId="40EE4802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12DC0C06" w:rsidP="12DC0C06" w:rsidRDefault="12DC0C06" w14:paraId="61E81379" w14:textId="327CDA9D">
          <w:pPr>
            <w:pStyle w:val="Header"/>
            <w:bidi w:val="0"/>
            <w:ind w:right="-115"/>
            <w:jc w:val="right"/>
          </w:pPr>
        </w:p>
      </w:tc>
    </w:tr>
  </w:tbl>
  <w:p w:rsidR="12DC0C06" w:rsidP="12DC0C06" w:rsidRDefault="12DC0C06" w14:paraId="44AE42C9" w14:textId="090617C0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p w:rsidR="12DC0C06" w:rsidP="12DC0C06" w:rsidRDefault="12DC0C06" w14:paraId="6BFCA752" w14:textId="63C15488">
    <w:pPr>
      <w:spacing w:after="0" w:afterAutospacing="off"/>
      <w:jc w:val="both"/>
      <w:rPr>
        <w:rFonts w:ascii="Arial" w:hAnsi="Arial" w:eastAsia="Arial" w:cs="Arial"/>
        <w:sz w:val="24"/>
        <w:szCs w:val="24"/>
      </w:rPr>
    </w:pPr>
    <w:r w:rsidRPr="753D09A8" w:rsidR="753D09A8">
      <w:rPr>
        <w:rFonts w:ascii="Arial" w:hAnsi="Arial" w:eastAsia="Arial" w:cs="Arial"/>
        <w:sz w:val="24"/>
        <w:szCs w:val="24"/>
      </w:rPr>
      <w:t>ECCY7007 - Understanding Trauma and the Mental Health Needs of the Child</w:t>
    </w:r>
  </w:p>
  <w:p w:rsidR="12DC0C06" w:rsidP="12DC0C06" w:rsidRDefault="12DC0C06" w14:paraId="434CA1D7" w14:textId="45F8CBFB">
    <w:pPr>
      <w:spacing w:after="0" w:afterAutospacing="off"/>
      <w:jc w:val="both"/>
      <w:rPr>
        <w:rFonts w:ascii="Arial" w:hAnsi="Arial" w:eastAsia="Arial" w:cs="Arial"/>
      </w:rPr>
    </w:pPr>
    <w:r w:rsidRPr="753D09A8" w:rsidR="753D09A8">
      <w:rPr>
        <w:rFonts w:ascii="Arial" w:hAnsi="Arial" w:eastAsia="Arial" w:cs="Arial"/>
      </w:rPr>
      <w:t>Assignment 1</w:t>
    </w:r>
  </w:p>
  <w:p w:rsidR="12DC0C06" w:rsidP="12DC0C06" w:rsidRDefault="12DC0C06" w14:paraId="66AFE8E6" w14:textId="75364F07">
    <w:pPr>
      <w:spacing w:after="0" w:afterAutospacing="off"/>
      <w:jc w:val="both"/>
      <w:rPr>
        <w:rFonts w:ascii="Arial" w:hAnsi="Arial" w:eastAsia="Arial" w:cs="Arial"/>
      </w:rPr>
    </w:pPr>
  </w:p>
</w:hdr>
</file>

<file path=word/intelligence2.xml><?xml version="1.0" encoding="utf-8"?>
<int2:intelligence xmlns:int2="http://schemas.microsoft.com/office/intelligence/2020/intelligence">
  <int2:observations>
    <int2:textHash int2:hashCode="fgnHXFZHmenxBl" int2:id="AULzhOOJ">
      <int2:state int2:type="spell" int2:value="Rejected"/>
    </int2:textHash>
    <int2:bookmark int2:bookmarkName="_Int_lD1Esjp1" int2:invalidationBookmarkName="" int2:hashCode="PQsXzwFoUSEKD9" int2:id="zieDpd0h">
      <int2:state int2:type="spell" int2:value="Rejected"/>
    </int2:bookmark>
    <int2:bookmark int2:bookmarkName="_Int_jopDzFOT" int2:invalidationBookmarkName="" int2:hashCode="JMPeYTX1dzZHoX" int2:id="WK3ykQwB">
      <int2:state int2:type="spell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4">
    <w:nsid w:val="74dab7ab"/>
    <w:multiLevelType xmlns:w="http://schemas.openxmlformats.org/wordprocessingml/2006/main" w:val="hybridMultilevel"/>
    <w:lvl xmlns:w="http://schemas.openxmlformats.org/wordprocessingml/2006/main" w:ilvl="0">
      <w:start w:val="2"/>
      <w:numFmt w:val="decimal"/>
      <w:lvlText w:val="%1."/>
      <w:lvlJc w:val="left"/>
      <w:pPr>
        <w:ind w:left="720" w:hanging="360"/>
      </w:pPr>
      <w:rPr>
        <w:rFonts w:hint="default" w:ascii="Arial" w:hAnsi="Arial"/>
      </w:r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61ab524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fd5ec39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  <w:rPr>
        <w:rFonts w:hint="default" w:ascii="Arial" w:hAnsi="Arial"/>
      </w:r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545f659f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  <w:rPr>
        <w:rFonts w:hint="default" w:ascii="Arial" w:hAnsi="Arial"/>
      </w:r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8043EE9"/>
    <w:rsid w:val="001D941C"/>
    <w:rsid w:val="006A0616"/>
    <w:rsid w:val="007DF10A"/>
    <w:rsid w:val="00838E3A"/>
    <w:rsid w:val="008674EB"/>
    <w:rsid w:val="00918E7E"/>
    <w:rsid w:val="009F5064"/>
    <w:rsid w:val="00E57CBD"/>
    <w:rsid w:val="00F30C27"/>
    <w:rsid w:val="0104CC33"/>
    <w:rsid w:val="0109F670"/>
    <w:rsid w:val="011C3949"/>
    <w:rsid w:val="0120F011"/>
    <w:rsid w:val="01396E9A"/>
    <w:rsid w:val="014E4DD7"/>
    <w:rsid w:val="0157ECF1"/>
    <w:rsid w:val="015DA71B"/>
    <w:rsid w:val="016906FB"/>
    <w:rsid w:val="017C0139"/>
    <w:rsid w:val="01A9507B"/>
    <w:rsid w:val="01CFF412"/>
    <w:rsid w:val="01E46EE7"/>
    <w:rsid w:val="01FE3DFD"/>
    <w:rsid w:val="023B6E4C"/>
    <w:rsid w:val="02475DF2"/>
    <w:rsid w:val="02495133"/>
    <w:rsid w:val="026434E8"/>
    <w:rsid w:val="02661D30"/>
    <w:rsid w:val="026F39BA"/>
    <w:rsid w:val="02737026"/>
    <w:rsid w:val="02739EB4"/>
    <w:rsid w:val="0278BC5E"/>
    <w:rsid w:val="027E5B42"/>
    <w:rsid w:val="02884CA3"/>
    <w:rsid w:val="02B5D1D0"/>
    <w:rsid w:val="02D0CC52"/>
    <w:rsid w:val="02E0DAAF"/>
    <w:rsid w:val="02E1F8D1"/>
    <w:rsid w:val="02EAB360"/>
    <w:rsid w:val="02EB88FA"/>
    <w:rsid w:val="02EE56CC"/>
    <w:rsid w:val="02F361F6"/>
    <w:rsid w:val="0307CDAE"/>
    <w:rsid w:val="030B780C"/>
    <w:rsid w:val="03147E43"/>
    <w:rsid w:val="03147F81"/>
    <w:rsid w:val="032AEF90"/>
    <w:rsid w:val="0333FD32"/>
    <w:rsid w:val="034F9E1F"/>
    <w:rsid w:val="0357B7CE"/>
    <w:rsid w:val="036E7FCB"/>
    <w:rsid w:val="0373E214"/>
    <w:rsid w:val="03B4A86F"/>
    <w:rsid w:val="03BC7448"/>
    <w:rsid w:val="03D5FC68"/>
    <w:rsid w:val="0428C3AB"/>
    <w:rsid w:val="043A9931"/>
    <w:rsid w:val="044E698C"/>
    <w:rsid w:val="04757B94"/>
    <w:rsid w:val="047F5B34"/>
    <w:rsid w:val="0482E6C5"/>
    <w:rsid w:val="0495F57C"/>
    <w:rsid w:val="049BA13C"/>
    <w:rsid w:val="04A5309C"/>
    <w:rsid w:val="04C2AFC7"/>
    <w:rsid w:val="04C8989D"/>
    <w:rsid w:val="04CB2AE1"/>
    <w:rsid w:val="04D465BA"/>
    <w:rsid w:val="05141AFA"/>
    <w:rsid w:val="051FBA88"/>
    <w:rsid w:val="0598F6E8"/>
    <w:rsid w:val="059DF741"/>
    <w:rsid w:val="059ED1A3"/>
    <w:rsid w:val="05A52921"/>
    <w:rsid w:val="05B34DA9"/>
    <w:rsid w:val="05CE04D0"/>
    <w:rsid w:val="05D8937D"/>
    <w:rsid w:val="05D9E370"/>
    <w:rsid w:val="05F73EA8"/>
    <w:rsid w:val="05FBD2A3"/>
    <w:rsid w:val="05FCD9B8"/>
    <w:rsid w:val="06030490"/>
    <w:rsid w:val="06534BF7"/>
    <w:rsid w:val="0653C3BF"/>
    <w:rsid w:val="067E0C00"/>
    <w:rsid w:val="06B2E482"/>
    <w:rsid w:val="06C2E7B5"/>
    <w:rsid w:val="06DCA187"/>
    <w:rsid w:val="06E150E4"/>
    <w:rsid w:val="06EB5E6B"/>
    <w:rsid w:val="06FAD77F"/>
    <w:rsid w:val="0701773A"/>
    <w:rsid w:val="07276D59"/>
    <w:rsid w:val="073B03E9"/>
    <w:rsid w:val="073D972A"/>
    <w:rsid w:val="07580DE1"/>
    <w:rsid w:val="075E20A9"/>
    <w:rsid w:val="078824B9"/>
    <w:rsid w:val="078CD8FD"/>
    <w:rsid w:val="07D3BC23"/>
    <w:rsid w:val="07E01E1D"/>
    <w:rsid w:val="07E3871D"/>
    <w:rsid w:val="07E67308"/>
    <w:rsid w:val="082CAD5A"/>
    <w:rsid w:val="08337744"/>
    <w:rsid w:val="0849CBFA"/>
    <w:rsid w:val="084DA490"/>
    <w:rsid w:val="084F82DC"/>
    <w:rsid w:val="087A2830"/>
    <w:rsid w:val="089D7297"/>
    <w:rsid w:val="08A10C89"/>
    <w:rsid w:val="08A353CD"/>
    <w:rsid w:val="08C36A13"/>
    <w:rsid w:val="08CC56B0"/>
    <w:rsid w:val="08CF49E6"/>
    <w:rsid w:val="0908CBC9"/>
    <w:rsid w:val="0925265C"/>
    <w:rsid w:val="0956B175"/>
    <w:rsid w:val="0979C778"/>
    <w:rsid w:val="09970A3F"/>
    <w:rsid w:val="09B4E7A1"/>
    <w:rsid w:val="09BA6816"/>
    <w:rsid w:val="09D81FDC"/>
    <w:rsid w:val="09DC5093"/>
    <w:rsid w:val="09F78E7E"/>
    <w:rsid w:val="0A0A1CDF"/>
    <w:rsid w:val="0A13175B"/>
    <w:rsid w:val="0A13BF83"/>
    <w:rsid w:val="0A18FFCF"/>
    <w:rsid w:val="0A2D2BDE"/>
    <w:rsid w:val="0A2E5F73"/>
    <w:rsid w:val="0A4B9F35"/>
    <w:rsid w:val="0A51249A"/>
    <w:rsid w:val="0A873E59"/>
    <w:rsid w:val="0A9CCB49"/>
    <w:rsid w:val="0AA61C57"/>
    <w:rsid w:val="0AB3185B"/>
    <w:rsid w:val="0AD161AD"/>
    <w:rsid w:val="0AD5A491"/>
    <w:rsid w:val="0ADD0C6B"/>
    <w:rsid w:val="0AE14B35"/>
    <w:rsid w:val="0AF712EC"/>
    <w:rsid w:val="0AFAA26C"/>
    <w:rsid w:val="0B074CEA"/>
    <w:rsid w:val="0B0D1C04"/>
    <w:rsid w:val="0B0F90B7"/>
    <w:rsid w:val="0B2307E5"/>
    <w:rsid w:val="0B2903B8"/>
    <w:rsid w:val="0B5BACD0"/>
    <w:rsid w:val="0B718BD9"/>
    <w:rsid w:val="0BA5F5A3"/>
    <w:rsid w:val="0BA64AFF"/>
    <w:rsid w:val="0BD73F1D"/>
    <w:rsid w:val="0BD8F6DD"/>
    <w:rsid w:val="0BEA4B5C"/>
    <w:rsid w:val="0BEC61B2"/>
    <w:rsid w:val="0C03B90D"/>
    <w:rsid w:val="0C06672F"/>
    <w:rsid w:val="0C0B8826"/>
    <w:rsid w:val="0C0BA231"/>
    <w:rsid w:val="0C111B95"/>
    <w:rsid w:val="0C144AB3"/>
    <w:rsid w:val="0C1E9A07"/>
    <w:rsid w:val="0C35D3F3"/>
    <w:rsid w:val="0C3D7D21"/>
    <w:rsid w:val="0C4EFDAB"/>
    <w:rsid w:val="0C529454"/>
    <w:rsid w:val="0C5E1D45"/>
    <w:rsid w:val="0C5FD210"/>
    <w:rsid w:val="0C62E7E3"/>
    <w:rsid w:val="0C6D9B59"/>
    <w:rsid w:val="0CA04B91"/>
    <w:rsid w:val="0CD7725B"/>
    <w:rsid w:val="0CF73A51"/>
    <w:rsid w:val="0CFEDECB"/>
    <w:rsid w:val="0D229687"/>
    <w:rsid w:val="0D42FEB6"/>
    <w:rsid w:val="0D47AEBB"/>
    <w:rsid w:val="0D4E0C9E"/>
    <w:rsid w:val="0D61F619"/>
    <w:rsid w:val="0D88C3C0"/>
    <w:rsid w:val="0D89C158"/>
    <w:rsid w:val="0D8A5F29"/>
    <w:rsid w:val="0D8BA544"/>
    <w:rsid w:val="0DA690AA"/>
    <w:rsid w:val="0DD5B3F9"/>
    <w:rsid w:val="0DE48106"/>
    <w:rsid w:val="0DEC4436"/>
    <w:rsid w:val="0E1EC045"/>
    <w:rsid w:val="0E428149"/>
    <w:rsid w:val="0E497DCB"/>
    <w:rsid w:val="0E534DAD"/>
    <w:rsid w:val="0E7E7763"/>
    <w:rsid w:val="0EA62E19"/>
    <w:rsid w:val="0EBB799C"/>
    <w:rsid w:val="0EC6B872"/>
    <w:rsid w:val="0EECE04B"/>
    <w:rsid w:val="0F31F262"/>
    <w:rsid w:val="0F3C68D2"/>
    <w:rsid w:val="0F3DDB30"/>
    <w:rsid w:val="0F4AC20B"/>
    <w:rsid w:val="0F5C3A61"/>
    <w:rsid w:val="0F63CBA3"/>
    <w:rsid w:val="0FAE5B3C"/>
    <w:rsid w:val="0FB0B727"/>
    <w:rsid w:val="0FB7C4A3"/>
    <w:rsid w:val="0FC37F01"/>
    <w:rsid w:val="0FD74E96"/>
    <w:rsid w:val="0FDB0529"/>
    <w:rsid w:val="0FDDE256"/>
    <w:rsid w:val="0FF18A99"/>
    <w:rsid w:val="1002E6DD"/>
    <w:rsid w:val="104FB53D"/>
    <w:rsid w:val="10795DE0"/>
    <w:rsid w:val="107B4884"/>
    <w:rsid w:val="10866C9A"/>
    <w:rsid w:val="10A1DD6F"/>
    <w:rsid w:val="10A89A88"/>
    <w:rsid w:val="10E2A5CA"/>
    <w:rsid w:val="10EA5CD1"/>
    <w:rsid w:val="10F48861"/>
    <w:rsid w:val="11049D25"/>
    <w:rsid w:val="1112E196"/>
    <w:rsid w:val="112408CC"/>
    <w:rsid w:val="1143AE8C"/>
    <w:rsid w:val="116824E6"/>
    <w:rsid w:val="1168B5ED"/>
    <w:rsid w:val="1190E362"/>
    <w:rsid w:val="11A14918"/>
    <w:rsid w:val="11C15182"/>
    <w:rsid w:val="11C528FE"/>
    <w:rsid w:val="11C73D6B"/>
    <w:rsid w:val="11D229B7"/>
    <w:rsid w:val="11EDDE63"/>
    <w:rsid w:val="120673DC"/>
    <w:rsid w:val="120D4301"/>
    <w:rsid w:val="121230F6"/>
    <w:rsid w:val="12476541"/>
    <w:rsid w:val="1247DFF8"/>
    <w:rsid w:val="1249532C"/>
    <w:rsid w:val="1292AB50"/>
    <w:rsid w:val="12A64545"/>
    <w:rsid w:val="12D24883"/>
    <w:rsid w:val="12D70745"/>
    <w:rsid w:val="12DC0C06"/>
    <w:rsid w:val="12E7DA24"/>
    <w:rsid w:val="12FA7905"/>
    <w:rsid w:val="1318795D"/>
    <w:rsid w:val="132A7FCF"/>
    <w:rsid w:val="13A250A9"/>
    <w:rsid w:val="13AD2DF6"/>
    <w:rsid w:val="13B45982"/>
    <w:rsid w:val="13BB0FD6"/>
    <w:rsid w:val="13BF7C6E"/>
    <w:rsid w:val="13C47ED4"/>
    <w:rsid w:val="13E9658B"/>
    <w:rsid w:val="1405FC45"/>
    <w:rsid w:val="140EE84F"/>
    <w:rsid w:val="1410D004"/>
    <w:rsid w:val="1429A695"/>
    <w:rsid w:val="143565CF"/>
    <w:rsid w:val="14382395"/>
    <w:rsid w:val="1445E124"/>
    <w:rsid w:val="1448AC6A"/>
    <w:rsid w:val="145D7607"/>
    <w:rsid w:val="14642239"/>
    <w:rsid w:val="14690DA5"/>
    <w:rsid w:val="1475A0CF"/>
    <w:rsid w:val="148D1072"/>
    <w:rsid w:val="14AC63CB"/>
    <w:rsid w:val="14ACDC6F"/>
    <w:rsid w:val="14DA697C"/>
    <w:rsid w:val="14E33480"/>
    <w:rsid w:val="14F5D561"/>
    <w:rsid w:val="14FAAC58"/>
    <w:rsid w:val="14FBD803"/>
    <w:rsid w:val="152280B7"/>
    <w:rsid w:val="1538946E"/>
    <w:rsid w:val="1540111C"/>
    <w:rsid w:val="1585F70B"/>
    <w:rsid w:val="158D3E84"/>
    <w:rsid w:val="15E4DA72"/>
    <w:rsid w:val="15EA7E0F"/>
    <w:rsid w:val="1607A11C"/>
    <w:rsid w:val="16137588"/>
    <w:rsid w:val="163CAFA1"/>
    <w:rsid w:val="163E5ECE"/>
    <w:rsid w:val="166944AC"/>
    <w:rsid w:val="168BF31A"/>
    <w:rsid w:val="16B4706F"/>
    <w:rsid w:val="16CE6E06"/>
    <w:rsid w:val="16FECE05"/>
    <w:rsid w:val="174CEE2A"/>
    <w:rsid w:val="177549FC"/>
    <w:rsid w:val="1775FB08"/>
    <w:rsid w:val="177AA37B"/>
    <w:rsid w:val="179B57D7"/>
    <w:rsid w:val="17A0E480"/>
    <w:rsid w:val="17A8BA01"/>
    <w:rsid w:val="17B2488D"/>
    <w:rsid w:val="17B514F6"/>
    <w:rsid w:val="17C31D76"/>
    <w:rsid w:val="17CA56BB"/>
    <w:rsid w:val="17D57DEF"/>
    <w:rsid w:val="17F9E30F"/>
    <w:rsid w:val="182068E0"/>
    <w:rsid w:val="18238019"/>
    <w:rsid w:val="1824C031"/>
    <w:rsid w:val="182BDEFF"/>
    <w:rsid w:val="182C0D5F"/>
    <w:rsid w:val="182EABAC"/>
    <w:rsid w:val="183461FE"/>
    <w:rsid w:val="183BD11F"/>
    <w:rsid w:val="1844BC94"/>
    <w:rsid w:val="18558354"/>
    <w:rsid w:val="1857B813"/>
    <w:rsid w:val="185AB3E5"/>
    <w:rsid w:val="18B6EBFE"/>
    <w:rsid w:val="18D9CF34"/>
    <w:rsid w:val="18E0502D"/>
    <w:rsid w:val="18F5421D"/>
    <w:rsid w:val="190A1B8E"/>
    <w:rsid w:val="190E90EA"/>
    <w:rsid w:val="19103D13"/>
    <w:rsid w:val="1971B0D4"/>
    <w:rsid w:val="198596AF"/>
    <w:rsid w:val="19BAB3CA"/>
    <w:rsid w:val="19C8F787"/>
    <w:rsid w:val="19D10285"/>
    <w:rsid w:val="19D28F72"/>
    <w:rsid w:val="19D917D7"/>
    <w:rsid w:val="19DCDB6D"/>
    <w:rsid w:val="19E53D68"/>
    <w:rsid w:val="19F19C22"/>
    <w:rsid w:val="1A101BD6"/>
    <w:rsid w:val="1A274583"/>
    <w:rsid w:val="1A27DA22"/>
    <w:rsid w:val="1A5DA171"/>
    <w:rsid w:val="1A5FC4E3"/>
    <w:rsid w:val="1A6E575F"/>
    <w:rsid w:val="1A82AB23"/>
    <w:rsid w:val="1A930491"/>
    <w:rsid w:val="1A941F51"/>
    <w:rsid w:val="1A9CA84D"/>
    <w:rsid w:val="1AA7C57D"/>
    <w:rsid w:val="1AAFEBEC"/>
    <w:rsid w:val="1AB0685B"/>
    <w:rsid w:val="1AB0DC6C"/>
    <w:rsid w:val="1AEC54C0"/>
    <w:rsid w:val="1B1D0523"/>
    <w:rsid w:val="1B2BB702"/>
    <w:rsid w:val="1B31D839"/>
    <w:rsid w:val="1B3D8FC5"/>
    <w:rsid w:val="1B3EBFE2"/>
    <w:rsid w:val="1B4150EF"/>
    <w:rsid w:val="1B5F0EE2"/>
    <w:rsid w:val="1B721760"/>
    <w:rsid w:val="1BAC64F3"/>
    <w:rsid w:val="1BB75803"/>
    <w:rsid w:val="1BE1C81B"/>
    <w:rsid w:val="1BE1D222"/>
    <w:rsid w:val="1BF282AD"/>
    <w:rsid w:val="1C086BA7"/>
    <w:rsid w:val="1C1D6616"/>
    <w:rsid w:val="1C80B910"/>
    <w:rsid w:val="1C9C7C67"/>
    <w:rsid w:val="1CBC702F"/>
    <w:rsid w:val="1CC33A9B"/>
    <w:rsid w:val="1CD36AC9"/>
    <w:rsid w:val="1CF85978"/>
    <w:rsid w:val="1D250875"/>
    <w:rsid w:val="1D32C468"/>
    <w:rsid w:val="1D33EADF"/>
    <w:rsid w:val="1D524176"/>
    <w:rsid w:val="1D530C92"/>
    <w:rsid w:val="1D55FD0D"/>
    <w:rsid w:val="1D895A6A"/>
    <w:rsid w:val="1D99A976"/>
    <w:rsid w:val="1DB61C9B"/>
    <w:rsid w:val="1DBC887D"/>
    <w:rsid w:val="1E02C407"/>
    <w:rsid w:val="1E220364"/>
    <w:rsid w:val="1E242036"/>
    <w:rsid w:val="1E63F8DC"/>
    <w:rsid w:val="1E7463F2"/>
    <w:rsid w:val="1EA20A39"/>
    <w:rsid w:val="1EA5C29C"/>
    <w:rsid w:val="1EC1A4BF"/>
    <w:rsid w:val="1EDE878D"/>
    <w:rsid w:val="1EE2531D"/>
    <w:rsid w:val="1EF960F3"/>
    <w:rsid w:val="1F16F8D4"/>
    <w:rsid w:val="1F2D30D3"/>
    <w:rsid w:val="1F4C0DB3"/>
    <w:rsid w:val="1F72B93E"/>
    <w:rsid w:val="1F7F3A6F"/>
    <w:rsid w:val="1FC1732C"/>
    <w:rsid w:val="1FC4E82D"/>
    <w:rsid w:val="1FEB5934"/>
    <w:rsid w:val="1FF57D81"/>
    <w:rsid w:val="1FF77746"/>
    <w:rsid w:val="201CD943"/>
    <w:rsid w:val="20313BD3"/>
    <w:rsid w:val="20342741"/>
    <w:rsid w:val="20994DAF"/>
    <w:rsid w:val="20A5E087"/>
    <w:rsid w:val="20A9D653"/>
    <w:rsid w:val="20CD71D2"/>
    <w:rsid w:val="20DCF227"/>
    <w:rsid w:val="20FAA31E"/>
    <w:rsid w:val="20FAA31E"/>
    <w:rsid w:val="2114009E"/>
    <w:rsid w:val="2123F531"/>
    <w:rsid w:val="21310B76"/>
    <w:rsid w:val="213D8B0B"/>
    <w:rsid w:val="213E88ED"/>
    <w:rsid w:val="2149E619"/>
    <w:rsid w:val="21CE18F7"/>
    <w:rsid w:val="21CFA94E"/>
    <w:rsid w:val="21D6517D"/>
    <w:rsid w:val="21EF7C43"/>
    <w:rsid w:val="220FF3D9"/>
    <w:rsid w:val="221144CD"/>
    <w:rsid w:val="225C1602"/>
    <w:rsid w:val="226EDB26"/>
    <w:rsid w:val="22885345"/>
    <w:rsid w:val="228B8DD8"/>
    <w:rsid w:val="229B93B0"/>
    <w:rsid w:val="22A1C975"/>
    <w:rsid w:val="22D11D47"/>
    <w:rsid w:val="22D2D0B5"/>
    <w:rsid w:val="22FCB2AC"/>
    <w:rsid w:val="23074B49"/>
    <w:rsid w:val="2314A5BF"/>
    <w:rsid w:val="2349211B"/>
    <w:rsid w:val="234C7D1F"/>
    <w:rsid w:val="23825B4F"/>
    <w:rsid w:val="23B9289D"/>
    <w:rsid w:val="23E71650"/>
    <w:rsid w:val="23FD83E3"/>
    <w:rsid w:val="240185B0"/>
    <w:rsid w:val="2433C9DD"/>
    <w:rsid w:val="24429544"/>
    <w:rsid w:val="2450EC97"/>
    <w:rsid w:val="245C5204"/>
    <w:rsid w:val="246EF11F"/>
    <w:rsid w:val="248A6855"/>
    <w:rsid w:val="249F2E7D"/>
    <w:rsid w:val="24CBAA5A"/>
    <w:rsid w:val="24CD7542"/>
    <w:rsid w:val="24D8215D"/>
    <w:rsid w:val="250EFDA4"/>
    <w:rsid w:val="251B2142"/>
    <w:rsid w:val="2526BFB3"/>
    <w:rsid w:val="2528B517"/>
    <w:rsid w:val="25452508"/>
    <w:rsid w:val="254FCFA4"/>
    <w:rsid w:val="25693ABA"/>
    <w:rsid w:val="256B1A82"/>
    <w:rsid w:val="257E5E97"/>
    <w:rsid w:val="25815B4C"/>
    <w:rsid w:val="258F08C3"/>
    <w:rsid w:val="259BDE60"/>
    <w:rsid w:val="25A0448E"/>
    <w:rsid w:val="25C800D3"/>
    <w:rsid w:val="25D193C2"/>
    <w:rsid w:val="25D9165F"/>
    <w:rsid w:val="25F39EAF"/>
    <w:rsid w:val="26013C5F"/>
    <w:rsid w:val="263335E1"/>
    <w:rsid w:val="2671D2D4"/>
    <w:rsid w:val="2679CDB7"/>
    <w:rsid w:val="26A86A75"/>
    <w:rsid w:val="26ADCA32"/>
    <w:rsid w:val="26B0A9C6"/>
    <w:rsid w:val="26C51504"/>
    <w:rsid w:val="26CE3223"/>
    <w:rsid w:val="26DAFFD4"/>
    <w:rsid w:val="26FA396B"/>
    <w:rsid w:val="2717A48D"/>
    <w:rsid w:val="272C5344"/>
    <w:rsid w:val="2737FA1F"/>
    <w:rsid w:val="273FFDCF"/>
    <w:rsid w:val="2767FB8F"/>
    <w:rsid w:val="2796EBC4"/>
    <w:rsid w:val="279D534F"/>
    <w:rsid w:val="27A86529"/>
    <w:rsid w:val="27B70A6D"/>
    <w:rsid w:val="27BC6556"/>
    <w:rsid w:val="27C9DF83"/>
    <w:rsid w:val="27DAE560"/>
    <w:rsid w:val="27FD7C0E"/>
    <w:rsid w:val="28043EE9"/>
    <w:rsid w:val="2811A0EA"/>
    <w:rsid w:val="283A7517"/>
    <w:rsid w:val="2844E93B"/>
    <w:rsid w:val="284D782C"/>
    <w:rsid w:val="287040BF"/>
    <w:rsid w:val="287A18E5"/>
    <w:rsid w:val="287CD654"/>
    <w:rsid w:val="28856CE6"/>
    <w:rsid w:val="288C91AC"/>
    <w:rsid w:val="288EE8A3"/>
    <w:rsid w:val="28A7CDEE"/>
    <w:rsid w:val="28CC0129"/>
    <w:rsid w:val="2919DACF"/>
    <w:rsid w:val="293263F0"/>
    <w:rsid w:val="29423DB9"/>
    <w:rsid w:val="2943226A"/>
    <w:rsid w:val="294E52C3"/>
    <w:rsid w:val="29779D64"/>
    <w:rsid w:val="297B9C19"/>
    <w:rsid w:val="299D376F"/>
    <w:rsid w:val="29A2A5CD"/>
    <w:rsid w:val="29A95260"/>
    <w:rsid w:val="29B6D991"/>
    <w:rsid w:val="29EE3C96"/>
    <w:rsid w:val="29F080FD"/>
    <w:rsid w:val="2A3B8D69"/>
    <w:rsid w:val="2A417D51"/>
    <w:rsid w:val="2A5774B8"/>
    <w:rsid w:val="2A6625EB"/>
    <w:rsid w:val="2A90078A"/>
    <w:rsid w:val="2ACE5D60"/>
    <w:rsid w:val="2AEB8F60"/>
    <w:rsid w:val="2AF3985A"/>
    <w:rsid w:val="2B025BC9"/>
    <w:rsid w:val="2B0BB21B"/>
    <w:rsid w:val="2B22BC13"/>
    <w:rsid w:val="2B369E01"/>
    <w:rsid w:val="2B4334DE"/>
    <w:rsid w:val="2B4981E4"/>
    <w:rsid w:val="2B629AFF"/>
    <w:rsid w:val="2B683CF3"/>
    <w:rsid w:val="2B8EA065"/>
    <w:rsid w:val="2BDFE7D5"/>
    <w:rsid w:val="2C2109D4"/>
    <w:rsid w:val="2C4BB49E"/>
    <w:rsid w:val="2C59309D"/>
    <w:rsid w:val="2C5DAB80"/>
    <w:rsid w:val="2C5E7227"/>
    <w:rsid w:val="2C7C8C5B"/>
    <w:rsid w:val="2C82E6E3"/>
    <w:rsid w:val="2CC1AC94"/>
    <w:rsid w:val="2CCE6AB5"/>
    <w:rsid w:val="2CDE83CC"/>
    <w:rsid w:val="2CE10A98"/>
    <w:rsid w:val="2CEF2634"/>
    <w:rsid w:val="2D09D7C3"/>
    <w:rsid w:val="2D0A6D60"/>
    <w:rsid w:val="2D0D1972"/>
    <w:rsid w:val="2D0FE153"/>
    <w:rsid w:val="2D153176"/>
    <w:rsid w:val="2D255469"/>
    <w:rsid w:val="2D59356D"/>
    <w:rsid w:val="2D5B9C86"/>
    <w:rsid w:val="2D5EFEAE"/>
    <w:rsid w:val="2D684ED7"/>
    <w:rsid w:val="2D7B1D51"/>
    <w:rsid w:val="2D867958"/>
    <w:rsid w:val="2DAA81A1"/>
    <w:rsid w:val="2DB63C25"/>
    <w:rsid w:val="2DB9392A"/>
    <w:rsid w:val="2DC948A2"/>
    <w:rsid w:val="2DD6BD61"/>
    <w:rsid w:val="2DEF0C60"/>
    <w:rsid w:val="2DFC56BD"/>
    <w:rsid w:val="2E053017"/>
    <w:rsid w:val="2E1C012C"/>
    <w:rsid w:val="2E451F40"/>
    <w:rsid w:val="2E685981"/>
    <w:rsid w:val="2E6AA438"/>
    <w:rsid w:val="2E6F1435"/>
    <w:rsid w:val="2E8F6150"/>
    <w:rsid w:val="2E9D3DB0"/>
    <w:rsid w:val="2EB9C455"/>
    <w:rsid w:val="2EBC604E"/>
    <w:rsid w:val="2EC4E71A"/>
    <w:rsid w:val="2EC82433"/>
    <w:rsid w:val="2ECB219F"/>
    <w:rsid w:val="2F00D00B"/>
    <w:rsid w:val="2F0FC0FB"/>
    <w:rsid w:val="2F38CA08"/>
    <w:rsid w:val="2F499443"/>
    <w:rsid w:val="2F4A11AD"/>
    <w:rsid w:val="2F5B841C"/>
    <w:rsid w:val="2F9D55A3"/>
    <w:rsid w:val="2FAD7147"/>
    <w:rsid w:val="2FE45450"/>
    <w:rsid w:val="300A51EF"/>
    <w:rsid w:val="30181CFE"/>
    <w:rsid w:val="301F2772"/>
    <w:rsid w:val="3021BC8E"/>
    <w:rsid w:val="302C93BC"/>
    <w:rsid w:val="3031A140"/>
    <w:rsid w:val="30492DC0"/>
    <w:rsid w:val="308D1622"/>
    <w:rsid w:val="308EC3AB"/>
    <w:rsid w:val="30A69C8D"/>
    <w:rsid w:val="30B1190C"/>
    <w:rsid w:val="30ED63FB"/>
    <w:rsid w:val="30F9120C"/>
    <w:rsid w:val="31046434"/>
    <w:rsid w:val="31092898"/>
    <w:rsid w:val="3117F415"/>
    <w:rsid w:val="31440D3A"/>
    <w:rsid w:val="314870FF"/>
    <w:rsid w:val="314E5AE1"/>
    <w:rsid w:val="314FC0E3"/>
    <w:rsid w:val="316ED42B"/>
    <w:rsid w:val="3187DD4E"/>
    <w:rsid w:val="31888FAC"/>
    <w:rsid w:val="31B58A1B"/>
    <w:rsid w:val="31D6AE94"/>
    <w:rsid w:val="31D93B6E"/>
    <w:rsid w:val="31EC2446"/>
    <w:rsid w:val="31FDDD60"/>
    <w:rsid w:val="324DB7A3"/>
    <w:rsid w:val="3253E9CC"/>
    <w:rsid w:val="3294C23B"/>
    <w:rsid w:val="3295AC68"/>
    <w:rsid w:val="32B41E9D"/>
    <w:rsid w:val="32D0C114"/>
    <w:rsid w:val="32DB393C"/>
    <w:rsid w:val="32F57313"/>
    <w:rsid w:val="33077A2D"/>
    <w:rsid w:val="3324CD30"/>
    <w:rsid w:val="3339CAAD"/>
    <w:rsid w:val="33703B8A"/>
    <w:rsid w:val="33792732"/>
    <w:rsid w:val="337E1073"/>
    <w:rsid w:val="338A3AB8"/>
    <w:rsid w:val="3396FA7D"/>
    <w:rsid w:val="33BA02C9"/>
    <w:rsid w:val="33BA02C9"/>
    <w:rsid w:val="33BC20A1"/>
    <w:rsid w:val="33C5D687"/>
    <w:rsid w:val="33E1A259"/>
    <w:rsid w:val="3404B91E"/>
    <w:rsid w:val="344FE4D4"/>
    <w:rsid w:val="34517716"/>
    <w:rsid w:val="3453375F"/>
    <w:rsid w:val="345A780E"/>
    <w:rsid w:val="346A215E"/>
    <w:rsid w:val="346B92DF"/>
    <w:rsid w:val="349FCBBE"/>
    <w:rsid w:val="34BB1194"/>
    <w:rsid w:val="34C8D702"/>
    <w:rsid w:val="34D11928"/>
    <w:rsid w:val="34DA7ACB"/>
    <w:rsid w:val="34DBAB10"/>
    <w:rsid w:val="34F23E3E"/>
    <w:rsid w:val="3544F855"/>
    <w:rsid w:val="3566FA40"/>
    <w:rsid w:val="3578F972"/>
    <w:rsid w:val="35DAF118"/>
    <w:rsid w:val="35E25C9D"/>
    <w:rsid w:val="36714470"/>
    <w:rsid w:val="368CECA5"/>
    <w:rsid w:val="36A12BEB"/>
    <w:rsid w:val="36ADB318"/>
    <w:rsid w:val="36B1D85B"/>
    <w:rsid w:val="3705AE09"/>
    <w:rsid w:val="371BB925"/>
    <w:rsid w:val="3727EBBF"/>
    <w:rsid w:val="377BDCA2"/>
    <w:rsid w:val="37829596"/>
    <w:rsid w:val="3784FB93"/>
    <w:rsid w:val="37B85A59"/>
    <w:rsid w:val="37B9458C"/>
    <w:rsid w:val="37F76C0B"/>
    <w:rsid w:val="37FE7268"/>
    <w:rsid w:val="380F4771"/>
    <w:rsid w:val="383A36FF"/>
    <w:rsid w:val="384D621D"/>
    <w:rsid w:val="3881F985"/>
    <w:rsid w:val="3884D2B7"/>
    <w:rsid w:val="388FE674"/>
    <w:rsid w:val="38A4ECAA"/>
    <w:rsid w:val="38AB0F44"/>
    <w:rsid w:val="38AC9874"/>
    <w:rsid w:val="38B193CA"/>
    <w:rsid w:val="38C2800D"/>
    <w:rsid w:val="38D4D156"/>
    <w:rsid w:val="38D5F9D9"/>
    <w:rsid w:val="38E57C61"/>
    <w:rsid w:val="39013215"/>
    <w:rsid w:val="3917A86D"/>
    <w:rsid w:val="39228D49"/>
    <w:rsid w:val="394C1B75"/>
    <w:rsid w:val="3952F67B"/>
    <w:rsid w:val="395A4AB7"/>
    <w:rsid w:val="398600B0"/>
    <w:rsid w:val="398C57E4"/>
    <w:rsid w:val="3996067F"/>
    <w:rsid w:val="39A705D6"/>
    <w:rsid w:val="39C5CC30"/>
    <w:rsid w:val="39CE4363"/>
    <w:rsid w:val="39E6203E"/>
    <w:rsid w:val="39E78D6B"/>
    <w:rsid w:val="3A1F7A66"/>
    <w:rsid w:val="3A3DB6F6"/>
    <w:rsid w:val="3A70787C"/>
    <w:rsid w:val="3A869CBE"/>
    <w:rsid w:val="3A8D5054"/>
    <w:rsid w:val="3A8E2235"/>
    <w:rsid w:val="3A9951F8"/>
    <w:rsid w:val="3ABAF415"/>
    <w:rsid w:val="3B019B33"/>
    <w:rsid w:val="3B1D8420"/>
    <w:rsid w:val="3B46352B"/>
    <w:rsid w:val="3B49163B"/>
    <w:rsid w:val="3B53D4CC"/>
    <w:rsid w:val="3B6BA640"/>
    <w:rsid w:val="3B758E10"/>
    <w:rsid w:val="3B811821"/>
    <w:rsid w:val="3B8216F9"/>
    <w:rsid w:val="3B82E6DB"/>
    <w:rsid w:val="3B8364AC"/>
    <w:rsid w:val="3B975098"/>
    <w:rsid w:val="3C031635"/>
    <w:rsid w:val="3C079EE5"/>
    <w:rsid w:val="3C1BEB79"/>
    <w:rsid w:val="3C223BD7"/>
    <w:rsid w:val="3C288E4C"/>
    <w:rsid w:val="3C4B03CA"/>
    <w:rsid w:val="3C64D57A"/>
    <w:rsid w:val="3C6BA118"/>
    <w:rsid w:val="3C798C0B"/>
    <w:rsid w:val="3C828B5A"/>
    <w:rsid w:val="3C94406A"/>
    <w:rsid w:val="3C95B88B"/>
    <w:rsid w:val="3CC75A9D"/>
    <w:rsid w:val="3CF7FA40"/>
    <w:rsid w:val="3D09DEDE"/>
    <w:rsid w:val="3D1BDAE2"/>
    <w:rsid w:val="3D2E1A79"/>
    <w:rsid w:val="3D3C38CD"/>
    <w:rsid w:val="3D5A6532"/>
    <w:rsid w:val="3D81595E"/>
    <w:rsid w:val="3D87AFA3"/>
    <w:rsid w:val="3D91CA8F"/>
    <w:rsid w:val="3DC029B5"/>
    <w:rsid w:val="3DC83889"/>
    <w:rsid w:val="3DCA52BB"/>
    <w:rsid w:val="3DDA34D2"/>
    <w:rsid w:val="3DDD67AC"/>
    <w:rsid w:val="3DEE52E1"/>
    <w:rsid w:val="3DF1888C"/>
    <w:rsid w:val="3E1787D7"/>
    <w:rsid w:val="3E1DCADA"/>
    <w:rsid w:val="3E3D38DA"/>
    <w:rsid w:val="3E463190"/>
    <w:rsid w:val="3E648527"/>
    <w:rsid w:val="3E6A3F37"/>
    <w:rsid w:val="3E8329DF"/>
    <w:rsid w:val="3EA4796D"/>
    <w:rsid w:val="3EA6ABBF"/>
    <w:rsid w:val="3EAD2157"/>
    <w:rsid w:val="3EAD78DB"/>
    <w:rsid w:val="3EF5471F"/>
    <w:rsid w:val="3F2881EA"/>
    <w:rsid w:val="3F3029D2"/>
    <w:rsid w:val="3F528263"/>
    <w:rsid w:val="3F536B44"/>
    <w:rsid w:val="3F651A2F"/>
    <w:rsid w:val="3F7414BA"/>
    <w:rsid w:val="3FAC6096"/>
    <w:rsid w:val="3FB1DFE3"/>
    <w:rsid w:val="3FBF93AD"/>
    <w:rsid w:val="3FC41CDB"/>
    <w:rsid w:val="3FCAD341"/>
    <w:rsid w:val="3FDCC73C"/>
    <w:rsid w:val="3FDFEE25"/>
    <w:rsid w:val="3FE3CA77"/>
    <w:rsid w:val="3FF100D0"/>
    <w:rsid w:val="3FF13CB4"/>
    <w:rsid w:val="3FF4D04B"/>
    <w:rsid w:val="4019FF02"/>
    <w:rsid w:val="4025A501"/>
    <w:rsid w:val="4028D985"/>
    <w:rsid w:val="40447BDB"/>
    <w:rsid w:val="40761131"/>
    <w:rsid w:val="4082739E"/>
    <w:rsid w:val="408616FD"/>
    <w:rsid w:val="40963FBA"/>
    <w:rsid w:val="40AECE14"/>
    <w:rsid w:val="40B05102"/>
    <w:rsid w:val="40BD2B6A"/>
    <w:rsid w:val="40BF8BF3"/>
    <w:rsid w:val="40DB26F0"/>
    <w:rsid w:val="40E8BC14"/>
    <w:rsid w:val="40FB495B"/>
    <w:rsid w:val="41037D65"/>
    <w:rsid w:val="410B5A3D"/>
    <w:rsid w:val="410FD480"/>
    <w:rsid w:val="4113779B"/>
    <w:rsid w:val="411658E2"/>
    <w:rsid w:val="4138ED12"/>
    <w:rsid w:val="413F247A"/>
    <w:rsid w:val="4143DB9A"/>
    <w:rsid w:val="417F3640"/>
    <w:rsid w:val="418728E0"/>
    <w:rsid w:val="41AC7CD5"/>
    <w:rsid w:val="41B13029"/>
    <w:rsid w:val="41B3A277"/>
    <w:rsid w:val="41C149CD"/>
    <w:rsid w:val="41C3B7CD"/>
    <w:rsid w:val="41CB2843"/>
    <w:rsid w:val="41DC783B"/>
    <w:rsid w:val="41EC8BF6"/>
    <w:rsid w:val="41FF13CA"/>
    <w:rsid w:val="421DCC89"/>
    <w:rsid w:val="422CFD38"/>
    <w:rsid w:val="423CD0DA"/>
    <w:rsid w:val="427216D7"/>
    <w:rsid w:val="427FCBAA"/>
    <w:rsid w:val="42B323C5"/>
    <w:rsid w:val="42B9D84C"/>
    <w:rsid w:val="42C6D49F"/>
    <w:rsid w:val="42D42747"/>
    <w:rsid w:val="42D76151"/>
    <w:rsid w:val="42E43954"/>
    <w:rsid w:val="42EC630A"/>
    <w:rsid w:val="42F94725"/>
    <w:rsid w:val="42F9BEBF"/>
    <w:rsid w:val="4310F95B"/>
    <w:rsid w:val="431999E2"/>
    <w:rsid w:val="431AD5FC"/>
    <w:rsid w:val="4320E417"/>
    <w:rsid w:val="435FEEE5"/>
    <w:rsid w:val="436C1A3D"/>
    <w:rsid w:val="4372B7EC"/>
    <w:rsid w:val="4374308A"/>
    <w:rsid w:val="439B7719"/>
    <w:rsid w:val="43ACEB42"/>
    <w:rsid w:val="43CF918D"/>
    <w:rsid w:val="43EC9E2D"/>
    <w:rsid w:val="43F4ED0C"/>
    <w:rsid w:val="441584A6"/>
    <w:rsid w:val="441C88A5"/>
    <w:rsid w:val="443B88F2"/>
    <w:rsid w:val="444D6689"/>
    <w:rsid w:val="444D6689"/>
    <w:rsid w:val="44507AD0"/>
    <w:rsid w:val="44C293A6"/>
    <w:rsid w:val="44C80DB6"/>
    <w:rsid w:val="44CB5051"/>
    <w:rsid w:val="44E4CADD"/>
    <w:rsid w:val="44F3E62F"/>
    <w:rsid w:val="4505886F"/>
    <w:rsid w:val="453C76DB"/>
    <w:rsid w:val="4564B858"/>
    <w:rsid w:val="4570091B"/>
    <w:rsid w:val="45736864"/>
    <w:rsid w:val="4585E109"/>
    <w:rsid w:val="458E50DC"/>
    <w:rsid w:val="459F3F63"/>
    <w:rsid w:val="45A80160"/>
    <w:rsid w:val="45A81FBD"/>
    <w:rsid w:val="45A8B13D"/>
    <w:rsid w:val="45C96A90"/>
    <w:rsid w:val="45EC389B"/>
    <w:rsid w:val="45F32711"/>
    <w:rsid w:val="46171345"/>
    <w:rsid w:val="4623DF34"/>
    <w:rsid w:val="465A30CC"/>
    <w:rsid w:val="465AA9FF"/>
    <w:rsid w:val="4663EF4D"/>
    <w:rsid w:val="46647D12"/>
    <w:rsid w:val="468857CD"/>
    <w:rsid w:val="46965EC9"/>
    <w:rsid w:val="46977F79"/>
    <w:rsid w:val="46980348"/>
    <w:rsid w:val="46A85BEE"/>
    <w:rsid w:val="46A872BF"/>
    <w:rsid w:val="46B977D3"/>
    <w:rsid w:val="46B99FE2"/>
    <w:rsid w:val="46EF830B"/>
    <w:rsid w:val="470B199D"/>
    <w:rsid w:val="470B7656"/>
    <w:rsid w:val="47176315"/>
    <w:rsid w:val="47176315"/>
    <w:rsid w:val="4732C55F"/>
    <w:rsid w:val="473F348D"/>
    <w:rsid w:val="474323AE"/>
    <w:rsid w:val="4782F42F"/>
    <w:rsid w:val="47905662"/>
    <w:rsid w:val="4796BA08"/>
    <w:rsid w:val="479A4B24"/>
    <w:rsid w:val="47B55C64"/>
    <w:rsid w:val="47C1A92C"/>
    <w:rsid w:val="47C1AF0C"/>
    <w:rsid w:val="47C4434C"/>
    <w:rsid w:val="47EDF6A6"/>
    <w:rsid w:val="4811E9DE"/>
    <w:rsid w:val="481D1D77"/>
    <w:rsid w:val="48277B51"/>
    <w:rsid w:val="484AD017"/>
    <w:rsid w:val="48573E08"/>
    <w:rsid w:val="486AABEF"/>
    <w:rsid w:val="4885F328"/>
    <w:rsid w:val="48975DFD"/>
    <w:rsid w:val="48A64372"/>
    <w:rsid w:val="48BAEBD1"/>
    <w:rsid w:val="48E21344"/>
    <w:rsid w:val="48F84D56"/>
    <w:rsid w:val="4919EDDC"/>
    <w:rsid w:val="49269AE3"/>
    <w:rsid w:val="4926CB90"/>
    <w:rsid w:val="49344C7D"/>
    <w:rsid w:val="495A30EF"/>
    <w:rsid w:val="495D38AE"/>
    <w:rsid w:val="495DB596"/>
    <w:rsid w:val="4969AC4C"/>
    <w:rsid w:val="49766BEB"/>
    <w:rsid w:val="498A53E4"/>
    <w:rsid w:val="498E0E16"/>
    <w:rsid w:val="49A3468E"/>
    <w:rsid w:val="49A564BD"/>
    <w:rsid w:val="49A57437"/>
    <w:rsid w:val="49AAB8BB"/>
    <w:rsid w:val="49B84651"/>
    <w:rsid w:val="49CCF617"/>
    <w:rsid w:val="49CFFE09"/>
    <w:rsid w:val="49DEB072"/>
    <w:rsid w:val="49E47C4B"/>
    <w:rsid w:val="4A1283B1"/>
    <w:rsid w:val="4A57A4AA"/>
    <w:rsid w:val="4A6160F7"/>
    <w:rsid w:val="4A647CB8"/>
    <w:rsid w:val="4A8B3F52"/>
    <w:rsid w:val="4AB7AB21"/>
    <w:rsid w:val="4AB9FA6A"/>
    <w:rsid w:val="4AD4473C"/>
    <w:rsid w:val="4AE769A1"/>
    <w:rsid w:val="4AE9D3FA"/>
    <w:rsid w:val="4B0A49AD"/>
    <w:rsid w:val="4B0DB4A3"/>
    <w:rsid w:val="4B186237"/>
    <w:rsid w:val="4B30442B"/>
    <w:rsid w:val="4B5FF803"/>
    <w:rsid w:val="4B61EC17"/>
    <w:rsid w:val="4B6CD934"/>
    <w:rsid w:val="4B8357DD"/>
    <w:rsid w:val="4BA827E8"/>
    <w:rsid w:val="4BDA9938"/>
    <w:rsid w:val="4BDA9938"/>
    <w:rsid w:val="4BE3BE9F"/>
    <w:rsid w:val="4BFD4F6C"/>
    <w:rsid w:val="4C05D102"/>
    <w:rsid w:val="4C293DCF"/>
    <w:rsid w:val="4C294351"/>
    <w:rsid w:val="4C38B7EA"/>
    <w:rsid w:val="4C4E523F"/>
    <w:rsid w:val="4C62095E"/>
    <w:rsid w:val="4C98FE92"/>
    <w:rsid w:val="4CA14462"/>
    <w:rsid w:val="4CA85A5A"/>
    <w:rsid w:val="4CB067F9"/>
    <w:rsid w:val="4CCCA473"/>
    <w:rsid w:val="4CCD3DF8"/>
    <w:rsid w:val="4CE7F995"/>
    <w:rsid w:val="4CEBE704"/>
    <w:rsid w:val="4CEE4F85"/>
    <w:rsid w:val="4CF3663C"/>
    <w:rsid w:val="4D1DB291"/>
    <w:rsid w:val="4D226902"/>
    <w:rsid w:val="4D239125"/>
    <w:rsid w:val="4D4379EB"/>
    <w:rsid w:val="4D4C1EFD"/>
    <w:rsid w:val="4D522CE4"/>
    <w:rsid w:val="4D5C1793"/>
    <w:rsid w:val="4D6A1588"/>
    <w:rsid w:val="4D6F24C2"/>
    <w:rsid w:val="4D78F49A"/>
    <w:rsid w:val="4D8CB669"/>
    <w:rsid w:val="4DED3B1E"/>
    <w:rsid w:val="4DEFA43B"/>
    <w:rsid w:val="4DFD3D31"/>
    <w:rsid w:val="4E02E4D9"/>
    <w:rsid w:val="4E06CECF"/>
    <w:rsid w:val="4E084F9C"/>
    <w:rsid w:val="4E0BE730"/>
    <w:rsid w:val="4E36DB6C"/>
    <w:rsid w:val="4E7608E4"/>
    <w:rsid w:val="4E9BD402"/>
    <w:rsid w:val="4ECA66C9"/>
    <w:rsid w:val="4EDB3FCB"/>
    <w:rsid w:val="4EDB766D"/>
    <w:rsid w:val="4F27F514"/>
    <w:rsid w:val="4F314A3A"/>
    <w:rsid w:val="4F42C18E"/>
    <w:rsid w:val="4F468330"/>
    <w:rsid w:val="4F7C42BF"/>
    <w:rsid w:val="4F865758"/>
    <w:rsid w:val="4F8A4217"/>
    <w:rsid w:val="4F987063"/>
    <w:rsid w:val="4F9AC4FD"/>
    <w:rsid w:val="4FAEF8F7"/>
    <w:rsid w:val="4FCA691D"/>
    <w:rsid w:val="4FD6ED18"/>
    <w:rsid w:val="502FF44D"/>
    <w:rsid w:val="50344561"/>
    <w:rsid w:val="5057B8B4"/>
    <w:rsid w:val="509B854E"/>
    <w:rsid w:val="50B043EE"/>
    <w:rsid w:val="50C08455"/>
    <w:rsid w:val="50DF8BB3"/>
    <w:rsid w:val="50DFC940"/>
    <w:rsid w:val="50F29BF7"/>
    <w:rsid w:val="50FB0708"/>
    <w:rsid w:val="514186D6"/>
    <w:rsid w:val="514FACA6"/>
    <w:rsid w:val="51743575"/>
    <w:rsid w:val="518C4CF1"/>
    <w:rsid w:val="5197CA15"/>
    <w:rsid w:val="51993F96"/>
    <w:rsid w:val="519BDE43"/>
    <w:rsid w:val="51A05B71"/>
    <w:rsid w:val="51B4460C"/>
    <w:rsid w:val="51C610C3"/>
    <w:rsid w:val="51F1E1E4"/>
    <w:rsid w:val="51FA73A8"/>
    <w:rsid w:val="52420A12"/>
    <w:rsid w:val="52747FAD"/>
    <w:rsid w:val="5276F72A"/>
    <w:rsid w:val="527BFB21"/>
    <w:rsid w:val="5289CD3C"/>
    <w:rsid w:val="5298B68F"/>
    <w:rsid w:val="52BBF83A"/>
    <w:rsid w:val="52DD7BA5"/>
    <w:rsid w:val="53053FAC"/>
    <w:rsid w:val="53167E0E"/>
    <w:rsid w:val="5328D068"/>
    <w:rsid w:val="53313D49"/>
    <w:rsid w:val="5336BBAC"/>
    <w:rsid w:val="533FBE67"/>
    <w:rsid w:val="534694C8"/>
    <w:rsid w:val="534AC3D9"/>
    <w:rsid w:val="535EAD8E"/>
    <w:rsid w:val="5365DA65"/>
    <w:rsid w:val="53662A60"/>
    <w:rsid w:val="536F2F7A"/>
    <w:rsid w:val="537C29E6"/>
    <w:rsid w:val="5383DB7A"/>
    <w:rsid w:val="5387252E"/>
    <w:rsid w:val="53AE7C06"/>
    <w:rsid w:val="53D82C1C"/>
    <w:rsid w:val="53D82C1C"/>
    <w:rsid w:val="53FA40A7"/>
    <w:rsid w:val="540541F4"/>
    <w:rsid w:val="541D801D"/>
    <w:rsid w:val="5428DDE8"/>
    <w:rsid w:val="542DD934"/>
    <w:rsid w:val="5434BC9B"/>
    <w:rsid w:val="547644A6"/>
    <w:rsid w:val="5484D3AB"/>
    <w:rsid w:val="549F9EDE"/>
    <w:rsid w:val="54CCADB6"/>
    <w:rsid w:val="54D83D99"/>
    <w:rsid w:val="54F56665"/>
    <w:rsid w:val="54FCDA6D"/>
    <w:rsid w:val="551CD5AA"/>
    <w:rsid w:val="556FED44"/>
    <w:rsid w:val="557F2D4D"/>
    <w:rsid w:val="5583435C"/>
    <w:rsid w:val="559356B5"/>
    <w:rsid w:val="5594D4F2"/>
    <w:rsid w:val="55BC7BDE"/>
    <w:rsid w:val="55BE49E4"/>
    <w:rsid w:val="55CEEF26"/>
    <w:rsid w:val="55DC26C8"/>
    <w:rsid w:val="56003D8A"/>
    <w:rsid w:val="5604790A"/>
    <w:rsid w:val="560B7523"/>
    <w:rsid w:val="561E35D9"/>
    <w:rsid w:val="563D32B6"/>
    <w:rsid w:val="564F0F74"/>
    <w:rsid w:val="56643D86"/>
    <w:rsid w:val="56829169"/>
    <w:rsid w:val="568F08F2"/>
    <w:rsid w:val="568FFAF4"/>
    <w:rsid w:val="56C963DD"/>
    <w:rsid w:val="56E06DC7"/>
    <w:rsid w:val="56E660DB"/>
    <w:rsid w:val="56EB4ED9"/>
    <w:rsid w:val="56F9C2EC"/>
    <w:rsid w:val="57184E18"/>
    <w:rsid w:val="5721D55F"/>
    <w:rsid w:val="57309240"/>
    <w:rsid w:val="5751653D"/>
    <w:rsid w:val="575A5047"/>
    <w:rsid w:val="57669D68"/>
    <w:rsid w:val="576F4F55"/>
    <w:rsid w:val="57751D7C"/>
    <w:rsid w:val="57CCFBF5"/>
    <w:rsid w:val="57CFD7C8"/>
    <w:rsid w:val="57D435DE"/>
    <w:rsid w:val="57E11756"/>
    <w:rsid w:val="57F0B570"/>
    <w:rsid w:val="57F0C234"/>
    <w:rsid w:val="5800003B"/>
    <w:rsid w:val="580DF052"/>
    <w:rsid w:val="5818EA66"/>
    <w:rsid w:val="5873E359"/>
    <w:rsid w:val="58AA151A"/>
    <w:rsid w:val="58AB2911"/>
    <w:rsid w:val="58DC0F47"/>
    <w:rsid w:val="58E4C401"/>
    <w:rsid w:val="58E8332A"/>
    <w:rsid w:val="58FF11E2"/>
    <w:rsid w:val="59007BE2"/>
    <w:rsid w:val="59120DCB"/>
    <w:rsid w:val="591600EC"/>
    <w:rsid w:val="5919D2D1"/>
    <w:rsid w:val="59439B8F"/>
    <w:rsid w:val="595530D2"/>
    <w:rsid w:val="59621AC9"/>
    <w:rsid w:val="5977D4D7"/>
    <w:rsid w:val="597E8AD7"/>
    <w:rsid w:val="59985FD8"/>
    <w:rsid w:val="59B90A9B"/>
    <w:rsid w:val="59C05EA1"/>
    <w:rsid w:val="59C64CD3"/>
    <w:rsid w:val="59D28E7D"/>
    <w:rsid w:val="59EC583C"/>
    <w:rsid w:val="59F667B2"/>
    <w:rsid w:val="59FD844D"/>
    <w:rsid w:val="5A172F13"/>
    <w:rsid w:val="5A23184A"/>
    <w:rsid w:val="5A26A820"/>
    <w:rsid w:val="5A2E736E"/>
    <w:rsid w:val="5A31ECD0"/>
    <w:rsid w:val="5A32224F"/>
    <w:rsid w:val="5A336133"/>
    <w:rsid w:val="5A44CED5"/>
    <w:rsid w:val="5A44F6D6"/>
    <w:rsid w:val="5A7A34E5"/>
    <w:rsid w:val="5A897B9D"/>
    <w:rsid w:val="5A932683"/>
    <w:rsid w:val="5AA46405"/>
    <w:rsid w:val="5AE26364"/>
    <w:rsid w:val="5AEBD01C"/>
    <w:rsid w:val="5AF25D36"/>
    <w:rsid w:val="5AF48094"/>
    <w:rsid w:val="5AF670BF"/>
    <w:rsid w:val="5B075D10"/>
    <w:rsid w:val="5B29E9A9"/>
    <w:rsid w:val="5B463BD9"/>
    <w:rsid w:val="5B4DD345"/>
    <w:rsid w:val="5BC4A673"/>
    <w:rsid w:val="5BD9BEC7"/>
    <w:rsid w:val="5BDD41E6"/>
    <w:rsid w:val="5C03C9FE"/>
    <w:rsid w:val="5C0F3C93"/>
    <w:rsid w:val="5C19C060"/>
    <w:rsid w:val="5C2E790B"/>
    <w:rsid w:val="5C3B1002"/>
    <w:rsid w:val="5C46FFAB"/>
    <w:rsid w:val="5C46FFAB"/>
    <w:rsid w:val="5C496DD4"/>
    <w:rsid w:val="5C4B30D5"/>
    <w:rsid w:val="5C52E0BC"/>
    <w:rsid w:val="5C78C0D0"/>
    <w:rsid w:val="5C7E8292"/>
    <w:rsid w:val="5C867B5F"/>
    <w:rsid w:val="5CB83AEC"/>
    <w:rsid w:val="5CC642A8"/>
    <w:rsid w:val="5CDAE571"/>
    <w:rsid w:val="5CDCCF3F"/>
    <w:rsid w:val="5CE44802"/>
    <w:rsid w:val="5D041BB3"/>
    <w:rsid w:val="5D0B3370"/>
    <w:rsid w:val="5D10D8AF"/>
    <w:rsid w:val="5D30CFB8"/>
    <w:rsid w:val="5D35D590"/>
    <w:rsid w:val="5D3EF856"/>
    <w:rsid w:val="5D53D914"/>
    <w:rsid w:val="5D8400A1"/>
    <w:rsid w:val="5DAAEC66"/>
    <w:rsid w:val="5DCF0BEF"/>
    <w:rsid w:val="5DD685F5"/>
    <w:rsid w:val="5DD775CA"/>
    <w:rsid w:val="5E03F6A8"/>
    <w:rsid w:val="5E0A05A6"/>
    <w:rsid w:val="5E33F850"/>
    <w:rsid w:val="5E436BB5"/>
    <w:rsid w:val="5E9382A8"/>
    <w:rsid w:val="5EA6EA7F"/>
    <w:rsid w:val="5EB2A51B"/>
    <w:rsid w:val="5EC2F925"/>
    <w:rsid w:val="5EDC620D"/>
    <w:rsid w:val="5EEC711F"/>
    <w:rsid w:val="5EF5008C"/>
    <w:rsid w:val="5F23B5D8"/>
    <w:rsid w:val="5F3A77A2"/>
    <w:rsid w:val="5F5EDFE7"/>
    <w:rsid w:val="5F62A453"/>
    <w:rsid w:val="5F66E905"/>
    <w:rsid w:val="5F91A81D"/>
    <w:rsid w:val="5FDDF8BD"/>
    <w:rsid w:val="5FDFDBFD"/>
    <w:rsid w:val="5FFEDA63"/>
    <w:rsid w:val="60007587"/>
    <w:rsid w:val="600E5092"/>
    <w:rsid w:val="600EF6D1"/>
    <w:rsid w:val="601BA72D"/>
    <w:rsid w:val="6026D74E"/>
    <w:rsid w:val="60337F1E"/>
    <w:rsid w:val="605144CF"/>
    <w:rsid w:val="605825FF"/>
    <w:rsid w:val="6058A368"/>
    <w:rsid w:val="60726124"/>
    <w:rsid w:val="6080047B"/>
    <w:rsid w:val="608B955D"/>
    <w:rsid w:val="608CE9CE"/>
    <w:rsid w:val="60908523"/>
    <w:rsid w:val="60927859"/>
    <w:rsid w:val="60B255E2"/>
    <w:rsid w:val="60C04207"/>
    <w:rsid w:val="60DF54E5"/>
    <w:rsid w:val="60E3E901"/>
    <w:rsid w:val="60E65818"/>
    <w:rsid w:val="610F4CD0"/>
    <w:rsid w:val="61625CC1"/>
    <w:rsid w:val="616B64EC"/>
    <w:rsid w:val="616F1C1F"/>
    <w:rsid w:val="61729DE9"/>
    <w:rsid w:val="6184E0D2"/>
    <w:rsid w:val="61908562"/>
    <w:rsid w:val="61981E48"/>
    <w:rsid w:val="61A75B50"/>
    <w:rsid w:val="61BAED7F"/>
    <w:rsid w:val="61D0EA40"/>
    <w:rsid w:val="61D10A49"/>
    <w:rsid w:val="61E0D0E8"/>
    <w:rsid w:val="620222E9"/>
    <w:rsid w:val="620CCC42"/>
    <w:rsid w:val="620FF4AA"/>
    <w:rsid w:val="621069DF"/>
    <w:rsid w:val="62185F4D"/>
    <w:rsid w:val="621EBA5E"/>
    <w:rsid w:val="622169ED"/>
    <w:rsid w:val="62347A0A"/>
    <w:rsid w:val="623D3B48"/>
    <w:rsid w:val="624239F4"/>
    <w:rsid w:val="625EF54C"/>
    <w:rsid w:val="627CC146"/>
    <w:rsid w:val="628E3155"/>
    <w:rsid w:val="62A9E786"/>
    <w:rsid w:val="62B00C18"/>
    <w:rsid w:val="62FBB513"/>
    <w:rsid w:val="6309BC00"/>
    <w:rsid w:val="631A7E95"/>
    <w:rsid w:val="633C6332"/>
    <w:rsid w:val="634D6CA7"/>
    <w:rsid w:val="636056BE"/>
    <w:rsid w:val="6372A5F7"/>
    <w:rsid w:val="6392FEC4"/>
    <w:rsid w:val="63BF5BE2"/>
    <w:rsid w:val="63D5E9BE"/>
    <w:rsid w:val="63F20BE3"/>
    <w:rsid w:val="64119415"/>
    <w:rsid w:val="641D5027"/>
    <w:rsid w:val="64340746"/>
    <w:rsid w:val="6439DFE5"/>
    <w:rsid w:val="643B67C6"/>
    <w:rsid w:val="6442EDD6"/>
    <w:rsid w:val="644A2228"/>
    <w:rsid w:val="644BA7E1"/>
    <w:rsid w:val="6453C983"/>
    <w:rsid w:val="645AB24F"/>
    <w:rsid w:val="64853558"/>
    <w:rsid w:val="6492B1F4"/>
    <w:rsid w:val="64A98CE9"/>
    <w:rsid w:val="64BFDF5E"/>
    <w:rsid w:val="64C73A81"/>
    <w:rsid w:val="64C75246"/>
    <w:rsid w:val="64C876AB"/>
    <w:rsid w:val="64D5467A"/>
    <w:rsid w:val="64EBD032"/>
    <w:rsid w:val="64F5A749"/>
    <w:rsid w:val="651AA5CB"/>
    <w:rsid w:val="653CF702"/>
    <w:rsid w:val="65438A7B"/>
    <w:rsid w:val="654AEBFA"/>
    <w:rsid w:val="657139AE"/>
    <w:rsid w:val="6587AA75"/>
    <w:rsid w:val="658B1CDF"/>
    <w:rsid w:val="658CD391"/>
    <w:rsid w:val="65C7508E"/>
    <w:rsid w:val="65CEE33D"/>
    <w:rsid w:val="65E605A3"/>
    <w:rsid w:val="65FE43DA"/>
    <w:rsid w:val="661B305C"/>
    <w:rsid w:val="661E977E"/>
    <w:rsid w:val="662A5CB5"/>
    <w:rsid w:val="662ADF0B"/>
    <w:rsid w:val="6647C953"/>
    <w:rsid w:val="666E7D36"/>
    <w:rsid w:val="669138C8"/>
    <w:rsid w:val="66936D69"/>
    <w:rsid w:val="66AF64AD"/>
    <w:rsid w:val="66B34FD7"/>
    <w:rsid w:val="66C87CA2"/>
    <w:rsid w:val="66D6C532"/>
    <w:rsid w:val="66DF8C6D"/>
    <w:rsid w:val="66E7CE60"/>
    <w:rsid w:val="66EBBA1E"/>
    <w:rsid w:val="66FA1963"/>
    <w:rsid w:val="671887D3"/>
    <w:rsid w:val="671B0DBE"/>
    <w:rsid w:val="67222ECC"/>
    <w:rsid w:val="67447957"/>
    <w:rsid w:val="676BAD60"/>
    <w:rsid w:val="6773DD82"/>
    <w:rsid w:val="6792FF0A"/>
    <w:rsid w:val="6793C85F"/>
    <w:rsid w:val="67A08AA9"/>
    <w:rsid w:val="67DABD1A"/>
    <w:rsid w:val="67DBEDFD"/>
    <w:rsid w:val="67E5459B"/>
    <w:rsid w:val="67E67A3B"/>
    <w:rsid w:val="67F897AF"/>
    <w:rsid w:val="681B64CA"/>
    <w:rsid w:val="681FBBCC"/>
    <w:rsid w:val="6844DA61"/>
    <w:rsid w:val="6849B332"/>
    <w:rsid w:val="6868AF67"/>
    <w:rsid w:val="6879666F"/>
    <w:rsid w:val="68A6DCEA"/>
    <w:rsid w:val="68BC2BD2"/>
    <w:rsid w:val="68F5E2E7"/>
    <w:rsid w:val="69014212"/>
    <w:rsid w:val="69096319"/>
    <w:rsid w:val="690C63C3"/>
    <w:rsid w:val="69288107"/>
    <w:rsid w:val="693F04AD"/>
    <w:rsid w:val="693F5BA5"/>
    <w:rsid w:val="69785D9A"/>
    <w:rsid w:val="69B9BD02"/>
    <w:rsid w:val="69E6B02D"/>
    <w:rsid w:val="69ECA282"/>
    <w:rsid w:val="6A0A32A3"/>
    <w:rsid w:val="6A580AFD"/>
    <w:rsid w:val="6A622CD0"/>
    <w:rsid w:val="6A694A33"/>
    <w:rsid w:val="6A9B2A72"/>
    <w:rsid w:val="6AA6A87E"/>
    <w:rsid w:val="6AB2EF76"/>
    <w:rsid w:val="6AB757F3"/>
    <w:rsid w:val="6AB858A3"/>
    <w:rsid w:val="6AC5AD8E"/>
    <w:rsid w:val="6B0147CC"/>
    <w:rsid w:val="6B180B7F"/>
    <w:rsid w:val="6B2F6AA6"/>
    <w:rsid w:val="6B4EE7DB"/>
    <w:rsid w:val="6B551DA7"/>
    <w:rsid w:val="6B6BA8BD"/>
    <w:rsid w:val="6B6E2AFA"/>
    <w:rsid w:val="6B816380"/>
    <w:rsid w:val="6B89C46E"/>
    <w:rsid w:val="6B8B5DC7"/>
    <w:rsid w:val="6B8EEFC3"/>
    <w:rsid w:val="6B945CB3"/>
    <w:rsid w:val="6BA05EA4"/>
    <w:rsid w:val="6BB86C83"/>
    <w:rsid w:val="6BD9324B"/>
    <w:rsid w:val="6BDB730C"/>
    <w:rsid w:val="6C01B9E6"/>
    <w:rsid w:val="6C0EA95F"/>
    <w:rsid w:val="6C11DE13"/>
    <w:rsid w:val="6C13C108"/>
    <w:rsid w:val="6C836EC4"/>
    <w:rsid w:val="6C9C4C7C"/>
    <w:rsid w:val="6CAA8064"/>
    <w:rsid w:val="6CD86BC9"/>
    <w:rsid w:val="6D4927CF"/>
    <w:rsid w:val="6D4A1E02"/>
    <w:rsid w:val="6D52F9FD"/>
    <w:rsid w:val="6D56660F"/>
    <w:rsid w:val="6D69ADB2"/>
    <w:rsid w:val="6D6C8E15"/>
    <w:rsid w:val="6D8CB953"/>
    <w:rsid w:val="6D9B7F7B"/>
    <w:rsid w:val="6DD28291"/>
    <w:rsid w:val="6DF14D69"/>
    <w:rsid w:val="6DF542FB"/>
    <w:rsid w:val="6E181C1A"/>
    <w:rsid w:val="6E1A52A0"/>
    <w:rsid w:val="6E1B745B"/>
    <w:rsid w:val="6E258C48"/>
    <w:rsid w:val="6E38A9C6"/>
    <w:rsid w:val="6E3F181B"/>
    <w:rsid w:val="6E7748AD"/>
    <w:rsid w:val="6E781D22"/>
    <w:rsid w:val="6E7AA1FB"/>
    <w:rsid w:val="6E81573D"/>
    <w:rsid w:val="6E898AB1"/>
    <w:rsid w:val="6EA6E1AF"/>
    <w:rsid w:val="6EAABC9C"/>
    <w:rsid w:val="6ED28796"/>
    <w:rsid w:val="6EEEDFBD"/>
    <w:rsid w:val="6F12154E"/>
    <w:rsid w:val="6F1B0920"/>
    <w:rsid w:val="6F3E4474"/>
    <w:rsid w:val="6F8E1721"/>
    <w:rsid w:val="6F9B335E"/>
    <w:rsid w:val="6FA15BB5"/>
    <w:rsid w:val="6FA95103"/>
    <w:rsid w:val="6FC1F62D"/>
    <w:rsid w:val="6FD472F1"/>
    <w:rsid w:val="700571D3"/>
    <w:rsid w:val="70373608"/>
    <w:rsid w:val="703C6816"/>
    <w:rsid w:val="705C30AF"/>
    <w:rsid w:val="7084A523"/>
    <w:rsid w:val="70868BDB"/>
    <w:rsid w:val="709625ED"/>
    <w:rsid w:val="70989333"/>
    <w:rsid w:val="70AD2999"/>
    <w:rsid w:val="70B406AB"/>
    <w:rsid w:val="70B57C2C"/>
    <w:rsid w:val="70B6E622"/>
    <w:rsid w:val="70CA4E61"/>
    <w:rsid w:val="70E6A28D"/>
    <w:rsid w:val="7102BA52"/>
    <w:rsid w:val="71034E78"/>
    <w:rsid w:val="71189EBD"/>
    <w:rsid w:val="71220FC5"/>
    <w:rsid w:val="713B61CF"/>
    <w:rsid w:val="713CF4C1"/>
    <w:rsid w:val="716FE711"/>
    <w:rsid w:val="71703934"/>
    <w:rsid w:val="71A60B4B"/>
    <w:rsid w:val="71ABADB9"/>
    <w:rsid w:val="71C28DB9"/>
    <w:rsid w:val="71C90E6D"/>
    <w:rsid w:val="71D9B16B"/>
    <w:rsid w:val="71DB9767"/>
    <w:rsid w:val="71FBA176"/>
    <w:rsid w:val="71FEC72E"/>
    <w:rsid w:val="72037EA5"/>
    <w:rsid w:val="7203BD37"/>
    <w:rsid w:val="720EE13F"/>
    <w:rsid w:val="721C009C"/>
    <w:rsid w:val="721DF542"/>
    <w:rsid w:val="722773AB"/>
    <w:rsid w:val="72434654"/>
    <w:rsid w:val="724D0FBF"/>
    <w:rsid w:val="725F918B"/>
    <w:rsid w:val="7268148B"/>
    <w:rsid w:val="726A3241"/>
    <w:rsid w:val="727ADA74"/>
    <w:rsid w:val="727C980E"/>
    <w:rsid w:val="72886C3C"/>
    <w:rsid w:val="72B901B5"/>
    <w:rsid w:val="72D7D836"/>
    <w:rsid w:val="72DE473A"/>
    <w:rsid w:val="72E4C8FB"/>
    <w:rsid w:val="72EA9293"/>
    <w:rsid w:val="730B5624"/>
    <w:rsid w:val="730BE0A6"/>
    <w:rsid w:val="731348B6"/>
    <w:rsid w:val="732E1F27"/>
    <w:rsid w:val="733A749B"/>
    <w:rsid w:val="734BEE88"/>
    <w:rsid w:val="734E9CFC"/>
    <w:rsid w:val="7360C587"/>
    <w:rsid w:val="737D8591"/>
    <w:rsid w:val="73942954"/>
    <w:rsid w:val="73B24F63"/>
    <w:rsid w:val="73DB4504"/>
    <w:rsid w:val="740017B7"/>
    <w:rsid w:val="74061AF2"/>
    <w:rsid w:val="740EDC14"/>
    <w:rsid w:val="7419AAB6"/>
    <w:rsid w:val="74364E5A"/>
    <w:rsid w:val="7441C3ED"/>
    <w:rsid w:val="7461AE4F"/>
    <w:rsid w:val="747ED999"/>
    <w:rsid w:val="74DD59E9"/>
    <w:rsid w:val="75164FE6"/>
    <w:rsid w:val="753ABCA5"/>
    <w:rsid w:val="753D09A8"/>
    <w:rsid w:val="7542E9E8"/>
    <w:rsid w:val="754469D7"/>
    <w:rsid w:val="756407FC"/>
    <w:rsid w:val="75888CC9"/>
    <w:rsid w:val="75CD2DAD"/>
    <w:rsid w:val="75D1B98B"/>
    <w:rsid w:val="75D1EC96"/>
    <w:rsid w:val="75E70FBF"/>
    <w:rsid w:val="75E8CF62"/>
    <w:rsid w:val="75ED7C53"/>
    <w:rsid w:val="76617F94"/>
    <w:rsid w:val="76A50922"/>
    <w:rsid w:val="76AA5813"/>
    <w:rsid w:val="76ADA2EC"/>
    <w:rsid w:val="76B2D9B4"/>
    <w:rsid w:val="76B5BD4C"/>
    <w:rsid w:val="76CDB25A"/>
    <w:rsid w:val="7705CDCA"/>
    <w:rsid w:val="77122D23"/>
    <w:rsid w:val="7712DECE"/>
    <w:rsid w:val="771DC100"/>
    <w:rsid w:val="77238D40"/>
    <w:rsid w:val="77243C99"/>
    <w:rsid w:val="772A75FF"/>
    <w:rsid w:val="7772577F"/>
    <w:rsid w:val="77BAD99B"/>
    <w:rsid w:val="77BE36DA"/>
    <w:rsid w:val="77BE4392"/>
    <w:rsid w:val="77C8F24F"/>
    <w:rsid w:val="77E5862B"/>
    <w:rsid w:val="77F363D5"/>
    <w:rsid w:val="781460BC"/>
    <w:rsid w:val="7814F42C"/>
    <w:rsid w:val="783E1A50"/>
    <w:rsid w:val="783E1A50"/>
    <w:rsid w:val="784A0BF4"/>
    <w:rsid w:val="7857610C"/>
    <w:rsid w:val="786450B4"/>
    <w:rsid w:val="78673658"/>
    <w:rsid w:val="787B5023"/>
    <w:rsid w:val="78A0974C"/>
    <w:rsid w:val="78B3772F"/>
    <w:rsid w:val="78BD82CF"/>
    <w:rsid w:val="78C78C5D"/>
    <w:rsid w:val="78CAE159"/>
    <w:rsid w:val="78D1BF91"/>
    <w:rsid w:val="78D6A617"/>
    <w:rsid w:val="79154915"/>
    <w:rsid w:val="7917275C"/>
    <w:rsid w:val="792168D3"/>
    <w:rsid w:val="7950152C"/>
    <w:rsid w:val="7958F5F5"/>
    <w:rsid w:val="7960A7F5"/>
    <w:rsid w:val="79813F8E"/>
    <w:rsid w:val="79B2C7DA"/>
    <w:rsid w:val="79E448E7"/>
    <w:rsid w:val="79FDA167"/>
    <w:rsid w:val="7A215E95"/>
    <w:rsid w:val="7A2B1E91"/>
    <w:rsid w:val="7A4B1D55"/>
    <w:rsid w:val="7A4B55E5"/>
    <w:rsid w:val="7A619E3D"/>
    <w:rsid w:val="7A69ACBA"/>
    <w:rsid w:val="7A8B0AE4"/>
    <w:rsid w:val="7A940775"/>
    <w:rsid w:val="7A997909"/>
    <w:rsid w:val="7AC791C9"/>
    <w:rsid w:val="7B285DA9"/>
    <w:rsid w:val="7B2AD3CA"/>
    <w:rsid w:val="7B405B30"/>
    <w:rsid w:val="7B412BF1"/>
    <w:rsid w:val="7B4D0334"/>
    <w:rsid w:val="7B4D688D"/>
    <w:rsid w:val="7B4E77A3"/>
    <w:rsid w:val="7B541437"/>
    <w:rsid w:val="7B6B6C5A"/>
    <w:rsid w:val="7B78F3B4"/>
    <w:rsid w:val="7BA35CFC"/>
    <w:rsid w:val="7BB2EECF"/>
    <w:rsid w:val="7BCADC1A"/>
    <w:rsid w:val="7BDCA55F"/>
    <w:rsid w:val="7BE6588A"/>
    <w:rsid w:val="7BED50AF"/>
    <w:rsid w:val="7BF29E75"/>
    <w:rsid w:val="7C06315C"/>
    <w:rsid w:val="7C0D2925"/>
    <w:rsid w:val="7C21662E"/>
    <w:rsid w:val="7C34ADB2"/>
    <w:rsid w:val="7C3AB200"/>
    <w:rsid w:val="7C3B6531"/>
    <w:rsid w:val="7C40A148"/>
    <w:rsid w:val="7C4870B8"/>
    <w:rsid w:val="7C5CE122"/>
    <w:rsid w:val="7C68AB7C"/>
    <w:rsid w:val="7C82E648"/>
    <w:rsid w:val="7C9B0B58"/>
    <w:rsid w:val="7CA50335"/>
    <w:rsid w:val="7CA62F1C"/>
    <w:rsid w:val="7CAF57F9"/>
    <w:rsid w:val="7CB5FB04"/>
    <w:rsid w:val="7CC3BC74"/>
    <w:rsid w:val="7CCD08C8"/>
    <w:rsid w:val="7CE90124"/>
    <w:rsid w:val="7D11BA9E"/>
    <w:rsid w:val="7D35A99D"/>
    <w:rsid w:val="7D4E00DF"/>
    <w:rsid w:val="7D759BA6"/>
    <w:rsid w:val="7D93CB5B"/>
    <w:rsid w:val="7DB01197"/>
    <w:rsid w:val="7DE962E5"/>
    <w:rsid w:val="7E292B27"/>
    <w:rsid w:val="7E297FD9"/>
    <w:rsid w:val="7E359E22"/>
    <w:rsid w:val="7E3C5E90"/>
    <w:rsid w:val="7E425229"/>
    <w:rsid w:val="7E438F7B"/>
    <w:rsid w:val="7E5031C7"/>
    <w:rsid w:val="7EB99548"/>
    <w:rsid w:val="7EE94D3E"/>
    <w:rsid w:val="7F1AF1B9"/>
    <w:rsid w:val="7F4E58D2"/>
    <w:rsid w:val="7F64E0D4"/>
    <w:rsid w:val="7F65BF35"/>
    <w:rsid w:val="7F669694"/>
    <w:rsid w:val="7F66FDC0"/>
    <w:rsid w:val="7FC0390A"/>
    <w:rsid w:val="7FEBC4D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8043EE9"/>
  <w15:chartTrackingRefBased/>
  <w15:docId w15:val="{5DF1750C-CE77-4B86-85D9-F2DA97A92B1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753D09A8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uiPriority w:val="99"/>
    <w:name w:val="header"/>
    <w:basedOn w:val="Normal"/>
    <w:unhideWhenUsed/>
    <w:rsid w:val="753D09A8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753D09A8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ListParagraph">
    <w:uiPriority w:val="34"/>
    <w:name w:val="List Paragraph"/>
    <w:basedOn w:val="Normal"/>
    <w:qFormat/>
    <w:rsid w:val="753D09A8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12DC0C06"/>
    <w:rPr>
      <w:color w:val="467886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eader" Target="header.xml" Id="Rae9ca1efd9ce47c1" /><Relationship Type="http://schemas.openxmlformats.org/officeDocument/2006/relationships/footer" Target="footer.xml" Id="R1d094e2e0d3940e3" /><Relationship Type="http://schemas.openxmlformats.org/officeDocument/2006/relationships/numbering" Target="numbering.xml" Id="R7a4f53269cb8478a" /><Relationship Type="http://schemas.microsoft.com/office/2020/10/relationships/intelligence" Target="intelligence2.xml" Id="R4ea1b1a4c9f54c02" /><Relationship Type="http://schemas.openxmlformats.org/officeDocument/2006/relationships/hyperlink" Target="https://doi.org/10.1037/a0028441" TargetMode="External" Id="Rbf7791232f6f4836" /><Relationship Type="http://schemas.openxmlformats.org/officeDocument/2006/relationships/hyperlink" Target="https://doi.org/10.1080/15332985.2025.2550342" TargetMode="External" Id="R8894a819b6284fa5" /><Relationship Type="http://schemas.openxmlformats.org/officeDocument/2006/relationships/hyperlink" Target="https://doi.org/10.1002/casp.2494" TargetMode="External" Id="Rdeda6403776d4164" /><Relationship Type="http://schemas.openxmlformats.org/officeDocument/2006/relationships/hyperlink" Target="https://doi.org/10.1016/j.puhe.2020.08.027" TargetMode="External" Id="R7efb820ed6744305" /><Relationship Type="http://schemas.openxmlformats.org/officeDocument/2006/relationships/hyperlink" Target="https://doi.org/10.1016/j.amepre.2019.04.001" TargetMode="External" Id="Rabf0fd5f18e64ce1" /><Relationship Type="http://schemas.openxmlformats.org/officeDocument/2006/relationships/hyperlink" Target="https://doi.org/10.1080/15332691.2022.2149650" TargetMode="External" Id="Rdeacb2d87d3d472e" /><Relationship Type="http://schemas.openxmlformats.org/officeDocument/2006/relationships/hyperlink" Target="https://doi.org/10.4324/9780203833322" TargetMode="External" Id="Rccb1ad3dcc67410a" /><Relationship Type="http://schemas.openxmlformats.org/officeDocument/2006/relationships/hyperlink" Target="https://doi.org/10.1080/02650533.2019.1700493" TargetMode="External" Id="R25024b723e4645bf" /><Relationship Type="http://schemas.openxmlformats.org/officeDocument/2006/relationships/hyperlink" Target="https://doi.org/10.1017/S0033291720002007" TargetMode="External" Id="R161cca6a07574f32" /><Relationship Type="http://schemas.openxmlformats.org/officeDocument/2006/relationships/hyperlink" Target="https://doi.org/10.1007/s10826-022-02467-y" TargetMode="External" Id="Rff517303405b47d4" /><Relationship Type="http://schemas.openxmlformats.org/officeDocument/2006/relationships/hyperlink" Target="https://doi.org/10.1007/s10643-025-01874-2" TargetMode="External" Id="R35358918d4ed4867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2025-12-12T16:59:18.0204113Z</dcterms:created>
  <dcterms:modified xsi:type="dcterms:W3CDTF">2025-12-16T19:42:15.1886002Z</dcterms:modified>
  <dc:creator>Natasha Kendrick (2507279)</dc:creator>
  <lastModifiedBy>Natasha Kendrick (2507279)</lastModifiedBy>
</coreProperties>
</file>