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7C0E5" w14:textId="37AA29F5" w:rsidR="00211EFB" w:rsidRPr="00211EFB" w:rsidRDefault="00000000" w:rsidP="00211EFB">
      <w:pPr>
        <w:pStyle w:val="Normal1"/>
        <w:ind w:left="2160" w:firstLine="720"/>
        <w:rPr>
          <w:b/>
          <w:sz w:val="40"/>
          <w:szCs w:val="40"/>
        </w:rPr>
      </w:pPr>
      <w:r>
        <w:rPr>
          <w:b/>
          <w:sz w:val="40"/>
          <w:szCs w:val="40"/>
        </w:rPr>
        <w:t>Criminal Law</w:t>
      </w:r>
      <w:r>
        <w:br w:type="page"/>
      </w:r>
      <w:bookmarkStart w:id="0" w:name="_Toc123912298"/>
    </w:p>
    <w:p w14:paraId="00000007" w14:textId="344A652A" w:rsidR="000E0BA2" w:rsidRDefault="00000000" w:rsidP="0002457B">
      <w:pPr>
        <w:pStyle w:val="Normal1"/>
        <w:tabs>
          <w:tab w:val="right" w:pos="9025"/>
        </w:tabs>
        <w:spacing w:before="200" w:after="80" w:line="240" w:lineRule="auto"/>
      </w:pPr>
      <w:r>
        <w:lastRenderedPageBreak/>
        <w:t>Offences of Hadley</w:t>
      </w:r>
      <w:bookmarkEnd w:id="0"/>
    </w:p>
    <w:p w14:paraId="00000008" w14:textId="118B24F4" w:rsidR="000E0BA2" w:rsidRDefault="00000000">
      <w:pPr>
        <w:pStyle w:val="Normal1"/>
      </w:pPr>
      <w:r>
        <w:t xml:space="preserve">In the first case, the actions committed by Hadley are equivalent to some offences which can be discussed under the Theft Act 1968 and the Criminal Damage Act 1971. Hadley has committed some serious offences and those are burglary, </w:t>
      </w:r>
      <w:r w:rsidR="008F79BD">
        <w:t>criminal demag</w:t>
      </w:r>
      <w:r>
        <w:t>, theft</w:t>
      </w:r>
      <w:r w:rsidR="001A31F9">
        <w:t>,</w:t>
      </w:r>
      <w:r w:rsidR="004068AC">
        <w:t>Trepasser</w:t>
      </w:r>
      <w:r>
        <w:t xml:space="preserve"> . The first action, burglary comes under section 9 of the Theft Act 1968</w:t>
      </w:r>
      <w:r w:rsidR="00960956">
        <w:t>.</w:t>
      </w:r>
      <w:r>
        <w:t xml:space="preserve"> </w:t>
      </w:r>
      <w:r w:rsidR="00CC5EDA">
        <w:t>If</w:t>
      </w:r>
      <w:r>
        <w:t xml:space="preserve"> a person will trespass into any building or any part of the building to commit or attempt to commit intent to commit an offence like stealing or causing grievous bodily </w:t>
      </w:r>
      <w:r w:rsidR="00CC5EDA">
        <w:t xml:space="preserve">harm </w:t>
      </w:r>
      <w:r>
        <w:t>to someone, will be noted as burglary (Legislation.gov.uk, 1968). To get charged with burglary the three important elements are building, trespassing, action or attempt of the action or intention of the action of stealing or grievous h</w:t>
      </w:r>
      <w:r w:rsidR="0009543C">
        <w:t>arm</w:t>
      </w:r>
      <w:r>
        <w:t>. The structure of the construction must be like a building and the offender must get into the building or part of it in the case of burglary. In the case of</w:t>
      </w:r>
      <w:r>
        <w:rPr>
          <w:b/>
        </w:rPr>
        <w:t xml:space="preserve"> Moir V Williams,</w:t>
      </w:r>
      <w:r w:rsidR="004555F7">
        <w:rPr>
          <w:b/>
        </w:rPr>
        <w:t>(1982)</w:t>
      </w:r>
      <w:r>
        <w:t xml:space="preserve"> the concept of the building has been defined as an ordinary or usual structure made with bricks or blocks or stone which is covered by a roof (Studocu, 2023). According to the case of </w:t>
      </w:r>
      <w:r>
        <w:rPr>
          <w:b/>
        </w:rPr>
        <w:t>Stevens v Gourley (1859</w:t>
      </w:r>
      <w:r w:rsidR="0014442D">
        <w:rPr>
          <w:b/>
        </w:rPr>
        <w:t>)</w:t>
      </w:r>
      <w:r>
        <w:t xml:space="preserve"> the structure must be of considerable size and should be built with the intention of permanent use or for a considerable time limit. The structures which are movable in structure but made with permanent intentions like offices, stores or workshops also come under the concept of building (Law Teacher, 2021a). As per the law of tort, trespass is a civil wrong and it is an act of intrusion by a person into the land or possession of others without his permission (Laver, 2017). In the case of HEMMINGS V STOKE POGES GC [1920], the court stated that if a person refused to move from the trespassed land, then he should be ejected from there as a reaction. In this case, Hadley entered into the house of Ronan which comprises the features of the building according to the definition and he entered into the building without the permission of Ronan from the back door which is quite clear by his action (Evans, 2023). Besides that, he has taken the Kolex watch from there which belongs to Ronan and that amounts to stealing and therefore, Hadley has reasonable grounds to get charged under section 9 (1) (a) and (b) under burglary under the Theft Act 1968. According to section 9 (3) (a) of the Theft Act, 1968, Hadley will be imprisoned for 14 years for his commitment to burglary as the building was the house of Ronan which is a dwelling (Legislation.gov.uk, 1968).</w:t>
      </w:r>
    </w:p>
    <w:p w14:paraId="00000009" w14:textId="6C735123" w:rsidR="000E0BA2" w:rsidRDefault="00000000">
      <w:pPr>
        <w:pStyle w:val="Normal1"/>
      </w:pPr>
      <w:r>
        <w:t xml:space="preserve">According to section 1 (a) of the Theft Act 1968, if a person took any property belonging to another to deprive him permanently by a dishonest means for his self-benefit, then it will be considered theft. There are five essential elements of theft and those are Dishonestly, Appropriates, property, Belonging to another and intending to permanently Deprive. According to section 2 (1) if the person has the lawful right to appropriate the property or the person from whom the property is taken away has the consent then the appropriation will not be dishonest </w:t>
      </w:r>
      <w:r>
        <w:lastRenderedPageBreak/>
        <w:t xml:space="preserve">and according to section 2 (2) is the person is willing to pay against of his appropriation then also the act will not be dishonest. According to section 3 of the act, the appropriation will not be an act of theft if the person has the right to keep or deal with the property though it belongs to others or if he holds good faith in dealing with the property or has legal right or interest on that property, then the appropriation will not amount to theft (Legislation.gov.uk, 1968). According to section 4 of the Theft act, of 1968, the idea of property includes money, a real or personal one, things in action and intangible ones also. As per section 5 of the act, the property must belong to another which means someone else has control over that property. In the case of </w:t>
      </w:r>
      <w:r>
        <w:rPr>
          <w:b/>
        </w:rPr>
        <w:t>R v Turner (1971)</w:t>
      </w:r>
      <w:r>
        <w:t>, the court stated that as the car was bought for repair, it is under the control of the garage and taking it away from there without the permission of the garage owner will amount to guilty of theft for the car owners also</w:t>
      </w:r>
      <w:r w:rsidR="00D92239">
        <w:t>.</w:t>
      </w:r>
      <w:r>
        <w:t xml:space="preserve">According to section 6 of the Theft Act 1968, the person must have a clear intention to deprive the other permanently and that will not include borrowing or the loss of the thing itself. As per the case  </w:t>
      </w:r>
      <w:hyperlink r:id="rId6">
        <w:r>
          <w:rPr>
            <w:b/>
          </w:rPr>
          <w:t>R v Mitchell [2008] EWCA 850</w:t>
        </w:r>
      </w:hyperlink>
      <w:r>
        <w:t xml:space="preserve">, the court stated that nothing other than using the vehicles was the intention of the defendant, which is why he will not be liable to guilty. In this case, Hadley has covered all the elements as he has taken the watch of Kolex from the cupboard of Ronan a dishonest means and he has appropriated that property which used to belong to Ronan and he intended to deprive him permanently. Hadley will not be imprisoned for the charges of these sections for not more than 7 years (cps.gov.uk, 2022a). </w:t>
      </w:r>
    </w:p>
    <w:p w14:paraId="0000000A" w14:textId="455A07F3" w:rsidR="000E0BA2" w:rsidRDefault="00000000">
      <w:pPr>
        <w:pStyle w:val="Normal1"/>
      </w:pPr>
      <w:r>
        <w:t>According to section 1 (1) of the Criminal Damage Act, 1971, if a person commits an action or intends to commit an action by being reckless to destroy or damage the property of another, then the person will be guilty of damaging or destroying property. There are some essential elements which must be present in an action to become an arson and those are property, Belonging to another, Intention to destroy or damage, Reckless and without lawful execution (Legislation.gov.uk, 1971). According to section 10 (1), property includes money, tangible objects and real or personal goods. As per section 10 (2) of the act, the property must be under the control or custody of another or the property must consume the interest of another than the offender or must be under the charge of another. In this case, Hadley destroyed the wooden bench and the dressing room of Ronan which were properties belonging to Ronan and were destroyed by Hadley with clear intention by being reckless as he jumped over the fence and set the fire to the aftershave</w:t>
      </w:r>
      <w:r w:rsidR="00617037">
        <w:t>.</w:t>
      </w:r>
      <w:r>
        <w:t xml:space="preserve">As per the case of </w:t>
      </w:r>
      <w:r>
        <w:rPr>
          <w:b/>
        </w:rPr>
        <w:t>R v Miller [1983] 2 AC 161,</w:t>
      </w:r>
      <w:r>
        <w:t xml:space="preserve"> the court held that the defendant was responsible for causing such a dangerous situation as he had not performed his part of responsibilities which was necessary for the situation and under the reach of the defendant and that is why he is liable for such an incident (Law Teacher, 2021b). In this case, </w:t>
      </w:r>
      <w:r>
        <w:lastRenderedPageBreak/>
        <w:t xml:space="preserve">also Hadley is responsible for the fire as he wanted might avoid the destruction. Both the actus reus which is participation in the crime and mens rea which is the intention to do the crime are present in this case and that is why Hadley will be charged with the offence of arson under section 1(3) of the Criminal Damage Act 1971(ICLR, 2020). </w:t>
      </w:r>
    </w:p>
    <w:p w14:paraId="0000000B" w14:textId="77777777" w:rsidR="000E0BA2" w:rsidRPr="003C0784" w:rsidRDefault="00000000" w:rsidP="003C0784">
      <w:pPr>
        <w:pStyle w:val="Heading1"/>
      </w:pPr>
      <w:bookmarkStart w:id="1" w:name="_Toc123912299"/>
      <w:r w:rsidRPr="003C0784">
        <w:t>Defence of Freya</w:t>
      </w:r>
      <w:bookmarkEnd w:id="1"/>
    </w:p>
    <w:p w14:paraId="0000000C" w14:textId="3A49E65B" w:rsidR="000E0BA2" w:rsidRDefault="00000000">
      <w:pPr>
        <w:pStyle w:val="Normal1"/>
      </w:pPr>
      <w:r>
        <w:t xml:space="preserve">According to section 47 of the Offences Against the Person Act, 1861, if any assault which amounts to bodily harm occurred, then the offender will be imprisoned for 7 years (Legislation.gov.uk, 1861). In this case, if Freya will be charged under this section she might not get the defence of intoxication as according to the case of </w:t>
      </w:r>
      <w:r>
        <w:rPr>
          <w:b/>
        </w:rPr>
        <w:t>R v Kingston - 1994</w:t>
      </w:r>
      <w:r>
        <w:t xml:space="preserve">, if the intention is specific, then a person will not get the defence of drunkenness (Law Teacher, 2021e). According to the case </w:t>
      </w:r>
      <w:r>
        <w:rPr>
          <w:b/>
        </w:rPr>
        <w:t>R v Caldwell (1982)</w:t>
      </w:r>
      <w:r>
        <w:t xml:space="preserve">, self-induced intoxication also will not amount to any defence and in this case, the drinks which were taken by Freya were completely by her own will and therefore, she will not be able to get this defence (Law Teacher, 2021d). But Freya can get the defence of automatism as there are some essential elements of automatism and those are external factors, involuntary conduct and no fault. Automatism is a kind of mental state where the person gets completely unconscious.It is hard to prove by reasonable doubt. In this case, Freya was under the influence of an external factor which was alcohol and she did not do the act wrong voluntarily as she was having a seizure as she was the patient of epilepsy and in this disease, she does not fault as she was not having any physical problem including seizure for last 10 years and it can be said in her defence that the alcohol she had consumed was by innocent that she had no idea that her past issues will rise suddenly. In the case of </w:t>
      </w:r>
      <w:r>
        <w:rPr>
          <w:b/>
        </w:rPr>
        <w:t>Broome v Perkins - 1987,</w:t>
      </w:r>
      <w:r>
        <w:t xml:space="preserve"> the court stated that automatism is implied involuntary movements of the body which might not remain under the control of the person the same has happened to Freya (Law Teacher, 2019). </w:t>
      </w:r>
    </w:p>
    <w:p w14:paraId="0000000D" w14:textId="77777777" w:rsidR="000E0BA2" w:rsidRDefault="000E0BA2">
      <w:pPr>
        <w:pStyle w:val="Normal1"/>
      </w:pPr>
    </w:p>
    <w:p w14:paraId="0000000E" w14:textId="77777777" w:rsidR="000E0BA2" w:rsidRDefault="00000000">
      <w:pPr>
        <w:pStyle w:val="Normal1"/>
      </w:pPr>
      <w:r>
        <w:br w:type="page"/>
      </w:r>
    </w:p>
    <w:p w14:paraId="0000000F" w14:textId="77777777" w:rsidR="000E0BA2" w:rsidRDefault="00000000">
      <w:pPr>
        <w:pStyle w:val="Heading1"/>
      </w:pPr>
      <w:bookmarkStart w:id="2" w:name="_Toc123912300"/>
      <w:r>
        <w:lastRenderedPageBreak/>
        <w:t>References</w:t>
      </w:r>
      <w:bookmarkEnd w:id="2"/>
    </w:p>
    <w:p w14:paraId="1A780D7E" w14:textId="5EF7D7E6" w:rsidR="003C0784" w:rsidRDefault="003C0784">
      <w:pPr>
        <w:pStyle w:val="Normal1"/>
        <w:spacing w:before="240" w:after="240"/>
      </w:pPr>
      <w:r>
        <w:t xml:space="preserve">cps.gov.uk (2022) </w:t>
      </w:r>
      <w:r>
        <w:rPr>
          <w:i/>
        </w:rPr>
        <w:t>Criminal damage</w:t>
      </w:r>
      <w:r>
        <w:t xml:space="preserve">, </w:t>
      </w:r>
      <w:r>
        <w:rPr>
          <w:i/>
        </w:rPr>
        <w:t>Criminal Damage | The Crown Prosecution Service</w:t>
      </w:r>
      <w:r>
        <w:t>.</w:t>
      </w:r>
    </w:p>
    <w:p w14:paraId="0AAA5599" w14:textId="1BDB6C19" w:rsidR="003C0784" w:rsidRDefault="003C0784">
      <w:pPr>
        <w:pStyle w:val="Normal1"/>
        <w:spacing w:before="240" w:after="240"/>
      </w:pPr>
      <w:r>
        <w:t xml:space="preserve">cps.gov.uk (2022) </w:t>
      </w:r>
      <w:r>
        <w:rPr>
          <w:i/>
        </w:rPr>
        <w:t>Theft act offences</w:t>
      </w:r>
      <w:r>
        <w:t xml:space="preserve">, </w:t>
      </w:r>
      <w:r>
        <w:rPr>
          <w:i/>
        </w:rPr>
        <w:t>Theft Act Offences | The Crown Prosecution Service</w:t>
      </w:r>
      <w:r>
        <w:t>.</w:t>
      </w:r>
    </w:p>
    <w:p w14:paraId="20326661" w14:textId="77777777" w:rsidR="00FE6DC5" w:rsidRDefault="003C0784">
      <w:pPr>
        <w:pStyle w:val="Normal1"/>
        <w:spacing w:before="240" w:after="240"/>
      </w:pPr>
      <w:r>
        <w:t xml:space="preserve">Evans, G. (2023) </w:t>
      </w:r>
      <w:r>
        <w:rPr>
          <w:i/>
        </w:rPr>
        <w:t>Trespass to land cases: Digestible notes</w:t>
      </w:r>
      <w:r>
        <w:t xml:space="preserve">, </w:t>
      </w:r>
      <w:r>
        <w:rPr>
          <w:i/>
        </w:rPr>
        <w:t>Trespass to Land Cases | Digestible</w:t>
      </w:r>
      <w:r>
        <w:t xml:space="preserve"> Laver, N. (2017) </w:t>
      </w:r>
      <w:r>
        <w:rPr>
          <w:i/>
        </w:rPr>
        <w:t>Trespass: What is trespass to land?</w:t>
      </w:r>
      <w:r>
        <w:t xml:space="preserve">, </w:t>
      </w:r>
      <w:r>
        <w:rPr>
          <w:i/>
        </w:rPr>
        <w:t>InBrief.co.uk</w:t>
      </w:r>
      <w:r>
        <w:t>.</w:t>
      </w:r>
    </w:p>
    <w:p w14:paraId="4C6C631C" w14:textId="3976DE14" w:rsidR="003C0784" w:rsidRDefault="003C0784">
      <w:pPr>
        <w:pStyle w:val="Normal1"/>
        <w:spacing w:before="240" w:after="240"/>
      </w:pPr>
      <w:r>
        <w:t xml:space="preserve">Law Teacher (2019) </w:t>
      </w:r>
      <w:r>
        <w:rPr>
          <w:i/>
        </w:rPr>
        <w:t>Broome v Perkins - 1987</w:t>
      </w:r>
      <w:r>
        <w:t xml:space="preserve">, </w:t>
      </w:r>
      <w:r>
        <w:rPr>
          <w:i/>
        </w:rPr>
        <w:t>Law Teacher</w:t>
      </w:r>
      <w:r>
        <w:t xml:space="preserve">. LawTeacher. </w:t>
      </w:r>
    </w:p>
    <w:p w14:paraId="75230315" w14:textId="158B96F7" w:rsidR="003C0784" w:rsidRDefault="003C0784">
      <w:pPr>
        <w:pStyle w:val="Normal1"/>
        <w:spacing w:before="240" w:after="240"/>
      </w:pPr>
      <w:r>
        <w:t xml:space="preserve">Law Teacher (2021) </w:t>
      </w:r>
      <w:r>
        <w:rPr>
          <w:i/>
        </w:rPr>
        <w:t>B &amp; S v Leathley - 1979</w:t>
      </w:r>
      <w:r>
        <w:t>. LawTeacher</w:t>
      </w:r>
      <w:r w:rsidR="00260F67">
        <w:t>.</w:t>
      </w:r>
    </w:p>
    <w:p w14:paraId="5B3A3BA2" w14:textId="4D9BF2B6" w:rsidR="003C0784" w:rsidRDefault="003C0784">
      <w:pPr>
        <w:pStyle w:val="Normal1"/>
        <w:spacing w:before="240" w:after="240"/>
      </w:pPr>
      <w:r>
        <w:t xml:space="preserve">Law Teacher (2021) </w:t>
      </w:r>
      <w:r>
        <w:rPr>
          <w:i/>
        </w:rPr>
        <w:t>R v Caldwell</w:t>
      </w:r>
      <w:r>
        <w:t xml:space="preserve">, </w:t>
      </w:r>
      <w:r>
        <w:rPr>
          <w:i/>
        </w:rPr>
        <w:t>Law Teacher</w:t>
      </w:r>
      <w:r>
        <w:t xml:space="preserve">. LawTeacher. </w:t>
      </w:r>
    </w:p>
    <w:p w14:paraId="640E8B31" w14:textId="2B0CD7E6" w:rsidR="003C0784" w:rsidRDefault="003C0784">
      <w:pPr>
        <w:pStyle w:val="Normal1"/>
        <w:spacing w:before="240" w:after="240"/>
      </w:pPr>
      <w:r>
        <w:t xml:space="preserve">Law Teacher (2021) </w:t>
      </w:r>
      <w:r>
        <w:rPr>
          <w:i/>
        </w:rPr>
        <w:t>R v Kingston - 1994</w:t>
      </w:r>
      <w:r>
        <w:t xml:space="preserve">, </w:t>
      </w:r>
      <w:r>
        <w:rPr>
          <w:i/>
        </w:rPr>
        <w:t>Law Teacher</w:t>
      </w:r>
      <w:r>
        <w:t xml:space="preserve">. LawTeacher. </w:t>
      </w:r>
    </w:p>
    <w:p w14:paraId="1CFED2BC" w14:textId="67AD5377" w:rsidR="003C0784" w:rsidRDefault="003C0784">
      <w:pPr>
        <w:pStyle w:val="Normal1"/>
        <w:spacing w:before="240" w:after="240"/>
      </w:pPr>
      <w:r>
        <w:t xml:space="preserve">Law Teacher (2021) </w:t>
      </w:r>
      <w:r>
        <w:rPr>
          <w:i/>
        </w:rPr>
        <w:t>R v Miller [1983] 2 AC 161</w:t>
      </w:r>
      <w:r>
        <w:t xml:space="preserve">. LawTeacher. </w:t>
      </w:r>
    </w:p>
    <w:p w14:paraId="76E73A67" w14:textId="3FEB4583" w:rsidR="003C0784" w:rsidRDefault="003C0784">
      <w:pPr>
        <w:pStyle w:val="Normal1"/>
        <w:spacing w:before="240" w:after="240"/>
      </w:pPr>
      <w:r>
        <w:t xml:space="preserve">Law Teacher (2021) </w:t>
      </w:r>
      <w:r>
        <w:rPr>
          <w:i/>
        </w:rPr>
        <w:t>Theft act 1968 summary</w:t>
      </w:r>
      <w:r>
        <w:t xml:space="preserve">, </w:t>
      </w:r>
      <w:r>
        <w:rPr>
          <w:i/>
        </w:rPr>
        <w:t>Law Teacher</w:t>
      </w:r>
      <w:r>
        <w:t xml:space="preserve">. LawTeacher. </w:t>
      </w:r>
    </w:p>
    <w:p w14:paraId="1FB885E5" w14:textId="57FF0A4A" w:rsidR="003C0784" w:rsidRDefault="003C0784">
      <w:pPr>
        <w:pStyle w:val="Normal1"/>
        <w:spacing w:before="240" w:after="240"/>
      </w:pPr>
      <w:r>
        <w:t xml:space="preserve">Legislation.gov.uk (1861) </w:t>
      </w:r>
      <w:r>
        <w:rPr>
          <w:i/>
        </w:rPr>
        <w:t>Offences against the Person Act 1861</w:t>
      </w:r>
      <w:r>
        <w:t xml:space="preserve">, </w:t>
      </w:r>
      <w:r>
        <w:rPr>
          <w:i/>
        </w:rPr>
        <w:t>Legislation.gov.uk</w:t>
      </w:r>
      <w:r>
        <w:t xml:space="preserve">. Statute Law Database. </w:t>
      </w:r>
    </w:p>
    <w:p w14:paraId="04F55B11" w14:textId="1DC3BFB6" w:rsidR="003C0784" w:rsidRDefault="003C0784">
      <w:pPr>
        <w:pStyle w:val="Normal1"/>
        <w:spacing w:before="240" w:after="240"/>
      </w:pPr>
      <w:r>
        <w:t xml:space="preserve">Legislation.gov.uk (1968) </w:t>
      </w:r>
      <w:r>
        <w:rPr>
          <w:i/>
        </w:rPr>
        <w:t>Theft act 1968</w:t>
      </w:r>
      <w:r>
        <w:t xml:space="preserve">, </w:t>
      </w:r>
      <w:r>
        <w:rPr>
          <w:i/>
        </w:rPr>
        <w:t>Legislation.gov.uk</w:t>
      </w:r>
      <w:r>
        <w:t>. Statute Law Database.</w:t>
      </w:r>
    </w:p>
    <w:p w14:paraId="2CFB35E0" w14:textId="77777777" w:rsidR="00FE6DC5" w:rsidRDefault="003C0784">
      <w:pPr>
        <w:pStyle w:val="Normal1"/>
        <w:spacing w:before="240" w:after="240"/>
      </w:pPr>
      <w:r>
        <w:t xml:space="preserve">Legislation.gov.uk (1971) </w:t>
      </w:r>
      <w:r>
        <w:rPr>
          <w:i/>
        </w:rPr>
        <w:t>Criminal damage act 1971</w:t>
      </w:r>
      <w:r>
        <w:t xml:space="preserve">, </w:t>
      </w:r>
      <w:r>
        <w:rPr>
          <w:i/>
        </w:rPr>
        <w:t>Legislation.gov.uk</w:t>
      </w:r>
      <w:r>
        <w:t>. Statute Law Database.</w:t>
      </w:r>
    </w:p>
    <w:p w14:paraId="2016D744" w14:textId="283C50F9" w:rsidR="003C0784" w:rsidRDefault="003C0784">
      <w:pPr>
        <w:pStyle w:val="Normal1"/>
        <w:spacing w:before="240" w:after="240"/>
      </w:pPr>
      <w:r>
        <w:t xml:space="preserve">Studocu (2023) </w:t>
      </w:r>
      <w:r>
        <w:rPr>
          <w:i/>
        </w:rPr>
        <w:t>Burglary - burglary S9 of Theft Act 1968 s9(1)(a) and s9(1)(b) are two separate offences. s9(1)(a)</w:t>
      </w:r>
      <w:r>
        <w:t xml:space="preserve">, </w:t>
      </w:r>
      <w:r>
        <w:rPr>
          <w:i/>
        </w:rPr>
        <w:t>Studocu</w:t>
      </w:r>
      <w:r>
        <w:t xml:space="preserve">. </w:t>
      </w:r>
    </w:p>
    <w:sectPr w:rsidR="003C0784" w:rsidSect="003C0784">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EDCFE" w14:textId="77777777" w:rsidR="00ED3ECD" w:rsidRDefault="00ED3ECD" w:rsidP="003C0784">
      <w:pPr>
        <w:spacing w:line="240" w:lineRule="auto"/>
      </w:pPr>
      <w:r>
        <w:separator/>
      </w:r>
    </w:p>
  </w:endnote>
  <w:endnote w:type="continuationSeparator" w:id="0">
    <w:p w14:paraId="704084B6" w14:textId="77777777" w:rsidR="00ED3ECD" w:rsidRDefault="00ED3ECD" w:rsidP="003C07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498647"/>
      <w:docPartObj>
        <w:docPartGallery w:val="Page Numbers (Bottom of Page)"/>
        <w:docPartUnique/>
      </w:docPartObj>
    </w:sdtPr>
    <w:sdtContent>
      <w:sdt>
        <w:sdtPr>
          <w:id w:val="-1769616900"/>
          <w:docPartObj>
            <w:docPartGallery w:val="Page Numbers (Top of Page)"/>
            <w:docPartUnique/>
          </w:docPartObj>
        </w:sdtPr>
        <w:sdtContent>
          <w:p w14:paraId="7B3FCEE8" w14:textId="21595FE8" w:rsidR="003C0784" w:rsidRDefault="003C078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8960357" w14:textId="77777777" w:rsidR="003C0784" w:rsidRDefault="003C0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D6609" w14:textId="77777777" w:rsidR="00ED3ECD" w:rsidRDefault="00ED3ECD" w:rsidP="003C0784">
      <w:pPr>
        <w:spacing w:line="240" w:lineRule="auto"/>
      </w:pPr>
      <w:r>
        <w:separator/>
      </w:r>
    </w:p>
  </w:footnote>
  <w:footnote w:type="continuationSeparator" w:id="0">
    <w:p w14:paraId="2ACE183D" w14:textId="77777777" w:rsidR="00ED3ECD" w:rsidRDefault="00ED3ECD" w:rsidP="003C078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BA2"/>
    <w:rsid w:val="0002457B"/>
    <w:rsid w:val="0009543C"/>
    <w:rsid w:val="000E0BA2"/>
    <w:rsid w:val="000E4EF3"/>
    <w:rsid w:val="0014442D"/>
    <w:rsid w:val="001A31F9"/>
    <w:rsid w:val="00211EFB"/>
    <w:rsid w:val="00260F67"/>
    <w:rsid w:val="00305C30"/>
    <w:rsid w:val="0034191C"/>
    <w:rsid w:val="003C0784"/>
    <w:rsid w:val="003E7E63"/>
    <w:rsid w:val="004068AC"/>
    <w:rsid w:val="00423816"/>
    <w:rsid w:val="004266B4"/>
    <w:rsid w:val="00435886"/>
    <w:rsid w:val="004555F7"/>
    <w:rsid w:val="004C3028"/>
    <w:rsid w:val="0055653E"/>
    <w:rsid w:val="005A5BF2"/>
    <w:rsid w:val="005B4D5A"/>
    <w:rsid w:val="0061643B"/>
    <w:rsid w:val="00617037"/>
    <w:rsid w:val="008719FA"/>
    <w:rsid w:val="00893006"/>
    <w:rsid w:val="008B3A90"/>
    <w:rsid w:val="008F79BD"/>
    <w:rsid w:val="00960956"/>
    <w:rsid w:val="00B17CDF"/>
    <w:rsid w:val="00B5517E"/>
    <w:rsid w:val="00BA6073"/>
    <w:rsid w:val="00BC2B62"/>
    <w:rsid w:val="00C84AF2"/>
    <w:rsid w:val="00CC5EDA"/>
    <w:rsid w:val="00D92239"/>
    <w:rsid w:val="00ED1322"/>
    <w:rsid w:val="00ED3ECD"/>
    <w:rsid w:val="00FE6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D0E8A"/>
  <w15:docId w15:val="{7B39EFC4-43BC-44F0-AC50-80BF187B2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3C0784"/>
    <w:pPr>
      <w:tabs>
        <w:tab w:val="center" w:pos="4680"/>
        <w:tab w:val="right" w:pos="9360"/>
      </w:tabs>
      <w:spacing w:line="240" w:lineRule="auto"/>
    </w:pPr>
  </w:style>
  <w:style w:type="character" w:customStyle="1" w:styleId="HeaderChar">
    <w:name w:val="Header Char"/>
    <w:basedOn w:val="DefaultParagraphFont"/>
    <w:link w:val="Header"/>
    <w:uiPriority w:val="99"/>
    <w:rsid w:val="003C0784"/>
  </w:style>
  <w:style w:type="paragraph" w:styleId="Footer">
    <w:name w:val="footer"/>
    <w:basedOn w:val="Normal"/>
    <w:link w:val="FooterChar"/>
    <w:uiPriority w:val="99"/>
    <w:unhideWhenUsed/>
    <w:rsid w:val="003C0784"/>
    <w:pPr>
      <w:tabs>
        <w:tab w:val="center" w:pos="4680"/>
        <w:tab w:val="right" w:pos="9360"/>
      </w:tabs>
      <w:spacing w:line="240" w:lineRule="auto"/>
    </w:pPr>
  </w:style>
  <w:style w:type="character" w:customStyle="1" w:styleId="FooterChar">
    <w:name w:val="Footer Char"/>
    <w:basedOn w:val="DefaultParagraphFont"/>
    <w:link w:val="Footer"/>
    <w:uiPriority w:val="99"/>
    <w:rsid w:val="003C0784"/>
  </w:style>
  <w:style w:type="paragraph" w:styleId="TOC1">
    <w:name w:val="toc 1"/>
    <w:basedOn w:val="Normal"/>
    <w:next w:val="Normal"/>
    <w:autoRedefine/>
    <w:uiPriority w:val="39"/>
    <w:unhideWhenUsed/>
    <w:rsid w:val="003C0784"/>
    <w:pPr>
      <w:spacing w:after="100"/>
    </w:pPr>
  </w:style>
  <w:style w:type="character" w:styleId="Hyperlink">
    <w:name w:val="Hyperlink"/>
    <w:basedOn w:val="DefaultParagraphFont"/>
    <w:uiPriority w:val="99"/>
    <w:unhideWhenUsed/>
    <w:rsid w:val="003C07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ilii.org/ew/cases/EWCA/Crim/2008/850.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1420</Words>
  <Characters>8094</Characters>
  <Application>Microsoft Office Word</Application>
  <DocSecurity>0</DocSecurity>
  <Lines>67</Lines>
  <Paragraphs>18</Paragraphs>
  <ScaleCrop>false</ScaleCrop>
  <Company/>
  <LinksUpToDate>false</LinksUpToDate>
  <CharactersWithSpaces>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Saima Adeel Fakhr (2211521)</cp:lastModifiedBy>
  <cp:revision>35</cp:revision>
  <dcterms:created xsi:type="dcterms:W3CDTF">2023-01-08T15:51:00Z</dcterms:created>
  <dcterms:modified xsi:type="dcterms:W3CDTF">2023-01-08T16:30:00Z</dcterms:modified>
</cp:coreProperties>
</file>