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BCE53" w14:textId="77777777" w:rsidR="001A4ACB" w:rsidRPr="00731F40" w:rsidRDefault="001A4ACB" w:rsidP="00731F40">
      <w:pPr>
        <w:spacing w:before="240" w:after="240" w:line="360" w:lineRule="auto"/>
        <w:jc w:val="center"/>
        <w:rPr>
          <w:rFonts w:ascii="Times New Roman" w:eastAsia="Times New Roman" w:hAnsi="Times New Roman" w:cs="Times New Roman"/>
        </w:rPr>
      </w:pPr>
    </w:p>
    <w:p w14:paraId="21D7344D" w14:textId="77777777" w:rsidR="001A4ACB" w:rsidRPr="00731F40" w:rsidRDefault="001A4ACB" w:rsidP="00731F40">
      <w:pPr>
        <w:spacing w:before="240" w:after="240" w:line="360" w:lineRule="auto"/>
        <w:jc w:val="center"/>
        <w:rPr>
          <w:rFonts w:ascii="Times New Roman" w:eastAsia="Times New Roman" w:hAnsi="Times New Roman" w:cs="Times New Roman"/>
        </w:rPr>
      </w:pPr>
    </w:p>
    <w:p w14:paraId="57FE220C" w14:textId="77777777" w:rsidR="001A4ACB" w:rsidRPr="00731F40" w:rsidRDefault="001A4ACB" w:rsidP="00731F40">
      <w:pPr>
        <w:spacing w:before="240" w:after="240" w:line="360" w:lineRule="auto"/>
        <w:jc w:val="center"/>
        <w:rPr>
          <w:rFonts w:ascii="Times New Roman" w:eastAsia="Times New Roman" w:hAnsi="Times New Roman" w:cs="Times New Roman"/>
        </w:rPr>
      </w:pPr>
    </w:p>
    <w:p w14:paraId="4B6D096A" w14:textId="77777777" w:rsidR="001A4ACB" w:rsidRPr="00731F40" w:rsidRDefault="001A4ACB" w:rsidP="00731F40">
      <w:pPr>
        <w:spacing w:before="240" w:after="240" w:line="360" w:lineRule="auto"/>
        <w:jc w:val="center"/>
        <w:rPr>
          <w:rFonts w:ascii="Times New Roman" w:eastAsia="Times New Roman" w:hAnsi="Times New Roman" w:cs="Times New Roman"/>
        </w:rPr>
      </w:pPr>
    </w:p>
    <w:p w14:paraId="310F064B" w14:textId="77777777" w:rsidR="001A4ACB" w:rsidRPr="00731F40" w:rsidRDefault="001A4ACB" w:rsidP="00400920">
      <w:pPr>
        <w:spacing w:line="360" w:lineRule="auto"/>
        <w:rPr>
          <w:rFonts w:ascii="Times New Roman" w:eastAsia="Times New Roman" w:hAnsi="Times New Roman" w:cs="Times New Roman"/>
          <w:b/>
          <w:sz w:val="32"/>
          <w:szCs w:val="32"/>
        </w:rPr>
      </w:pPr>
    </w:p>
    <w:p w14:paraId="7044589F" w14:textId="77777777" w:rsidR="00845DE8" w:rsidRDefault="004905C9" w:rsidP="0040092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Madalina Elena Adavidoai</w:t>
      </w:r>
      <w:r w:rsidR="00845DE8">
        <w:rPr>
          <w:rFonts w:ascii="Times New Roman" w:eastAsia="Times New Roman" w:hAnsi="Times New Roman" w:cs="Times New Roman"/>
          <w:b/>
          <w:sz w:val="32"/>
          <w:szCs w:val="32"/>
        </w:rPr>
        <w:t>e</w:t>
      </w:r>
    </w:p>
    <w:p w14:paraId="5819E4EB" w14:textId="10218051" w:rsidR="004905C9" w:rsidRDefault="004905C9" w:rsidP="0040092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1806712</w:t>
      </w:r>
    </w:p>
    <w:p w14:paraId="3171A295" w14:textId="77777777" w:rsidR="004905C9" w:rsidRDefault="004905C9" w:rsidP="0040092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 title: Management Accounting</w:t>
      </w:r>
    </w:p>
    <w:p w14:paraId="36CE8B67" w14:textId="77777777" w:rsidR="004905C9" w:rsidRDefault="004905C9" w:rsidP="0040092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Cod of the course: LCBB502</w:t>
      </w:r>
    </w:p>
    <w:p w14:paraId="49644DCD" w14:textId="503D18E4" w:rsidR="004905C9" w:rsidRPr="00731F40" w:rsidRDefault="004905C9" w:rsidP="0040092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Isaiah Oino                                                                                                 </w:t>
      </w:r>
    </w:p>
    <w:p w14:paraId="1B299D8A" w14:textId="77777777" w:rsidR="001A4ACB" w:rsidRPr="00731F40" w:rsidRDefault="001A4ACB" w:rsidP="00731F40">
      <w:pPr>
        <w:spacing w:before="240" w:after="240" w:line="360" w:lineRule="auto"/>
        <w:jc w:val="center"/>
        <w:rPr>
          <w:rFonts w:ascii="Times New Roman" w:eastAsia="Times New Roman" w:hAnsi="Times New Roman" w:cs="Times New Roman"/>
          <w:b/>
          <w:sz w:val="32"/>
          <w:szCs w:val="32"/>
        </w:rPr>
      </w:pPr>
    </w:p>
    <w:p w14:paraId="268D77B9" w14:textId="77777777" w:rsidR="001A4ACB" w:rsidRPr="00731F40" w:rsidRDefault="001A4ACB" w:rsidP="00731F40">
      <w:pPr>
        <w:spacing w:before="240" w:after="240" w:line="360" w:lineRule="auto"/>
        <w:rPr>
          <w:rFonts w:ascii="Times New Roman" w:eastAsia="Times New Roman" w:hAnsi="Times New Roman" w:cs="Times New Roman"/>
          <w:b/>
          <w:sz w:val="32"/>
          <w:szCs w:val="32"/>
        </w:rPr>
      </w:pPr>
    </w:p>
    <w:p w14:paraId="1C36BDB7" w14:textId="77777777" w:rsidR="001A4ACB" w:rsidRPr="00731F40" w:rsidRDefault="001A4ACB" w:rsidP="00731F40">
      <w:pPr>
        <w:spacing w:before="240" w:after="240" w:line="360" w:lineRule="auto"/>
        <w:jc w:val="center"/>
        <w:rPr>
          <w:rFonts w:ascii="Times New Roman" w:eastAsia="Times New Roman" w:hAnsi="Times New Roman" w:cs="Times New Roman"/>
          <w:b/>
          <w:sz w:val="32"/>
          <w:szCs w:val="32"/>
        </w:rPr>
      </w:pPr>
    </w:p>
    <w:p w14:paraId="01F90423"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492055B5"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7884D3EC"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1AC30D68"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6497AAE7" w14:textId="77777777" w:rsidR="00845DE8" w:rsidRDefault="00845DE8" w:rsidP="00845DE8">
      <w:pPr>
        <w:spacing w:before="240" w:after="240" w:line="360" w:lineRule="auto"/>
        <w:rPr>
          <w:rFonts w:ascii="Times New Roman" w:eastAsia="Times New Roman" w:hAnsi="Times New Roman" w:cs="Times New Roman"/>
          <w:b/>
        </w:rPr>
      </w:pPr>
    </w:p>
    <w:p w14:paraId="55A4DFBA" w14:textId="77777777" w:rsidR="00845DE8" w:rsidRDefault="00845DE8" w:rsidP="00845DE8">
      <w:pPr>
        <w:spacing w:before="240" w:after="240" w:line="360" w:lineRule="auto"/>
        <w:rPr>
          <w:rFonts w:ascii="Times New Roman" w:eastAsia="Times New Roman" w:hAnsi="Times New Roman" w:cs="Times New Roman"/>
          <w:b/>
        </w:rPr>
      </w:pPr>
    </w:p>
    <w:p w14:paraId="5E23066A" w14:textId="77777777" w:rsidR="00845DE8" w:rsidRDefault="00845DE8" w:rsidP="00845DE8">
      <w:pPr>
        <w:spacing w:before="240" w:after="240" w:line="360" w:lineRule="auto"/>
        <w:rPr>
          <w:rFonts w:ascii="Times New Roman" w:eastAsia="Times New Roman" w:hAnsi="Times New Roman" w:cs="Times New Roman"/>
          <w:b/>
        </w:rPr>
      </w:pPr>
    </w:p>
    <w:p w14:paraId="4BC3F6EC" w14:textId="77777777" w:rsidR="003B082C" w:rsidRDefault="00845DE8" w:rsidP="00845DE8">
      <w:pPr>
        <w:spacing w:before="240" w:after="240" w:line="360" w:lineRule="auto"/>
        <w:rPr>
          <w:rFonts w:ascii="Times New Roman" w:eastAsia="Times New Roman" w:hAnsi="Times New Roman" w:cs="Times New Roman"/>
          <w:b/>
        </w:rPr>
      </w:pPr>
      <w:r>
        <w:rPr>
          <w:rFonts w:ascii="Times New Roman" w:eastAsia="Times New Roman" w:hAnsi="Times New Roman" w:cs="Times New Roman"/>
          <w:b/>
        </w:rPr>
        <w:t xml:space="preserve">                                                                      </w:t>
      </w:r>
      <w:r w:rsidR="003B082C">
        <w:rPr>
          <w:rFonts w:ascii="Times New Roman" w:eastAsia="Times New Roman" w:hAnsi="Times New Roman" w:cs="Times New Roman"/>
          <w:b/>
        </w:rPr>
        <w:t xml:space="preserve"> </w:t>
      </w:r>
      <w:r>
        <w:rPr>
          <w:rFonts w:ascii="Times New Roman" w:eastAsia="Times New Roman" w:hAnsi="Times New Roman" w:cs="Times New Roman"/>
          <w:b/>
        </w:rPr>
        <w:t xml:space="preserve">  </w:t>
      </w:r>
    </w:p>
    <w:p w14:paraId="57CF3420" w14:textId="77777777" w:rsidR="003B082C" w:rsidRDefault="003B082C" w:rsidP="00845DE8">
      <w:pPr>
        <w:spacing w:before="240" w:after="240" w:line="360" w:lineRule="auto"/>
        <w:rPr>
          <w:rFonts w:ascii="Times New Roman" w:eastAsia="Times New Roman" w:hAnsi="Times New Roman" w:cs="Times New Roman"/>
          <w:b/>
        </w:rPr>
      </w:pPr>
    </w:p>
    <w:p w14:paraId="1E0F15C5" w14:textId="05E9CC1F" w:rsidR="001A4ACB" w:rsidRPr="00731F40" w:rsidRDefault="003B082C" w:rsidP="00845DE8">
      <w:pPr>
        <w:spacing w:before="240" w:after="240" w:line="360" w:lineRule="auto"/>
        <w:rPr>
          <w:rFonts w:ascii="Times New Roman" w:eastAsia="Times New Roman" w:hAnsi="Times New Roman" w:cs="Times New Roman"/>
          <w:b/>
        </w:rPr>
      </w:pPr>
      <w:r>
        <w:rPr>
          <w:rFonts w:ascii="Times New Roman" w:eastAsia="Times New Roman" w:hAnsi="Times New Roman" w:cs="Times New Roman"/>
          <w:b/>
        </w:rPr>
        <w:lastRenderedPageBreak/>
        <w:t xml:space="preserve">                                                                      </w:t>
      </w:r>
      <w:r w:rsidR="00964400" w:rsidRPr="00731F40">
        <w:rPr>
          <w:rFonts w:ascii="Times New Roman" w:eastAsia="Times New Roman" w:hAnsi="Times New Roman" w:cs="Times New Roman"/>
          <w:b/>
        </w:rPr>
        <w:t>Table of Contents</w:t>
      </w:r>
    </w:p>
    <w:p w14:paraId="0D72201F" w14:textId="77777777" w:rsidR="003B082C" w:rsidRDefault="003B082C" w:rsidP="00D619A9">
      <w:pPr>
        <w:pStyle w:val="TOC1"/>
        <w:tabs>
          <w:tab w:val="right" w:leader="dot" w:pos="9019"/>
        </w:tabs>
        <w:spacing w:line="360" w:lineRule="auto"/>
        <w:jc w:val="both"/>
        <w:rPr>
          <w:rFonts w:ascii="Times New Roman" w:eastAsia="Times New Roman" w:hAnsi="Times New Roman" w:cs="Times New Roman"/>
          <w:b/>
          <w:i/>
          <w:sz w:val="24"/>
          <w:szCs w:val="24"/>
        </w:rPr>
      </w:pPr>
    </w:p>
    <w:p w14:paraId="334E4182" w14:textId="77777777" w:rsidR="003B082C" w:rsidRDefault="003B082C" w:rsidP="00D619A9">
      <w:pPr>
        <w:pStyle w:val="TOC1"/>
        <w:tabs>
          <w:tab w:val="right" w:leader="dot" w:pos="9019"/>
        </w:tabs>
        <w:spacing w:line="360" w:lineRule="auto"/>
        <w:jc w:val="both"/>
        <w:rPr>
          <w:rFonts w:ascii="Times New Roman" w:eastAsia="Times New Roman" w:hAnsi="Times New Roman" w:cs="Times New Roman"/>
          <w:b/>
          <w:i/>
          <w:sz w:val="24"/>
          <w:szCs w:val="24"/>
        </w:rPr>
      </w:pPr>
    </w:p>
    <w:p w14:paraId="43C2E222" w14:textId="619B98FC" w:rsidR="00D619A9" w:rsidRPr="00D619A9" w:rsidRDefault="0068665F" w:rsidP="00D619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D619A9">
        <w:rPr>
          <w:rFonts w:ascii="Times New Roman" w:eastAsia="Times New Roman" w:hAnsi="Times New Roman" w:cs="Times New Roman"/>
          <w:b/>
          <w:i/>
          <w:sz w:val="24"/>
          <w:szCs w:val="24"/>
        </w:rPr>
        <w:fldChar w:fldCharType="begin"/>
      </w:r>
      <w:r w:rsidRPr="00D619A9">
        <w:rPr>
          <w:rFonts w:ascii="Times New Roman" w:eastAsia="Times New Roman" w:hAnsi="Times New Roman" w:cs="Times New Roman"/>
          <w:b/>
          <w:i/>
          <w:sz w:val="24"/>
          <w:szCs w:val="24"/>
        </w:rPr>
        <w:instrText xml:space="preserve"> TOC \o "1-3" \h \z \u </w:instrText>
      </w:r>
      <w:r w:rsidRPr="00D619A9">
        <w:rPr>
          <w:rFonts w:ascii="Times New Roman" w:eastAsia="Times New Roman" w:hAnsi="Times New Roman" w:cs="Times New Roman"/>
          <w:b/>
          <w:i/>
          <w:sz w:val="24"/>
          <w:szCs w:val="24"/>
        </w:rPr>
        <w:fldChar w:fldCharType="separate"/>
      </w:r>
      <w:hyperlink w:anchor="_Toc37278987" w:history="1">
        <w:r w:rsidR="00D619A9" w:rsidRPr="00D619A9">
          <w:rPr>
            <w:rStyle w:val="Hyperlink"/>
            <w:rFonts w:ascii="Times New Roman" w:hAnsi="Times New Roman" w:cs="Times New Roman"/>
            <w:noProof/>
            <w:sz w:val="24"/>
            <w:szCs w:val="24"/>
          </w:rPr>
          <w:t>Introduction</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2</w:t>
        </w:r>
      </w:hyperlink>
    </w:p>
    <w:p w14:paraId="266A1BB4" w14:textId="6B965878" w:rsidR="00D619A9" w:rsidRPr="00D619A9" w:rsidRDefault="002C4D1D" w:rsidP="00D619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88" w:history="1">
        <w:r w:rsidR="00D619A9" w:rsidRPr="00D619A9">
          <w:rPr>
            <w:rStyle w:val="Hyperlink"/>
            <w:rFonts w:ascii="Times New Roman" w:hAnsi="Times New Roman" w:cs="Times New Roman"/>
            <w:noProof/>
            <w:sz w:val="24"/>
            <w:szCs w:val="24"/>
          </w:rPr>
          <w:t xml:space="preserve">Part </w:t>
        </w:r>
        <w:r w:rsidR="004905C9">
          <w:rPr>
            <w:rStyle w:val="Hyperlink"/>
            <w:rFonts w:ascii="Times New Roman" w:hAnsi="Times New Roman" w:cs="Times New Roman"/>
            <w:noProof/>
            <w:sz w:val="24"/>
            <w:szCs w:val="24"/>
          </w:rPr>
          <w:t>A</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2</w:t>
        </w:r>
      </w:hyperlink>
    </w:p>
    <w:p w14:paraId="4FB58AB4" w14:textId="359D562A"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89" w:history="1">
        <w:r w:rsidR="00D619A9" w:rsidRPr="00D619A9">
          <w:rPr>
            <w:rStyle w:val="Hyperlink"/>
            <w:rFonts w:ascii="Times New Roman" w:hAnsi="Times New Roman" w:cs="Times New Roman"/>
            <w:noProof/>
            <w:sz w:val="24"/>
            <w:szCs w:val="24"/>
          </w:rPr>
          <w:t>1: Calculation of absorption costing</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2</w:t>
        </w:r>
      </w:hyperlink>
    </w:p>
    <w:p w14:paraId="0296EBB8" w14:textId="2F8755ED"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0" w:history="1">
        <w:r w:rsidR="00D619A9" w:rsidRPr="00D619A9">
          <w:rPr>
            <w:rStyle w:val="Hyperlink"/>
            <w:rFonts w:ascii="Times New Roman" w:hAnsi="Times New Roman" w:cs="Times New Roman"/>
            <w:noProof/>
            <w:sz w:val="24"/>
            <w:szCs w:val="24"/>
          </w:rPr>
          <w:t>2: Calculation of activity based costing</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3</w:t>
        </w:r>
      </w:hyperlink>
    </w:p>
    <w:p w14:paraId="72DD9A87" w14:textId="4BC7BA92"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1" w:history="1">
        <w:r w:rsidR="00D619A9" w:rsidRPr="00D619A9">
          <w:rPr>
            <w:rStyle w:val="Hyperlink"/>
            <w:rFonts w:ascii="Times New Roman" w:hAnsi="Times New Roman" w:cs="Times New Roman"/>
            <w:noProof/>
            <w:sz w:val="24"/>
            <w:szCs w:val="24"/>
          </w:rPr>
          <w:t>3: Critical evaluation of costing methods</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3</w:t>
        </w:r>
      </w:hyperlink>
    </w:p>
    <w:p w14:paraId="3A7E1F16" w14:textId="5A4011C0" w:rsidR="00D619A9" w:rsidRPr="00D619A9" w:rsidRDefault="002C4D1D" w:rsidP="00D619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2" w:history="1">
        <w:r w:rsidR="00D619A9" w:rsidRPr="00D619A9">
          <w:rPr>
            <w:rStyle w:val="Hyperlink"/>
            <w:rFonts w:ascii="Times New Roman" w:hAnsi="Times New Roman" w:cs="Times New Roman"/>
            <w:noProof/>
            <w:sz w:val="24"/>
            <w:szCs w:val="24"/>
          </w:rPr>
          <w:t xml:space="preserve">Part </w:t>
        </w:r>
        <w:r w:rsidR="004905C9">
          <w:rPr>
            <w:rStyle w:val="Hyperlink"/>
            <w:rFonts w:ascii="Times New Roman" w:hAnsi="Times New Roman" w:cs="Times New Roman"/>
            <w:noProof/>
            <w:sz w:val="24"/>
            <w:szCs w:val="24"/>
          </w:rPr>
          <w:t>B</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6</w:t>
        </w:r>
      </w:hyperlink>
    </w:p>
    <w:p w14:paraId="137B6B15" w14:textId="028222D2"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3" w:history="1">
        <w:r w:rsidR="00D619A9" w:rsidRPr="00D619A9">
          <w:rPr>
            <w:rStyle w:val="Hyperlink"/>
            <w:rFonts w:ascii="Times New Roman" w:hAnsi="Times New Roman" w:cs="Times New Roman"/>
            <w:noProof/>
            <w:sz w:val="24"/>
            <w:szCs w:val="24"/>
          </w:rPr>
          <w:t>Relevance of break-even analysis in 21st Century</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6</w:t>
        </w:r>
      </w:hyperlink>
    </w:p>
    <w:p w14:paraId="00C7C12D" w14:textId="70071716"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4" w:history="1">
        <w:r w:rsidR="00D619A9" w:rsidRPr="00D619A9">
          <w:rPr>
            <w:rStyle w:val="Hyperlink"/>
            <w:rFonts w:ascii="Times New Roman" w:hAnsi="Times New Roman" w:cs="Times New Roman"/>
            <w:noProof/>
            <w:sz w:val="24"/>
            <w:szCs w:val="24"/>
          </w:rPr>
          <w:t>a: Production of multiple lines of products</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6</w:t>
        </w:r>
      </w:hyperlink>
    </w:p>
    <w:p w14:paraId="0A4A85D6" w14:textId="31420F79" w:rsidR="00D619A9" w:rsidRPr="00D619A9" w:rsidRDefault="002C4D1D" w:rsidP="00D619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5" w:history="1">
        <w:r w:rsidR="00D619A9" w:rsidRPr="00D619A9">
          <w:rPr>
            <w:rStyle w:val="Hyperlink"/>
            <w:rFonts w:ascii="Times New Roman" w:hAnsi="Times New Roman" w:cs="Times New Roman"/>
            <w:noProof/>
            <w:sz w:val="24"/>
            <w:szCs w:val="24"/>
          </w:rPr>
          <w:t>b: Series of intra-group trading</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9</w:t>
        </w:r>
      </w:hyperlink>
    </w:p>
    <w:p w14:paraId="67FD15D8" w14:textId="2FF30D0D" w:rsidR="00D619A9" w:rsidRPr="00D619A9" w:rsidRDefault="002C4D1D" w:rsidP="00D619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6" w:history="1">
        <w:r w:rsidR="00D619A9" w:rsidRPr="00D619A9">
          <w:rPr>
            <w:rStyle w:val="Hyperlink"/>
            <w:rFonts w:ascii="Times New Roman" w:hAnsi="Times New Roman" w:cs="Times New Roman"/>
            <w:noProof/>
            <w:sz w:val="24"/>
            <w:szCs w:val="24"/>
          </w:rPr>
          <w:t>Conclusion</w:t>
        </w:r>
        <w:r w:rsidR="00D619A9" w:rsidRPr="00D619A9">
          <w:rPr>
            <w:rFonts w:ascii="Times New Roman" w:hAnsi="Times New Roman" w:cs="Times New Roman"/>
            <w:noProof/>
            <w:webHidden/>
            <w:sz w:val="24"/>
            <w:szCs w:val="24"/>
          </w:rPr>
          <w:tab/>
        </w:r>
        <w:r w:rsidR="00D619A9" w:rsidRPr="00D619A9">
          <w:rPr>
            <w:rFonts w:ascii="Times New Roman" w:hAnsi="Times New Roman" w:cs="Times New Roman"/>
            <w:noProof/>
            <w:webHidden/>
            <w:sz w:val="24"/>
            <w:szCs w:val="24"/>
          </w:rPr>
          <w:fldChar w:fldCharType="begin"/>
        </w:r>
        <w:r w:rsidR="00D619A9" w:rsidRPr="00D619A9">
          <w:rPr>
            <w:rFonts w:ascii="Times New Roman" w:hAnsi="Times New Roman" w:cs="Times New Roman"/>
            <w:noProof/>
            <w:webHidden/>
            <w:sz w:val="24"/>
            <w:szCs w:val="24"/>
          </w:rPr>
          <w:instrText xml:space="preserve"> PAGEREF _Toc37278996 \h </w:instrText>
        </w:r>
        <w:r w:rsidR="00D619A9" w:rsidRPr="00D619A9">
          <w:rPr>
            <w:rFonts w:ascii="Times New Roman" w:hAnsi="Times New Roman" w:cs="Times New Roman"/>
            <w:noProof/>
            <w:webHidden/>
            <w:sz w:val="24"/>
            <w:szCs w:val="24"/>
          </w:rPr>
        </w:r>
        <w:r w:rsidR="00D619A9" w:rsidRPr="00D619A9">
          <w:rPr>
            <w:rFonts w:ascii="Times New Roman" w:hAnsi="Times New Roman" w:cs="Times New Roman"/>
            <w:noProof/>
            <w:webHidden/>
            <w:sz w:val="24"/>
            <w:szCs w:val="24"/>
          </w:rPr>
          <w:fldChar w:fldCharType="separate"/>
        </w:r>
        <w:r w:rsidR="00D619A9" w:rsidRPr="00D619A9">
          <w:rPr>
            <w:rFonts w:ascii="Times New Roman" w:hAnsi="Times New Roman" w:cs="Times New Roman"/>
            <w:noProof/>
            <w:webHidden/>
            <w:sz w:val="24"/>
            <w:szCs w:val="24"/>
          </w:rPr>
          <w:t>1</w:t>
        </w:r>
        <w:r w:rsidR="003B082C">
          <w:rPr>
            <w:rFonts w:ascii="Times New Roman" w:hAnsi="Times New Roman" w:cs="Times New Roman"/>
            <w:noProof/>
            <w:webHidden/>
            <w:sz w:val="24"/>
            <w:szCs w:val="24"/>
          </w:rPr>
          <w:t>0</w:t>
        </w:r>
        <w:r w:rsidR="00D619A9" w:rsidRPr="00D619A9">
          <w:rPr>
            <w:rFonts w:ascii="Times New Roman" w:hAnsi="Times New Roman" w:cs="Times New Roman"/>
            <w:noProof/>
            <w:webHidden/>
            <w:sz w:val="24"/>
            <w:szCs w:val="24"/>
          </w:rPr>
          <w:fldChar w:fldCharType="end"/>
        </w:r>
      </w:hyperlink>
    </w:p>
    <w:p w14:paraId="733BE029" w14:textId="2EFD7D44" w:rsidR="00D619A9" w:rsidRPr="00D619A9" w:rsidRDefault="002C4D1D" w:rsidP="00D619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37278997" w:history="1">
        <w:r w:rsidR="00D619A9" w:rsidRPr="00D619A9">
          <w:rPr>
            <w:rStyle w:val="Hyperlink"/>
            <w:rFonts w:ascii="Times New Roman" w:hAnsi="Times New Roman" w:cs="Times New Roman"/>
            <w:noProof/>
            <w:sz w:val="24"/>
            <w:szCs w:val="24"/>
          </w:rPr>
          <w:t>References</w:t>
        </w:r>
        <w:r w:rsidR="00D619A9" w:rsidRPr="00D619A9">
          <w:rPr>
            <w:rFonts w:ascii="Times New Roman" w:hAnsi="Times New Roman" w:cs="Times New Roman"/>
            <w:noProof/>
            <w:webHidden/>
            <w:sz w:val="24"/>
            <w:szCs w:val="24"/>
          </w:rPr>
          <w:tab/>
        </w:r>
        <w:r w:rsidR="003B082C">
          <w:rPr>
            <w:rFonts w:ascii="Times New Roman" w:hAnsi="Times New Roman" w:cs="Times New Roman"/>
            <w:noProof/>
            <w:webHidden/>
            <w:sz w:val="24"/>
            <w:szCs w:val="24"/>
          </w:rPr>
          <w:t>11</w:t>
        </w:r>
      </w:hyperlink>
    </w:p>
    <w:p w14:paraId="5B138193" w14:textId="77777777" w:rsidR="001A4ACB" w:rsidRPr="00A3074C" w:rsidRDefault="0068665F" w:rsidP="00D619A9">
      <w:pPr>
        <w:spacing w:before="240" w:after="240" w:line="360" w:lineRule="auto"/>
        <w:jc w:val="both"/>
        <w:rPr>
          <w:rFonts w:ascii="Times New Roman" w:eastAsia="Times New Roman" w:hAnsi="Times New Roman" w:cs="Times New Roman"/>
        </w:rPr>
      </w:pPr>
      <w:r w:rsidRPr="00D619A9">
        <w:rPr>
          <w:rFonts w:ascii="Times New Roman" w:eastAsia="Times New Roman" w:hAnsi="Times New Roman" w:cs="Times New Roman"/>
          <w:b/>
          <w:i/>
          <w:sz w:val="24"/>
          <w:szCs w:val="24"/>
        </w:rPr>
        <w:fldChar w:fldCharType="end"/>
      </w:r>
    </w:p>
    <w:p w14:paraId="165EC7D6"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4D2511A4"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2222A38F"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25E97CC4"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0964408D"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660D106D"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1E3C1013"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014160A7" w14:textId="77777777" w:rsidR="001A4ACB" w:rsidRPr="00731F40" w:rsidRDefault="001A4ACB" w:rsidP="00731F40">
      <w:pPr>
        <w:spacing w:before="240" w:after="240" w:line="360" w:lineRule="auto"/>
        <w:jc w:val="center"/>
        <w:rPr>
          <w:rFonts w:ascii="Times New Roman" w:eastAsia="Times New Roman" w:hAnsi="Times New Roman" w:cs="Times New Roman"/>
          <w:b/>
        </w:rPr>
      </w:pPr>
    </w:p>
    <w:p w14:paraId="44259F8A" w14:textId="77777777" w:rsidR="001A4ACB" w:rsidRPr="00731F40" w:rsidRDefault="00964400" w:rsidP="00731F40">
      <w:pPr>
        <w:spacing w:before="240" w:after="240" w:line="360" w:lineRule="auto"/>
        <w:jc w:val="center"/>
        <w:rPr>
          <w:rFonts w:ascii="Times New Roman" w:eastAsia="Times New Roman" w:hAnsi="Times New Roman" w:cs="Times New Roman"/>
          <w:b/>
        </w:rPr>
      </w:pPr>
      <w:r w:rsidRPr="00731F40">
        <w:br w:type="page"/>
      </w:r>
    </w:p>
    <w:p w14:paraId="726645CD" w14:textId="77777777" w:rsidR="001A4ACB" w:rsidRPr="00731F40" w:rsidRDefault="00964400" w:rsidP="0068665F">
      <w:pPr>
        <w:pStyle w:val="Heading1"/>
      </w:pPr>
      <w:bookmarkStart w:id="0" w:name="_Toc37278987"/>
      <w:r w:rsidRPr="0068665F">
        <w:lastRenderedPageBreak/>
        <w:t>Introduction</w:t>
      </w:r>
      <w:bookmarkEnd w:id="0"/>
    </w:p>
    <w:p w14:paraId="5890B884"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Management accounting provides policies and procedures used for maintaining financial records of an organisation.  In addition</w:t>
      </w:r>
      <w:r w:rsidR="00731F40">
        <w:rPr>
          <w:rFonts w:ascii="Times New Roman" w:eastAsia="Times New Roman" w:hAnsi="Times New Roman" w:cs="Times New Roman"/>
          <w:sz w:val="24"/>
          <w:szCs w:val="24"/>
        </w:rPr>
        <w:t xml:space="preserve">, </w:t>
      </w:r>
      <w:r w:rsidRPr="00731F40">
        <w:rPr>
          <w:rFonts w:ascii="Times New Roman" w:eastAsia="Times New Roman" w:hAnsi="Times New Roman" w:cs="Times New Roman"/>
          <w:sz w:val="24"/>
          <w:szCs w:val="24"/>
        </w:rPr>
        <w:t xml:space="preserve">MA also includes adequate determination of revenue and cost associated with production. The current study includes determination of costing approaches such as absorption costing and activity costing in Hoffman Ltd.  Besides this, critical evaluation of both the costing </w:t>
      </w:r>
      <w:r w:rsidR="00731F40" w:rsidRPr="00731F40">
        <w:rPr>
          <w:rFonts w:ascii="Times New Roman" w:eastAsia="Times New Roman" w:hAnsi="Times New Roman" w:cs="Times New Roman"/>
          <w:sz w:val="24"/>
          <w:szCs w:val="24"/>
        </w:rPr>
        <w:t>approaches has</w:t>
      </w:r>
      <w:r w:rsidRPr="00731F40">
        <w:rPr>
          <w:rFonts w:ascii="Times New Roman" w:eastAsia="Times New Roman" w:hAnsi="Times New Roman" w:cs="Times New Roman"/>
          <w:sz w:val="24"/>
          <w:szCs w:val="24"/>
        </w:rPr>
        <w:t xml:space="preserve"> been done in the study. Further</w:t>
      </w:r>
      <w:r w:rsidR="00731F40" w:rsidRPr="00731F40">
        <w:rPr>
          <w:rFonts w:ascii="Times New Roman" w:eastAsia="Times New Roman" w:hAnsi="Times New Roman" w:cs="Times New Roman"/>
          <w:sz w:val="24"/>
          <w:szCs w:val="24"/>
        </w:rPr>
        <w:t xml:space="preserve">, </w:t>
      </w:r>
      <w:r w:rsidR="00731F40">
        <w:rPr>
          <w:rFonts w:ascii="Times New Roman" w:eastAsia="Times New Roman" w:hAnsi="Times New Roman" w:cs="Times New Roman"/>
          <w:sz w:val="24"/>
          <w:szCs w:val="24"/>
        </w:rPr>
        <w:t>relevance</w:t>
      </w:r>
      <w:r w:rsidR="00731F40" w:rsidRPr="00731F40">
        <w:rPr>
          <w:rFonts w:ascii="Times New Roman" w:eastAsia="Times New Roman" w:hAnsi="Times New Roman" w:cs="Times New Roman"/>
          <w:sz w:val="24"/>
          <w:szCs w:val="24"/>
        </w:rPr>
        <w:t xml:space="preserve"> of</w:t>
      </w:r>
      <w:r w:rsidRPr="00731F40">
        <w:rPr>
          <w:rFonts w:ascii="Times New Roman" w:eastAsia="Times New Roman" w:hAnsi="Times New Roman" w:cs="Times New Roman"/>
          <w:sz w:val="24"/>
          <w:szCs w:val="24"/>
        </w:rPr>
        <w:t xml:space="preserve"> break-even analysis in the 21st century has been made to understand the performance of companies operating with series of intra-group trading and multiple lines of products. </w:t>
      </w:r>
    </w:p>
    <w:p w14:paraId="43038149" w14:textId="1C9110FF" w:rsidR="001A4ACB" w:rsidRPr="00731F40" w:rsidRDefault="00964400" w:rsidP="0068665F">
      <w:pPr>
        <w:pStyle w:val="Heading1"/>
      </w:pPr>
      <w:bookmarkStart w:id="1" w:name="_Toc37278988"/>
      <w:r w:rsidRPr="00731F40">
        <w:t xml:space="preserve">Part </w:t>
      </w:r>
      <w:bookmarkEnd w:id="1"/>
      <w:r w:rsidR="004905C9">
        <w:t>A</w:t>
      </w:r>
    </w:p>
    <w:p w14:paraId="7883A57B" w14:textId="77777777" w:rsidR="001A4ACB" w:rsidRPr="00731F40" w:rsidRDefault="00964400" w:rsidP="00D619A9">
      <w:pPr>
        <w:pStyle w:val="Heading2"/>
      </w:pPr>
      <w:bookmarkStart w:id="2" w:name="_Toc37278989"/>
      <w:r w:rsidRPr="00731F40">
        <w:t xml:space="preserve">1: Calculation of </w:t>
      </w:r>
      <w:r w:rsidRPr="0068665F">
        <w:t>absorption</w:t>
      </w:r>
      <w:r w:rsidRPr="00731F40">
        <w:t xml:space="preserve"> costing</w:t>
      </w:r>
      <w:bookmarkEnd w:id="2"/>
      <w:r w:rsidRPr="00731F40">
        <w:t xml:space="preserve"> </w:t>
      </w:r>
    </w:p>
    <w:tbl>
      <w:tblPr>
        <w:tblStyle w:val="a"/>
        <w:tblW w:w="9294" w:type="dxa"/>
        <w:tblInd w:w="-5" w:type="dxa"/>
        <w:tblLayout w:type="fixed"/>
        <w:tblLook w:val="0400" w:firstRow="0" w:lastRow="0" w:firstColumn="0" w:lastColumn="0" w:noHBand="0" w:noVBand="1"/>
      </w:tblPr>
      <w:tblGrid>
        <w:gridCol w:w="2125"/>
        <w:gridCol w:w="1393"/>
        <w:gridCol w:w="1902"/>
        <w:gridCol w:w="706"/>
        <w:gridCol w:w="1953"/>
        <w:gridCol w:w="1215"/>
      </w:tblGrid>
      <w:tr w:rsidR="001A4ACB" w:rsidRPr="00731F40" w14:paraId="0C8588EC" w14:textId="77777777" w:rsidTr="00731F40">
        <w:trPr>
          <w:trHeight w:val="348"/>
        </w:trPr>
        <w:tc>
          <w:tcPr>
            <w:tcW w:w="9294" w:type="dxa"/>
            <w:gridSpan w:val="6"/>
            <w:tcBorders>
              <w:top w:val="single" w:sz="4" w:space="0" w:color="000000"/>
              <w:left w:val="single" w:sz="4" w:space="0" w:color="000000"/>
              <w:bottom w:val="single" w:sz="4" w:space="0" w:color="000000"/>
              <w:right w:val="single" w:sz="4" w:space="0" w:color="000000"/>
            </w:tcBorders>
            <w:shd w:val="clear" w:color="auto" w:fill="auto"/>
            <w:vAlign w:val="bottom"/>
          </w:tcPr>
          <w:p w14:paraId="6D706953" w14:textId="77777777" w:rsidR="001A4ACB" w:rsidRPr="00731F40" w:rsidRDefault="00964400" w:rsidP="00731F40">
            <w:pPr>
              <w:spacing w:line="240" w:lineRule="auto"/>
              <w:jc w:val="center"/>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Calculation of Absorption Costing </w:t>
            </w:r>
          </w:p>
        </w:tc>
      </w:tr>
      <w:tr w:rsidR="001A4ACB" w:rsidRPr="00731F40" w14:paraId="41E46305" w14:textId="77777777" w:rsidTr="00731F40">
        <w:trPr>
          <w:trHeight w:val="348"/>
        </w:trPr>
        <w:tc>
          <w:tcPr>
            <w:tcW w:w="2125" w:type="dxa"/>
            <w:vMerge w:val="restart"/>
            <w:tcBorders>
              <w:top w:val="nil"/>
              <w:left w:val="single" w:sz="4" w:space="0" w:color="000000"/>
              <w:bottom w:val="single" w:sz="4" w:space="0" w:color="000000"/>
              <w:right w:val="single" w:sz="4" w:space="0" w:color="000000"/>
            </w:tcBorders>
            <w:shd w:val="clear" w:color="auto" w:fill="auto"/>
            <w:vAlign w:val="bottom"/>
          </w:tcPr>
          <w:p w14:paraId="79E26B45" w14:textId="77777777" w:rsidR="001A4ACB" w:rsidRPr="00731F40" w:rsidRDefault="00964400" w:rsidP="00731F40">
            <w:pPr>
              <w:spacing w:line="240" w:lineRule="auto"/>
              <w:jc w:val="center"/>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Details </w:t>
            </w:r>
          </w:p>
        </w:tc>
        <w:tc>
          <w:tcPr>
            <w:tcW w:w="3295" w:type="dxa"/>
            <w:gridSpan w:val="2"/>
            <w:tcBorders>
              <w:top w:val="single" w:sz="4" w:space="0" w:color="000000"/>
              <w:left w:val="nil"/>
              <w:bottom w:val="single" w:sz="4" w:space="0" w:color="000000"/>
              <w:right w:val="single" w:sz="4" w:space="0" w:color="000000"/>
            </w:tcBorders>
            <w:shd w:val="clear" w:color="auto" w:fill="auto"/>
            <w:vAlign w:val="bottom"/>
          </w:tcPr>
          <w:p w14:paraId="7E3A3657" w14:textId="77777777" w:rsidR="001A4ACB" w:rsidRPr="00731F40" w:rsidRDefault="00964400" w:rsidP="00731F40">
            <w:pPr>
              <w:spacing w:line="240" w:lineRule="auto"/>
              <w:jc w:val="center"/>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Lightweight (LW) </w:t>
            </w:r>
          </w:p>
        </w:tc>
        <w:tc>
          <w:tcPr>
            <w:tcW w:w="2659" w:type="dxa"/>
            <w:gridSpan w:val="2"/>
            <w:tcBorders>
              <w:top w:val="single" w:sz="4" w:space="0" w:color="000000"/>
              <w:left w:val="nil"/>
              <w:bottom w:val="single" w:sz="4" w:space="0" w:color="000000"/>
              <w:right w:val="single" w:sz="4" w:space="0" w:color="000000"/>
            </w:tcBorders>
            <w:shd w:val="clear" w:color="auto" w:fill="auto"/>
            <w:vAlign w:val="bottom"/>
          </w:tcPr>
          <w:p w14:paraId="1A43A69D" w14:textId="77777777" w:rsidR="001A4ACB" w:rsidRPr="00731F40" w:rsidRDefault="00964400" w:rsidP="00731F40">
            <w:pPr>
              <w:spacing w:line="240" w:lineRule="auto"/>
              <w:jc w:val="center"/>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Megarange (MR)</w:t>
            </w:r>
          </w:p>
        </w:tc>
        <w:tc>
          <w:tcPr>
            <w:tcW w:w="1212" w:type="dxa"/>
            <w:vMerge w:val="restart"/>
            <w:tcBorders>
              <w:top w:val="nil"/>
              <w:left w:val="single" w:sz="4" w:space="0" w:color="000000"/>
              <w:bottom w:val="single" w:sz="4" w:space="0" w:color="000000"/>
              <w:right w:val="single" w:sz="4" w:space="0" w:color="000000"/>
            </w:tcBorders>
            <w:shd w:val="clear" w:color="auto" w:fill="auto"/>
            <w:vAlign w:val="bottom"/>
          </w:tcPr>
          <w:p w14:paraId="305B8404" w14:textId="77777777" w:rsidR="001A4ACB" w:rsidRPr="00731F40" w:rsidRDefault="00964400" w:rsidP="00731F40">
            <w:pPr>
              <w:spacing w:line="240" w:lineRule="auto"/>
              <w:jc w:val="center"/>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Total ( £ )</w:t>
            </w:r>
          </w:p>
        </w:tc>
      </w:tr>
      <w:tr w:rsidR="00731F40" w:rsidRPr="00731F40" w14:paraId="0C1EFE99" w14:textId="77777777" w:rsidTr="00731F40">
        <w:trPr>
          <w:trHeight w:val="348"/>
        </w:trPr>
        <w:tc>
          <w:tcPr>
            <w:tcW w:w="2125" w:type="dxa"/>
            <w:vMerge/>
            <w:tcBorders>
              <w:top w:val="nil"/>
              <w:left w:val="single" w:sz="4" w:space="0" w:color="000000"/>
              <w:bottom w:val="single" w:sz="4" w:space="0" w:color="000000"/>
              <w:right w:val="single" w:sz="4" w:space="0" w:color="000000"/>
            </w:tcBorders>
            <w:shd w:val="clear" w:color="auto" w:fill="auto"/>
            <w:vAlign w:val="bottom"/>
          </w:tcPr>
          <w:p w14:paraId="71B7A149" w14:textId="77777777" w:rsidR="001A4ACB" w:rsidRPr="00731F40" w:rsidRDefault="001A4ACB" w:rsidP="00731F4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p>
        </w:tc>
        <w:tc>
          <w:tcPr>
            <w:tcW w:w="1393" w:type="dxa"/>
            <w:tcBorders>
              <w:top w:val="nil"/>
              <w:left w:val="nil"/>
              <w:bottom w:val="single" w:sz="4" w:space="0" w:color="000000"/>
              <w:right w:val="single" w:sz="4" w:space="0" w:color="000000"/>
            </w:tcBorders>
            <w:shd w:val="clear" w:color="auto" w:fill="auto"/>
            <w:vAlign w:val="bottom"/>
          </w:tcPr>
          <w:p w14:paraId="2CB371FF"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Unit</w:t>
            </w:r>
          </w:p>
        </w:tc>
        <w:tc>
          <w:tcPr>
            <w:tcW w:w="1902" w:type="dxa"/>
            <w:tcBorders>
              <w:top w:val="nil"/>
              <w:left w:val="nil"/>
              <w:bottom w:val="single" w:sz="4" w:space="0" w:color="000000"/>
              <w:right w:val="single" w:sz="4" w:space="0" w:color="000000"/>
            </w:tcBorders>
            <w:shd w:val="clear" w:color="auto" w:fill="auto"/>
            <w:vAlign w:val="bottom"/>
          </w:tcPr>
          <w:p w14:paraId="7B28FC81"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Summation ( £ ) </w:t>
            </w:r>
          </w:p>
        </w:tc>
        <w:tc>
          <w:tcPr>
            <w:tcW w:w="706" w:type="dxa"/>
            <w:tcBorders>
              <w:top w:val="nil"/>
              <w:left w:val="nil"/>
              <w:bottom w:val="single" w:sz="4" w:space="0" w:color="000000"/>
              <w:right w:val="single" w:sz="4" w:space="0" w:color="000000"/>
            </w:tcBorders>
            <w:shd w:val="clear" w:color="auto" w:fill="auto"/>
            <w:vAlign w:val="bottom"/>
          </w:tcPr>
          <w:p w14:paraId="6E6BDBE5"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Unit</w:t>
            </w:r>
          </w:p>
        </w:tc>
        <w:tc>
          <w:tcPr>
            <w:tcW w:w="1953" w:type="dxa"/>
            <w:tcBorders>
              <w:top w:val="nil"/>
              <w:left w:val="nil"/>
              <w:bottom w:val="single" w:sz="4" w:space="0" w:color="000000"/>
              <w:right w:val="single" w:sz="4" w:space="0" w:color="000000"/>
            </w:tcBorders>
            <w:shd w:val="clear" w:color="auto" w:fill="auto"/>
            <w:vAlign w:val="bottom"/>
          </w:tcPr>
          <w:p w14:paraId="3ADFC3EC"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Summation ( £ ) </w:t>
            </w:r>
          </w:p>
        </w:tc>
        <w:tc>
          <w:tcPr>
            <w:tcW w:w="1212" w:type="dxa"/>
            <w:vMerge/>
            <w:tcBorders>
              <w:top w:val="nil"/>
              <w:left w:val="single" w:sz="4" w:space="0" w:color="000000"/>
              <w:bottom w:val="single" w:sz="4" w:space="0" w:color="000000"/>
              <w:right w:val="single" w:sz="4" w:space="0" w:color="000000"/>
            </w:tcBorders>
            <w:shd w:val="clear" w:color="auto" w:fill="auto"/>
            <w:vAlign w:val="bottom"/>
          </w:tcPr>
          <w:p w14:paraId="356C0595" w14:textId="77777777" w:rsidR="001A4ACB" w:rsidRPr="00731F40" w:rsidRDefault="001A4ACB" w:rsidP="00731F4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p>
        </w:tc>
      </w:tr>
      <w:tr w:rsidR="00731F40" w:rsidRPr="00731F40" w14:paraId="026AF2CA"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1C19E26A"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Direct Material cost</w:t>
            </w:r>
          </w:p>
        </w:tc>
        <w:tc>
          <w:tcPr>
            <w:tcW w:w="1393" w:type="dxa"/>
            <w:tcBorders>
              <w:top w:val="nil"/>
              <w:left w:val="nil"/>
              <w:bottom w:val="single" w:sz="4" w:space="0" w:color="000000"/>
              <w:right w:val="single" w:sz="4" w:space="0" w:color="000000"/>
            </w:tcBorders>
            <w:shd w:val="clear" w:color="auto" w:fill="auto"/>
            <w:vAlign w:val="bottom"/>
          </w:tcPr>
          <w:p w14:paraId="280FC424"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4500</w:t>
            </w:r>
          </w:p>
        </w:tc>
        <w:tc>
          <w:tcPr>
            <w:tcW w:w="1902" w:type="dxa"/>
            <w:tcBorders>
              <w:top w:val="nil"/>
              <w:left w:val="nil"/>
              <w:bottom w:val="single" w:sz="4" w:space="0" w:color="000000"/>
              <w:right w:val="single" w:sz="4" w:space="0" w:color="000000"/>
            </w:tcBorders>
            <w:shd w:val="clear" w:color="auto" w:fill="auto"/>
            <w:vAlign w:val="bottom"/>
          </w:tcPr>
          <w:p w14:paraId="7FE4656D"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13500</w:t>
            </w:r>
          </w:p>
        </w:tc>
        <w:tc>
          <w:tcPr>
            <w:tcW w:w="706" w:type="dxa"/>
            <w:tcBorders>
              <w:top w:val="nil"/>
              <w:left w:val="nil"/>
              <w:bottom w:val="single" w:sz="4" w:space="0" w:color="000000"/>
              <w:right w:val="single" w:sz="4" w:space="0" w:color="000000"/>
            </w:tcBorders>
            <w:shd w:val="clear" w:color="auto" w:fill="auto"/>
            <w:vAlign w:val="bottom"/>
          </w:tcPr>
          <w:p w14:paraId="78140A52"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500</w:t>
            </w:r>
          </w:p>
        </w:tc>
        <w:tc>
          <w:tcPr>
            <w:tcW w:w="1953" w:type="dxa"/>
            <w:tcBorders>
              <w:top w:val="nil"/>
              <w:left w:val="nil"/>
              <w:bottom w:val="single" w:sz="4" w:space="0" w:color="000000"/>
              <w:right w:val="single" w:sz="4" w:space="0" w:color="000000"/>
            </w:tcBorders>
            <w:shd w:val="clear" w:color="auto" w:fill="auto"/>
            <w:vAlign w:val="bottom"/>
          </w:tcPr>
          <w:p w14:paraId="33DCD238"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5000</w:t>
            </w:r>
          </w:p>
        </w:tc>
        <w:tc>
          <w:tcPr>
            <w:tcW w:w="1212" w:type="dxa"/>
            <w:tcBorders>
              <w:top w:val="nil"/>
              <w:left w:val="nil"/>
              <w:bottom w:val="single" w:sz="4" w:space="0" w:color="000000"/>
              <w:right w:val="single" w:sz="4" w:space="0" w:color="000000"/>
            </w:tcBorders>
            <w:shd w:val="clear" w:color="auto" w:fill="auto"/>
            <w:vAlign w:val="bottom"/>
          </w:tcPr>
          <w:p w14:paraId="39796D82"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18500</w:t>
            </w:r>
          </w:p>
        </w:tc>
      </w:tr>
      <w:tr w:rsidR="00731F40" w:rsidRPr="00731F40" w14:paraId="396AC83D"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5BF0EBB3"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xml:space="preserve">Direct labour cost </w:t>
            </w:r>
          </w:p>
        </w:tc>
        <w:tc>
          <w:tcPr>
            <w:tcW w:w="1393" w:type="dxa"/>
            <w:tcBorders>
              <w:top w:val="nil"/>
              <w:left w:val="nil"/>
              <w:bottom w:val="single" w:sz="4" w:space="0" w:color="000000"/>
              <w:right w:val="single" w:sz="4" w:space="0" w:color="000000"/>
            </w:tcBorders>
            <w:shd w:val="clear" w:color="auto" w:fill="auto"/>
            <w:vAlign w:val="bottom"/>
          </w:tcPr>
          <w:p w14:paraId="448F1456"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02" w:type="dxa"/>
            <w:tcBorders>
              <w:top w:val="nil"/>
              <w:left w:val="nil"/>
              <w:bottom w:val="single" w:sz="4" w:space="0" w:color="000000"/>
              <w:right w:val="single" w:sz="4" w:space="0" w:color="000000"/>
            </w:tcBorders>
            <w:shd w:val="clear" w:color="auto" w:fill="auto"/>
            <w:vAlign w:val="bottom"/>
          </w:tcPr>
          <w:p w14:paraId="400BFDB6"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226800</w:t>
            </w:r>
          </w:p>
        </w:tc>
        <w:tc>
          <w:tcPr>
            <w:tcW w:w="706" w:type="dxa"/>
            <w:tcBorders>
              <w:top w:val="nil"/>
              <w:left w:val="nil"/>
              <w:bottom w:val="single" w:sz="4" w:space="0" w:color="000000"/>
              <w:right w:val="single" w:sz="4" w:space="0" w:color="000000"/>
            </w:tcBorders>
            <w:shd w:val="clear" w:color="auto" w:fill="auto"/>
            <w:vAlign w:val="bottom"/>
          </w:tcPr>
          <w:p w14:paraId="2710FA1F"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53" w:type="dxa"/>
            <w:tcBorders>
              <w:top w:val="nil"/>
              <w:left w:val="nil"/>
              <w:bottom w:val="single" w:sz="4" w:space="0" w:color="000000"/>
              <w:right w:val="single" w:sz="4" w:space="0" w:color="000000"/>
            </w:tcBorders>
            <w:shd w:val="clear" w:color="auto" w:fill="auto"/>
            <w:vAlign w:val="bottom"/>
          </w:tcPr>
          <w:p w14:paraId="51584A48"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25200</w:t>
            </w:r>
          </w:p>
        </w:tc>
        <w:tc>
          <w:tcPr>
            <w:tcW w:w="1212" w:type="dxa"/>
            <w:tcBorders>
              <w:top w:val="nil"/>
              <w:left w:val="nil"/>
              <w:bottom w:val="single" w:sz="4" w:space="0" w:color="000000"/>
              <w:right w:val="single" w:sz="4" w:space="0" w:color="000000"/>
            </w:tcBorders>
            <w:shd w:val="clear" w:color="auto" w:fill="auto"/>
            <w:vAlign w:val="bottom"/>
          </w:tcPr>
          <w:p w14:paraId="43268FE3"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252000</w:t>
            </w:r>
          </w:p>
        </w:tc>
      </w:tr>
      <w:tr w:rsidR="00731F40" w:rsidRPr="00731F40" w14:paraId="30E48EFB"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50909EA8"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Prime cost </w:t>
            </w:r>
          </w:p>
        </w:tc>
        <w:tc>
          <w:tcPr>
            <w:tcW w:w="1393" w:type="dxa"/>
            <w:tcBorders>
              <w:top w:val="nil"/>
              <w:left w:val="nil"/>
              <w:bottom w:val="single" w:sz="4" w:space="0" w:color="000000"/>
              <w:right w:val="single" w:sz="4" w:space="0" w:color="000000"/>
            </w:tcBorders>
            <w:shd w:val="clear" w:color="auto" w:fill="auto"/>
            <w:vAlign w:val="bottom"/>
          </w:tcPr>
          <w:p w14:paraId="57236C58"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4500</w:t>
            </w:r>
          </w:p>
        </w:tc>
        <w:tc>
          <w:tcPr>
            <w:tcW w:w="1902" w:type="dxa"/>
            <w:tcBorders>
              <w:top w:val="nil"/>
              <w:left w:val="nil"/>
              <w:bottom w:val="single" w:sz="4" w:space="0" w:color="000000"/>
              <w:right w:val="single" w:sz="4" w:space="0" w:color="000000"/>
            </w:tcBorders>
            <w:shd w:val="clear" w:color="auto" w:fill="auto"/>
            <w:vAlign w:val="bottom"/>
          </w:tcPr>
          <w:p w14:paraId="05005998"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240300</w:t>
            </w:r>
          </w:p>
        </w:tc>
        <w:tc>
          <w:tcPr>
            <w:tcW w:w="706" w:type="dxa"/>
            <w:tcBorders>
              <w:top w:val="nil"/>
              <w:left w:val="nil"/>
              <w:bottom w:val="single" w:sz="4" w:space="0" w:color="000000"/>
              <w:right w:val="single" w:sz="4" w:space="0" w:color="000000"/>
            </w:tcBorders>
            <w:shd w:val="clear" w:color="auto" w:fill="auto"/>
            <w:vAlign w:val="bottom"/>
          </w:tcPr>
          <w:p w14:paraId="7979C5BA"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500</w:t>
            </w:r>
          </w:p>
        </w:tc>
        <w:tc>
          <w:tcPr>
            <w:tcW w:w="1953" w:type="dxa"/>
            <w:tcBorders>
              <w:top w:val="nil"/>
              <w:left w:val="nil"/>
              <w:bottom w:val="single" w:sz="4" w:space="0" w:color="000000"/>
              <w:right w:val="single" w:sz="4" w:space="0" w:color="000000"/>
            </w:tcBorders>
            <w:shd w:val="clear" w:color="auto" w:fill="auto"/>
            <w:vAlign w:val="bottom"/>
          </w:tcPr>
          <w:p w14:paraId="4FA36289"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30200</w:t>
            </w:r>
          </w:p>
        </w:tc>
        <w:tc>
          <w:tcPr>
            <w:tcW w:w="1212" w:type="dxa"/>
            <w:tcBorders>
              <w:top w:val="nil"/>
              <w:left w:val="nil"/>
              <w:bottom w:val="single" w:sz="4" w:space="0" w:color="000000"/>
              <w:right w:val="single" w:sz="4" w:space="0" w:color="000000"/>
            </w:tcBorders>
            <w:shd w:val="clear" w:color="auto" w:fill="auto"/>
            <w:vAlign w:val="bottom"/>
          </w:tcPr>
          <w:p w14:paraId="4A080640"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270500</w:t>
            </w:r>
          </w:p>
        </w:tc>
      </w:tr>
      <w:tr w:rsidR="00731F40" w:rsidRPr="00731F40" w14:paraId="1A1F18D4"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4B4E02D5"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Manufacturing overhead</w:t>
            </w:r>
          </w:p>
        </w:tc>
        <w:tc>
          <w:tcPr>
            <w:tcW w:w="1393" w:type="dxa"/>
            <w:tcBorders>
              <w:top w:val="nil"/>
              <w:left w:val="nil"/>
              <w:bottom w:val="single" w:sz="4" w:space="0" w:color="000000"/>
              <w:right w:val="single" w:sz="4" w:space="0" w:color="000000"/>
            </w:tcBorders>
            <w:shd w:val="clear" w:color="auto" w:fill="auto"/>
            <w:vAlign w:val="bottom"/>
          </w:tcPr>
          <w:p w14:paraId="0ACF8272"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02" w:type="dxa"/>
            <w:tcBorders>
              <w:top w:val="nil"/>
              <w:left w:val="nil"/>
              <w:bottom w:val="single" w:sz="4" w:space="0" w:color="000000"/>
              <w:right w:val="single" w:sz="4" w:space="0" w:color="000000"/>
            </w:tcBorders>
            <w:shd w:val="clear" w:color="auto" w:fill="auto"/>
            <w:vAlign w:val="bottom"/>
          </w:tcPr>
          <w:p w14:paraId="55CBF374"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425250</w:t>
            </w:r>
          </w:p>
        </w:tc>
        <w:tc>
          <w:tcPr>
            <w:tcW w:w="706" w:type="dxa"/>
            <w:tcBorders>
              <w:top w:val="nil"/>
              <w:left w:val="nil"/>
              <w:bottom w:val="single" w:sz="4" w:space="0" w:color="000000"/>
              <w:right w:val="single" w:sz="4" w:space="0" w:color="000000"/>
            </w:tcBorders>
            <w:shd w:val="clear" w:color="auto" w:fill="auto"/>
            <w:vAlign w:val="bottom"/>
          </w:tcPr>
          <w:p w14:paraId="0C479125"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53" w:type="dxa"/>
            <w:tcBorders>
              <w:top w:val="nil"/>
              <w:left w:val="nil"/>
              <w:bottom w:val="single" w:sz="4" w:space="0" w:color="000000"/>
              <w:right w:val="single" w:sz="4" w:space="0" w:color="000000"/>
            </w:tcBorders>
            <w:shd w:val="clear" w:color="auto" w:fill="auto"/>
            <w:vAlign w:val="bottom"/>
          </w:tcPr>
          <w:p w14:paraId="3097F06A"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47250</w:t>
            </w:r>
          </w:p>
        </w:tc>
        <w:tc>
          <w:tcPr>
            <w:tcW w:w="1212" w:type="dxa"/>
            <w:tcBorders>
              <w:top w:val="nil"/>
              <w:left w:val="nil"/>
              <w:bottom w:val="single" w:sz="4" w:space="0" w:color="000000"/>
              <w:right w:val="single" w:sz="4" w:space="0" w:color="000000"/>
            </w:tcBorders>
            <w:shd w:val="clear" w:color="auto" w:fill="auto"/>
            <w:vAlign w:val="bottom"/>
          </w:tcPr>
          <w:p w14:paraId="4FEEE048"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472500</w:t>
            </w:r>
          </w:p>
        </w:tc>
      </w:tr>
      <w:tr w:rsidR="00731F40" w:rsidRPr="00731F40" w14:paraId="70D59B59"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36083B5B"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 Manufacturing cost</w:t>
            </w:r>
          </w:p>
        </w:tc>
        <w:tc>
          <w:tcPr>
            <w:tcW w:w="1393" w:type="dxa"/>
            <w:tcBorders>
              <w:top w:val="nil"/>
              <w:left w:val="nil"/>
              <w:bottom w:val="single" w:sz="4" w:space="0" w:color="000000"/>
              <w:right w:val="single" w:sz="4" w:space="0" w:color="000000"/>
            </w:tcBorders>
            <w:shd w:val="clear" w:color="auto" w:fill="auto"/>
            <w:vAlign w:val="bottom"/>
          </w:tcPr>
          <w:p w14:paraId="74D9F0B1"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4500</w:t>
            </w:r>
          </w:p>
        </w:tc>
        <w:tc>
          <w:tcPr>
            <w:tcW w:w="1902" w:type="dxa"/>
            <w:tcBorders>
              <w:top w:val="nil"/>
              <w:left w:val="nil"/>
              <w:bottom w:val="single" w:sz="4" w:space="0" w:color="000000"/>
              <w:right w:val="single" w:sz="4" w:space="0" w:color="000000"/>
            </w:tcBorders>
            <w:shd w:val="clear" w:color="auto" w:fill="auto"/>
            <w:vAlign w:val="bottom"/>
          </w:tcPr>
          <w:p w14:paraId="67F39FF3"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665550</w:t>
            </w:r>
          </w:p>
        </w:tc>
        <w:tc>
          <w:tcPr>
            <w:tcW w:w="706" w:type="dxa"/>
            <w:tcBorders>
              <w:top w:val="nil"/>
              <w:left w:val="nil"/>
              <w:bottom w:val="single" w:sz="4" w:space="0" w:color="000000"/>
              <w:right w:val="single" w:sz="4" w:space="0" w:color="000000"/>
            </w:tcBorders>
            <w:shd w:val="clear" w:color="auto" w:fill="auto"/>
            <w:vAlign w:val="bottom"/>
          </w:tcPr>
          <w:p w14:paraId="084C0B9E"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500</w:t>
            </w:r>
          </w:p>
        </w:tc>
        <w:tc>
          <w:tcPr>
            <w:tcW w:w="1953" w:type="dxa"/>
            <w:tcBorders>
              <w:top w:val="nil"/>
              <w:left w:val="nil"/>
              <w:bottom w:val="single" w:sz="4" w:space="0" w:color="000000"/>
              <w:right w:val="single" w:sz="4" w:space="0" w:color="000000"/>
            </w:tcBorders>
            <w:shd w:val="clear" w:color="auto" w:fill="auto"/>
            <w:vAlign w:val="bottom"/>
          </w:tcPr>
          <w:p w14:paraId="686653CF"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77450</w:t>
            </w:r>
          </w:p>
        </w:tc>
        <w:tc>
          <w:tcPr>
            <w:tcW w:w="1212" w:type="dxa"/>
            <w:tcBorders>
              <w:top w:val="nil"/>
              <w:left w:val="nil"/>
              <w:bottom w:val="single" w:sz="4" w:space="0" w:color="000000"/>
              <w:right w:val="single" w:sz="4" w:space="0" w:color="000000"/>
            </w:tcBorders>
            <w:shd w:val="clear" w:color="auto" w:fill="auto"/>
            <w:vAlign w:val="bottom"/>
          </w:tcPr>
          <w:p w14:paraId="38AA1ADE"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743000</w:t>
            </w:r>
          </w:p>
        </w:tc>
      </w:tr>
      <w:tr w:rsidR="00731F40" w:rsidRPr="00731F40" w14:paraId="12D2CF6B"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4DB5AA54"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Administration overhead</w:t>
            </w:r>
          </w:p>
        </w:tc>
        <w:tc>
          <w:tcPr>
            <w:tcW w:w="1393" w:type="dxa"/>
            <w:tcBorders>
              <w:top w:val="nil"/>
              <w:left w:val="nil"/>
              <w:bottom w:val="single" w:sz="4" w:space="0" w:color="000000"/>
              <w:right w:val="single" w:sz="4" w:space="0" w:color="000000"/>
            </w:tcBorders>
            <w:shd w:val="clear" w:color="auto" w:fill="auto"/>
            <w:vAlign w:val="bottom"/>
          </w:tcPr>
          <w:p w14:paraId="4D54423D"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02" w:type="dxa"/>
            <w:tcBorders>
              <w:top w:val="nil"/>
              <w:left w:val="nil"/>
              <w:bottom w:val="single" w:sz="4" w:space="0" w:color="000000"/>
              <w:right w:val="single" w:sz="4" w:space="0" w:color="000000"/>
            </w:tcBorders>
            <w:shd w:val="clear" w:color="auto" w:fill="auto"/>
            <w:vAlign w:val="bottom"/>
          </w:tcPr>
          <w:p w14:paraId="347E0350"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255150</w:t>
            </w:r>
          </w:p>
        </w:tc>
        <w:tc>
          <w:tcPr>
            <w:tcW w:w="706" w:type="dxa"/>
            <w:tcBorders>
              <w:top w:val="nil"/>
              <w:left w:val="nil"/>
              <w:bottom w:val="single" w:sz="4" w:space="0" w:color="000000"/>
              <w:right w:val="single" w:sz="4" w:space="0" w:color="000000"/>
            </w:tcBorders>
            <w:shd w:val="clear" w:color="auto" w:fill="auto"/>
            <w:vAlign w:val="bottom"/>
          </w:tcPr>
          <w:p w14:paraId="6151F624"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53" w:type="dxa"/>
            <w:tcBorders>
              <w:top w:val="nil"/>
              <w:left w:val="nil"/>
              <w:bottom w:val="single" w:sz="4" w:space="0" w:color="000000"/>
              <w:right w:val="single" w:sz="4" w:space="0" w:color="000000"/>
            </w:tcBorders>
            <w:shd w:val="clear" w:color="auto" w:fill="auto"/>
            <w:vAlign w:val="bottom"/>
          </w:tcPr>
          <w:p w14:paraId="205CBA5E"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22050</w:t>
            </w:r>
          </w:p>
        </w:tc>
        <w:tc>
          <w:tcPr>
            <w:tcW w:w="1212" w:type="dxa"/>
            <w:tcBorders>
              <w:top w:val="nil"/>
              <w:left w:val="nil"/>
              <w:bottom w:val="single" w:sz="4" w:space="0" w:color="000000"/>
              <w:right w:val="single" w:sz="4" w:space="0" w:color="000000"/>
            </w:tcBorders>
            <w:shd w:val="clear" w:color="auto" w:fill="auto"/>
            <w:vAlign w:val="bottom"/>
          </w:tcPr>
          <w:p w14:paraId="20666238"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277200</w:t>
            </w:r>
          </w:p>
        </w:tc>
      </w:tr>
      <w:tr w:rsidR="00731F40" w:rsidRPr="00731F40" w14:paraId="46486242"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3C6C03E1"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 Production cost</w:t>
            </w:r>
          </w:p>
        </w:tc>
        <w:tc>
          <w:tcPr>
            <w:tcW w:w="1393" w:type="dxa"/>
            <w:tcBorders>
              <w:top w:val="nil"/>
              <w:left w:val="nil"/>
              <w:bottom w:val="single" w:sz="4" w:space="0" w:color="000000"/>
              <w:right w:val="single" w:sz="4" w:space="0" w:color="000000"/>
            </w:tcBorders>
            <w:shd w:val="clear" w:color="auto" w:fill="auto"/>
            <w:vAlign w:val="bottom"/>
          </w:tcPr>
          <w:p w14:paraId="16DD9792"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4500</w:t>
            </w:r>
          </w:p>
        </w:tc>
        <w:tc>
          <w:tcPr>
            <w:tcW w:w="1902" w:type="dxa"/>
            <w:tcBorders>
              <w:top w:val="nil"/>
              <w:left w:val="nil"/>
              <w:bottom w:val="single" w:sz="4" w:space="0" w:color="000000"/>
              <w:right w:val="single" w:sz="4" w:space="0" w:color="000000"/>
            </w:tcBorders>
            <w:shd w:val="clear" w:color="auto" w:fill="auto"/>
            <w:vAlign w:val="bottom"/>
          </w:tcPr>
          <w:p w14:paraId="4E0C84CB"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920700</w:t>
            </w:r>
          </w:p>
        </w:tc>
        <w:tc>
          <w:tcPr>
            <w:tcW w:w="706" w:type="dxa"/>
            <w:tcBorders>
              <w:top w:val="nil"/>
              <w:left w:val="nil"/>
              <w:bottom w:val="single" w:sz="4" w:space="0" w:color="000000"/>
              <w:right w:val="single" w:sz="4" w:space="0" w:color="000000"/>
            </w:tcBorders>
            <w:shd w:val="clear" w:color="auto" w:fill="auto"/>
            <w:vAlign w:val="bottom"/>
          </w:tcPr>
          <w:p w14:paraId="514F47E5"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500</w:t>
            </w:r>
          </w:p>
        </w:tc>
        <w:tc>
          <w:tcPr>
            <w:tcW w:w="1953" w:type="dxa"/>
            <w:tcBorders>
              <w:top w:val="nil"/>
              <w:left w:val="nil"/>
              <w:bottom w:val="single" w:sz="4" w:space="0" w:color="000000"/>
              <w:right w:val="single" w:sz="4" w:space="0" w:color="000000"/>
            </w:tcBorders>
            <w:shd w:val="clear" w:color="auto" w:fill="auto"/>
            <w:vAlign w:val="bottom"/>
          </w:tcPr>
          <w:p w14:paraId="69860876"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99500</w:t>
            </w:r>
          </w:p>
        </w:tc>
        <w:tc>
          <w:tcPr>
            <w:tcW w:w="1212" w:type="dxa"/>
            <w:tcBorders>
              <w:top w:val="nil"/>
              <w:left w:val="nil"/>
              <w:bottom w:val="single" w:sz="4" w:space="0" w:color="000000"/>
              <w:right w:val="single" w:sz="4" w:space="0" w:color="000000"/>
            </w:tcBorders>
            <w:shd w:val="clear" w:color="auto" w:fill="auto"/>
            <w:vAlign w:val="bottom"/>
          </w:tcPr>
          <w:p w14:paraId="55FF82C3"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1020200</w:t>
            </w:r>
          </w:p>
        </w:tc>
      </w:tr>
      <w:tr w:rsidR="00731F40" w:rsidRPr="00731F40" w14:paraId="142AB389"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61EE5BA3"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xml:space="preserve">Total Cost </w:t>
            </w:r>
          </w:p>
        </w:tc>
        <w:tc>
          <w:tcPr>
            <w:tcW w:w="1393" w:type="dxa"/>
            <w:tcBorders>
              <w:top w:val="nil"/>
              <w:left w:val="nil"/>
              <w:bottom w:val="single" w:sz="4" w:space="0" w:color="000000"/>
              <w:right w:val="single" w:sz="4" w:space="0" w:color="000000"/>
            </w:tcBorders>
            <w:shd w:val="clear" w:color="auto" w:fill="auto"/>
            <w:vAlign w:val="bottom"/>
          </w:tcPr>
          <w:p w14:paraId="103E5801"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02" w:type="dxa"/>
            <w:tcBorders>
              <w:top w:val="nil"/>
              <w:left w:val="nil"/>
              <w:bottom w:val="single" w:sz="4" w:space="0" w:color="000000"/>
              <w:right w:val="single" w:sz="4" w:space="0" w:color="000000"/>
            </w:tcBorders>
            <w:shd w:val="clear" w:color="auto" w:fill="auto"/>
            <w:vAlign w:val="bottom"/>
          </w:tcPr>
          <w:p w14:paraId="42C2E565"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920700</w:t>
            </w:r>
          </w:p>
        </w:tc>
        <w:tc>
          <w:tcPr>
            <w:tcW w:w="706" w:type="dxa"/>
            <w:tcBorders>
              <w:top w:val="nil"/>
              <w:left w:val="nil"/>
              <w:bottom w:val="single" w:sz="4" w:space="0" w:color="000000"/>
              <w:right w:val="single" w:sz="4" w:space="0" w:color="000000"/>
            </w:tcBorders>
            <w:shd w:val="clear" w:color="auto" w:fill="auto"/>
            <w:vAlign w:val="bottom"/>
          </w:tcPr>
          <w:p w14:paraId="49E73506"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53" w:type="dxa"/>
            <w:tcBorders>
              <w:top w:val="nil"/>
              <w:left w:val="nil"/>
              <w:bottom w:val="single" w:sz="4" w:space="0" w:color="000000"/>
              <w:right w:val="single" w:sz="4" w:space="0" w:color="000000"/>
            </w:tcBorders>
            <w:shd w:val="clear" w:color="auto" w:fill="auto"/>
            <w:vAlign w:val="bottom"/>
          </w:tcPr>
          <w:p w14:paraId="45E9FF25"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99500</w:t>
            </w:r>
          </w:p>
        </w:tc>
        <w:tc>
          <w:tcPr>
            <w:tcW w:w="1212" w:type="dxa"/>
            <w:tcBorders>
              <w:top w:val="nil"/>
              <w:left w:val="nil"/>
              <w:bottom w:val="single" w:sz="4" w:space="0" w:color="000000"/>
              <w:right w:val="single" w:sz="4" w:space="0" w:color="000000"/>
            </w:tcBorders>
            <w:shd w:val="clear" w:color="auto" w:fill="auto"/>
            <w:vAlign w:val="bottom"/>
          </w:tcPr>
          <w:p w14:paraId="3CEE11B9" w14:textId="77777777" w:rsidR="001A4ACB" w:rsidRPr="00731F40" w:rsidRDefault="00964400" w:rsidP="00731F40">
            <w:pPr>
              <w:spacing w:line="240" w:lineRule="auto"/>
              <w:jc w:val="right"/>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1020200</w:t>
            </w:r>
          </w:p>
        </w:tc>
      </w:tr>
      <w:tr w:rsidR="00731F40" w:rsidRPr="00731F40" w14:paraId="2D7BD43C" w14:textId="77777777" w:rsidTr="00731F40">
        <w:trPr>
          <w:trHeight w:val="348"/>
        </w:trPr>
        <w:tc>
          <w:tcPr>
            <w:tcW w:w="2125" w:type="dxa"/>
            <w:tcBorders>
              <w:top w:val="nil"/>
              <w:left w:val="single" w:sz="4" w:space="0" w:color="000000"/>
              <w:bottom w:val="single" w:sz="4" w:space="0" w:color="000000"/>
              <w:right w:val="single" w:sz="4" w:space="0" w:color="000000"/>
            </w:tcBorders>
            <w:shd w:val="clear" w:color="auto" w:fill="auto"/>
            <w:vAlign w:val="bottom"/>
          </w:tcPr>
          <w:p w14:paraId="453653A1"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Input produced </w:t>
            </w:r>
          </w:p>
        </w:tc>
        <w:tc>
          <w:tcPr>
            <w:tcW w:w="1393" w:type="dxa"/>
            <w:tcBorders>
              <w:top w:val="nil"/>
              <w:left w:val="nil"/>
              <w:bottom w:val="single" w:sz="4" w:space="0" w:color="000000"/>
              <w:right w:val="single" w:sz="4" w:space="0" w:color="000000"/>
            </w:tcBorders>
            <w:shd w:val="clear" w:color="auto" w:fill="auto"/>
            <w:vAlign w:val="bottom"/>
          </w:tcPr>
          <w:p w14:paraId="50331E8E"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4500</w:t>
            </w:r>
          </w:p>
        </w:tc>
        <w:tc>
          <w:tcPr>
            <w:tcW w:w="1902" w:type="dxa"/>
            <w:tcBorders>
              <w:top w:val="nil"/>
              <w:left w:val="nil"/>
              <w:bottom w:val="single" w:sz="4" w:space="0" w:color="000000"/>
              <w:right w:val="single" w:sz="4" w:space="0" w:color="000000"/>
            </w:tcBorders>
            <w:shd w:val="clear" w:color="auto" w:fill="auto"/>
            <w:vAlign w:val="bottom"/>
          </w:tcPr>
          <w:p w14:paraId="542809F9"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w:t>
            </w:r>
          </w:p>
        </w:tc>
        <w:tc>
          <w:tcPr>
            <w:tcW w:w="706" w:type="dxa"/>
            <w:tcBorders>
              <w:top w:val="nil"/>
              <w:left w:val="nil"/>
              <w:bottom w:val="single" w:sz="4" w:space="0" w:color="000000"/>
              <w:right w:val="single" w:sz="4" w:space="0" w:color="000000"/>
            </w:tcBorders>
            <w:shd w:val="clear" w:color="auto" w:fill="auto"/>
            <w:vAlign w:val="bottom"/>
          </w:tcPr>
          <w:p w14:paraId="1F136DE0"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500</w:t>
            </w:r>
          </w:p>
        </w:tc>
        <w:tc>
          <w:tcPr>
            <w:tcW w:w="1953" w:type="dxa"/>
            <w:tcBorders>
              <w:top w:val="nil"/>
              <w:left w:val="nil"/>
              <w:bottom w:val="single" w:sz="4" w:space="0" w:color="000000"/>
              <w:right w:val="single" w:sz="4" w:space="0" w:color="000000"/>
            </w:tcBorders>
            <w:shd w:val="clear" w:color="auto" w:fill="auto"/>
            <w:vAlign w:val="bottom"/>
          </w:tcPr>
          <w:p w14:paraId="476AEABD"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212" w:type="dxa"/>
            <w:tcBorders>
              <w:top w:val="nil"/>
              <w:left w:val="nil"/>
              <w:bottom w:val="single" w:sz="4" w:space="0" w:color="000000"/>
              <w:right w:val="single" w:sz="4" w:space="0" w:color="000000"/>
            </w:tcBorders>
            <w:shd w:val="clear" w:color="auto" w:fill="auto"/>
            <w:vAlign w:val="bottom"/>
          </w:tcPr>
          <w:p w14:paraId="6BBC2F9F"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r>
      <w:tr w:rsidR="00731F40" w:rsidRPr="00731F40" w14:paraId="7E2A685E" w14:textId="77777777" w:rsidTr="00731F40">
        <w:trPr>
          <w:trHeight w:val="373"/>
        </w:trPr>
        <w:tc>
          <w:tcPr>
            <w:tcW w:w="2125" w:type="dxa"/>
            <w:tcBorders>
              <w:top w:val="nil"/>
              <w:left w:val="single" w:sz="4" w:space="0" w:color="000000"/>
              <w:bottom w:val="single" w:sz="4" w:space="0" w:color="000000"/>
              <w:right w:val="single" w:sz="4" w:space="0" w:color="000000"/>
            </w:tcBorders>
            <w:shd w:val="clear" w:color="auto" w:fill="auto"/>
            <w:vAlign w:val="bottom"/>
          </w:tcPr>
          <w:p w14:paraId="0289C3D0"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xml:space="preserve">Absorption cost </w:t>
            </w:r>
          </w:p>
        </w:tc>
        <w:tc>
          <w:tcPr>
            <w:tcW w:w="1393" w:type="dxa"/>
            <w:tcBorders>
              <w:top w:val="nil"/>
              <w:left w:val="nil"/>
              <w:bottom w:val="single" w:sz="4" w:space="0" w:color="000000"/>
              <w:right w:val="single" w:sz="4" w:space="0" w:color="000000"/>
            </w:tcBorders>
            <w:shd w:val="clear" w:color="auto" w:fill="auto"/>
            <w:vAlign w:val="bottom"/>
          </w:tcPr>
          <w:p w14:paraId="7A29B702" w14:textId="77777777" w:rsidR="001A4ACB" w:rsidRPr="00731F40" w:rsidRDefault="00964400" w:rsidP="00731F40">
            <w:pPr>
              <w:spacing w:line="240" w:lineRule="auto"/>
              <w:rPr>
                <w:rFonts w:ascii="Times New Roman" w:eastAsia="Times New Roman" w:hAnsi="Times New Roman" w:cs="Times New Roman"/>
                <w:color w:val="000000"/>
                <w:sz w:val="24"/>
                <w:szCs w:val="24"/>
              </w:rPr>
            </w:pPr>
            <w:r w:rsidRPr="00731F40">
              <w:rPr>
                <w:rFonts w:ascii="Times New Roman" w:eastAsia="Times New Roman" w:hAnsi="Times New Roman" w:cs="Times New Roman"/>
                <w:color w:val="000000"/>
                <w:sz w:val="24"/>
                <w:szCs w:val="24"/>
              </w:rPr>
              <w:t> </w:t>
            </w:r>
          </w:p>
        </w:tc>
        <w:tc>
          <w:tcPr>
            <w:tcW w:w="1902" w:type="dxa"/>
            <w:tcBorders>
              <w:top w:val="nil"/>
              <w:left w:val="nil"/>
              <w:bottom w:val="single" w:sz="4" w:space="0" w:color="000000"/>
              <w:right w:val="single" w:sz="4" w:space="0" w:color="000000"/>
            </w:tcBorders>
            <w:shd w:val="clear" w:color="auto" w:fill="auto"/>
            <w:vAlign w:val="bottom"/>
          </w:tcPr>
          <w:p w14:paraId="2D5ECDA1"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204.6</w:t>
            </w:r>
          </w:p>
        </w:tc>
        <w:tc>
          <w:tcPr>
            <w:tcW w:w="706" w:type="dxa"/>
            <w:tcBorders>
              <w:top w:val="nil"/>
              <w:left w:val="nil"/>
              <w:bottom w:val="single" w:sz="4" w:space="0" w:color="000000"/>
              <w:right w:val="single" w:sz="4" w:space="0" w:color="000000"/>
            </w:tcBorders>
            <w:shd w:val="clear" w:color="auto" w:fill="auto"/>
            <w:vAlign w:val="bottom"/>
          </w:tcPr>
          <w:p w14:paraId="2903544F" w14:textId="77777777" w:rsidR="001A4ACB" w:rsidRPr="00731F40" w:rsidRDefault="00964400" w:rsidP="00731F40">
            <w:pPr>
              <w:spacing w:line="240" w:lineRule="auto"/>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 </w:t>
            </w:r>
          </w:p>
        </w:tc>
        <w:tc>
          <w:tcPr>
            <w:tcW w:w="1953" w:type="dxa"/>
            <w:tcBorders>
              <w:top w:val="nil"/>
              <w:left w:val="nil"/>
              <w:bottom w:val="single" w:sz="4" w:space="0" w:color="000000"/>
              <w:right w:val="single" w:sz="4" w:space="0" w:color="000000"/>
            </w:tcBorders>
            <w:shd w:val="clear" w:color="auto" w:fill="auto"/>
            <w:vAlign w:val="bottom"/>
          </w:tcPr>
          <w:p w14:paraId="7FC624BA"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199</w:t>
            </w:r>
          </w:p>
        </w:tc>
        <w:tc>
          <w:tcPr>
            <w:tcW w:w="1212" w:type="dxa"/>
            <w:tcBorders>
              <w:top w:val="nil"/>
              <w:left w:val="nil"/>
              <w:bottom w:val="single" w:sz="4" w:space="0" w:color="000000"/>
              <w:right w:val="single" w:sz="4" w:space="0" w:color="000000"/>
            </w:tcBorders>
            <w:shd w:val="clear" w:color="auto" w:fill="auto"/>
            <w:vAlign w:val="bottom"/>
          </w:tcPr>
          <w:p w14:paraId="6F7BDF17" w14:textId="77777777" w:rsidR="001A4ACB" w:rsidRPr="00731F40" w:rsidRDefault="00964400" w:rsidP="00731F40">
            <w:pPr>
              <w:spacing w:line="240" w:lineRule="auto"/>
              <w:jc w:val="right"/>
              <w:rPr>
                <w:rFonts w:ascii="Times New Roman" w:eastAsia="Times New Roman" w:hAnsi="Times New Roman" w:cs="Times New Roman"/>
                <w:b/>
                <w:color w:val="000000"/>
                <w:sz w:val="24"/>
                <w:szCs w:val="24"/>
              </w:rPr>
            </w:pPr>
            <w:r w:rsidRPr="00731F40">
              <w:rPr>
                <w:rFonts w:ascii="Times New Roman" w:eastAsia="Times New Roman" w:hAnsi="Times New Roman" w:cs="Times New Roman"/>
                <w:b/>
                <w:color w:val="000000"/>
                <w:sz w:val="24"/>
                <w:szCs w:val="24"/>
              </w:rPr>
              <w:t>403.6</w:t>
            </w:r>
          </w:p>
        </w:tc>
      </w:tr>
    </w:tbl>
    <w:p w14:paraId="3BF2D775" w14:textId="77777777" w:rsidR="00731F40" w:rsidRDefault="00731F40" w:rsidP="00731F40">
      <w:pPr>
        <w:spacing w:line="240" w:lineRule="auto"/>
        <w:rPr>
          <w:rFonts w:ascii="Times New Roman" w:eastAsia="Times New Roman" w:hAnsi="Times New Roman" w:cs="Times New Roman"/>
          <w:sz w:val="24"/>
          <w:szCs w:val="24"/>
        </w:rPr>
      </w:pPr>
    </w:p>
    <w:p w14:paraId="6E408056" w14:textId="77777777" w:rsidR="001A4ACB" w:rsidRPr="00731F40" w:rsidRDefault="00964400" w:rsidP="00731F40">
      <w:pPr>
        <w:spacing w:line="360" w:lineRule="auto"/>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Table 1: Calculation of Absorption Costing</w:t>
      </w:r>
    </w:p>
    <w:p w14:paraId="3B886578" w14:textId="75746232" w:rsidR="001A4ACB" w:rsidRDefault="001A4ACB" w:rsidP="00731F40">
      <w:pPr>
        <w:spacing w:line="360" w:lineRule="auto"/>
        <w:jc w:val="center"/>
        <w:rPr>
          <w:rFonts w:ascii="Times New Roman" w:eastAsia="Times New Roman" w:hAnsi="Times New Roman" w:cs="Times New Roman"/>
          <w:sz w:val="24"/>
          <w:szCs w:val="24"/>
        </w:rPr>
      </w:pPr>
    </w:p>
    <w:p w14:paraId="7AA97ABE" w14:textId="77777777" w:rsidR="00731F40" w:rsidRPr="00731F40" w:rsidRDefault="00731F40" w:rsidP="00731F40">
      <w:pPr>
        <w:spacing w:line="360" w:lineRule="auto"/>
        <w:jc w:val="center"/>
        <w:rPr>
          <w:rFonts w:ascii="Times New Roman" w:eastAsia="Times New Roman" w:hAnsi="Times New Roman" w:cs="Times New Roman"/>
          <w:sz w:val="24"/>
          <w:szCs w:val="24"/>
        </w:rPr>
      </w:pPr>
    </w:p>
    <w:p w14:paraId="52D6B62C"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Calculation of Absorption cost in Hoffman Ltd for LW is 204.6 pounds and for MR is 199 pounds including total cost 403.60 pounds. </w:t>
      </w:r>
    </w:p>
    <w:p w14:paraId="1217863C" w14:textId="77777777" w:rsidR="00731F40" w:rsidRDefault="00731F4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B8573E1" w14:textId="77777777" w:rsidR="001A4ACB" w:rsidRPr="00731F40" w:rsidRDefault="00964400" w:rsidP="00D619A9">
      <w:pPr>
        <w:pStyle w:val="Heading2"/>
      </w:pPr>
      <w:bookmarkStart w:id="3" w:name="_Toc37278990"/>
      <w:r w:rsidRPr="00731F40">
        <w:lastRenderedPageBreak/>
        <w:t>2: Calculation of activity based costing</w:t>
      </w:r>
      <w:bookmarkEnd w:id="3"/>
    </w:p>
    <w:tbl>
      <w:tblPr>
        <w:tblStyle w:val="a0"/>
        <w:tblW w:w="9176" w:type="dxa"/>
        <w:tblInd w:w="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51"/>
        <w:gridCol w:w="1466"/>
        <w:gridCol w:w="1343"/>
        <w:gridCol w:w="1620"/>
        <w:gridCol w:w="1440"/>
        <w:gridCol w:w="840"/>
        <w:gridCol w:w="1316"/>
      </w:tblGrid>
      <w:tr w:rsidR="001A4ACB" w:rsidRPr="00731F40" w14:paraId="61C0C8C4" w14:textId="77777777" w:rsidTr="00731F40">
        <w:trPr>
          <w:trHeight w:val="182"/>
        </w:trPr>
        <w:tc>
          <w:tcPr>
            <w:tcW w:w="9176" w:type="dxa"/>
            <w:gridSpan w:val="7"/>
          </w:tcPr>
          <w:p w14:paraId="39BB4E8A"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Calculation of Activity Based Costing</w:t>
            </w:r>
          </w:p>
        </w:tc>
      </w:tr>
      <w:tr w:rsidR="00DD5545" w:rsidRPr="00731F40" w14:paraId="1A6F99DA" w14:textId="77777777" w:rsidTr="00DD5545">
        <w:trPr>
          <w:trHeight w:val="182"/>
        </w:trPr>
        <w:tc>
          <w:tcPr>
            <w:tcW w:w="1151" w:type="dxa"/>
            <w:vMerge w:val="restart"/>
          </w:tcPr>
          <w:p w14:paraId="3BE2EFBB"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Activity cost pool</w:t>
            </w:r>
          </w:p>
        </w:tc>
        <w:tc>
          <w:tcPr>
            <w:tcW w:w="1466" w:type="dxa"/>
            <w:vMerge w:val="restart"/>
          </w:tcPr>
          <w:p w14:paraId="0C139B53"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Overhead (Estimated)</w:t>
            </w:r>
          </w:p>
        </w:tc>
        <w:tc>
          <w:tcPr>
            <w:tcW w:w="1343" w:type="dxa"/>
            <w:vMerge w:val="restart"/>
          </w:tcPr>
          <w:p w14:paraId="673A7014"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Cost divers</w:t>
            </w:r>
          </w:p>
        </w:tc>
        <w:tc>
          <w:tcPr>
            <w:tcW w:w="3900" w:type="dxa"/>
            <w:gridSpan w:val="3"/>
          </w:tcPr>
          <w:p w14:paraId="47EAA08F"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Expected Operations</w:t>
            </w:r>
          </w:p>
        </w:tc>
        <w:tc>
          <w:tcPr>
            <w:tcW w:w="1316" w:type="dxa"/>
            <w:vMerge w:val="restart"/>
          </w:tcPr>
          <w:p w14:paraId="0F1E5A01"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Summation ( £ ) </w:t>
            </w:r>
          </w:p>
        </w:tc>
      </w:tr>
      <w:tr w:rsidR="00731F40" w:rsidRPr="00731F40" w14:paraId="0D1064BA" w14:textId="77777777" w:rsidTr="00DD5545">
        <w:trPr>
          <w:trHeight w:val="182"/>
        </w:trPr>
        <w:tc>
          <w:tcPr>
            <w:tcW w:w="1151" w:type="dxa"/>
            <w:vMerge/>
          </w:tcPr>
          <w:p w14:paraId="466E1098" w14:textId="77777777" w:rsidR="001A4ACB" w:rsidRPr="00731F40" w:rsidRDefault="001A4ACB" w:rsidP="00731F40">
            <w:pPr>
              <w:widowControl w:val="0"/>
              <w:pBdr>
                <w:top w:val="nil"/>
                <w:left w:val="nil"/>
                <w:bottom w:val="nil"/>
                <w:right w:val="nil"/>
                <w:between w:val="nil"/>
              </w:pBdr>
              <w:rPr>
                <w:rFonts w:ascii="Times New Roman" w:eastAsia="Times New Roman" w:hAnsi="Times New Roman" w:cs="Times New Roman"/>
                <w:b/>
                <w:sz w:val="24"/>
                <w:szCs w:val="24"/>
              </w:rPr>
            </w:pPr>
          </w:p>
        </w:tc>
        <w:tc>
          <w:tcPr>
            <w:tcW w:w="1466" w:type="dxa"/>
            <w:vMerge/>
          </w:tcPr>
          <w:p w14:paraId="077F6D3D" w14:textId="77777777" w:rsidR="001A4ACB" w:rsidRPr="00731F40" w:rsidRDefault="001A4ACB" w:rsidP="00731F40">
            <w:pPr>
              <w:widowControl w:val="0"/>
              <w:pBdr>
                <w:top w:val="nil"/>
                <w:left w:val="nil"/>
                <w:bottom w:val="nil"/>
                <w:right w:val="nil"/>
                <w:between w:val="nil"/>
              </w:pBdr>
              <w:rPr>
                <w:rFonts w:ascii="Times New Roman" w:eastAsia="Times New Roman" w:hAnsi="Times New Roman" w:cs="Times New Roman"/>
                <w:b/>
                <w:sz w:val="24"/>
                <w:szCs w:val="24"/>
              </w:rPr>
            </w:pPr>
          </w:p>
        </w:tc>
        <w:tc>
          <w:tcPr>
            <w:tcW w:w="1343" w:type="dxa"/>
            <w:vMerge/>
          </w:tcPr>
          <w:p w14:paraId="3E8E84B8" w14:textId="77777777" w:rsidR="001A4ACB" w:rsidRPr="00731F40" w:rsidRDefault="001A4ACB" w:rsidP="00731F40">
            <w:pPr>
              <w:widowControl w:val="0"/>
              <w:pBdr>
                <w:top w:val="nil"/>
                <w:left w:val="nil"/>
                <w:bottom w:val="nil"/>
                <w:right w:val="nil"/>
                <w:between w:val="nil"/>
              </w:pBdr>
              <w:rPr>
                <w:rFonts w:ascii="Times New Roman" w:eastAsia="Times New Roman" w:hAnsi="Times New Roman" w:cs="Times New Roman"/>
                <w:b/>
                <w:sz w:val="24"/>
                <w:szCs w:val="24"/>
              </w:rPr>
            </w:pPr>
          </w:p>
        </w:tc>
        <w:tc>
          <w:tcPr>
            <w:tcW w:w="1620" w:type="dxa"/>
          </w:tcPr>
          <w:p w14:paraId="7C864C39"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Lightweight (LW) </w:t>
            </w:r>
          </w:p>
        </w:tc>
        <w:tc>
          <w:tcPr>
            <w:tcW w:w="1440" w:type="dxa"/>
          </w:tcPr>
          <w:p w14:paraId="47272E8D"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Megarange (MR)</w:t>
            </w:r>
          </w:p>
        </w:tc>
        <w:tc>
          <w:tcPr>
            <w:tcW w:w="840" w:type="dxa"/>
          </w:tcPr>
          <w:p w14:paraId="4531BD33"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Total</w:t>
            </w:r>
            <w:r w:rsidRPr="00731F40">
              <w:rPr>
                <w:rFonts w:ascii="Times New Roman" w:eastAsia="Times New Roman" w:hAnsi="Times New Roman" w:cs="Times New Roman"/>
                <w:sz w:val="24"/>
                <w:szCs w:val="24"/>
              </w:rPr>
              <w:t xml:space="preserve"> </w:t>
            </w:r>
          </w:p>
        </w:tc>
        <w:tc>
          <w:tcPr>
            <w:tcW w:w="1316" w:type="dxa"/>
            <w:vMerge/>
          </w:tcPr>
          <w:p w14:paraId="20342F89" w14:textId="77777777" w:rsidR="001A4ACB" w:rsidRPr="00731F40" w:rsidRDefault="001A4ACB" w:rsidP="00731F40">
            <w:pPr>
              <w:widowControl w:val="0"/>
              <w:pBdr>
                <w:top w:val="nil"/>
                <w:left w:val="nil"/>
                <w:bottom w:val="nil"/>
                <w:right w:val="nil"/>
                <w:between w:val="nil"/>
              </w:pBdr>
              <w:rPr>
                <w:rFonts w:ascii="Times New Roman" w:eastAsia="Times New Roman" w:hAnsi="Times New Roman" w:cs="Times New Roman"/>
                <w:sz w:val="24"/>
                <w:szCs w:val="24"/>
              </w:rPr>
            </w:pPr>
          </w:p>
        </w:tc>
      </w:tr>
      <w:tr w:rsidR="00731F40" w:rsidRPr="00731F40" w14:paraId="25A5210C" w14:textId="77777777" w:rsidTr="00DD5545">
        <w:trPr>
          <w:trHeight w:val="182"/>
        </w:trPr>
        <w:tc>
          <w:tcPr>
            <w:tcW w:w="1151" w:type="dxa"/>
          </w:tcPr>
          <w:p w14:paraId="48F4F1C3"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Total Purchases</w:t>
            </w:r>
          </w:p>
        </w:tc>
        <w:tc>
          <w:tcPr>
            <w:tcW w:w="1466" w:type="dxa"/>
          </w:tcPr>
          <w:p w14:paraId="77EB9689"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20000</w:t>
            </w:r>
          </w:p>
        </w:tc>
        <w:tc>
          <w:tcPr>
            <w:tcW w:w="1343" w:type="dxa"/>
          </w:tcPr>
          <w:p w14:paraId="23FAF7AA"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Purchase order (numbers)</w:t>
            </w:r>
          </w:p>
        </w:tc>
        <w:tc>
          <w:tcPr>
            <w:tcW w:w="1620" w:type="dxa"/>
          </w:tcPr>
          <w:p w14:paraId="6DFBEBD4"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360</w:t>
            </w:r>
          </w:p>
        </w:tc>
        <w:tc>
          <w:tcPr>
            <w:tcW w:w="1440" w:type="dxa"/>
          </w:tcPr>
          <w:p w14:paraId="74931142"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40</w:t>
            </w:r>
          </w:p>
        </w:tc>
        <w:tc>
          <w:tcPr>
            <w:tcW w:w="840" w:type="dxa"/>
          </w:tcPr>
          <w:p w14:paraId="490A0AE2"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400</w:t>
            </w:r>
          </w:p>
        </w:tc>
        <w:tc>
          <w:tcPr>
            <w:tcW w:w="1316" w:type="dxa"/>
          </w:tcPr>
          <w:p w14:paraId="21506E53" w14:textId="77777777" w:rsidR="001A4ACB" w:rsidRPr="00731F40" w:rsidRDefault="00964400" w:rsidP="00731F40">
            <w:pPr>
              <w:jc w:val="center"/>
              <w:rPr>
                <w:rFonts w:ascii="Times New Roman" w:eastAsia="Times New Roman" w:hAnsi="Times New Roman" w:cs="Times New Roman"/>
                <w:sz w:val="24"/>
                <w:szCs w:val="24"/>
              </w:rPr>
            </w:pPr>
            <w:bookmarkStart w:id="4" w:name="_gjdgxs" w:colFirst="0" w:colLast="0"/>
            <w:bookmarkEnd w:id="4"/>
            <w:r w:rsidRPr="00731F40">
              <w:rPr>
                <w:rFonts w:ascii="Times New Roman" w:eastAsia="Times New Roman" w:hAnsi="Times New Roman" w:cs="Times New Roman"/>
                <w:sz w:val="24"/>
                <w:szCs w:val="24"/>
              </w:rPr>
              <w:t>50</w:t>
            </w:r>
          </w:p>
        </w:tc>
      </w:tr>
      <w:tr w:rsidR="00731F40" w:rsidRPr="00731F40" w14:paraId="0107B5B8" w14:textId="77777777" w:rsidTr="00DD5545">
        <w:trPr>
          <w:trHeight w:val="182"/>
        </w:trPr>
        <w:tc>
          <w:tcPr>
            <w:tcW w:w="1151" w:type="dxa"/>
          </w:tcPr>
          <w:p w14:paraId="4AF19A5B"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Training provided </w:t>
            </w:r>
          </w:p>
        </w:tc>
        <w:tc>
          <w:tcPr>
            <w:tcW w:w="1466" w:type="dxa"/>
          </w:tcPr>
          <w:p w14:paraId="31BB7C76"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1000</w:t>
            </w:r>
          </w:p>
        </w:tc>
        <w:tc>
          <w:tcPr>
            <w:tcW w:w="1343" w:type="dxa"/>
          </w:tcPr>
          <w:p w14:paraId="00A287D3"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Training Hours by each stove</w:t>
            </w:r>
          </w:p>
        </w:tc>
        <w:tc>
          <w:tcPr>
            <w:tcW w:w="1620" w:type="dxa"/>
          </w:tcPr>
          <w:p w14:paraId="76414BAB"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20</w:t>
            </w:r>
          </w:p>
        </w:tc>
        <w:tc>
          <w:tcPr>
            <w:tcW w:w="1440" w:type="dxa"/>
          </w:tcPr>
          <w:p w14:paraId="4200CACB"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30</w:t>
            </w:r>
          </w:p>
        </w:tc>
        <w:tc>
          <w:tcPr>
            <w:tcW w:w="840" w:type="dxa"/>
          </w:tcPr>
          <w:p w14:paraId="3370B3E0"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50</w:t>
            </w:r>
          </w:p>
        </w:tc>
        <w:tc>
          <w:tcPr>
            <w:tcW w:w="1316" w:type="dxa"/>
          </w:tcPr>
          <w:p w14:paraId="05B161F5"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20</w:t>
            </w:r>
          </w:p>
        </w:tc>
      </w:tr>
      <w:tr w:rsidR="00731F40" w:rsidRPr="00731F40" w14:paraId="2981F831" w14:textId="77777777" w:rsidTr="00DD5545">
        <w:trPr>
          <w:trHeight w:val="182"/>
        </w:trPr>
        <w:tc>
          <w:tcPr>
            <w:tcW w:w="1151" w:type="dxa"/>
          </w:tcPr>
          <w:p w14:paraId="1FD312C9"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Machine setting for production</w:t>
            </w:r>
          </w:p>
        </w:tc>
        <w:tc>
          <w:tcPr>
            <w:tcW w:w="1466" w:type="dxa"/>
          </w:tcPr>
          <w:p w14:paraId="7F8472AC"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2250</w:t>
            </w:r>
          </w:p>
        </w:tc>
        <w:tc>
          <w:tcPr>
            <w:tcW w:w="1343" w:type="dxa"/>
          </w:tcPr>
          <w:p w14:paraId="17302B08"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Setting machine cost </w:t>
            </w:r>
          </w:p>
        </w:tc>
        <w:tc>
          <w:tcPr>
            <w:tcW w:w="1620" w:type="dxa"/>
          </w:tcPr>
          <w:p w14:paraId="2DEF9B6A"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60</w:t>
            </w:r>
          </w:p>
        </w:tc>
        <w:tc>
          <w:tcPr>
            <w:tcW w:w="1440" w:type="dxa"/>
          </w:tcPr>
          <w:p w14:paraId="5C29EC40"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30</w:t>
            </w:r>
          </w:p>
        </w:tc>
        <w:tc>
          <w:tcPr>
            <w:tcW w:w="840" w:type="dxa"/>
          </w:tcPr>
          <w:p w14:paraId="4F593CAC"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90</w:t>
            </w:r>
          </w:p>
        </w:tc>
        <w:tc>
          <w:tcPr>
            <w:tcW w:w="1316" w:type="dxa"/>
          </w:tcPr>
          <w:p w14:paraId="2D798221"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25</w:t>
            </w:r>
          </w:p>
        </w:tc>
      </w:tr>
      <w:tr w:rsidR="00731F40" w:rsidRPr="00731F40" w14:paraId="5B4E60B4" w14:textId="77777777" w:rsidTr="00DD5545">
        <w:trPr>
          <w:trHeight w:val="182"/>
        </w:trPr>
        <w:tc>
          <w:tcPr>
            <w:tcW w:w="1151" w:type="dxa"/>
          </w:tcPr>
          <w:p w14:paraId="7A1B3F39"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Running machines</w:t>
            </w:r>
          </w:p>
        </w:tc>
        <w:tc>
          <w:tcPr>
            <w:tcW w:w="1466" w:type="dxa"/>
          </w:tcPr>
          <w:p w14:paraId="02555C3B"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14250</w:t>
            </w:r>
          </w:p>
        </w:tc>
        <w:tc>
          <w:tcPr>
            <w:tcW w:w="1343" w:type="dxa"/>
          </w:tcPr>
          <w:p w14:paraId="1FBFF3EA"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Running machines for each stove</w:t>
            </w:r>
          </w:p>
        </w:tc>
        <w:tc>
          <w:tcPr>
            <w:tcW w:w="1620" w:type="dxa"/>
          </w:tcPr>
          <w:p w14:paraId="21FD1F7E"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67500</w:t>
            </w:r>
          </w:p>
        </w:tc>
        <w:tc>
          <w:tcPr>
            <w:tcW w:w="1440" w:type="dxa"/>
          </w:tcPr>
          <w:p w14:paraId="06ADFA32"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7500</w:t>
            </w:r>
          </w:p>
        </w:tc>
        <w:tc>
          <w:tcPr>
            <w:tcW w:w="840" w:type="dxa"/>
          </w:tcPr>
          <w:p w14:paraId="5B640656"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75000</w:t>
            </w:r>
          </w:p>
        </w:tc>
        <w:tc>
          <w:tcPr>
            <w:tcW w:w="1316" w:type="dxa"/>
          </w:tcPr>
          <w:p w14:paraId="2753F799" w14:textId="77777777" w:rsidR="001A4ACB" w:rsidRPr="00731F40" w:rsidRDefault="00964400" w:rsidP="00731F40">
            <w:pPr>
              <w:jc w:val="center"/>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0.19</w:t>
            </w:r>
          </w:p>
        </w:tc>
      </w:tr>
      <w:tr w:rsidR="00731F40" w:rsidRPr="00731F40" w14:paraId="30B5F953" w14:textId="77777777" w:rsidTr="00DD5545">
        <w:trPr>
          <w:trHeight w:val="182"/>
        </w:trPr>
        <w:tc>
          <w:tcPr>
            <w:tcW w:w="1151" w:type="dxa"/>
          </w:tcPr>
          <w:p w14:paraId="68E0B51A"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Total Cost </w:t>
            </w:r>
          </w:p>
        </w:tc>
        <w:tc>
          <w:tcPr>
            <w:tcW w:w="1466" w:type="dxa"/>
          </w:tcPr>
          <w:p w14:paraId="0F908CE0"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37500</w:t>
            </w:r>
          </w:p>
        </w:tc>
        <w:tc>
          <w:tcPr>
            <w:tcW w:w="1343" w:type="dxa"/>
          </w:tcPr>
          <w:p w14:paraId="37792C77"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w:t>
            </w:r>
          </w:p>
        </w:tc>
        <w:tc>
          <w:tcPr>
            <w:tcW w:w="1620" w:type="dxa"/>
          </w:tcPr>
          <w:p w14:paraId="3EABA8D2"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67940</w:t>
            </w:r>
          </w:p>
        </w:tc>
        <w:tc>
          <w:tcPr>
            <w:tcW w:w="1440" w:type="dxa"/>
          </w:tcPr>
          <w:p w14:paraId="5A786717"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7600</w:t>
            </w:r>
          </w:p>
        </w:tc>
        <w:tc>
          <w:tcPr>
            <w:tcW w:w="840" w:type="dxa"/>
          </w:tcPr>
          <w:p w14:paraId="5817BF49"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75540</w:t>
            </w:r>
          </w:p>
        </w:tc>
        <w:tc>
          <w:tcPr>
            <w:tcW w:w="1316" w:type="dxa"/>
          </w:tcPr>
          <w:p w14:paraId="22123CDF" w14:textId="77777777" w:rsidR="001A4ACB" w:rsidRPr="00731F40" w:rsidRDefault="00964400" w:rsidP="00731F40">
            <w:pPr>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95.19</w:t>
            </w:r>
          </w:p>
        </w:tc>
      </w:tr>
    </w:tbl>
    <w:p w14:paraId="502AB57A" w14:textId="77777777" w:rsidR="001A4ACB" w:rsidRPr="00731F40" w:rsidRDefault="00964400" w:rsidP="00731F40">
      <w:pPr>
        <w:spacing w:before="240" w:after="240" w:line="240" w:lineRule="auto"/>
        <w:jc w:val="center"/>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Table 2: Calculation of Activity Based Costing</w:t>
      </w:r>
    </w:p>
    <w:p w14:paraId="3BF9428E" w14:textId="77777777" w:rsidR="003B082C" w:rsidRDefault="003B082C" w:rsidP="00731F40">
      <w:pPr>
        <w:spacing w:before="240" w:after="240" w:line="360" w:lineRule="auto"/>
        <w:jc w:val="both"/>
        <w:rPr>
          <w:rFonts w:ascii="Times New Roman" w:eastAsia="Times New Roman" w:hAnsi="Times New Roman" w:cs="Times New Roman"/>
          <w:sz w:val="24"/>
          <w:szCs w:val="24"/>
        </w:rPr>
      </w:pPr>
    </w:p>
    <w:p w14:paraId="16F98031" w14:textId="0CE8044A"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Determining ABC in Hoffman Ltd shows that the approach is better than absorption costing as the cost of LW and MR is 95.19 by allocating cost on each activity. </w:t>
      </w:r>
    </w:p>
    <w:p w14:paraId="7CB79CCE" w14:textId="77777777" w:rsidR="001A4ACB" w:rsidRPr="00731F40" w:rsidRDefault="00964400" w:rsidP="00D619A9">
      <w:pPr>
        <w:pStyle w:val="Heading2"/>
      </w:pPr>
      <w:bookmarkStart w:id="5" w:name="_Toc37278991"/>
      <w:r w:rsidRPr="00731F40">
        <w:t>3: Critical evaluation of costing methods</w:t>
      </w:r>
      <w:bookmarkEnd w:id="5"/>
    </w:p>
    <w:p w14:paraId="2B079634"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a: Absorption costing</w:t>
      </w:r>
    </w:p>
    <w:p w14:paraId="5D1A1D09"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Absorption costing is an approach of determining the cost of products of an organization. As per Drury (2012), absorption costing considered both direct and indirect expenditures in production.  It has been analysed in absorption costing calculation for Hoffman Ltd that LW includes 204.60 pounds and MR needs 199 pounds. In this calculation cost of material, </w:t>
      </w:r>
      <w:r w:rsidR="00731F40" w:rsidRPr="00731F40">
        <w:rPr>
          <w:rFonts w:ascii="Times New Roman" w:eastAsia="Times New Roman" w:hAnsi="Times New Roman" w:cs="Times New Roman"/>
          <w:sz w:val="24"/>
          <w:szCs w:val="24"/>
        </w:rPr>
        <w:t>labour</w:t>
      </w:r>
      <w:r w:rsidRPr="00731F40">
        <w:rPr>
          <w:rFonts w:ascii="Times New Roman" w:eastAsia="Times New Roman" w:hAnsi="Times New Roman" w:cs="Times New Roman"/>
          <w:sz w:val="24"/>
          <w:szCs w:val="24"/>
        </w:rPr>
        <w:t xml:space="preserve"> and overhead has been considerate.  Determining this costing approach includes determination of prime cost. As opined by Seal </w:t>
      </w:r>
      <w:r w:rsidRPr="00731F40">
        <w:rPr>
          <w:rFonts w:ascii="Times New Roman" w:eastAsia="Times New Roman" w:hAnsi="Times New Roman" w:cs="Times New Roman"/>
          <w:i/>
          <w:sz w:val="24"/>
          <w:szCs w:val="24"/>
        </w:rPr>
        <w:t xml:space="preserve">et al. </w:t>
      </w:r>
      <w:r w:rsidRPr="00731F40">
        <w:rPr>
          <w:rFonts w:ascii="Times New Roman" w:eastAsia="Times New Roman" w:hAnsi="Times New Roman" w:cs="Times New Roman"/>
          <w:sz w:val="24"/>
          <w:szCs w:val="24"/>
        </w:rPr>
        <w:t>(2014), prime cost can be obtained by adding direct material with direct labour. Below are the key characteristics of absorption costing:</w:t>
      </w:r>
    </w:p>
    <w:p w14:paraId="4DD8BB6F" w14:textId="77777777" w:rsidR="000B3409" w:rsidRDefault="000B340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9B7103"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lastRenderedPageBreak/>
        <w:t>i: Compliance with GAAP</w:t>
      </w:r>
    </w:p>
    <w:p w14:paraId="7C4B31D7"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One of the major advantages associated with absorption costing is that it compliance with GAAP regulations and provide accurate revenue tracking than marginal costing.  </w:t>
      </w:r>
    </w:p>
    <w:p w14:paraId="6BC3F652"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ii: Inventory tracking</w:t>
      </w:r>
    </w:p>
    <w:p w14:paraId="57CD934F"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Absorption costing can be used by an organisation for the purpose of tracking inventory. According to Horngren and Forster (2003), accurate balance of inventory can be obtained opening inventory + purchase - closing inventory. So, the presence of such costing techniques in Hoffman Ltd is useful for tracking records of inventory. </w:t>
      </w:r>
    </w:p>
    <w:p w14:paraId="049930B8"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iii: Simple calculation</w:t>
      </w:r>
    </w:p>
    <w:p w14:paraId="03EEAF5B"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Absorption costing includes easy calculation especially for SMEs. Moreover, the organisations operating with less lines of products adopt this costing approach for the purpose of keeping accurate records. For instance, calculation of total cost under this system is prime cost + manufacturing cost + production cost = total cost which is divided by unit produced. </w:t>
      </w:r>
    </w:p>
    <w:p w14:paraId="76C9E57C"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Absorption costing in Hoffman Ltd</w:t>
      </w:r>
    </w:p>
    <w:p w14:paraId="3A75C56D" w14:textId="77777777" w:rsidR="00731F40" w:rsidRDefault="00964400" w:rsidP="000B3409">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sz w:val="24"/>
          <w:szCs w:val="24"/>
        </w:rPr>
        <w:t xml:space="preserve">Determination of manufacturing cost has taken place for Hoffman Ltd by adding the manufacturing overhead with prime cost. Besides this, calculation of production cost for both models of stove has been done by adding </w:t>
      </w:r>
      <w:r w:rsidR="00731F40" w:rsidRPr="00731F40">
        <w:rPr>
          <w:rFonts w:ascii="Times New Roman" w:eastAsia="Times New Roman" w:hAnsi="Times New Roman" w:cs="Times New Roman"/>
          <w:sz w:val="24"/>
          <w:szCs w:val="24"/>
        </w:rPr>
        <w:t>administrative overhead</w:t>
      </w:r>
      <w:r w:rsidRPr="00731F40">
        <w:rPr>
          <w:rFonts w:ascii="Times New Roman" w:eastAsia="Times New Roman" w:hAnsi="Times New Roman" w:cs="Times New Roman"/>
          <w:sz w:val="24"/>
          <w:szCs w:val="24"/>
        </w:rPr>
        <w:t xml:space="preserve"> in manufacturing cost. Hence, total cost can be obtained by adding prime cost, manufacturing cost and production cost. Absorption costing helps in understanding the importance of fixed cost associated with production unlike the marginal costing under which higher emphasis is provided on variable costs. However, cost determined by absorption costing is higher than ABC. As per </w:t>
      </w:r>
      <w:r w:rsidRPr="00731F40">
        <w:rPr>
          <w:rFonts w:ascii="Times New Roman" w:eastAsia="Times New Roman" w:hAnsi="Times New Roman" w:cs="Times New Roman"/>
          <w:sz w:val="24"/>
          <w:szCs w:val="24"/>
          <w:highlight w:val="white"/>
        </w:rPr>
        <w:t xml:space="preserve">Costantini </w:t>
      </w:r>
      <w:r w:rsidRPr="00731F40">
        <w:rPr>
          <w:rFonts w:ascii="Times New Roman" w:eastAsia="Times New Roman" w:hAnsi="Times New Roman" w:cs="Times New Roman"/>
          <w:i/>
          <w:sz w:val="24"/>
          <w:szCs w:val="24"/>
          <w:highlight w:val="white"/>
        </w:rPr>
        <w:t xml:space="preserve">et al. </w:t>
      </w:r>
      <w:r w:rsidRPr="00731F40">
        <w:rPr>
          <w:rFonts w:ascii="Times New Roman" w:eastAsia="Times New Roman" w:hAnsi="Times New Roman" w:cs="Times New Roman"/>
          <w:sz w:val="24"/>
          <w:szCs w:val="24"/>
        </w:rPr>
        <w:t xml:space="preserve">(2020), minimisation of cost is one of the major objectives of an organisation which leads to enhance the profitability of a company. Further, the company has decided to replace its existing costing method to ABC for cost minimisation. </w:t>
      </w:r>
    </w:p>
    <w:p w14:paraId="5323B858"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b: Activity based costing </w:t>
      </w:r>
    </w:p>
    <w:p w14:paraId="1C63E854"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Activity based costing includes identification of each activity for production and assigns cost as per actual requirement for each task. </w:t>
      </w:r>
      <w:r w:rsidR="000B3409" w:rsidRPr="00731F40">
        <w:rPr>
          <w:rFonts w:ascii="Times New Roman" w:eastAsia="Times New Roman" w:hAnsi="Times New Roman" w:cs="Times New Roman"/>
          <w:sz w:val="24"/>
          <w:szCs w:val="24"/>
        </w:rPr>
        <w:t>Implication of</w:t>
      </w:r>
      <w:r w:rsidRPr="00731F40">
        <w:rPr>
          <w:rFonts w:ascii="Times New Roman" w:eastAsia="Times New Roman" w:hAnsi="Times New Roman" w:cs="Times New Roman"/>
          <w:sz w:val="24"/>
          <w:szCs w:val="24"/>
        </w:rPr>
        <w:t xml:space="preserve"> such costing techniques has taken place in Hoffman Ltd by replacing absorption costing methods.  Moreover, ABC has been founded </w:t>
      </w:r>
      <w:r w:rsidRPr="00731F40">
        <w:rPr>
          <w:rFonts w:ascii="Times New Roman" w:eastAsia="Times New Roman" w:hAnsi="Times New Roman" w:cs="Times New Roman"/>
          <w:sz w:val="24"/>
          <w:szCs w:val="24"/>
        </w:rPr>
        <w:lastRenderedPageBreak/>
        <w:t xml:space="preserve">as a more efficient measure of costing in Hoffman Ltd as it is able to minimise the cost Components associated with production of stoves. Below are the key characteristics of activity based costing technique: </w:t>
      </w:r>
    </w:p>
    <w:p w14:paraId="3FD4A89F"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i: Equal emphasis on costs</w:t>
      </w:r>
    </w:p>
    <w:p w14:paraId="5C55A7E3"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Implication of ABC is useful for providing equal emphasis on each cost item. As per Noreen (2011), use of absorption costing focuses on fixed cost and use of marginal costing emphasis upon variable costs. Hence, it can be said that usage of ABC is efficient for determination of both variable and fixed costs as per activities. In ABC method cost equivalent to each unit is determined as the end of activities required for production.</w:t>
      </w:r>
    </w:p>
    <w:p w14:paraId="5D169E48"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ii: Alternative for process costing</w:t>
      </w:r>
    </w:p>
    <w:p w14:paraId="47C322CC"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ABC approach acts as an alternative technique for process costing under which each activity related to production is </w:t>
      </w:r>
      <w:r w:rsidR="000B3409" w:rsidRPr="00731F40">
        <w:rPr>
          <w:rFonts w:ascii="Times New Roman" w:eastAsia="Times New Roman" w:hAnsi="Times New Roman" w:cs="Times New Roman"/>
          <w:sz w:val="24"/>
          <w:szCs w:val="24"/>
        </w:rPr>
        <w:t>analysed</w:t>
      </w:r>
      <w:r w:rsidRPr="00731F40">
        <w:rPr>
          <w:rFonts w:ascii="Times New Roman" w:eastAsia="Times New Roman" w:hAnsi="Times New Roman" w:cs="Times New Roman"/>
          <w:sz w:val="24"/>
          <w:szCs w:val="24"/>
        </w:rPr>
        <w:t xml:space="preserve">. As per </w:t>
      </w:r>
      <w:r w:rsidRPr="00731F40">
        <w:rPr>
          <w:rFonts w:ascii="Times New Roman" w:eastAsia="Times New Roman" w:hAnsi="Times New Roman" w:cs="Times New Roman"/>
          <w:sz w:val="24"/>
          <w:szCs w:val="24"/>
          <w:highlight w:val="white"/>
        </w:rPr>
        <w:t>Rikhardsson and Yigitbasioglu (2017)</w:t>
      </w:r>
      <w:r w:rsidRPr="00731F40">
        <w:rPr>
          <w:rFonts w:ascii="Times New Roman" w:eastAsia="Times New Roman" w:hAnsi="Times New Roman" w:cs="Times New Roman"/>
          <w:sz w:val="24"/>
          <w:szCs w:val="24"/>
        </w:rPr>
        <w:t xml:space="preserve">, process costing includes determination of cost incurred in each stage of processing goods. Under this method partial processed goods are teamed as work in process and fully processed goods are called finished goods. In case of ABC use of cost drivers and expected operations are used for obtaining cost. Further, in process costing identification of processed units and cost of transfer are determined but in ABC cost of each activity is analysed. </w:t>
      </w:r>
    </w:p>
    <w:p w14:paraId="241AC281"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iii: Easily traceable</w:t>
      </w:r>
    </w:p>
    <w:p w14:paraId="31A492E6"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Using this approach reflects a clear position of overheads as per requirement of production activities. As opined by </w:t>
      </w:r>
      <w:r w:rsidRPr="00731F40">
        <w:rPr>
          <w:rFonts w:ascii="Times New Roman" w:eastAsia="Times New Roman" w:hAnsi="Times New Roman" w:cs="Times New Roman"/>
          <w:sz w:val="24"/>
          <w:szCs w:val="24"/>
          <w:highlight w:val="white"/>
        </w:rPr>
        <w:t>Hopper and Bui (2016)</w:t>
      </w:r>
      <w:r w:rsidRPr="00731F40">
        <w:rPr>
          <w:rFonts w:ascii="Times New Roman" w:eastAsia="Times New Roman" w:hAnsi="Times New Roman" w:cs="Times New Roman"/>
          <w:sz w:val="24"/>
          <w:szCs w:val="24"/>
        </w:rPr>
        <w:t xml:space="preserve">, usage of ABC in calculation of production cost includes easy traceability of facts and figures from records. So, replacing the previous costing method with ABC is useful for data retaining in Hoffman Ltd. </w:t>
      </w:r>
    </w:p>
    <w:p w14:paraId="11A458B3"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Activity based costing in Hoffman Ltd</w:t>
      </w:r>
    </w:p>
    <w:p w14:paraId="68EB8804"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Implication of ABC method in Hoffman Ltd is useful as it is able to reduce the cost of production for both the stoves which is 95.19 pound each model. Besides this, replacing the previous costing model with ABC helps in cost saving amounting 109.41 pounds in LW and 103.81 pounds for MR. Hence, increment in profitability figure of Hoffman Ltd can take place in further future after usage of such method. As criticised by </w:t>
      </w:r>
      <w:r w:rsidRPr="00731F40">
        <w:rPr>
          <w:rFonts w:ascii="Times New Roman" w:eastAsia="Times New Roman" w:hAnsi="Times New Roman" w:cs="Times New Roman"/>
          <w:sz w:val="24"/>
          <w:szCs w:val="24"/>
          <w:highlight w:val="white"/>
        </w:rPr>
        <w:t>Kariyawasam (2018)</w:t>
      </w:r>
      <w:r w:rsidRPr="00731F40">
        <w:rPr>
          <w:rFonts w:ascii="Times New Roman" w:eastAsia="Times New Roman" w:hAnsi="Times New Roman" w:cs="Times New Roman"/>
          <w:sz w:val="24"/>
          <w:szCs w:val="24"/>
        </w:rPr>
        <w:t xml:space="preserve">, methodology of ABC is much more complex than absorption costing. Hence, maintaining </w:t>
      </w:r>
      <w:r w:rsidRPr="00731F40">
        <w:rPr>
          <w:rFonts w:ascii="Times New Roman" w:eastAsia="Times New Roman" w:hAnsi="Times New Roman" w:cs="Times New Roman"/>
          <w:sz w:val="24"/>
          <w:szCs w:val="24"/>
        </w:rPr>
        <w:lastRenderedPageBreak/>
        <w:t xml:space="preserve">adequate staff for conducting ABC is the key requirement for the company in order to extract greater benefit from the method. </w:t>
      </w:r>
    </w:p>
    <w:p w14:paraId="2ECDFC1D" w14:textId="06432B32" w:rsidR="001A4ACB" w:rsidRPr="00731F40" w:rsidRDefault="00964400" w:rsidP="0068665F">
      <w:pPr>
        <w:pStyle w:val="Heading1"/>
      </w:pPr>
      <w:bookmarkStart w:id="6" w:name="_Toc37278992"/>
      <w:r w:rsidRPr="00731F40">
        <w:t xml:space="preserve">Part </w:t>
      </w:r>
      <w:bookmarkEnd w:id="6"/>
      <w:r w:rsidR="004905C9">
        <w:t>B</w:t>
      </w:r>
    </w:p>
    <w:p w14:paraId="2F4DA546" w14:textId="77777777" w:rsidR="001A4ACB" w:rsidRPr="00731F40" w:rsidRDefault="00964400" w:rsidP="00D619A9">
      <w:pPr>
        <w:pStyle w:val="Heading2"/>
      </w:pPr>
      <w:bookmarkStart w:id="7" w:name="_Toc37278993"/>
      <w:r w:rsidRPr="00731F40">
        <w:t>Relevance of break-even analysis in 21st Century</w:t>
      </w:r>
      <w:bookmarkEnd w:id="7"/>
      <w:r w:rsidRPr="00731F40">
        <w:t xml:space="preserve"> </w:t>
      </w:r>
    </w:p>
    <w:p w14:paraId="50CA45DF" w14:textId="77777777" w:rsidR="001A4ACB" w:rsidRPr="00731F40" w:rsidRDefault="000B3409"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Breakeven</w:t>
      </w:r>
      <w:r w:rsidR="00964400" w:rsidRPr="00731F40">
        <w:rPr>
          <w:rFonts w:ascii="Times New Roman" w:eastAsia="Times New Roman" w:hAnsi="Times New Roman" w:cs="Times New Roman"/>
          <w:sz w:val="24"/>
          <w:szCs w:val="24"/>
        </w:rPr>
        <w:t xml:space="preserve"> point is an economic tool used by an organization for the purpose of determining the cost structure of company. </w:t>
      </w:r>
      <w:r w:rsidRPr="00731F40">
        <w:rPr>
          <w:rFonts w:ascii="Times New Roman" w:eastAsia="Times New Roman" w:hAnsi="Times New Roman" w:cs="Times New Roman"/>
          <w:sz w:val="24"/>
          <w:szCs w:val="24"/>
        </w:rPr>
        <w:t>As</w:t>
      </w:r>
      <w:r w:rsidR="00964400" w:rsidRPr="00731F40">
        <w:rPr>
          <w:rFonts w:ascii="Times New Roman" w:eastAsia="Times New Roman" w:hAnsi="Times New Roman" w:cs="Times New Roman"/>
          <w:sz w:val="24"/>
          <w:szCs w:val="24"/>
        </w:rPr>
        <w:t xml:space="preserve"> observed by </w:t>
      </w:r>
      <w:r w:rsidR="00964400" w:rsidRPr="00731F40">
        <w:rPr>
          <w:rFonts w:ascii="Times New Roman" w:eastAsia="Times New Roman" w:hAnsi="Times New Roman" w:cs="Times New Roman"/>
          <w:sz w:val="24"/>
          <w:szCs w:val="24"/>
          <w:highlight w:val="white"/>
        </w:rPr>
        <w:t>Silvester (2017)</w:t>
      </w:r>
      <w:r w:rsidR="00964400" w:rsidRPr="00731F40">
        <w:rPr>
          <w:rFonts w:ascii="Times New Roman" w:eastAsia="Times New Roman" w:hAnsi="Times New Roman" w:cs="Times New Roman"/>
          <w:sz w:val="24"/>
          <w:szCs w:val="24"/>
        </w:rPr>
        <w:t xml:space="preserve">, BEP can be calculated by dividing fixed cost by GP margin. An organisation can obtain GP margin by subtracting variable cost from selling price or cost of goods sold from sales. It is a method of determining cost structure under cost volume profit analysis by help of units and quantity produced.   </w:t>
      </w:r>
    </w:p>
    <w:p w14:paraId="7AE754E0"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Usage of BEP is efficient for an organisation for understanding cost </w:t>
      </w:r>
      <w:r w:rsidR="000B3409" w:rsidRPr="00731F40">
        <w:rPr>
          <w:rFonts w:ascii="Times New Roman" w:eastAsia="Times New Roman" w:hAnsi="Times New Roman" w:cs="Times New Roman"/>
          <w:sz w:val="24"/>
          <w:szCs w:val="24"/>
        </w:rPr>
        <w:t>behaviour</w:t>
      </w:r>
      <w:r w:rsidRPr="00731F40">
        <w:rPr>
          <w:rFonts w:ascii="Times New Roman" w:eastAsia="Times New Roman" w:hAnsi="Times New Roman" w:cs="Times New Roman"/>
          <w:sz w:val="24"/>
          <w:szCs w:val="24"/>
        </w:rPr>
        <w:t xml:space="preserve"> as its calculation includes analysis of cost factors such as fixed and variable and its responsiveness according to sales. Moreover, BEP is a useful </w:t>
      </w:r>
      <w:r w:rsidR="000B3409" w:rsidRPr="00731F40">
        <w:rPr>
          <w:rFonts w:ascii="Times New Roman" w:eastAsia="Times New Roman" w:hAnsi="Times New Roman" w:cs="Times New Roman"/>
          <w:sz w:val="24"/>
          <w:szCs w:val="24"/>
        </w:rPr>
        <w:t>tool for</w:t>
      </w:r>
      <w:r w:rsidRPr="00731F40">
        <w:rPr>
          <w:rFonts w:ascii="Times New Roman" w:eastAsia="Times New Roman" w:hAnsi="Times New Roman" w:cs="Times New Roman"/>
          <w:sz w:val="24"/>
          <w:szCs w:val="24"/>
        </w:rPr>
        <w:t xml:space="preserve"> the organisation operating </w:t>
      </w:r>
      <w:r w:rsidR="000B3409" w:rsidRPr="00731F40">
        <w:rPr>
          <w:rFonts w:ascii="Times New Roman" w:eastAsia="Times New Roman" w:hAnsi="Times New Roman" w:cs="Times New Roman"/>
          <w:sz w:val="24"/>
          <w:szCs w:val="24"/>
        </w:rPr>
        <w:t>in the</w:t>
      </w:r>
      <w:r w:rsidRPr="00731F40">
        <w:rPr>
          <w:rFonts w:ascii="Times New Roman" w:eastAsia="Times New Roman" w:hAnsi="Times New Roman" w:cs="Times New Roman"/>
          <w:sz w:val="24"/>
          <w:szCs w:val="24"/>
        </w:rPr>
        <w:t xml:space="preserve"> 21st century with intra group trading and multiple lines of products. </w:t>
      </w:r>
    </w:p>
    <w:p w14:paraId="17AFFF8D" w14:textId="77777777" w:rsidR="001A4ACB" w:rsidRPr="00731F40" w:rsidRDefault="000B3409"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Usage</w:t>
      </w:r>
      <w:r w:rsidR="00964400" w:rsidRPr="00731F40">
        <w:rPr>
          <w:rFonts w:ascii="Times New Roman" w:eastAsia="Times New Roman" w:hAnsi="Times New Roman" w:cs="Times New Roman"/>
          <w:sz w:val="24"/>
          <w:szCs w:val="24"/>
        </w:rPr>
        <w:t xml:space="preserve"> of absorption costing in management for BEP analysis as it highlights the fixed and variable cost needed in BEP. Besides this, using marginal cost with BFP calculation includes absorption of additional cost by contribution. Absorption costing is a costing technique where determination of fixed and variable cost are determined but in marginal costing focus is provided on additional or marginal cost incurred in production. As per </w:t>
      </w:r>
      <w:r w:rsidR="00964400" w:rsidRPr="00731F40">
        <w:rPr>
          <w:rFonts w:ascii="Times New Roman" w:eastAsia="Times New Roman" w:hAnsi="Times New Roman" w:cs="Times New Roman"/>
          <w:sz w:val="24"/>
          <w:szCs w:val="24"/>
          <w:highlight w:val="white"/>
        </w:rPr>
        <w:t>Stadhouders</w:t>
      </w:r>
      <w:r>
        <w:rPr>
          <w:rFonts w:ascii="Times New Roman" w:eastAsia="Times New Roman" w:hAnsi="Times New Roman" w:cs="Times New Roman"/>
          <w:sz w:val="24"/>
          <w:szCs w:val="24"/>
          <w:highlight w:val="white"/>
        </w:rPr>
        <w:t xml:space="preserve"> </w:t>
      </w:r>
      <w:r w:rsidR="00964400" w:rsidRPr="00731F40">
        <w:rPr>
          <w:rFonts w:ascii="Times New Roman" w:eastAsia="Times New Roman" w:hAnsi="Times New Roman" w:cs="Times New Roman"/>
          <w:i/>
          <w:sz w:val="24"/>
          <w:szCs w:val="24"/>
          <w:highlight w:val="white"/>
        </w:rPr>
        <w:t xml:space="preserve">et al. </w:t>
      </w:r>
      <w:r w:rsidR="00964400" w:rsidRPr="00731F40">
        <w:rPr>
          <w:rFonts w:ascii="Times New Roman" w:eastAsia="Times New Roman" w:hAnsi="Times New Roman" w:cs="Times New Roman"/>
          <w:sz w:val="24"/>
          <w:szCs w:val="24"/>
        </w:rPr>
        <w:t xml:space="preserve">(2016), absorption costing is not useful for long term Managerial decision making as fixed costs are not excluded from earnings till the product is sold so it is a short term phenomenon. Using marginal costing is helpful in long term decision making as it considers additional cost required in production.  A limitation associated with BEP is that it does not consider the captain employed in Calculation. However, capital employed is a powerful determinant of organisational profitability. </w:t>
      </w:r>
    </w:p>
    <w:p w14:paraId="55EB8688" w14:textId="77777777" w:rsidR="001A4ACB" w:rsidRPr="00731F40" w:rsidRDefault="00964400" w:rsidP="00D619A9">
      <w:pPr>
        <w:pStyle w:val="Heading2"/>
      </w:pPr>
      <w:bookmarkStart w:id="8" w:name="_Toc37278994"/>
      <w:r w:rsidRPr="00731F40">
        <w:t xml:space="preserve">a: Production of </w:t>
      </w:r>
      <w:r w:rsidRPr="00D619A9">
        <w:t>multiple</w:t>
      </w:r>
      <w:r w:rsidRPr="00731F40">
        <w:t xml:space="preserve"> lines of products</w:t>
      </w:r>
      <w:bookmarkEnd w:id="8"/>
    </w:p>
    <w:p w14:paraId="47950618"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Organization producing multiple lines of products means it sells more than one or two types of products. Calculating BEP in such a venture </w:t>
      </w:r>
      <w:r w:rsidR="000B3409" w:rsidRPr="00731F40">
        <w:rPr>
          <w:rFonts w:ascii="Times New Roman" w:eastAsia="Times New Roman" w:hAnsi="Times New Roman" w:cs="Times New Roman"/>
          <w:sz w:val="24"/>
          <w:szCs w:val="24"/>
        </w:rPr>
        <w:t>requires formula</w:t>
      </w:r>
      <w:r w:rsidRPr="00731F40">
        <w:rPr>
          <w:rFonts w:ascii="Times New Roman" w:eastAsia="Times New Roman" w:hAnsi="Times New Roman" w:cs="Times New Roman"/>
          <w:sz w:val="24"/>
          <w:szCs w:val="24"/>
        </w:rPr>
        <w:t xml:space="preserve"> aggregate fixed expense / weighted average product sell price - weighted average product </w:t>
      </w:r>
      <w:r w:rsidR="000B3409" w:rsidRPr="00731F40">
        <w:rPr>
          <w:rFonts w:ascii="Times New Roman" w:eastAsia="Times New Roman" w:hAnsi="Times New Roman" w:cs="Times New Roman"/>
          <w:sz w:val="24"/>
          <w:szCs w:val="24"/>
        </w:rPr>
        <w:t>variable cost</w:t>
      </w:r>
      <w:r w:rsidRPr="00731F40">
        <w:rPr>
          <w:rFonts w:ascii="Times New Roman" w:eastAsia="Times New Roman" w:hAnsi="Times New Roman" w:cs="Times New Roman"/>
          <w:sz w:val="24"/>
          <w:szCs w:val="24"/>
        </w:rPr>
        <w:t xml:space="preserve"> (</w:t>
      </w:r>
      <w:r w:rsidRPr="00731F40">
        <w:rPr>
          <w:rFonts w:ascii="Times New Roman" w:eastAsia="Times New Roman" w:hAnsi="Times New Roman" w:cs="Times New Roman"/>
          <w:sz w:val="24"/>
          <w:szCs w:val="24"/>
          <w:highlight w:val="white"/>
        </w:rPr>
        <w:t xml:space="preserve">Kawalla </w:t>
      </w:r>
      <w:r w:rsidRPr="00731F40">
        <w:rPr>
          <w:rFonts w:ascii="Times New Roman" w:eastAsia="Times New Roman" w:hAnsi="Times New Roman" w:cs="Times New Roman"/>
          <w:i/>
          <w:sz w:val="24"/>
          <w:szCs w:val="24"/>
          <w:highlight w:val="white"/>
        </w:rPr>
        <w:t xml:space="preserve">et al. </w:t>
      </w:r>
      <w:r w:rsidRPr="00731F40">
        <w:rPr>
          <w:rFonts w:ascii="Times New Roman" w:eastAsia="Times New Roman" w:hAnsi="Times New Roman" w:cs="Times New Roman"/>
          <w:sz w:val="24"/>
          <w:szCs w:val="24"/>
          <w:highlight w:val="white"/>
        </w:rPr>
        <w:t>2018</w:t>
      </w:r>
      <w:r w:rsidRPr="00731F40">
        <w:rPr>
          <w:rFonts w:ascii="Times New Roman" w:eastAsia="Times New Roman" w:hAnsi="Times New Roman" w:cs="Times New Roman"/>
          <w:sz w:val="24"/>
          <w:szCs w:val="24"/>
        </w:rPr>
        <w:t xml:space="preserve">).  An organization must know its sales percentage from each line of production in order </w:t>
      </w:r>
      <w:r w:rsidRPr="00731F40">
        <w:rPr>
          <w:rFonts w:ascii="Times New Roman" w:eastAsia="Times New Roman" w:hAnsi="Times New Roman" w:cs="Times New Roman"/>
          <w:sz w:val="24"/>
          <w:szCs w:val="24"/>
        </w:rPr>
        <w:lastRenderedPageBreak/>
        <w:t xml:space="preserve">to understand sales mix. Hence, implication of </w:t>
      </w:r>
      <w:r w:rsidR="000B3409" w:rsidRPr="00731F40">
        <w:rPr>
          <w:rFonts w:ascii="Times New Roman" w:eastAsia="Times New Roman" w:hAnsi="Times New Roman" w:cs="Times New Roman"/>
          <w:sz w:val="24"/>
          <w:szCs w:val="24"/>
        </w:rPr>
        <w:t>breakeven</w:t>
      </w:r>
      <w:r w:rsidRPr="00731F40">
        <w:rPr>
          <w:rFonts w:ascii="Times New Roman" w:eastAsia="Times New Roman" w:hAnsi="Times New Roman" w:cs="Times New Roman"/>
          <w:sz w:val="24"/>
          <w:szCs w:val="24"/>
        </w:rPr>
        <w:t xml:space="preserve"> analysis for a multiple line production organisation is efficient as it helps in following aspects:</w:t>
      </w:r>
    </w:p>
    <w:p w14:paraId="3B1795C5"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Working capital management</w:t>
      </w:r>
    </w:p>
    <w:p w14:paraId="12D9723F"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sz w:val="24"/>
          <w:szCs w:val="24"/>
        </w:rPr>
        <w:t xml:space="preserve">Use of beautiful even point analysis is useful for maintaining working capital requirements of the company. Based on conceptions of </w:t>
      </w:r>
      <w:r w:rsidRPr="00731F40">
        <w:rPr>
          <w:rFonts w:ascii="Times New Roman" w:eastAsia="Times New Roman" w:hAnsi="Times New Roman" w:cs="Times New Roman"/>
          <w:sz w:val="24"/>
          <w:szCs w:val="24"/>
          <w:highlight w:val="white"/>
        </w:rPr>
        <w:t>Tu and Huang (2019)</w:t>
      </w:r>
      <w:r w:rsidRPr="00731F40">
        <w:rPr>
          <w:rFonts w:ascii="Times New Roman" w:eastAsia="Times New Roman" w:hAnsi="Times New Roman" w:cs="Times New Roman"/>
          <w:sz w:val="24"/>
          <w:szCs w:val="24"/>
        </w:rPr>
        <w:t xml:space="preserve">, working capital management is an approach of understanding the requirement of liquidity in an organization. Besides this, working capital can be calculated by subtracting current liabilities from current assets. Usage of financial method of </w:t>
      </w:r>
      <w:r w:rsidR="000B3409" w:rsidRPr="00731F40">
        <w:rPr>
          <w:rFonts w:ascii="Times New Roman" w:eastAsia="Times New Roman" w:hAnsi="Times New Roman" w:cs="Times New Roman"/>
          <w:sz w:val="24"/>
          <w:szCs w:val="24"/>
        </w:rPr>
        <w:t>breakeven</w:t>
      </w:r>
      <w:r w:rsidRPr="00731F40">
        <w:rPr>
          <w:rFonts w:ascii="Times New Roman" w:eastAsia="Times New Roman" w:hAnsi="Times New Roman" w:cs="Times New Roman"/>
          <w:sz w:val="24"/>
          <w:szCs w:val="24"/>
        </w:rPr>
        <w:t xml:space="preserve"> calculation is useful for efficient working capital management. Moreover, the approach is useful for liquidity management of companies operating with various lines of products.  </w:t>
      </w:r>
      <w:r w:rsidR="000B3409" w:rsidRPr="00731F40">
        <w:rPr>
          <w:rFonts w:ascii="Times New Roman" w:eastAsia="Times New Roman" w:hAnsi="Times New Roman" w:cs="Times New Roman"/>
          <w:sz w:val="24"/>
          <w:szCs w:val="24"/>
        </w:rPr>
        <w:t>An</w:t>
      </w:r>
      <w:r w:rsidRPr="00731F40">
        <w:rPr>
          <w:rFonts w:ascii="Times New Roman" w:eastAsia="Times New Roman" w:hAnsi="Times New Roman" w:cs="Times New Roman"/>
          <w:sz w:val="24"/>
          <w:szCs w:val="24"/>
        </w:rPr>
        <w:t xml:space="preserve"> organisation operating with multiple lines of products may implement break even analysis in venture </w:t>
      </w:r>
      <w:r w:rsidR="000B3409" w:rsidRPr="00731F40">
        <w:rPr>
          <w:rFonts w:ascii="Times New Roman" w:eastAsia="Times New Roman" w:hAnsi="Times New Roman" w:cs="Times New Roman"/>
          <w:sz w:val="24"/>
          <w:szCs w:val="24"/>
        </w:rPr>
        <w:t>for maintaining</w:t>
      </w:r>
      <w:r w:rsidRPr="00731F40">
        <w:rPr>
          <w:rFonts w:ascii="Times New Roman" w:eastAsia="Times New Roman" w:hAnsi="Times New Roman" w:cs="Times New Roman"/>
          <w:sz w:val="24"/>
          <w:szCs w:val="24"/>
        </w:rPr>
        <w:t xml:space="preserve"> accurate figures of cost and revenue. Besides this, maintenance of accurate figure of cost and revenue impacts positively on assets and liability figure of company. Hence, adequate figures of liabilities and assets are the key aspects affecting the working capital of an organisation.</w:t>
      </w:r>
    </w:p>
    <w:p w14:paraId="3B009FE5"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Preparation of budget </w:t>
      </w:r>
    </w:p>
    <w:p w14:paraId="2202F932" w14:textId="77777777" w:rsidR="001A4ACB" w:rsidRPr="00731F40" w:rsidRDefault="000B3409"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Budget</w:t>
      </w:r>
      <w:r w:rsidR="00964400" w:rsidRPr="00731F40">
        <w:rPr>
          <w:rFonts w:ascii="Times New Roman" w:eastAsia="Times New Roman" w:hAnsi="Times New Roman" w:cs="Times New Roman"/>
          <w:sz w:val="24"/>
          <w:szCs w:val="24"/>
        </w:rPr>
        <w:t xml:space="preserve"> is an approach of allocating the financial and </w:t>
      </w:r>
      <w:r w:rsidRPr="00731F40">
        <w:rPr>
          <w:rFonts w:ascii="Times New Roman" w:eastAsia="Times New Roman" w:hAnsi="Times New Roman" w:cs="Times New Roman"/>
          <w:sz w:val="24"/>
          <w:szCs w:val="24"/>
        </w:rPr>
        <w:t>non-financial</w:t>
      </w:r>
      <w:r w:rsidR="00964400" w:rsidRPr="00731F40">
        <w:rPr>
          <w:rFonts w:ascii="Times New Roman" w:eastAsia="Times New Roman" w:hAnsi="Times New Roman" w:cs="Times New Roman"/>
          <w:sz w:val="24"/>
          <w:szCs w:val="24"/>
        </w:rPr>
        <w:t xml:space="preserve"> resources efficiently. </w:t>
      </w:r>
      <w:r w:rsidRPr="00731F40">
        <w:rPr>
          <w:rFonts w:ascii="Times New Roman" w:eastAsia="Times New Roman" w:hAnsi="Times New Roman" w:cs="Times New Roman"/>
          <w:sz w:val="24"/>
          <w:szCs w:val="24"/>
        </w:rPr>
        <w:t>As</w:t>
      </w:r>
      <w:r w:rsidR="00964400" w:rsidRPr="00731F40">
        <w:rPr>
          <w:rFonts w:ascii="Times New Roman" w:eastAsia="Times New Roman" w:hAnsi="Times New Roman" w:cs="Times New Roman"/>
          <w:sz w:val="24"/>
          <w:szCs w:val="24"/>
        </w:rPr>
        <w:t xml:space="preserve"> opined by </w:t>
      </w:r>
      <w:r w:rsidR="00964400" w:rsidRPr="00731F40">
        <w:rPr>
          <w:rFonts w:ascii="Times New Roman" w:eastAsia="Times New Roman" w:hAnsi="Times New Roman" w:cs="Times New Roman"/>
          <w:sz w:val="24"/>
          <w:szCs w:val="24"/>
          <w:highlight w:val="white"/>
        </w:rPr>
        <w:t>Yagi and Kokubu (2018)</w:t>
      </w:r>
      <w:r w:rsidR="00964400" w:rsidRPr="00731F40">
        <w:rPr>
          <w:rFonts w:ascii="Times New Roman" w:eastAsia="Times New Roman" w:hAnsi="Times New Roman" w:cs="Times New Roman"/>
          <w:sz w:val="24"/>
          <w:szCs w:val="24"/>
        </w:rPr>
        <w:t xml:space="preserve">, an organisation operating with multiple lines for a product can improve its financial performance by help of budgeting.  </w:t>
      </w:r>
      <w:r w:rsidRPr="00731F40">
        <w:rPr>
          <w:rFonts w:ascii="Times New Roman" w:eastAsia="Times New Roman" w:hAnsi="Times New Roman" w:cs="Times New Roman"/>
          <w:sz w:val="24"/>
          <w:szCs w:val="24"/>
        </w:rPr>
        <w:t>An</w:t>
      </w:r>
      <w:r w:rsidR="00964400" w:rsidRPr="00731F40">
        <w:rPr>
          <w:rFonts w:ascii="Times New Roman" w:eastAsia="Times New Roman" w:hAnsi="Times New Roman" w:cs="Times New Roman"/>
          <w:sz w:val="24"/>
          <w:szCs w:val="24"/>
        </w:rPr>
        <w:t xml:space="preserve"> organisation with more than two lines of product can use budget in different departments of organisation. These budgeting approaches include a master budget, sales budget and overhead budget prepared with BEP analysis. Further, following are different types of budget:</w:t>
      </w:r>
    </w:p>
    <w:p w14:paraId="671EC74E"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 xml:space="preserve">i: Sales Budget: </w:t>
      </w:r>
      <w:r w:rsidRPr="00731F40">
        <w:rPr>
          <w:rFonts w:ascii="Times New Roman" w:eastAsia="Times New Roman" w:hAnsi="Times New Roman" w:cs="Times New Roman"/>
          <w:sz w:val="24"/>
          <w:szCs w:val="24"/>
        </w:rPr>
        <w:t xml:space="preserve">Sales budgets are prepared for pre determining the proportion of sales to take place in an organisation. As per </w:t>
      </w:r>
      <w:r w:rsidRPr="00731F40">
        <w:rPr>
          <w:rFonts w:ascii="Times New Roman" w:eastAsia="Times New Roman" w:hAnsi="Times New Roman" w:cs="Times New Roman"/>
          <w:sz w:val="24"/>
          <w:szCs w:val="24"/>
          <w:highlight w:val="white"/>
        </w:rPr>
        <w:t>Dearman</w:t>
      </w:r>
      <w:r w:rsidRPr="00731F40">
        <w:rPr>
          <w:rFonts w:ascii="Times New Roman" w:eastAsia="Times New Roman" w:hAnsi="Times New Roman" w:cs="Times New Roman"/>
          <w:i/>
          <w:sz w:val="24"/>
          <w:szCs w:val="24"/>
          <w:highlight w:val="white"/>
        </w:rPr>
        <w:t xml:space="preserve"> et al. </w:t>
      </w:r>
      <w:r w:rsidRPr="00731F40">
        <w:rPr>
          <w:rFonts w:ascii="Times New Roman" w:eastAsia="Times New Roman" w:hAnsi="Times New Roman" w:cs="Times New Roman"/>
          <w:sz w:val="24"/>
          <w:szCs w:val="24"/>
        </w:rPr>
        <w:t xml:space="preserve">(2018), sales budget helps in achieving the goals of organisation by estimating sales. </w:t>
      </w:r>
      <w:r w:rsidR="000B3409" w:rsidRPr="00731F40">
        <w:rPr>
          <w:rFonts w:ascii="Times New Roman" w:eastAsia="Times New Roman" w:hAnsi="Times New Roman" w:cs="Times New Roman"/>
          <w:sz w:val="24"/>
          <w:szCs w:val="24"/>
        </w:rPr>
        <w:t>Maintaining</w:t>
      </w:r>
      <w:r w:rsidRPr="00731F40">
        <w:rPr>
          <w:rFonts w:ascii="Times New Roman" w:eastAsia="Times New Roman" w:hAnsi="Times New Roman" w:cs="Times New Roman"/>
          <w:sz w:val="24"/>
          <w:szCs w:val="24"/>
        </w:rPr>
        <w:t xml:space="preserve"> such budget in the company operating with multiple lines of products is efficient for determining the aggregate amount of sales. BEP helps in preparing sales budget by determining units and amount of sales for different products.  </w:t>
      </w:r>
    </w:p>
    <w:p w14:paraId="22D0FADE"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 xml:space="preserve">ii: Overhead Budget: </w:t>
      </w:r>
      <w:r w:rsidRPr="00731F40">
        <w:rPr>
          <w:rFonts w:ascii="Times New Roman" w:eastAsia="Times New Roman" w:hAnsi="Times New Roman" w:cs="Times New Roman"/>
          <w:sz w:val="24"/>
          <w:szCs w:val="24"/>
        </w:rPr>
        <w:t>Overhead budget is a type of budget which includes estimation of cost incurred in production excluding direct expenses. Besides this</w:t>
      </w:r>
      <w:r w:rsidR="000B3409" w:rsidRPr="00731F40">
        <w:rPr>
          <w:rFonts w:ascii="Times New Roman" w:eastAsia="Times New Roman" w:hAnsi="Times New Roman" w:cs="Times New Roman"/>
          <w:sz w:val="24"/>
          <w:szCs w:val="24"/>
        </w:rPr>
        <w:t>, the</w:t>
      </w:r>
      <w:r w:rsidRPr="00731F40">
        <w:rPr>
          <w:rFonts w:ascii="Times New Roman" w:eastAsia="Times New Roman" w:hAnsi="Times New Roman" w:cs="Times New Roman"/>
          <w:sz w:val="24"/>
          <w:szCs w:val="24"/>
        </w:rPr>
        <w:t xml:space="preserve"> approach also considered variable and marginal cost in calculation that can be calculated by BEP approach. Hence, </w:t>
      </w:r>
      <w:r w:rsidRPr="00731F40">
        <w:rPr>
          <w:rFonts w:ascii="Times New Roman" w:eastAsia="Times New Roman" w:hAnsi="Times New Roman" w:cs="Times New Roman"/>
          <w:sz w:val="24"/>
          <w:szCs w:val="24"/>
        </w:rPr>
        <w:lastRenderedPageBreak/>
        <w:t xml:space="preserve">maintaining such costs for an organisation operating with multiple lines of products is useful for mitigating confusion related to costs. </w:t>
      </w:r>
    </w:p>
    <w:p w14:paraId="4634CFF8"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 xml:space="preserve">iii: Labour Budget: </w:t>
      </w:r>
      <w:r w:rsidRPr="00731F40">
        <w:rPr>
          <w:rFonts w:ascii="Times New Roman" w:eastAsia="Times New Roman" w:hAnsi="Times New Roman" w:cs="Times New Roman"/>
          <w:sz w:val="24"/>
          <w:szCs w:val="24"/>
        </w:rPr>
        <w:t xml:space="preserve">Implication of labour budget is useful for the calculation of direct labour hour efficiency for calculating direct </w:t>
      </w:r>
      <w:r w:rsidR="000B3409" w:rsidRPr="00731F40">
        <w:rPr>
          <w:rFonts w:ascii="Times New Roman" w:eastAsia="Times New Roman" w:hAnsi="Times New Roman" w:cs="Times New Roman"/>
          <w:sz w:val="24"/>
          <w:szCs w:val="24"/>
        </w:rPr>
        <w:t>labour</w:t>
      </w:r>
      <w:r w:rsidRPr="00731F40">
        <w:rPr>
          <w:rFonts w:ascii="Times New Roman" w:eastAsia="Times New Roman" w:hAnsi="Times New Roman" w:cs="Times New Roman"/>
          <w:sz w:val="24"/>
          <w:szCs w:val="24"/>
        </w:rPr>
        <w:t xml:space="preserve"> cost. Besides this, preparation of labour budget is efficient for implementing production budget in management.  Usage of BEP analysis is useful for determining total cost required for such </w:t>
      </w:r>
      <w:r w:rsidR="000B3409" w:rsidRPr="00731F40">
        <w:rPr>
          <w:rFonts w:ascii="Times New Roman" w:eastAsia="Times New Roman" w:hAnsi="Times New Roman" w:cs="Times New Roman"/>
          <w:sz w:val="24"/>
          <w:szCs w:val="24"/>
        </w:rPr>
        <w:t>budgeting Further</w:t>
      </w:r>
      <w:r w:rsidRPr="00731F40">
        <w:rPr>
          <w:rFonts w:ascii="Times New Roman" w:eastAsia="Times New Roman" w:hAnsi="Times New Roman" w:cs="Times New Roman"/>
          <w:sz w:val="24"/>
          <w:szCs w:val="24"/>
        </w:rPr>
        <w:t xml:space="preserve">, determining production cost in multiple lines of production is important that can take place by usage of labour budget.   </w:t>
      </w:r>
    </w:p>
    <w:p w14:paraId="731B3535"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 xml:space="preserve">iv: Material Budget: </w:t>
      </w:r>
      <w:r w:rsidRPr="00731F40">
        <w:rPr>
          <w:rFonts w:ascii="Times New Roman" w:eastAsia="Times New Roman" w:hAnsi="Times New Roman" w:cs="Times New Roman"/>
          <w:sz w:val="24"/>
          <w:szCs w:val="24"/>
        </w:rPr>
        <w:t xml:space="preserve">Material budget is prepared by an organisation in order to allocate funds for purchasing materials. It also helps in tracking records of inputs used in producing commodities. So, for an organisation operating with more than two lines of products can track the usage of materials by help of material budget. </w:t>
      </w:r>
      <w:r w:rsidR="000B3409" w:rsidRPr="00731F40">
        <w:rPr>
          <w:rFonts w:ascii="Times New Roman" w:eastAsia="Times New Roman" w:hAnsi="Times New Roman" w:cs="Times New Roman"/>
          <w:sz w:val="24"/>
          <w:szCs w:val="24"/>
        </w:rPr>
        <w:t>Development</w:t>
      </w:r>
      <w:r w:rsidRPr="00731F40">
        <w:rPr>
          <w:rFonts w:ascii="Times New Roman" w:eastAsia="Times New Roman" w:hAnsi="Times New Roman" w:cs="Times New Roman"/>
          <w:sz w:val="24"/>
          <w:szCs w:val="24"/>
        </w:rPr>
        <w:t xml:space="preserve"> of such budget needs to consider the cost (fixed and variable) required for materials that can be calculated by BEP analysis. As opined by </w:t>
      </w:r>
      <w:r w:rsidRPr="00731F40">
        <w:rPr>
          <w:rFonts w:ascii="Times New Roman" w:eastAsia="Times New Roman" w:hAnsi="Times New Roman" w:cs="Times New Roman"/>
          <w:sz w:val="24"/>
          <w:szCs w:val="24"/>
          <w:highlight w:val="white"/>
        </w:rPr>
        <w:t>Hall (2016)</w:t>
      </w:r>
      <w:r w:rsidRPr="00731F40">
        <w:rPr>
          <w:rFonts w:ascii="Times New Roman" w:eastAsia="Times New Roman" w:hAnsi="Times New Roman" w:cs="Times New Roman"/>
          <w:sz w:val="24"/>
          <w:szCs w:val="24"/>
        </w:rPr>
        <w:t xml:space="preserve">, material budgeting is a process of determining money value of budget for a specified period of time. Using such an approach is useful for analysing requirements of organisation. </w:t>
      </w:r>
    </w:p>
    <w:p w14:paraId="75D52378"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b/>
          <w:sz w:val="24"/>
          <w:szCs w:val="24"/>
        </w:rPr>
        <w:t xml:space="preserve">v: Master Budget: </w:t>
      </w:r>
      <w:r w:rsidRPr="00731F40">
        <w:rPr>
          <w:rFonts w:ascii="Times New Roman" w:eastAsia="Times New Roman" w:hAnsi="Times New Roman" w:cs="Times New Roman"/>
          <w:sz w:val="24"/>
          <w:szCs w:val="24"/>
        </w:rPr>
        <w:t xml:space="preserve">It is the aggregate of all small budgets developed by various functional areas. </w:t>
      </w:r>
      <w:r w:rsidR="000B3409" w:rsidRPr="00731F40">
        <w:rPr>
          <w:rFonts w:ascii="Times New Roman" w:eastAsia="Times New Roman" w:hAnsi="Times New Roman" w:cs="Times New Roman"/>
          <w:sz w:val="24"/>
          <w:szCs w:val="24"/>
        </w:rPr>
        <w:t>Maintaining</w:t>
      </w:r>
      <w:r w:rsidRPr="00731F40">
        <w:rPr>
          <w:rFonts w:ascii="Times New Roman" w:eastAsia="Times New Roman" w:hAnsi="Times New Roman" w:cs="Times New Roman"/>
          <w:sz w:val="24"/>
          <w:szCs w:val="24"/>
        </w:rPr>
        <w:t xml:space="preserve"> a master budget is useful for supervising all the activities running through sub-budgets. According to </w:t>
      </w:r>
      <w:r w:rsidRPr="00731F40">
        <w:rPr>
          <w:rFonts w:ascii="Times New Roman" w:eastAsia="Times New Roman" w:hAnsi="Times New Roman" w:cs="Times New Roman"/>
          <w:sz w:val="24"/>
          <w:szCs w:val="24"/>
          <w:highlight w:val="white"/>
        </w:rPr>
        <w:t>van Helden and Uddin (2016)</w:t>
      </w:r>
      <w:r w:rsidRPr="00731F40">
        <w:rPr>
          <w:rFonts w:ascii="Times New Roman" w:eastAsia="Times New Roman" w:hAnsi="Times New Roman" w:cs="Times New Roman"/>
          <w:sz w:val="24"/>
          <w:szCs w:val="24"/>
        </w:rPr>
        <w:t xml:space="preserve">, development of a master budget is useful for getting a holistic overview of business activities and finance by the manager.  Hence, for an organisation of 21st century operating with multiple lines of productions usage of master budgeting is useful for mitigating variances in operations. It can be noted that all the sub-budgets are prepared with the help of BEP analysis so without BEP approach master budget cannot be conducted in a company.     </w:t>
      </w:r>
    </w:p>
    <w:p w14:paraId="0CBE9E1F"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Determination of overheads and cost</w:t>
      </w:r>
    </w:p>
    <w:p w14:paraId="07C4B18E" w14:textId="77777777" w:rsidR="001A4ACB" w:rsidRPr="00731F40" w:rsidRDefault="000B3409"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Overhead</w:t>
      </w:r>
      <w:r w:rsidR="00964400" w:rsidRPr="00731F40">
        <w:rPr>
          <w:rFonts w:ascii="Times New Roman" w:eastAsia="Times New Roman" w:hAnsi="Times New Roman" w:cs="Times New Roman"/>
          <w:sz w:val="24"/>
          <w:szCs w:val="24"/>
        </w:rPr>
        <w:t xml:space="preserve"> indicates the expected spending of an organisation associated with production. Similarly, cost of the net </w:t>
      </w:r>
      <w:r w:rsidRPr="00731F40">
        <w:rPr>
          <w:rFonts w:ascii="Times New Roman" w:eastAsia="Times New Roman" w:hAnsi="Times New Roman" w:cs="Times New Roman"/>
          <w:sz w:val="24"/>
          <w:szCs w:val="24"/>
        </w:rPr>
        <w:t>spending’s</w:t>
      </w:r>
      <w:r w:rsidR="00964400" w:rsidRPr="00731F40">
        <w:rPr>
          <w:rFonts w:ascii="Times New Roman" w:eastAsia="Times New Roman" w:hAnsi="Times New Roman" w:cs="Times New Roman"/>
          <w:sz w:val="24"/>
          <w:szCs w:val="24"/>
        </w:rPr>
        <w:t xml:space="preserve"> required in production </w:t>
      </w:r>
      <w:r w:rsidR="00964400" w:rsidRPr="00731F40">
        <w:rPr>
          <w:rFonts w:ascii="Times New Roman" w:eastAsia="Times New Roman" w:hAnsi="Times New Roman" w:cs="Times New Roman"/>
          <w:sz w:val="24"/>
          <w:szCs w:val="24"/>
          <w:highlight w:val="white"/>
        </w:rPr>
        <w:t>Ax and Greve (2017)</w:t>
      </w:r>
      <w:r w:rsidR="00964400" w:rsidRPr="00731F40">
        <w:rPr>
          <w:rFonts w:ascii="Times New Roman" w:eastAsia="Times New Roman" w:hAnsi="Times New Roman" w:cs="Times New Roman"/>
          <w:sz w:val="24"/>
          <w:szCs w:val="24"/>
        </w:rPr>
        <w:t xml:space="preserve">, both the terms are different but closely related with the production process of an organisation. </w:t>
      </w:r>
      <w:r w:rsidRPr="00731F40">
        <w:rPr>
          <w:rFonts w:ascii="Times New Roman" w:eastAsia="Times New Roman" w:hAnsi="Times New Roman" w:cs="Times New Roman"/>
          <w:sz w:val="24"/>
          <w:szCs w:val="24"/>
        </w:rPr>
        <w:t>Implementation</w:t>
      </w:r>
      <w:r w:rsidR="00964400" w:rsidRPr="00731F40">
        <w:rPr>
          <w:rFonts w:ascii="Times New Roman" w:eastAsia="Times New Roman" w:hAnsi="Times New Roman" w:cs="Times New Roman"/>
          <w:sz w:val="24"/>
          <w:szCs w:val="24"/>
        </w:rPr>
        <w:t xml:space="preserve"> of </w:t>
      </w:r>
      <w:r w:rsidRPr="00731F40">
        <w:rPr>
          <w:rFonts w:ascii="Times New Roman" w:eastAsia="Times New Roman" w:hAnsi="Times New Roman" w:cs="Times New Roman"/>
          <w:sz w:val="24"/>
          <w:szCs w:val="24"/>
        </w:rPr>
        <w:t>breakeven</w:t>
      </w:r>
      <w:r w:rsidR="00964400" w:rsidRPr="00731F40">
        <w:rPr>
          <w:rFonts w:ascii="Times New Roman" w:eastAsia="Times New Roman" w:hAnsi="Times New Roman" w:cs="Times New Roman"/>
          <w:sz w:val="24"/>
          <w:szCs w:val="24"/>
        </w:rPr>
        <w:t xml:space="preserve"> analysis in management helps in anticipating the overhead as per previous cost of production. Moreover, the method is also efficient for determining the cost of production of current year. </w:t>
      </w:r>
    </w:p>
    <w:p w14:paraId="1FDC4118"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lastRenderedPageBreak/>
        <w:t xml:space="preserve">Basically, BEP can be calculated by a company operating with multiple lines of production in units and in amount. So, it is necessary for the company to understand the overhead and cost needed in production as it affects the contribution of sales. Further, cost of product impacts the market position of the company that affects its EPS. Similarly, EPS affects the P/E ratio of venture operating with multiple liners of product. In essence, it can be said that determination of overhead and cost is useful for profitability of business by considering BEP. </w:t>
      </w:r>
    </w:p>
    <w:p w14:paraId="5FBA0B83" w14:textId="77777777" w:rsidR="001A4ACB" w:rsidRPr="00731F40" w:rsidRDefault="00964400" w:rsidP="00D619A9">
      <w:pPr>
        <w:pStyle w:val="Heading2"/>
      </w:pPr>
      <w:bookmarkStart w:id="9" w:name="_Toc37278995"/>
      <w:r w:rsidRPr="00731F40">
        <w:t>b: Series of intra-group trading</w:t>
      </w:r>
      <w:bookmarkEnd w:id="9"/>
    </w:p>
    <w:p w14:paraId="7F58799A"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The term intra-group trading is mostly used for transactions taking place in two groups of companies</w:t>
      </w:r>
      <w:r w:rsidR="000B3409" w:rsidRPr="00731F40">
        <w:rPr>
          <w:rFonts w:ascii="Times New Roman" w:eastAsia="Times New Roman" w:hAnsi="Times New Roman" w:cs="Times New Roman"/>
          <w:sz w:val="24"/>
          <w:szCs w:val="24"/>
        </w:rPr>
        <w:t>, in</w:t>
      </w:r>
      <w:r w:rsidRPr="00731F40">
        <w:rPr>
          <w:rFonts w:ascii="Times New Roman" w:eastAsia="Times New Roman" w:hAnsi="Times New Roman" w:cs="Times New Roman"/>
          <w:sz w:val="24"/>
          <w:szCs w:val="24"/>
        </w:rPr>
        <w:t xml:space="preserve"> between parent company (P) and subsidiary company (S).  Moreover, such transactions are considered under IAS - IAS 1, IAS 2, IAS 38, IAS 37 and IAS 10 (kfknowledgebank.kaplan.co.uk, 2020).  Some of the important aspects of intra-group trading are presence of current account</w:t>
      </w:r>
      <w:r w:rsidR="000B3409" w:rsidRPr="00731F40">
        <w:rPr>
          <w:rFonts w:ascii="Times New Roman" w:eastAsia="Times New Roman" w:hAnsi="Times New Roman" w:cs="Times New Roman"/>
          <w:sz w:val="24"/>
          <w:szCs w:val="24"/>
        </w:rPr>
        <w:t>, unrealised</w:t>
      </w:r>
      <w:r w:rsidRPr="00731F40">
        <w:rPr>
          <w:rFonts w:ascii="Times New Roman" w:eastAsia="Times New Roman" w:hAnsi="Times New Roman" w:cs="Times New Roman"/>
          <w:sz w:val="24"/>
          <w:szCs w:val="24"/>
        </w:rPr>
        <w:t xml:space="preserve"> profit and sales and purchase affected by consolidation.  Besides this, possession of goods and services within an organisation having the same ownership includes determination of transfer price. Besides this, transfer price can be defined efficiently </w:t>
      </w:r>
      <w:r w:rsidR="000B3409" w:rsidRPr="00731F40">
        <w:rPr>
          <w:rFonts w:ascii="Times New Roman" w:eastAsia="Times New Roman" w:hAnsi="Times New Roman" w:cs="Times New Roman"/>
          <w:sz w:val="24"/>
          <w:szCs w:val="24"/>
        </w:rPr>
        <w:t>by</w:t>
      </w:r>
      <w:r w:rsidRPr="00731F40">
        <w:rPr>
          <w:rFonts w:ascii="Times New Roman" w:eastAsia="Times New Roman" w:hAnsi="Times New Roman" w:cs="Times New Roman"/>
          <w:sz w:val="24"/>
          <w:szCs w:val="24"/>
        </w:rPr>
        <w:t xml:space="preserve"> usage of BEP analysis. Again, BEP analysis is an important aspect of standard costing. Below is the brief analysis for transfer price and standard costing along with BEP:   </w:t>
      </w:r>
    </w:p>
    <w:p w14:paraId="003E010F"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Transfer price</w:t>
      </w:r>
    </w:p>
    <w:p w14:paraId="65BB5684"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Transfer price is the amount which is changed by one division to another for possession of goods and services. Moreover, usage of BEP approach is efficient for determining the price used while transferring the goods and services.  </w:t>
      </w:r>
      <w:r w:rsidR="000B3409" w:rsidRPr="00731F40">
        <w:rPr>
          <w:rFonts w:ascii="Times New Roman" w:eastAsia="Times New Roman" w:hAnsi="Times New Roman" w:cs="Times New Roman"/>
          <w:sz w:val="24"/>
          <w:szCs w:val="24"/>
        </w:rPr>
        <w:t>It</w:t>
      </w:r>
      <w:r w:rsidRPr="00731F40">
        <w:rPr>
          <w:rFonts w:ascii="Times New Roman" w:eastAsia="Times New Roman" w:hAnsi="Times New Roman" w:cs="Times New Roman"/>
          <w:sz w:val="24"/>
          <w:szCs w:val="24"/>
        </w:rPr>
        <w:t xml:space="preserve"> is to be noted that transfer prices are slightly lesser than market price of such goods and services. Thus, a company can determine the cost of those goods by BEP and transfer them at a profit for earning greater revenue</w:t>
      </w:r>
      <w:r w:rsidR="00A3074C">
        <w:rPr>
          <w:rFonts w:ascii="Times New Roman" w:eastAsia="Times New Roman" w:hAnsi="Times New Roman" w:cs="Times New Roman"/>
          <w:sz w:val="24"/>
          <w:szCs w:val="24"/>
        </w:rPr>
        <w:t xml:space="preserve"> </w:t>
      </w:r>
      <w:r w:rsidR="00A3074C" w:rsidRPr="00731F40">
        <w:rPr>
          <w:rFonts w:ascii="Times New Roman" w:eastAsia="Times New Roman" w:hAnsi="Times New Roman" w:cs="Times New Roman"/>
          <w:sz w:val="24"/>
          <w:szCs w:val="24"/>
        </w:rPr>
        <w:t>(</w:t>
      </w:r>
      <w:r w:rsidR="00A3074C" w:rsidRPr="00731F40">
        <w:rPr>
          <w:rFonts w:ascii="Times New Roman" w:eastAsia="Times New Roman" w:hAnsi="Times New Roman" w:cs="Times New Roman"/>
          <w:sz w:val="24"/>
          <w:szCs w:val="24"/>
          <w:highlight w:val="white"/>
        </w:rPr>
        <w:t>Bromwich and Scapens, 2016</w:t>
      </w:r>
      <w:r w:rsidR="00A3074C">
        <w:rPr>
          <w:rFonts w:ascii="Times New Roman" w:eastAsia="Times New Roman" w:hAnsi="Times New Roman" w:cs="Times New Roman"/>
          <w:sz w:val="24"/>
          <w:szCs w:val="24"/>
        </w:rPr>
        <w:t>)</w:t>
      </w:r>
      <w:r w:rsidRPr="00731F40">
        <w:rPr>
          <w:rFonts w:ascii="Times New Roman" w:eastAsia="Times New Roman" w:hAnsi="Times New Roman" w:cs="Times New Roman"/>
          <w:sz w:val="24"/>
          <w:szCs w:val="24"/>
        </w:rPr>
        <w:t>. However, usage of standard costing includes anticipation of minimum production rate at normal circumstances</w:t>
      </w:r>
      <w:r w:rsidR="00A3074C">
        <w:rPr>
          <w:rFonts w:ascii="Times New Roman" w:eastAsia="Times New Roman" w:hAnsi="Times New Roman" w:cs="Times New Roman"/>
          <w:sz w:val="24"/>
          <w:szCs w:val="24"/>
        </w:rPr>
        <w:t>.</w:t>
      </w:r>
      <w:r w:rsidRPr="00731F40">
        <w:rPr>
          <w:rFonts w:ascii="Times New Roman" w:eastAsia="Times New Roman" w:hAnsi="Times New Roman" w:cs="Times New Roman"/>
          <w:sz w:val="24"/>
          <w:szCs w:val="24"/>
        </w:rPr>
        <w:t xml:space="preserve"> </w:t>
      </w:r>
    </w:p>
    <w:p w14:paraId="5EF2FD64"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BEP calculation comes under standard costing approach in which determination of anticipated cost, contribution and earning per unit take </w:t>
      </w:r>
      <w:r w:rsidR="000B3409" w:rsidRPr="00731F40">
        <w:rPr>
          <w:rFonts w:ascii="Times New Roman" w:eastAsia="Times New Roman" w:hAnsi="Times New Roman" w:cs="Times New Roman"/>
          <w:sz w:val="24"/>
          <w:szCs w:val="24"/>
        </w:rPr>
        <w:t>place for</w:t>
      </w:r>
      <w:r w:rsidRPr="00731F40">
        <w:rPr>
          <w:rFonts w:ascii="Times New Roman" w:eastAsia="Times New Roman" w:hAnsi="Times New Roman" w:cs="Times New Roman"/>
          <w:sz w:val="24"/>
          <w:szCs w:val="24"/>
        </w:rPr>
        <w:t xml:space="preserve"> a company operating with multiple lines of product and intra-group transfer.  Evaluation of financial break-even point is useful for determining earnings of the company at end of the period operating with intra-group trading. This calculation includes [Fixed Cost / </w:t>
      </w:r>
      <w:r w:rsidR="000B3409" w:rsidRPr="00731F40">
        <w:rPr>
          <w:rFonts w:ascii="Times New Roman" w:eastAsia="Times New Roman" w:hAnsi="Times New Roman" w:cs="Times New Roman"/>
          <w:sz w:val="24"/>
          <w:szCs w:val="24"/>
        </w:rPr>
        <w:t>per</w:t>
      </w:r>
      <w:r w:rsidRPr="00731F40">
        <w:rPr>
          <w:rFonts w:ascii="Times New Roman" w:eastAsia="Times New Roman" w:hAnsi="Times New Roman" w:cs="Times New Roman"/>
          <w:sz w:val="24"/>
          <w:szCs w:val="24"/>
        </w:rPr>
        <w:t xml:space="preserve"> unit price] - Variable cost of product. Hence, the approach is efficient for an organisation operating with intra-group transfer in 21st century.  </w:t>
      </w:r>
      <w:r w:rsidRPr="00731F40">
        <w:rPr>
          <w:rFonts w:ascii="Times New Roman" w:eastAsia="Times New Roman" w:hAnsi="Times New Roman" w:cs="Times New Roman"/>
          <w:sz w:val="24"/>
          <w:szCs w:val="24"/>
        </w:rPr>
        <w:lastRenderedPageBreak/>
        <w:t xml:space="preserve">Furthermore, as the approach is associated with standard costing usage of standard coasting along with its different types are determined as under:      </w:t>
      </w:r>
    </w:p>
    <w:p w14:paraId="2AEFBBB9" w14:textId="77777777" w:rsidR="001A4ACB" w:rsidRPr="00731F40" w:rsidRDefault="00964400" w:rsidP="00731F40">
      <w:pPr>
        <w:spacing w:before="240" w:after="240" w:line="360" w:lineRule="auto"/>
        <w:jc w:val="both"/>
        <w:rPr>
          <w:rFonts w:ascii="Times New Roman" w:eastAsia="Times New Roman" w:hAnsi="Times New Roman" w:cs="Times New Roman"/>
          <w:b/>
          <w:sz w:val="24"/>
          <w:szCs w:val="24"/>
        </w:rPr>
      </w:pPr>
      <w:r w:rsidRPr="00731F40">
        <w:rPr>
          <w:rFonts w:ascii="Times New Roman" w:eastAsia="Times New Roman" w:hAnsi="Times New Roman" w:cs="Times New Roman"/>
          <w:b/>
          <w:sz w:val="24"/>
          <w:szCs w:val="24"/>
        </w:rPr>
        <w:t xml:space="preserve">Standard costing  </w:t>
      </w:r>
    </w:p>
    <w:p w14:paraId="4A016C3E" w14:textId="77777777" w:rsidR="001A4ACB" w:rsidRPr="00731F40" w:rsidRDefault="0096440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Usage of standard costing can take place in an intra-group trading organisation for the purpose of anticipating cost and overheads associated with production.  It aims to measure the deviation incurred in operation by comparing the estimated outcome with actual outcome. Moreover, the approach is also useful for companies operating with multiple lines of products. </w:t>
      </w:r>
      <w:r w:rsidR="000B3409" w:rsidRPr="00731F40">
        <w:rPr>
          <w:rFonts w:ascii="Times New Roman" w:eastAsia="Times New Roman" w:hAnsi="Times New Roman" w:cs="Times New Roman"/>
          <w:sz w:val="24"/>
          <w:szCs w:val="24"/>
        </w:rPr>
        <w:t>Criteria</w:t>
      </w:r>
      <w:r w:rsidRPr="00731F40">
        <w:rPr>
          <w:rFonts w:ascii="Times New Roman" w:eastAsia="Times New Roman" w:hAnsi="Times New Roman" w:cs="Times New Roman"/>
          <w:sz w:val="24"/>
          <w:szCs w:val="24"/>
        </w:rPr>
        <w:t xml:space="preserve"> of the approach includes direct labour, direct material and direct overhead upon which main calculation takes place. Besides this, determination of BEP can also be made by considering these elements useful for assessing transfer pricing of companies. In addition, relation between standard costing and CVP analysis is that standard costing can be implemented with help of marketing and research aspects associated with BEP.  </w:t>
      </w:r>
    </w:p>
    <w:p w14:paraId="33A25DAB" w14:textId="77777777" w:rsidR="001A4ACB" w:rsidRPr="00731F40" w:rsidRDefault="000B3409"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Standard</w:t>
      </w:r>
      <w:r w:rsidR="00964400" w:rsidRPr="00731F40">
        <w:rPr>
          <w:rFonts w:ascii="Times New Roman" w:eastAsia="Times New Roman" w:hAnsi="Times New Roman" w:cs="Times New Roman"/>
          <w:sz w:val="24"/>
          <w:szCs w:val="24"/>
        </w:rPr>
        <w:t xml:space="preserve"> costing is mainly of four types that includes basis standard, current standard, attainable standard and ideal standard costing (Atrill and McLaney, 2012).  </w:t>
      </w:r>
      <w:r w:rsidRPr="00731F40">
        <w:rPr>
          <w:rFonts w:ascii="Times New Roman" w:eastAsia="Times New Roman" w:hAnsi="Times New Roman" w:cs="Times New Roman"/>
          <w:sz w:val="24"/>
          <w:szCs w:val="24"/>
        </w:rPr>
        <w:t>Current</w:t>
      </w:r>
      <w:r w:rsidR="00964400" w:rsidRPr="00731F40">
        <w:rPr>
          <w:rFonts w:ascii="Times New Roman" w:eastAsia="Times New Roman" w:hAnsi="Times New Roman" w:cs="Times New Roman"/>
          <w:sz w:val="24"/>
          <w:szCs w:val="24"/>
        </w:rPr>
        <w:t xml:space="preserve"> standard approach is used as per current situation for a short period of time. Moreover, an attainable standard approach includes acquiring the organizational objective when all the resources are utilised efficiently. The ideal approach of standard costing provides most </w:t>
      </w:r>
      <w:r w:rsidRPr="00731F40">
        <w:rPr>
          <w:rFonts w:ascii="Times New Roman" w:eastAsia="Times New Roman" w:hAnsi="Times New Roman" w:cs="Times New Roman"/>
          <w:sz w:val="24"/>
          <w:szCs w:val="24"/>
        </w:rPr>
        <w:t>favourable</w:t>
      </w:r>
      <w:r w:rsidR="00964400" w:rsidRPr="00731F40">
        <w:rPr>
          <w:rFonts w:ascii="Times New Roman" w:eastAsia="Times New Roman" w:hAnsi="Times New Roman" w:cs="Times New Roman"/>
          <w:sz w:val="24"/>
          <w:szCs w:val="24"/>
        </w:rPr>
        <w:t xml:space="preserve"> condition of operating which is a long run phenomenon for ventures. Furthermore, basic approach of costing includes long run operation in management which leads to gradual development in the organisation.  </w:t>
      </w:r>
    </w:p>
    <w:p w14:paraId="76F0261C" w14:textId="77777777" w:rsidR="001A4ACB" w:rsidRPr="00731F40" w:rsidRDefault="00964400" w:rsidP="0068665F">
      <w:pPr>
        <w:pStyle w:val="Heading1"/>
      </w:pPr>
      <w:bookmarkStart w:id="10" w:name="_Toc37278996"/>
      <w:r w:rsidRPr="00731F40">
        <w:t>Conclusion</w:t>
      </w:r>
      <w:bookmarkEnd w:id="10"/>
    </w:p>
    <w:p w14:paraId="75F2FAD4" w14:textId="77777777" w:rsidR="001A4ACB" w:rsidRPr="00731F40" w:rsidRDefault="00731F40" w:rsidP="00731F40">
      <w:pPr>
        <w:spacing w:before="240" w:after="240" w:line="360" w:lineRule="auto"/>
        <w:jc w:val="both"/>
        <w:rPr>
          <w:rFonts w:ascii="Times New Roman" w:eastAsia="Times New Roman" w:hAnsi="Times New Roman" w:cs="Times New Roman"/>
          <w:sz w:val="24"/>
          <w:szCs w:val="24"/>
        </w:rPr>
      </w:pPr>
      <w:r w:rsidRPr="00731F40">
        <w:rPr>
          <w:rFonts w:ascii="Times New Roman" w:eastAsia="Times New Roman" w:hAnsi="Times New Roman" w:cs="Times New Roman"/>
          <w:sz w:val="24"/>
          <w:szCs w:val="24"/>
        </w:rPr>
        <w:t xml:space="preserve">Management account is an efficiency aspect used for planning, organising and controlling the financial performance of a business. </w:t>
      </w:r>
      <w:r>
        <w:rPr>
          <w:rFonts w:ascii="Times New Roman" w:eastAsia="Times New Roman" w:hAnsi="Times New Roman" w:cs="Times New Roman"/>
          <w:sz w:val="24"/>
          <w:szCs w:val="24"/>
        </w:rPr>
        <w:t xml:space="preserve"> </w:t>
      </w:r>
      <w:r w:rsidRPr="00731F40">
        <w:rPr>
          <w:rFonts w:ascii="Times New Roman" w:eastAsia="Times New Roman" w:hAnsi="Times New Roman" w:cs="Times New Roman"/>
          <w:sz w:val="24"/>
          <w:szCs w:val="24"/>
        </w:rPr>
        <w:t>MA mainly includes reporting techniques of accounting reports along with related systems for maintaining accuracy in these reports.</w:t>
      </w:r>
      <w:r>
        <w:rPr>
          <w:rFonts w:ascii="Times New Roman" w:eastAsia="Times New Roman" w:hAnsi="Times New Roman" w:cs="Times New Roman"/>
          <w:sz w:val="24"/>
          <w:szCs w:val="24"/>
        </w:rPr>
        <w:t xml:space="preserve"> Moreover, implementation of MAs in management </w:t>
      </w:r>
      <w:r w:rsidR="000B3409">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in </w:t>
      </w:r>
      <w:r w:rsidR="000B3409">
        <w:rPr>
          <w:rFonts w:ascii="Times New Roman" w:eastAsia="Times New Roman" w:hAnsi="Times New Roman" w:cs="Times New Roman"/>
          <w:sz w:val="24"/>
          <w:szCs w:val="24"/>
        </w:rPr>
        <w:t>maintaining</w:t>
      </w:r>
      <w:r>
        <w:rPr>
          <w:rFonts w:ascii="Times New Roman" w:eastAsia="Times New Roman" w:hAnsi="Times New Roman" w:cs="Times New Roman"/>
          <w:sz w:val="24"/>
          <w:szCs w:val="24"/>
        </w:rPr>
        <w:t xml:space="preserve"> </w:t>
      </w:r>
      <w:r w:rsidR="000B3409">
        <w:rPr>
          <w:rFonts w:ascii="Times New Roman" w:eastAsia="Times New Roman" w:hAnsi="Times New Roman" w:cs="Times New Roman"/>
          <w:sz w:val="24"/>
          <w:szCs w:val="24"/>
        </w:rPr>
        <w:t>efficient</w:t>
      </w:r>
      <w:r>
        <w:rPr>
          <w:rFonts w:ascii="Times New Roman" w:eastAsia="Times New Roman" w:hAnsi="Times New Roman" w:cs="Times New Roman"/>
          <w:sz w:val="24"/>
          <w:szCs w:val="24"/>
        </w:rPr>
        <w:t xml:space="preserve"> in </w:t>
      </w:r>
      <w:r w:rsidR="000B3409">
        <w:rPr>
          <w:rFonts w:ascii="Times New Roman" w:eastAsia="Times New Roman" w:hAnsi="Times New Roman" w:cs="Times New Roman"/>
          <w:sz w:val="24"/>
          <w:szCs w:val="24"/>
        </w:rPr>
        <w:t>performance</w:t>
      </w:r>
      <w:r>
        <w:rPr>
          <w:rFonts w:ascii="Times New Roman" w:eastAsia="Times New Roman" w:hAnsi="Times New Roman" w:cs="Times New Roman"/>
          <w:sz w:val="24"/>
          <w:szCs w:val="24"/>
        </w:rPr>
        <w:t xml:space="preserve">. In case of Hoffman Ltd it has been founded </w:t>
      </w:r>
      <w:r w:rsidR="000B3409">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t>
      </w:r>
      <w:r w:rsidR="000B3409">
        <w:rPr>
          <w:rFonts w:ascii="Times New Roman" w:eastAsia="Times New Roman" w:hAnsi="Times New Roman" w:cs="Times New Roman"/>
          <w:sz w:val="24"/>
          <w:szCs w:val="24"/>
        </w:rPr>
        <w:t>use</w:t>
      </w:r>
      <w:r>
        <w:rPr>
          <w:rFonts w:ascii="Times New Roman" w:eastAsia="Times New Roman" w:hAnsi="Times New Roman" w:cs="Times New Roman"/>
          <w:sz w:val="24"/>
          <w:szCs w:val="24"/>
        </w:rPr>
        <w:t xml:space="preserve"> of activity based </w:t>
      </w:r>
      <w:r w:rsidR="000B3409">
        <w:rPr>
          <w:rFonts w:ascii="Times New Roman" w:eastAsia="Times New Roman" w:hAnsi="Times New Roman" w:cs="Times New Roman"/>
          <w:sz w:val="24"/>
          <w:szCs w:val="24"/>
        </w:rPr>
        <w:t>costing</w:t>
      </w:r>
      <w:r>
        <w:rPr>
          <w:rFonts w:ascii="Times New Roman" w:eastAsia="Times New Roman" w:hAnsi="Times New Roman" w:cs="Times New Roman"/>
          <w:sz w:val="24"/>
          <w:szCs w:val="24"/>
        </w:rPr>
        <w:t xml:space="preserve"> is much </w:t>
      </w:r>
      <w:r w:rsidR="000B3409">
        <w:rPr>
          <w:rFonts w:ascii="Times New Roman" w:eastAsia="Times New Roman" w:hAnsi="Times New Roman" w:cs="Times New Roman"/>
          <w:sz w:val="24"/>
          <w:szCs w:val="24"/>
        </w:rPr>
        <w:t>efficient</w:t>
      </w:r>
      <w:r>
        <w:rPr>
          <w:rFonts w:ascii="Times New Roman" w:eastAsia="Times New Roman" w:hAnsi="Times New Roman" w:cs="Times New Roman"/>
          <w:sz w:val="24"/>
          <w:szCs w:val="24"/>
        </w:rPr>
        <w:t xml:space="preserve"> than absorption costing as it helps in cost minimisation. </w:t>
      </w:r>
      <w:r w:rsidR="000B3409">
        <w:rPr>
          <w:rFonts w:ascii="Times New Roman" w:eastAsia="Times New Roman" w:hAnsi="Times New Roman" w:cs="Times New Roman"/>
          <w:sz w:val="24"/>
          <w:szCs w:val="24"/>
        </w:rPr>
        <w:t xml:space="preserve"> </w:t>
      </w:r>
      <w:r w:rsidR="001E4E67">
        <w:rPr>
          <w:rFonts w:ascii="Times New Roman" w:eastAsia="Times New Roman" w:hAnsi="Times New Roman" w:cs="Times New Roman"/>
          <w:sz w:val="24"/>
          <w:szCs w:val="24"/>
        </w:rPr>
        <w:t>Besides this, implication of break-even point is an approach of understanding the revenue figure of a company at the time of operating with multiple lines of product and intra-group trading in 21</w:t>
      </w:r>
      <w:r w:rsidR="001E4E67" w:rsidRPr="001E4E67">
        <w:rPr>
          <w:rFonts w:ascii="Times New Roman" w:eastAsia="Times New Roman" w:hAnsi="Times New Roman" w:cs="Times New Roman"/>
          <w:sz w:val="24"/>
          <w:szCs w:val="24"/>
          <w:vertAlign w:val="superscript"/>
        </w:rPr>
        <w:t>st</w:t>
      </w:r>
      <w:r w:rsidR="001E4E67">
        <w:rPr>
          <w:rFonts w:ascii="Times New Roman" w:eastAsia="Times New Roman" w:hAnsi="Times New Roman" w:cs="Times New Roman"/>
          <w:sz w:val="24"/>
          <w:szCs w:val="24"/>
        </w:rPr>
        <w:t xml:space="preserve"> century.</w:t>
      </w:r>
      <w:r w:rsidR="00575E32">
        <w:rPr>
          <w:rFonts w:ascii="Times New Roman" w:eastAsia="Times New Roman" w:hAnsi="Times New Roman" w:cs="Times New Roman"/>
          <w:sz w:val="24"/>
          <w:szCs w:val="24"/>
        </w:rPr>
        <w:t xml:space="preserve"> Usage of budgeting approach is useful for allocation of resources and anticipation of organisational objectives. </w:t>
      </w:r>
      <w:r w:rsidR="001E4E67">
        <w:rPr>
          <w:rFonts w:ascii="Times New Roman" w:eastAsia="Times New Roman" w:hAnsi="Times New Roman" w:cs="Times New Roman"/>
          <w:sz w:val="24"/>
          <w:szCs w:val="24"/>
        </w:rPr>
        <w:t xml:space="preserve"> </w:t>
      </w:r>
      <w:r w:rsidRPr="00731F40">
        <w:rPr>
          <w:rFonts w:ascii="Times New Roman" w:eastAsia="Times New Roman" w:hAnsi="Times New Roman" w:cs="Times New Roman"/>
          <w:sz w:val="24"/>
          <w:szCs w:val="24"/>
        </w:rPr>
        <w:t xml:space="preserve">  </w:t>
      </w:r>
      <w:r w:rsidR="00964400" w:rsidRPr="00731F40">
        <w:rPr>
          <w:rFonts w:ascii="Times New Roman" w:eastAsia="Times New Roman" w:hAnsi="Times New Roman" w:cs="Times New Roman"/>
          <w:b/>
          <w:sz w:val="24"/>
          <w:szCs w:val="24"/>
        </w:rPr>
        <w:t xml:space="preserve">    </w:t>
      </w:r>
    </w:p>
    <w:p w14:paraId="058D7E32" w14:textId="77777777" w:rsidR="002C4874" w:rsidRPr="00C256F4" w:rsidRDefault="00964400" w:rsidP="0068665F">
      <w:pPr>
        <w:pStyle w:val="Heading1"/>
        <w:rPr>
          <w:color w:val="000000" w:themeColor="text1"/>
        </w:rPr>
      </w:pPr>
      <w:bookmarkStart w:id="11" w:name="_Toc37278997"/>
      <w:r w:rsidRPr="00731F40">
        <w:lastRenderedPageBreak/>
        <w:t>References</w:t>
      </w:r>
      <w:bookmarkEnd w:id="11"/>
      <w:r w:rsidRPr="00731F40">
        <w:t xml:space="preserve"> </w:t>
      </w:r>
    </w:p>
    <w:p w14:paraId="202EFC4A" w14:textId="77777777" w:rsidR="002C4874" w:rsidRPr="00C256F4" w:rsidRDefault="002C4874" w:rsidP="002C4874">
      <w:pPr>
        <w:pStyle w:val="Default"/>
        <w:spacing w:before="240" w:after="240" w:line="360" w:lineRule="auto"/>
        <w:jc w:val="both"/>
        <w:rPr>
          <w:rFonts w:ascii="Times New Roman" w:hAnsi="Times New Roman" w:cs="Times New Roman"/>
          <w:color w:val="000000" w:themeColor="text1"/>
        </w:rPr>
      </w:pPr>
      <w:r w:rsidRPr="00C256F4">
        <w:rPr>
          <w:rFonts w:ascii="Times New Roman" w:hAnsi="Times New Roman" w:cs="Times New Roman"/>
          <w:color w:val="000000" w:themeColor="text1"/>
        </w:rPr>
        <w:t xml:space="preserve">Atrill, P., </w:t>
      </w:r>
      <w:r>
        <w:rPr>
          <w:rFonts w:ascii="Times New Roman" w:hAnsi="Times New Roman" w:cs="Times New Roman"/>
          <w:color w:val="000000" w:themeColor="text1"/>
        </w:rPr>
        <w:t xml:space="preserve">and </w:t>
      </w:r>
      <w:r w:rsidRPr="00C256F4">
        <w:rPr>
          <w:rFonts w:ascii="Times New Roman" w:hAnsi="Times New Roman" w:cs="Times New Roman"/>
          <w:color w:val="000000" w:themeColor="text1"/>
        </w:rPr>
        <w:t>McLaney E., (2012)</w:t>
      </w:r>
      <w:r>
        <w:rPr>
          <w:rFonts w:ascii="Times New Roman" w:hAnsi="Times New Roman" w:cs="Times New Roman"/>
          <w:color w:val="000000" w:themeColor="text1"/>
        </w:rPr>
        <w:t>.</w:t>
      </w:r>
      <w:r w:rsidRPr="00C256F4">
        <w:rPr>
          <w:rFonts w:ascii="Times New Roman" w:hAnsi="Times New Roman" w:cs="Times New Roman"/>
          <w:color w:val="000000" w:themeColor="text1"/>
        </w:rPr>
        <w:t xml:space="preserve"> Management Accounting for Decision Makers. 3</w:t>
      </w:r>
      <w:r w:rsidRPr="00C256F4">
        <w:rPr>
          <w:rFonts w:ascii="Times New Roman" w:hAnsi="Times New Roman" w:cs="Times New Roman"/>
          <w:color w:val="000000" w:themeColor="text1"/>
          <w:vertAlign w:val="superscript"/>
        </w:rPr>
        <w:t>rd</w:t>
      </w:r>
      <w:r w:rsidRPr="00C256F4">
        <w:rPr>
          <w:rFonts w:ascii="Times New Roman" w:hAnsi="Times New Roman" w:cs="Times New Roman"/>
          <w:color w:val="000000" w:themeColor="text1"/>
        </w:rPr>
        <w:t xml:space="preserve"> ed. FT Prentice Hall: New Jersey</w:t>
      </w:r>
    </w:p>
    <w:p w14:paraId="4591583B"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Ax, C. and Greve, J., (2017). Adoption of management accounting innovations: Organizational culture compatibility and perceived outcomes. </w:t>
      </w:r>
      <w:r w:rsidRPr="002C4874">
        <w:rPr>
          <w:rFonts w:ascii="Times New Roman" w:hAnsi="Times New Roman" w:cs="Times New Roman"/>
          <w:i/>
          <w:iCs/>
          <w:color w:val="000000" w:themeColor="text1"/>
          <w:sz w:val="24"/>
          <w:szCs w:val="24"/>
          <w:shd w:val="clear" w:color="auto" w:fill="FFFFFF"/>
        </w:rPr>
        <w:t>Management Accounting Research</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34(12)</w:t>
      </w:r>
      <w:r w:rsidRPr="002C4874">
        <w:rPr>
          <w:rFonts w:ascii="Times New Roman" w:hAnsi="Times New Roman" w:cs="Times New Roman"/>
          <w:color w:val="000000" w:themeColor="text1"/>
          <w:sz w:val="24"/>
          <w:szCs w:val="24"/>
          <w:shd w:val="clear" w:color="auto" w:fill="FFFFFF"/>
        </w:rPr>
        <w:t>, pp.59-74.</w:t>
      </w:r>
    </w:p>
    <w:p w14:paraId="73F2B5DC"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Bromwich, M. and Scapens, R.W., (2016). Management accounting research: 25 years on. </w:t>
      </w:r>
      <w:r w:rsidRPr="002C4874">
        <w:rPr>
          <w:rFonts w:ascii="Times New Roman" w:hAnsi="Times New Roman" w:cs="Times New Roman"/>
          <w:i/>
          <w:iCs/>
          <w:color w:val="000000" w:themeColor="text1"/>
          <w:sz w:val="24"/>
          <w:szCs w:val="24"/>
          <w:shd w:val="clear" w:color="auto" w:fill="FFFFFF"/>
        </w:rPr>
        <w:t>Management Accounting Research</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31(10)</w:t>
      </w:r>
      <w:r w:rsidRPr="002C4874">
        <w:rPr>
          <w:rFonts w:ascii="Times New Roman" w:hAnsi="Times New Roman" w:cs="Times New Roman"/>
          <w:color w:val="000000" w:themeColor="text1"/>
          <w:sz w:val="24"/>
          <w:szCs w:val="24"/>
          <w:shd w:val="clear" w:color="auto" w:fill="FFFFFF"/>
        </w:rPr>
        <w:t>, pp.1-9.</w:t>
      </w:r>
    </w:p>
    <w:p w14:paraId="41379E60"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Costantini, A., Landi, S. and Bonazzi, M., (2020). Factors Influencing the Use of the Balanced Scorecard: Evidence from a Regional Context in Italy. </w:t>
      </w:r>
      <w:r w:rsidRPr="002C4874">
        <w:rPr>
          <w:rFonts w:ascii="Times New Roman" w:hAnsi="Times New Roman" w:cs="Times New Roman"/>
          <w:i/>
          <w:iCs/>
          <w:color w:val="000000" w:themeColor="text1"/>
          <w:sz w:val="24"/>
          <w:szCs w:val="24"/>
          <w:shd w:val="clear" w:color="auto" w:fill="FFFFFF"/>
        </w:rPr>
        <w:t>International journal of academic research in business and social sciences</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10</w:t>
      </w:r>
      <w:r w:rsidRPr="002C4874">
        <w:rPr>
          <w:rFonts w:ascii="Times New Roman" w:hAnsi="Times New Roman" w:cs="Times New Roman"/>
          <w:color w:val="000000" w:themeColor="text1"/>
          <w:sz w:val="24"/>
          <w:szCs w:val="24"/>
          <w:shd w:val="clear" w:color="auto" w:fill="FFFFFF"/>
        </w:rPr>
        <w:t>(2)</w:t>
      </w:r>
      <w:r w:rsidRPr="002C4874">
        <w:rPr>
          <w:rFonts w:ascii="Times New Roman" w:hAnsi="Times New Roman" w:cs="Times New Roman"/>
          <w:i/>
          <w:iCs/>
          <w:color w:val="000000" w:themeColor="text1"/>
          <w:sz w:val="24"/>
          <w:szCs w:val="24"/>
          <w:shd w:val="clear" w:color="auto" w:fill="FFFFFF"/>
        </w:rPr>
        <w:t xml:space="preserve"> )</w:t>
      </w:r>
      <w:r w:rsidRPr="002C4874">
        <w:rPr>
          <w:rFonts w:ascii="Times New Roman" w:hAnsi="Times New Roman" w:cs="Times New Roman"/>
          <w:color w:val="000000" w:themeColor="text1"/>
          <w:sz w:val="24"/>
          <w:szCs w:val="24"/>
          <w:shd w:val="clear" w:color="auto" w:fill="FFFFFF"/>
        </w:rPr>
        <w:t>, pp.1-9.</w:t>
      </w:r>
    </w:p>
    <w:p w14:paraId="0DC3A09F"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Dearman, D., Lechner, T.A. and Shanklin, S.B., (2018). Demand for management accounting information in small businesses: Judgment performance in business planning. </w:t>
      </w:r>
      <w:r w:rsidRPr="002C4874">
        <w:rPr>
          <w:rFonts w:ascii="Times New Roman" w:hAnsi="Times New Roman" w:cs="Times New Roman"/>
          <w:i/>
          <w:iCs/>
          <w:color w:val="000000" w:themeColor="text1"/>
          <w:sz w:val="24"/>
          <w:szCs w:val="24"/>
          <w:shd w:val="clear" w:color="auto" w:fill="FFFFFF"/>
        </w:rPr>
        <w:t>International Journal of the Academic Business World</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12</w:t>
      </w:r>
      <w:r w:rsidRPr="002C4874">
        <w:rPr>
          <w:rFonts w:ascii="Times New Roman" w:hAnsi="Times New Roman" w:cs="Times New Roman"/>
          <w:color w:val="000000" w:themeColor="text1"/>
          <w:sz w:val="24"/>
          <w:szCs w:val="24"/>
          <w:shd w:val="clear" w:color="auto" w:fill="FFFFFF"/>
        </w:rPr>
        <w:t>(1), pp.93-102.</w:t>
      </w:r>
    </w:p>
    <w:p w14:paraId="24F59BC7" w14:textId="77777777" w:rsidR="002C4874" w:rsidRPr="00C256F4" w:rsidRDefault="002C4874" w:rsidP="002C4874">
      <w:pPr>
        <w:pStyle w:val="Default"/>
        <w:spacing w:before="240" w:after="240" w:line="360" w:lineRule="auto"/>
        <w:jc w:val="both"/>
        <w:rPr>
          <w:rFonts w:ascii="Times New Roman" w:hAnsi="Times New Roman" w:cs="Times New Roman"/>
          <w:color w:val="000000" w:themeColor="text1"/>
        </w:rPr>
      </w:pPr>
      <w:r w:rsidRPr="00C256F4">
        <w:rPr>
          <w:rFonts w:ascii="Times New Roman" w:hAnsi="Times New Roman" w:cs="Times New Roman"/>
          <w:color w:val="000000" w:themeColor="text1"/>
        </w:rPr>
        <w:t>Drury, C., (2012)</w:t>
      </w:r>
      <w:r>
        <w:rPr>
          <w:rFonts w:ascii="Times New Roman" w:hAnsi="Times New Roman" w:cs="Times New Roman"/>
          <w:color w:val="000000" w:themeColor="text1"/>
        </w:rPr>
        <w:t>.</w:t>
      </w:r>
      <w:r w:rsidRPr="00C256F4">
        <w:rPr>
          <w:rFonts w:ascii="Times New Roman" w:hAnsi="Times New Roman" w:cs="Times New Roman"/>
          <w:color w:val="000000" w:themeColor="text1"/>
        </w:rPr>
        <w:t xml:space="preserve"> Management and Cost Accounting. 2</w:t>
      </w:r>
      <w:r w:rsidRPr="00C256F4">
        <w:rPr>
          <w:rFonts w:ascii="Times New Roman" w:hAnsi="Times New Roman" w:cs="Times New Roman"/>
          <w:color w:val="000000" w:themeColor="text1"/>
          <w:vertAlign w:val="superscript"/>
        </w:rPr>
        <w:t>nd</w:t>
      </w:r>
      <w:r w:rsidRPr="00C256F4">
        <w:rPr>
          <w:rFonts w:ascii="Times New Roman" w:hAnsi="Times New Roman" w:cs="Times New Roman"/>
          <w:color w:val="000000" w:themeColor="text1"/>
        </w:rPr>
        <w:t xml:space="preserve"> ed.Thomson Business Press: London</w:t>
      </w:r>
    </w:p>
    <w:p w14:paraId="7D65D49E"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Hall, M., (2016). Realising the richness of psychology theory in contingency-based management accounting research. </w:t>
      </w:r>
      <w:r w:rsidRPr="002C4874">
        <w:rPr>
          <w:rFonts w:ascii="Times New Roman" w:hAnsi="Times New Roman" w:cs="Times New Roman"/>
          <w:i/>
          <w:iCs/>
          <w:color w:val="000000" w:themeColor="text1"/>
          <w:sz w:val="24"/>
          <w:szCs w:val="24"/>
          <w:shd w:val="clear" w:color="auto" w:fill="FFFFFF"/>
        </w:rPr>
        <w:t>Management Accounting Research</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31(5)</w:t>
      </w:r>
      <w:r w:rsidRPr="002C4874">
        <w:rPr>
          <w:rFonts w:ascii="Times New Roman" w:hAnsi="Times New Roman" w:cs="Times New Roman"/>
          <w:color w:val="000000" w:themeColor="text1"/>
          <w:sz w:val="24"/>
          <w:szCs w:val="24"/>
          <w:shd w:val="clear" w:color="auto" w:fill="FFFFFF"/>
        </w:rPr>
        <w:t>, pp.63-74.</w:t>
      </w:r>
    </w:p>
    <w:p w14:paraId="469A9B7F"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Hopper, T. and Bui, B., (2016). Has management accounting research been critical?. </w:t>
      </w:r>
      <w:r w:rsidRPr="002C4874">
        <w:rPr>
          <w:rFonts w:ascii="Times New Roman" w:hAnsi="Times New Roman" w:cs="Times New Roman"/>
          <w:i/>
          <w:iCs/>
          <w:color w:val="000000" w:themeColor="text1"/>
          <w:sz w:val="24"/>
          <w:szCs w:val="24"/>
          <w:shd w:val="clear" w:color="auto" w:fill="FFFFFF"/>
        </w:rPr>
        <w:t>Management Accounting Research</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31</w:t>
      </w:r>
      <w:r w:rsidRPr="002C4874">
        <w:rPr>
          <w:rFonts w:ascii="Times New Roman" w:hAnsi="Times New Roman" w:cs="Times New Roman"/>
          <w:color w:val="000000" w:themeColor="text1"/>
          <w:sz w:val="24"/>
          <w:szCs w:val="24"/>
          <w:shd w:val="clear" w:color="auto" w:fill="FFFFFF"/>
        </w:rPr>
        <w:t>, pp.10-30.</w:t>
      </w:r>
    </w:p>
    <w:p w14:paraId="344C38C5" w14:textId="77777777" w:rsidR="002C4874" w:rsidRPr="00C256F4" w:rsidRDefault="002C4874" w:rsidP="002C4874">
      <w:pPr>
        <w:pStyle w:val="Default"/>
        <w:spacing w:before="240" w:after="240" w:line="360" w:lineRule="auto"/>
        <w:jc w:val="both"/>
        <w:rPr>
          <w:rFonts w:ascii="Times New Roman" w:hAnsi="Times New Roman" w:cs="Times New Roman"/>
          <w:color w:val="000000" w:themeColor="text1"/>
        </w:rPr>
      </w:pPr>
      <w:r w:rsidRPr="00C256F4">
        <w:rPr>
          <w:rFonts w:ascii="Times New Roman" w:hAnsi="Times New Roman" w:cs="Times New Roman"/>
          <w:color w:val="000000" w:themeColor="text1"/>
        </w:rPr>
        <w:br/>
        <w:t xml:space="preserve">Horngren, T., </w:t>
      </w:r>
      <w:r>
        <w:rPr>
          <w:rFonts w:ascii="Times New Roman" w:hAnsi="Times New Roman" w:cs="Times New Roman"/>
          <w:color w:val="000000" w:themeColor="text1"/>
        </w:rPr>
        <w:t xml:space="preserve">and </w:t>
      </w:r>
      <w:r w:rsidRPr="00C256F4">
        <w:rPr>
          <w:rFonts w:ascii="Times New Roman" w:hAnsi="Times New Roman" w:cs="Times New Roman"/>
          <w:color w:val="000000" w:themeColor="text1"/>
        </w:rPr>
        <w:t>Forster, G., (2003)</w:t>
      </w:r>
      <w:r>
        <w:rPr>
          <w:rFonts w:ascii="Times New Roman" w:hAnsi="Times New Roman" w:cs="Times New Roman"/>
          <w:color w:val="000000" w:themeColor="text1"/>
        </w:rPr>
        <w:t>.</w:t>
      </w:r>
      <w:r w:rsidRPr="00C256F4">
        <w:rPr>
          <w:rFonts w:ascii="Times New Roman" w:hAnsi="Times New Roman" w:cs="Times New Roman"/>
          <w:color w:val="000000" w:themeColor="text1"/>
        </w:rPr>
        <w:t xml:space="preserve"> Cost Accounting, A Managerial Emphasis. </w:t>
      </w:r>
      <w:r>
        <w:rPr>
          <w:rFonts w:ascii="Times New Roman" w:hAnsi="Times New Roman" w:cs="Times New Roman"/>
          <w:color w:val="000000" w:themeColor="text1"/>
        </w:rPr>
        <w:t>11</w:t>
      </w:r>
      <w:r>
        <w:rPr>
          <w:rFonts w:ascii="Times New Roman" w:hAnsi="Times New Roman" w:cs="Times New Roman"/>
          <w:color w:val="000000" w:themeColor="text1"/>
          <w:vertAlign w:val="superscript"/>
        </w:rPr>
        <w:t xml:space="preserve">th </w:t>
      </w:r>
      <w:r w:rsidRPr="00C256F4">
        <w:rPr>
          <w:rFonts w:ascii="Times New Roman" w:hAnsi="Times New Roman" w:cs="Times New Roman"/>
          <w:color w:val="000000" w:themeColor="text1"/>
        </w:rPr>
        <w:t xml:space="preserve">ed. Prentice Hall International: London </w:t>
      </w:r>
    </w:p>
    <w:p w14:paraId="6B2AAB0A"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Kariyawasam, H., (2018). A Study of Cost and Management Accounting Practices in Sri Lanka’s Manufacturing Industry. </w:t>
      </w:r>
      <w:r w:rsidRPr="002C4874">
        <w:rPr>
          <w:rFonts w:ascii="Times New Roman" w:hAnsi="Times New Roman" w:cs="Times New Roman"/>
          <w:i/>
          <w:iCs/>
          <w:color w:val="000000" w:themeColor="text1"/>
          <w:sz w:val="24"/>
          <w:szCs w:val="24"/>
          <w:shd w:val="clear" w:color="auto" w:fill="FFFFFF"/>
        </w:rPr>
        <w:t>International Journal of Recent Advances in Multidisciplinary Research</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5</w:t>
      </w:r>
      <w:r w:rsidRPr="002C4874">
        <w:rPr>
          <w:rFonts w:ascii="Times New Roman" w:hAnsi="Times New Roman" w:cs="Times New Roman"/>
          <w:color w:val="000000" w:themeColor="text1"/>
          <w:sz w:val="24"/>
          <w:szCs w:val="24"/>
          <w:shd w:val="clear" w:color="auto" w:fill="FFFFFF"/>
        </w:rPr>
        <w:t>(3), pp.3632-3634.</w:t>
      </w:r>
    </w:p>
    <w:p w14:paraId="5EF097CA"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lastRenderedPageBreak/>
        <w:t>Kawalla, C., Berkel, W., Kawalla, R., Höck, M. and Ligarski, M., (2018). Material flow cost accounting analysis of twin-roll casting magnesium strips. </w:t>
      </w:r>
      <w:r w:rsidRPr="002C4874">
        <w:rPr>
          <w:rFonts w:ascii="Times New Roman" w:hAnsi="Times New Roman" w:cs="Times New Roman"/>
          <w:i/>
          <w:iCs/>
          <w:color w:val="000000" w:themeColor="text1"/>
          <w:sz w:val="24"/>
          <w:szCs w:val="24"/>
          <w:shd w:val="clear" w:color="auto" w:fill="FFFFFF"/>
        </w:rPr>
        <w:t>Procedia Manufacturing</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15(7)</w:t>
      </w:r>
      <w:r w:rsidRPr="002C4874">
        <w:rPr>
          <w:rFonts w:ascii="Times New Roman" w:hAnsi="Times New Roman" w:cs="Times New Roman"/>
          <w:color w:val="000000" w:themeColor="text1"/>
          <w:sz w:val="24"/>
          <w:szCs w:val="24"/>
          <w:shd w:val="clear" w:color="auto" w:fill="FFFFFF"/>
        </w:rPr>
        <w:t>, pp.193-200.</w:t>
      </w:r>
    </w:p>
    <w:p w14:paraId="4EFC15A5"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rPr>
      </w:pPr>
      <w:r w:rsidRPr="002C4874">
        <w:rPr>
          <w:rFonts w:ascii="Times New Roman" w:hAnsi="Times New Roman" w:cs="Times New Roman"/>
          <w:color w:val="000000" w:themeColor="text1"/>
          <w:sz w:val="24"/>
          <w:szCs w:val="24"/>
        </w:rPr>
        <w:t>kfknowledgebank.kaplan.co.uk (2020) About Intra=group trading available at:https://kfknowledgebank.kaplan.co.uk/financial-reporting/consolidated-financial-statements/intr-group-trading [Accessed on 1st April 2020]</w:t>
      </w:r>
    </w:p>
    <w:p w14:paraId="37D73F0C" w14:textId="77777777" w:rsidR="002C4874" w:rsidRPr="00C256F4" w:rsidRDefault="002C4874" w:rsidP="002C4874">
      <w:pPr>
        <w:pStyle w:val="Default"/>
        <w:spacing w:before="240" w:after="240" w:line="360" w:lineRule="auto"/>
        <w:jc w:val="both"/>
        <w:rPr>
          <w:rFonts w:ascii="Times New Roman" w:hAnsi="Times New Roman" w:cs="Times New Roman"/>
          <w:color w:val="000000" w:themeColor="text1"/>
        </w:rPr>
      </w:pPr>
      <w:r w:rsidRPr="00C256F4">
        <w:rPr>
          <w:rFonts w:ascii="Times New Roman" w:hAnsi="Times New Roman" w:cs="Times New Roman"/>
          <w:color w:val="000000" w:themeColor="text1"/>
        </w:rPr>
        <w:t>Noreen, E., (2011)</w:t>
      </w:r>
      <w:r>
        <w:rPr>
          <w:rFonts w:ascii="Times New Roman" w:hAnsi="Times New Roman" w:cs="Times New Roman"/>
          <w:color w:val="000000" w:themeColor="text1"/>
        </w:rPr>
        <w:t>.</w:t>
      </w:r>
      <w:r w:rsidRPr="00C256F4">
        <w:rPr>
          <w:rFonts w:ascii="Times New Roman" w:hAnsi="Times New Roman" w:cs="Times New Roman"/>
          <w:color w:val="000000" w:themeColor="text1"/>
        </w:rPr>
        <w:t xml:space="preserve"> Management Accounting. 4</w:t>
      </w:r>
      <w:r w:rsidRPr="00C256F4">
        <w:rPr>
          <w:rFonts w:ascii="Times New Roman" w:hAnsi="Times New Roman" w:cs="Times New Roman"/>
          <w:color w:val="000000" w:themeColor="text1"/>
          <w:vertAlign w:val="superscript"/>
        </w:rPr>
        <w:t>th</w:t>
      </w:r>
      <w:r w:rsidRPr="00C256F4">
        <w:rPr>
          <w:rFonts w:ascii="Times New Roman" w:hAnsi="Times New Roman" w:cs="Times New Roman"/>
          <w:color w:val="000000" w:themeColor="text1"/>
        </w:rPr>
        <w:t xml:space="preserve"> ed. McGraw Hill: New York </w:t>
      </w:r>
    </w:p>
    <w:p w14:paraId="579A7C9C"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Rikhardsson, P. and Yigitbasioglu, O., (2017). business intelligence in management accounting research: current status and future focus,</w:t>
      </w:r>
      <w:r w:rsidRPr="002C4874">
        <w:rPr>
          <w:rFonts w:ascii="Times New Roman" w:hAnsi="Times New Roman" w:cs="Times New Roman"/>
          <w:i/>
          <w:iCs/>
          <w:color w:val="000000" w:themeColor="text1"/>
          <w:sz w:val="24"/>
          <w:szCs w:val="24"/>
          <w:shd w:val="clear" w:color="auto" w:fill="FFFFFF"/>
        </w:rPr>
        <w:t xml:space="preserve"> 34(12)</w:t>
      </w:r>
      <w:r w:rsidRPr="002C4874">
        <w:rPr>
          <w:rFonts w:ascii="Times New Roman" w:hAnsi="Times New Roman" w:cs="Times New Roman"/>
          <w:color w:val="000000" w:themeColor="text1"/>
          <w:sz w:val="24"/>
          <w:szCs w:val="24"/>
          <w:shd w:val="clear" w:color="auto" w:fill="FFFFFF"/>
        </w:rPr>
        <w:t>, pp.59-74.</w:t>
      </w:r>
    </w:p>
    <w:p w14:paraId="5CAB50ED" w14:textId="77777777" w:rsidR="002C4874" w:rsidRPr="00C256F4" w:rsidRDefault="002C4874" w:rsidP="002C4874">
      <w:pPr>
        <w:pStyle w:val="Default"/>
        <w:spacing w:before="240" w:after="240" w:line="360" w:lineRule="auto"/>
        <w:jc w:val="both"/>
        <w:rPr>
          <w:rFonts w:ascii="Times New Roman" w:hAnsi="Times New Roman" w:cs="Times New Roman"/>
          <w:color w:val="000000" w:themeColor="text1"/>
        </w:rPr>
      </w:pPr>
      <w:r w:rsidRPr="00C256F4">
        <w:rPr>
          <w:rFonts w:ascii="Times New Roman" w:hAnsi="Times New Roman" w:cs="Times New Roman"/>
          <w:color w:val="000000" w:themeColor="text1"/>
        </w:rPr>
        <w:t xml:space="preserve">Seal W, Garrison R, Noreen, E., </w:t>
      </w:r>
      <w:r>
        <w:rPr>
          <w:rFonts w:ascii="Times New Roman" w:hAnsi="Times New Roman" w:cs="Times New Roman"/>
          <w:color w:val="000000" w:themeColor="text1"/>
        </w:rPr>
        <w:t xml:space="preserve">and </w:t>
      </w:r>
      <w:r w:rsidRPr="00C256F4">
        <w:rPr>
          <w:rFonts w:ascii="Times New Roman" w:hAnsi="Times New Roman" w:cs="Times New Roman"/>
          <w:color w:val="000000" w:themeColor="text1"/>
        </w:rPr>
        <w:t>Rohde, C., (2014)</w:t>
      </w:r>
      <w:r>
        <w:rPr>
          <w:rFonts w:ascii="Times New Roman" w:hAnsi="Times New Roman" w:cs="Times New Roman"/>
          <w:color w:val="000000" w:themeColor="text1"/>
        </w:rPr>
        <w:t>.</w:t>
      </w:r>
      <w:r w:rsidRPr="00C256F4">
        <w:rPr>
          <w:rFonts w:ascii="Times New Roman" w:hAnsi="Times New Roman" w:cs="Times New Roman"/>
          <w:color w:val="000000" w:themeColor="text1"/>
        </w:rPr>
        <w:t xml:space="preserve"> Management Accounting. 3</w:t>
      </w:r>
      <w:r w:rsidRPr="00C256F4">
        <w:rPr>
          <w:rFonts w:ascii="Times New Roman" w:hAnsi="Times New Roman" w:cs="Times New Roman"/>
          <w:color w:val="000000" w:themeColor="text1"/>
          <w:vertAlign w:val="superscript"/>
        </w:rPr>
        <w:t>rd</w:t>
      </w:r>
      <w:r w:rsidRPr="00C256F4">
        <w:rPr>
          <w:rFonts w:ascii="Times New Roman" w:hAnsi="Times New Roman" w:cs="Times New Roman"/>
          <w:color w:val="000000" w:themeColor="text1"/>
        </w:rPr>
        <w:t xml:space="preserve"> ed. McGraw Hill Education: New York </w:t>
      </w:r>
    </w:p>
    <w:p w14:paraId="334C6F49"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Silvester, K.J., (2017). Faith’s Country Primitives: An Excel Project in Flexible Budgeting and Standard Cost Analysis. </w:t>
      </w:r>
      <w:r w:rsidRPr="002C4874">
        <w:rPr>
          <w:rFonts w:ascii="Times New Roman" w:hAnsi="Times New Roman" w:cs="Times New Roman"/>
          <w:i/>
          <w:iCs/>
          <w:color w:val="000000" w:themeColor="text1"/>
          <w:sz w:val="24"/>
          <w:szCs w:val="24"/>
          <w:shd w:val="clear" w:color="auto" w:fill="FFFFFF"/>
        </w:rPr>
        <w:t>Journal of Business Case Studies (JBCS)</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13</w:t>
      </w:r>
      <w:r w:rsidRPr="002C4874">
        <w:rPr>
          <w:rFonts w:ascii="Times New Roman" w:hAnsi="Times New Roman" w:cs="Times New Roman"/>
          <w:color w:val="000000" w:themeColor="text1"/>
          <w:sz w:val="24"/>
          <w:szCs w:val="24"/>
          <w:shd w:val="clear" w:color="auto" w:fill="FFFFFF"/>
        </w:rPr>
        <w:t>(4), pp.85-98.</w:t>
      </w:r>
    </w:p>
    <w:p w14:paraId="16561F89"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Stadhouders, N., Koolman, X., Tanke, M., Maarse, H. and Jeurissen, P., (2016). Policy options to contain healthcare costs: a review and classification. </w:t>
      </w:r>
      <w:r w:rsidRPr="002C4874">
        <w:rPr>
          <w:rFonts w:ascii="Times New Roman" w:hAnsi="Times New Roman" w:cs="Times New Roman"/>
          <w:i/>
          <w:iCs/>
          <w:color w:val="000000" w:themeColor="text1"/>
          <w:sz w:val="24"/>
          <w:szCs w:val="24"/>
          <w:shd w:val="clear" w:color="auto" w:fill="FFFFFF"/>
        </w:rPr>
        <w:t>Health Policy</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120</w:t>
      </w:r>
      <w:r w:rsidRPr="002C4874">
        <w:rPr>
          <w:rFonts w:ascii="Times New Roman" w:hAnsi="Times New Roman" w:cs="Times New Roman"/>
          <w:color w:val="000000" w:themeColor="text1"/>
          <w:sz w:val="24"/>
          <w:szCs w:val="24"/>
          <w:shd w:val="clear" w:color="auto" w:fill="FFFFFF"/>
        </w:rPr>
        <w:t>(5), pp.486-494.</w:t>
      </w:r>
    </w:p>
    <w:p w14:paraId="01048059"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Tu, J.C. and Huang, H.S., (2019). Relationship between Green Design and Material Flow Cost Accounting in the Context of Effective Resource Utilization. </w:t>
      </w:r>
      <w:r w:rsidRPr="002C4874">
        <w:rPr>
          <w:rFonts w:ascii="Times New Roman" w:hAnsi="Times New Roman" w:cs="Times New Roman"/>
          <w:i/>
          <w:iCs/>
          <w:color w:val="000000" w:themeColor="text1"/>
          <w:sz w:val="24"/>
          <w:szCs w:val="24"/>
          <w:shd w:val="clear" w:color="auto" w:fill="FFFFFF"/>
        </w:rPr>
        <w:t>Sustainability</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11</w:t>
      </w:r>
      <w:r w:rsidRPr="002C4874">
        <w:rPr>
          <w:rFonts w:ascii="Times New Roman" w:hAnsi="Times New Roman" w:cs="Times New Roman"/>
          <w:color w:val="000000" w:themeColor="text1"/>
          <w:sz w:val="24"/>
          <w:szCs w:val="24"/>
          <w:shd w:val="clear" w:color="auto" w:fill="FFFFFF"/>
        </w:rPr>
        <w:t>(7), p.1974.</w:t>
      </w:r>
    </w:p>
    <w:p w14:paraId="24BC84F0"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van Helden, J. and Uddin, S., (2016). Public sector management accounting in emerging economies: A literature review. </w:t>
      </w:r>
      <w:r w:rsidRPr="002C4874">
        <w:rPr>
          <w:rFonts w:ascii="Times New Roman" w:hAnsi="Times New Roman" w:cs="Times New Roman"/>
          <w:i/>
          <w:iCs/>
          <w:color w:val="000000" w:themeColor="text1"/>
          <w:sz w:val="24"/>
          <w:szCs w:val="24"/>
          <w:shd w:val="clear" w:color="auto" w:fill="FFFFFF"/>
        </w:rPr>
        <w:t>Critical Perspectives on Accounting</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41(23)</w:t>
      </w:r>
      <w:r w:rsidRPr="002C4874">
        <w:rPr>
          <w:rFonts w:ascii="Times New Roman" w:hAnsi="Times New Roman" w:cs="Times New Roman"/>
          <w:color w:val="000000" w:themeColor="text1"/>
          <w:sz w:val="24"/>
          <w:szCs w:val="24"/>
          <w:shd w:val="clear" w:color="auto" w:fill="FFFFFF"/>
        </w:rPr>
        <w:t>, pp.34-62.</w:t>
      </w:r>
    </w:p>
    <w:p w14:paraId="6F44C447" w14:textId="77777777" w:rsidR="002C4874" w:rsidRPr="002C4874" w:rsidRDefault="002C4874" w:rsidP="002C4874">
      <w:pPr>
        <w:spacing w:before="240" w:after="240" w:line="360" w:lineRule="auto"/>
        <w:jc w:val="both"/>
        <w:rPr>
          <w:rFonts w:ascii="Times New Roman" w:hAnsi="Times New Roman" w:cs="Times New Roman"/>
          <w:color w:val="000000" w:themeColor="text1"/>
          <w:sz w:val="24"/>
          <w:szCs w:val="24"/>
          <w:shd w:val="clear" w:color="auto" w:fill="FFFFFF"/>
        </w:rPr>
      </w:pPr>
      <w:r w:rsidRPr="002C4874">
        <w:rPr>
          <w:rFonts w:ascii="Times New Roman" w:hAnsi="Times New Roman" w:cs="Times New Roman"/>
          <w:color w:val="000000" w:themeColor="text1"/>
          <w:sz w:val="24"/>
          <w:szCs w:val="24"/>
          <w:shd w:val="clear" w:color="auto" w:fill="FFFFFF"/>
        </w:rPr>
        <w:t>Yagi, M. and Kokubu, K., (2018). Corporate material flow management in Thailand: The way to material flow cost accounting. </w:t>
      </w:r>
      <w:r w:rsidRPr="002C4874">
        <w:rPr>
          <w:rFonts w:ascii="Times New Roman" w:hAnsi="Times New Roman" w:cs="Times New Roman"/>
          <w:i/>
          <w:iCs/>
          <w:color w:val="000000" w:themeColor="text1"/>
          <w:sz w:val="24"/>
          <w:szCs w:val="24"/>
          <w:shd w:val="clear" w:color="auto" w:fill="FFFFFF"/>
        </w:rPr>
        <w:t>Journal of Cleaner Production</w:t>
      </w:r>
      <w:r w:rsidRPr="002C4874">
        <w:rPr>
          <w:rFonts w:ascii="Times New Roman" w:hAnsi="Times New Roman" w:cs="Times New Roman"/>
          <w:color w:val="000000" w:themeColor="text1"/>
          <w:sz w:val="24"/>
          <w:szCs w:val="24"/>
          <w:shd w:val="clear" w:color="auto" w:fill="FFFFFF"/>
        </w:rPr>
        <w:t>, </w:t>
      </w:r>
      <w:r w:rsidRPr="002C4874">
        <w:rPr>
          <w:rFonts w:ascii="Times New Roman" w:hAnsi="Times New Roman" w:cs="Times New Roman"/>
          <w:i/>
          <w:iCs/>
          <w:color w:val="000000" w:themeColor="text1"/>
          <w:sz w:val="24"/>
          <w:szCs w:val="24"/>
          <w:shd w:val="clear" w:color="auto" w:fill="FFFFFF"/>
        </w:rPr>
        <w:t>198(4)</w:t>
      </w:r>
      <w:r w:rsidRPr="002C4874">
        <w:rPr>
          <w:rFonts w:ascii="Times New Roman" w:hAnsi="Times New Roman" w:cs="Times New Roman"/>
          <w:color w:val="000000" w:themeColor="text1"/>
          <w:sz w:val="24"/>
          <w:szCs w:val="24"/>
          <w:shd w:val="clear" w:color="auto" w:fill="FFFFFF"/>
        </w:rPr>
        <w:t>, pp.763-775.</w:t>
      </w:r>
    </w:p>
    <w:p w14:paraId="3C2ABC03" w14:textId="77777777" w:rsidR="002C4874" w:rsidRPr="00C256F4" w:rsidRDefault="002C4874" w:rsidP="002C4874">
      <w:pPr>
        <w:spacing w:line="360" w:lineRule="auto"/>
        <w:jc w:val="both"/>
        <w:rPr>
          <w:rFonts w:ascii="Times New Roman" w:hAnsi="Times New Roman" w:cs="Times New Roman"/>
          <w:color w:val="000000" w:themeColor="text1"/>
          <w:sz w:val="24"/>
          <w:szCs w:val="24"/>
        </w:rPr>
      </w:pPr>
    </w:p>
    <w:p w14:paraId="4E7B83A6" w14:textId="77777777" w:rsidR="002C4874" w:rsidRPr="002C4874" w:rsidRDefault="002C4874">
      <w:pPr>
        <w:jc w:val="both"/>
        <w:rPr>
          <w:rFonts w:ascii="Times New Roman" w:eastAsia="Times New Roman" w:hAnsi="Times New Roman" w:cs="Times New Roman"/>
        </w:rPr>
      </w:pPr>
    </w:p>
    <w:p w14:paraId="737658DC" w14:textId="77777777" w:rsidR="001A4ACB" w:rsidRPr="00731F40" w:rsidRDefault="001A4ACB">
      <w:pPr>
        <w:jc w:val="center"/>
        <w:rPr>
          <w:rFonts w:ascii="Times New Roman" w:eastAsia="Times New Roman" w:hAnsi="Times New Roman" w:cs="Times New Roman"/>
          <w:b/>
        </w:rPr>
      </w:pPr>
    </w:p>
    <w:p w14:paraId="1E3BDCCC" w14:textId="77777777" w:rsidR="001A4ACB" w:rsidRPr="00731F40" w:rsidRDefault="001A4ACB">
      <w:pPr>
        <w:jc w:val="center"/>
        <w:rPr>
          <w:rFonts w:ascii="Times New Roman" w:eastAsia="Times New Roman" w:hAnsi="Times New Roman" w:cs="Times New Roman"/>
          <w:b/>
        </w:rPr>
      </w:pPr>
    </w:p>
    <w:p w14:paraId="79922EBC" w14:textId="77777777" w:rsidR="001A4ACB" w:rsidRPr="00731F40" w:rsidRDefault="001A4ACB">
      <w:pPr>
        <w:jc w:val="center"/>
        <w:rPr>
          <w:rFonts w:ascii="Times New Roman" w:eastAsia="Times New Roman" w:hAnsi="Times New Roman" w:cs="Times New Roman"/>
          <w:b/>
        </w:rPr>
      </w:pPr>
    </w:p>
    <w:p w14:paraId="7817DE13" w14:textId="77777777" w:rsidR="001A4ACB" w:rsidRPr="00731F40" w:rsidRDefault="001A4ACB">
      <w:pPr>
        <w:jc w:val="center"/>
        <w:rPr>
          <w:rFonts w:ascii="Times New Roman" w:eastAsia="Times New Roman" w:hAnsi="Times New Roman" w:cs="Times New Roman"/>
          <w:b/>
        </w:rPr>
      </w:pPr>
    </w:p>
    <w:p w14:paraId="46AF81CD" w14:textId="77777777" w:rsidR="001A4ACB" w:rsidRPr="00731F40" w:rsidRDefault="001A4ACB">
      <w:pPr>
        <w:jc w:val="center"/>
        <w:rPr>
          <w:rFonts w:ascii="Times New Roman" w:eastAsia="Times New Roman" w:hAnsi="Times New Roman" w:cs="Times New Roman"/>
          <w:b/>
        </w:rPr>
      </w:pPr>
    </w:p>
    <w:p w14:paraId="56137BE6" w14:textId="77777777" w:rsidR="001A4ACB" w:rsidRPr="00731F40" w:rsidRDefault="001A4ACB">
      <w:pPr>
        <w:jc w:val="center"/>
        <w:rPr>
          <w:rFonts w:ascii="Times New Roman" w:eastAsia="Times New Roman" w:hAnsi="Times New Roman" w:cs="Times New Roman"/>
          <w:b/>
        </w:rPr>
      </w:pPr>
    </w:p>
    <w:p w14:paraId="44850C02" w14:textId="77777777" w:rsidR="001A4ACB" w:rsidRPr="00731F40" w:rsidRDefault="001A4ACB" w:rsidP="002C4874">
      <w:pPr>
        <w:rPr>
          <w:rFonts w:ascii="Times New Roman" w:eastAsia="Times New Roman" w:hAnsi="Times New Roman" w:cs="Times New Roman"/>
          <w:b/>
        </w:rPr>
      </w:pPr>
    </w:p>
    <w:sectPr w:rsidR="001A4ACB" w:rsidRPr="00731F40" w:rsidSect="0068665F">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0836F7" w14:textId="77777777" w:rsidR="002C4D1D" w:rsidRDefault="002C4D1D" w:rsidP="0068665F">
      <w:pPr>
        <w:spacing w:line="240" w:lineRule="auto"/>
      </w:pPr>
      <w:r>
        <w:separator/>
      </w:r>
    </w:p>
  </w:endnote>
  <w:endnote w:type="continuationSeparator" w:id="0">
    <w:p w14:paraId="488648F4" w14:textId="77777777" w:rsidR="002C4D1D" w:rsidRDefault="002C4D1D" w:rsidP="006866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5397136"/>
      <w:docPartObj>
        <w:docPartGallery w:val="Page Numbers (Bottom of Page)"/>
        <w:docPartUnique/>
      </w:docPartObj>
    </w:sdtPr>
    <w:sdtEndPr>
      <w:rPr>
        <w:noProof/>
      </w:rPr>
    </w:sdtEndPr>
    <w:sdtContent>
      <w:p w14:paraId="1E774BAF" w14:textId="77777777" w:rsidR="0068665F" w:rsidRDefault="0068665F">
        <w:pPr>
          <w:pStyle w:val="Footer"/>
          <w:jc w:val="right"/>
        </w:pPr>
        <w:r>
          <w:fldChar w:fldCharType="begin"/>
        </w:r>
        <w:r>
          <w:instrText xml:space="preserve"> PAGE   \* MERGEFORMAT </w:instrText>
        </w:r>
        <w:r>
          <w:fldChar w:fldCharType="separate"/>
        </w:r>
        <w:r w:rsidR="00A3074C">
          <w:rPr>
            <w:noProof/>
          </w:rPr>
          <w:t>13</w:t>
        </w:r>
        <w:r>
          <w:rPr>
            <w:noProof/>
          </w:rPr>
          <w:fldChar w:fldCharType="end"/>
        </w:r>
      </w:p>
    </w:sdtContent>
  </w:sdt>
  <w:p w14:paraId="619F3736" w14:textId="77777777" w:rsidR="0068665F" w:rsidRDefault="00686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9B26E0" w14:textId="77777777" w:rsidR="002C4D1D" w:rsidRDefault="002C4D1D" w:rsidP="0068665F">
      <w:pPr>
        <w:spacing w:line="240" w:lineRule="auto"/>
      </w:pPr>
      <w:r>
        <w:separator/>
      </w:r>
    </w:p>
  </w:footnote>
  <w:footnote w:type="continuationSeparator" w:id="0">
    <w:p w14:paraId="7DC7E8CE" w14:textId="77777777" w:rsidR="002C4D1D" w:rsidRDefault="002C4D1D" w:rsidP="006866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3929A5"/>
    <w:multiLevelType w:val="hybridMultilevel"/>
    <w:tmpl w:val="AD9CBC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ACB"/>
    <w:rsid w:val="000B3409"/>
    <w:rsid w:val="000D0DB5"/>
    <w:rsid w:val="00115A39"/>
    <w:rsid w:val="001A4ACB"/>
    <w:rsid w:val="001E4E67"/>
    <w:rsid w:val="002C4874"/>
    <w:rsid w:val="002C4D1D"/>
    <w:rsid w:val="003B082C"/>
    <w:rsid w:val="00400920"/>
    <w:rsid w:val="004905C9"/>
    <w:rsid w:val="00575E32"/>
    <w:rsid w:val="0068665F"/>
    <w:rsid w:val="00731F40"/>
    <w:rsid w:val="00845DE8"/>
    <w:rsid w:val="00964400"/>
    <w:rsid w:val="009D5285"/>
    <w:rsid w:val="00A20BCC"/>
    <w:rsid w:val="00A3074C"/>
    <w:rsid w:val="00D619A9"/>
    <w:rsid w:val="00DD5545"/>
    <w:rsid w:val="00FD3E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DDA4A"/>
  <w15:docId w15:val="{FB88617A-7E1B-4AE4-9321-399EB976C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8665F"/>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D619A9"/>
    <w:pPr>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line="240" w:lineRule="auto"/>
    </w:pPr>
    <w:tblPr>
      <w:tblStyleRowBandSize w:val="1"/>
      <w:tblStyleColBandSize w:val="1"/>
    </w:tblPr>
  </w:style>
  <w:style w:type="paragraph" w:customStyle="1" w:styleId="Default">
    <w:name w:val="Default"/>
    <w:rsid w:val="002C4874"/>
    <w:pPr>
      <w:autoSpaceDE w:val="0"/>
      <w:autoSpaceDN w:val="0"/>
      <w:adjustRightInd w:val="0"/>
      <w:spacing w:line="240" w:lineRule="auto"/>
    </w:pPr>
    <w:rPr>
      <w:rFonts w:eastAsiaTheme="minorHAnsi"/>
      <w:color w:val="000000"/>
      <w:sz w:val="24"/>
      <w:szCs w:val="24"/>
      <w:lang w:val="en-US"/>
    </w:rPr>
  </w:style>
  <w:style w:type="paragraph" w:styleId="ListParagraph">
    <w:name w:val="List Paragraph"/>
    <w:basedOn w:val="Normal"/>
    <w:uiPriority w:val="34"/>
    <w:qFormat/>
    <w:rsid w:val="002C4874"/>
    <w:pPr>
      <w:ind w:left="720"/>
      <w:contextualSpacing/>
    </w:pPr>
  </w:style>
  <w:style w:type="paragraph" w:styleId="Header">
    <w:name w:val="header"/>
    <w:basedOn w:val="Normal"/>
    <w:link w:val="HeaderChar"/>
    <w:uiPriority w:val="99"/>
    <w:unhideWhenUsed/>
    <w:rsid w:val="0068665F"/>
    <w:pPr>
      <w:tabs>
        <w:tab w:val="center" w:pos="4680"/>
        <w:tab w:val="right" w:pos="9360"/>
      </w:tabs>
      <w:spacing w:line="240" w:lineRule="auto"/>
    </w:pPr>
  </w:style>
  <w:style w:type="character" w:customStyle="1" w:styleId="HeaderChar">
    <w:name w:val="Header Char"/>
    <w:basedOn w:val="DefaultParagraphFont"/>
    <w:link w:val="Header"/>
    <w:uiPriority w:val="99"/>
    <w:rsid w:val="0068665F"/>
  </w:style>
  <w:style w:type="paragraph" w:styleId="Footer">
    <w:name w:val="footer"/>
    <w:basedOn w:val="Normal"/>
    <w:link w:val="FooterChar"/>
    <w:uiPriority w:val="99"/>
    <w:unhideWhenUsed/>
    <w:rsid w:val="0068665F"/>
    <w:pPr>
      <w:tabs>
        <w:tab w:val="center" w:pos="4680"/>
        <w:tab w:val="right" w:pos="9360"/>
      </w:tabs>
      <w:spacing w:line="240" w:lineRule="auto"/>
    </w:pPr>
  </w:style>
  <w:style w:type="character" w:customStyle="1" w:styleId="FooterChar">
    <w:name w:val="Footer Char"/>
    <w:basedOn w:val="DefaultParagraphFont"/>
    <w:link w:val="Footer"/>
    <w:uiPriority w:val="99"/>
    <w:rsid w:val="0068665F"/>
  </w:style>
  <w:style w:type="paragraph" w:styleId="TOC1">
    <w:name w:val="toc 1"/>
    <w:basedOn w:val="Normal"/>
    <w:next w:val="Normal"/>
    <w:autoRedefine/>
    <w:uiPriority w:val="39"/>
    <w:unhideWhenUsed/>
    <w:rsid w:val="0068665F"/>
    <w:pPr>
      <w:spacing w:after="100"/>
    </w:pPr>
  </w:style>
  <w:style w:type="paragraph" w:styleId="TOC2">
    <w:name w:val="toc 2"/>
    <w:basedOn w:val="Normal"/>
    <w:next w:val="Normal"/>
    <w:autoRedefine/>
    <w:uiPriority w:val="39"/>
    <w:unhideWhenUsed/>
    <w:rsid w:val="0068665F"/>
    <w:pPr>
      <w:spacing w:after="100"/>
      <w:ind w:left="220"/>
    </w:pPr>
  </w:style>
  <w:style w:type="character" w:styleId="Hyperlink">
    <w:name w:val="Hyperlink"/>
    <w:basedOn w:val="DefaultParagraphFont"/>
    <w:uiPriority w:val="99"/>
    <w:unhideWhenUsed/>
    <w:rsid w:val="006866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82DF7-154A-44A2-85E9-B3FBC4AC7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3604</Words>
  <Characters>20548</Characters>
  <Application>Microsoft Office Word</Application>
  <DocSecurity>0</DocSecurity>
  <Lines>171</Lines>
  <Paragraphs>48</Paragraphs>
  <ScaleCrop>false</ScaleCrop>
  <Company/>
  <LinksUpToDate>false</LinksUpToDate>
  <CharactersWithSpaces>24104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20032174</dc:creator>
  <cp:lastModifiedBy>Manuel</cp:lastModifiedBy>
  <cp:revision>9</cp:revision>
  <dcterms:created xsi:type="dcterms:W3CDTF">2020-04-08T16:59:00Z</dcterms:created>
  <dcterms:modified xsi:type="dcterms:W3CDTF">2020-05-06T17:33:00Z</dcterms:modified>
</cp:coreProperties>
</file>