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B283D" w14:textId="77777777" w:rsidR="002D0C31" w:rsidRPr="002D0C31" w:rsidRDefault="002D0C31" w:rsidP="002D0C31">
      <w:pPr>
        <w:spacing w:before="240" w:after="24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u w:val="single"/>
          <w:lang w:eastAsia="en-GB"/>
        </w:rPr>
        <w:t>Chapter 3 </w:t>
      </w:r>
    </w:p>
    <w:p w14:paraId="05736376"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u w:val="single"/>
          <w:lang w:eastAsia="en-GB"/>
        </w:rPr>
        <w:t>Introduction </w:t>
      </w:r>
    </w:p>
    <w:p w14:paraId="36BB5B4B" w14:textId="77777777" w:rsidR="002D0C31" w:rsidRPr="002D0C31" w:rsidRDefault="002D0C31" w:rsidP="002D0C31">
      <w:pPr>
        <w:spacing w:after="0" w:line="480" w:lineRule="auto"/>
        <w:rPr>
          <w:rFonts w:ascii="Arial" w:eastAsia="Times New Roman" w:hAnsi="Arial" w:cs="Arial"/>
          <w:sz w:val="24"/>
          <w:szCs w:val="24"/>
          <w:lang w:eastAsia="en-GB"/>
        </w:rPr>
      </w:pPr>
    </w:p>
    <w:p w14:paraId="4CAA1347"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Upon review of the literature review conducted in chapter 2, issues were found in the literature. The primary gap was in relation to the Dyfed Powys Police response to victims of cyberbullying. Furthermore, pieces of legislation such as the Education Act (2002), Children Act (1989), Malicious Communications Act (1988) and the Harassment Act (1997) aim to prevent and punish people who bully online but there is no clear definition of cyberbullying in law, only characteristics of cyberbullying are mentioned. </w:t>
      </w:r>
    </w:p>
    <w:p w14:paraId="33B26C20" w14:textId="3FA080F6" w:rsidR="002D0C31" w:rsidRPr="002D0C31" w:rsidRDefault="002D0C31" w:rsidP="002D0C31">
      <w:pPr>
        <w:spacing w:after="0" w:line="480" w:lineRule="auto"/>
        <w:ind w:firstLine="720"/>
        <w:rPr>
          <w:rFonts w:ascii="Arial" w:eastAsia="Times New Roman" w:hAnsi="Arial" w:cs="Arial"/>
          <w:sz w:val="24"/>
          <w:szCs w:val="24"/>
          <w:lang w:eastAsia="en-GB"/>
        </w:rPr>
      </w:pPr>
      <w:proofErr w:type="gramStart"/>
      <w:r w:rsidRPr="002D0C31">
        <w:rPr>
          <w:rFonts w:ascii="Arial" w:eastAsia="Times New Roman" w:hAnsi="Arial" w:cs="Arial"/>
          <w:color w:val="000000"/>
          <w:sz w:val="24"/>
          <w:szCs w:val="24"/>
          <w:lang w:eastAsia="en-GB"/>
        </w:rPr>
        <w:t>Therefore</w:t>
      </w:r>
      <w:proofErr w:type="gramEnd"/>
      <w:r w:rsidRPr="002D0C31">
        <w:rPr>
          <w:rFonts w:ascii="Arial" w:eastAsia="Times New Roman" w:hAnsi="Arial" w:cs="Arial"/>
          <w:color w:val="000000"/>
          <w:sz w:val="24"/>
          <w:szCs w:val="24"/>
          <w:lang w:eastAsia="en-GB"/>
        </w:rPr>
        <w:t xml:space="preserve"> primary research is needed within this dissertation, to gather more relevant information on cyberbullying and increase the number of credible statistics. The primary research goes back to the dissertation’s objectives, which are in brief, to understand what cyberbullying is and its effects on victims and Dyfed Powys Police’s response to victims of cyberbullying. The questions will relate to the public understanding of cyberbullying, which will show if it is commonly acknowledged or not. Along with statistics of people who have or have not been cyberbullied, furthering research on the topic and potentially aiming towards a higher awareness of the issue.  </w:t>
      </w:r>
    </w:p>
    <w:p w14:paraId="5EEADF97" w14:textId="77777777" w:rsidR="002D0C31" w:rsidRPr="002D0C31" w:rsidRDefault="002D0C31" w:rsidP="002D0C31">
      <w:pPr>
        <w:spacing w:after="0" w:line="480" w:lineRule="auto"/>
        <w:ind w:firstLine="720"/>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Due to the gaps in the literature, credible primary research will allow for further exploration for others into the topic if the issue begins to rise in the future. This would not only benefit the reader but could have an impact on support programs or individuals who want to help victims of cyberbullying.  </w:t>
      </w:r>
    </w:p>
    <w:p w14:paraId="73908722" w14:textId="77777777" w:rsidR="002D0C31" w:rsidRPr="002D0C31" w:rsidRDefault="002D0C31" w:rsidP="002D0C31">
      <w:pPr>
        <w:spacing w:after="0" w:line="480" w:lineRule="auto"/>
        <w:rPr>
          <w:rFonts w:ascii="Arial" w:eastAsia="Times New Roman" w:hAnsi="Arial" w:cs="Arial"/>
          <w:sz w:val="24"/>
          <w:szCs w:val="24"/>
          <w:lang w:eastAsia="en-GB"/>
        </w:rPr>
      </w:pPr>
    </w:p>
    <w:p w14:paraId="0A9D170B"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lastRenderedPageBreak/>
        <w:t>Chapter 3 will be made up of four primary sections being: </w:t>
      </w:r>
    </w:p>
    <w:p w14:paraId="4789C5DB" w14:textId="77777777" w:rsidR="002D0C31" w:rsidRPr="002D0C31" w:rsidRDefault="002D0C31" w:rsidP="002D0C31">
      <w:pPr>
        <w:numPr>
          <w:ilvl w:val="0"/>
          <w:numId w:val="1"/>
        </w:numPr>
        <w:spacing w:after="0" w:line="480" w:lineRule="auto"/>
        <w:textAlignment w:val="baseline"/>
        <w:rPr>
          <w:rFonts w:ascii="Arial" w:eastAsia="Times New Roman" w:hAnsi="Arial" w:cs="Arial"/>
          <w:color w:val="000000"/>
          <w:sz w:val="24"/>
          <w:szCs w:val="24"/>
          <w:lang w:eastAsia="en-GB"/>
        </w:rPr>
      </w:pPr>
      <w:r w:rsidRPr="002D0C31">
        <w:rPr>
          <w:rFonts w:ascii="Arial" w:eastAsia="Times New Roman" w:hAnsi="Arial" w:cs="Arial"/>
          <w:color w:val="000000"/>
          <w:sz w:val="24"/>
          <w:szCs w:val="24"/>
          <w:lang w:eastAsia="en-GB"/>
        </w:rPr>
        <w:t>Research Strategy - This will include the overall research strategy and why this method has been chosen. It will also show the intent of the sample target audience and why that target was chosen, including methods of sampling. </w:t>
      </w:r>
    </w:p>
    <w:p w14:paraId="0B7839A1" w14:textId="77777777" w:rsidR="002D0C31" w:rsidRPr="002D0C31" w:rsidRDefault="002D0C31" w:rsidP="002D0C31">
      <w:pPr>
        <w:numPr>
          <w:ilvl w:val="0"/>
          <w:numId w:val="1"/>
        </w:numPr>
        <w:spacing w:after="0" w:line="480" w:lineRule="auto"/>
        <w:textAlignment w:val="baseline"/>
        <w:rPr>
          <w:rFonts w:ascii="Arial" w:eastAsia="Times New Roman" w:hAnsi="Arial" w:cs="Arial"/>
          <w:color w:val="000000"/>
          <w:sz w:val="24"/>
          <w:szCs w:val="24"/>
          <w:lang w:eastAsia="en-GB"/>
        </w:rPr>
      </w:pPr>
      <w:r w:rsidRPr="002D0C31">
        <w:rPr>
          <w:rFonts w:ascii="Arial" w:eastAsia="Times New Roman" w:hAnsi="Arial" w:cs="Arial"/>
          <w:color w:val="000000"/>
          <w:sz w:val="24"/>
          <w:szCs w:val="24"/>
          <w:lang w:eastAsia="en-GB"/>
        </w:rPr>
        <w:t>Data Collection - This will cover the method used to collect the data and why this method is the most effective.</w:t>
      </w:r>
    </w:p>
    <w:p w14:paraId="1E478B84" w14:textId="77777777" w:rsidR="002D0C31" w:rsidRPr="002D0C31" w:rsidRDefault="002D0C31" w:rsidP="002D0C31">
      <w:pPr>
        <w:numPr>
          <w:ilvl w:val="0"/>
          <w:numId w:val="1"/>
        </w:numPr>
        <w:spacing w:after="0" w:line="480" w:lineRule="auto"/>
        <w:textAlignment w:val="baseline"/>
        <w:rPr>
          <w:rFonts w:ascii="Arial" w:eastAsia="Times New Roman" w:hAnsi="Arial" w:cs="Arial"/>
          <w:color w:val="000000"/>
          <w:sz w:val="24"/>
          <w:szCs w:val="24"/>
          <w:lang w:eastAsia="en-GB"/>
        </w:rPr>
      </w:pPr>
      <w:r w:rsidRPr="002D0C31">
        <w:rPr>
          <w:rFonts w:ascii="Arial" w:eastAsia="Times New Roman" w:hAnsi="Arial" w:cs="Arial"/>
          <w:color w:val="000000"/>
          <w:sz w:val="24"/>
          <w:szCs w:val="24"/>
          <w:lang w:eastAsia="en-GB"/>
        </w:rPr>
        <w:t>Framework for data analysis - This will lay out how the data will be used and what it will be used for and how it will be analysed. </w:t>
      </w:r>
    </w:p>
    <w:p w14:paraId="39BFF902" w14:textId="77777777" w:rsidR="002D0C31" w:rsidRPr="002D0C31" w:rsidRDefault="002D0C31" w:rsidP="002D0C31">
      <w:pPr>
        <w:numPr>
          <w:ilvl w:val="0"/>
          <w:numId w:val="1"/>
        </w:numPr>
        <w:spacing w:after="0" w:line="480" w:lineRule="auto"/>
        <w:textAlignment w:val="baseline"/>
        <w:rPr>
          <w:rFonts w:ascii="Arial" w:eastAsia="Times New Roman" w:hAnsi="Arial" w:cs="Arial"/>
          <w:color w:val="000000"/>
          <w:sz w:val="24"/>
          <w:szCs w:val="24"/>
          <w:lang w:eastAsia="en-GB"/>
        </w:rPr>
      </w:pPr>
      <w:r w:rsidRPr="002D0C31">
        <w:rPr>
          <w:rFonts w:ascii="Arial" w:eastAsia="Times New Roman" w:hAnsi="Arial" w:cs="Arial"/>
          <w:color w:val="000000"/>
          <w:sz w:val="24"/>
          <w:szCs w:val="24"/>
          <w:lang w:eastAsia="en-GB"/>
        </w:rPr>
        <w:t>Limitations and problems - This will focus on the challenges faced while conducting primary research. Limiting factors such as Covid-19 in preventing specific methods from being used.  </w:t>
      </w:r>
    </w:p>
    <w:p w14:paraId="14C08218" w14:textId="77777777" w:rsidR="002D0C31" w:rsidRPr="002D0C31" w:rsidRDefault="002D0C31" w:rsidP="002D0C31">
      <w:pPr>
        <w:spacing w:after="0" w:line="480" w:lineRule="auto"/>
        <w:rPr>
          <w:rFonts w:ascii="Arial" w:eastAsia="Times New Roman" w:hAnsi="Arial" w:cs="Arial"/>
          <w:sz w:val="24"/>
          <w:szCs w:val="24"/>
          <w:lang w:eastAsia="en-GB"/>
        </w:rPr>
      </w:pPr>
    </w:p>
    <w:p w14:paraId="384B8752"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u w:val="single"/>
          <w:lang w:eastAsia="en-GB"/>
        </w:rPr>
        <w:t>Research Strategy</w:t>
      </w:r>
      <w:r w:rsidRPr="002D0C31">
        <w:rPr>
          <w:rFonts w:ascii="Arial" w:eastAsia="Times New Roman" w:hAnsi="Arial" w:cs="Arial"/>
          <w:color w:val="000000"/>
          <w:sz w:val="24"/>
          <w:szCs w:val="24"/>
          <w:lang w:eastAsia="en-GB"/>
        </w:rPr>
        <w:t> </w:t>
      </w:r>
    </w:p>
    <w:p w14:paraId="44931BE5" w14:textId="77777777" w:rsidR="002D0C31" w:rsidRPr="002D0C31" w:rsidRDefault="002D0C31" w:rsidP="002D0C31">
      <w:pPr>
        <w:spacing w:after="0" w:line="480" w:lineRule="auto"/>
        <w:rPr>
          <w:rFonts w:ascii="Arial" w:eastAsia="Times New Roman" w:hAnsi="Arial" w:cs="Arial"/>
          <w:sz w:val="24"/>
          <w:szCs w:val="24"/>
          <w:lang w:eastAsia="en-GB"/>
        </w:rPr>
      </w:pPr>
    </w:p>
    <w:p w14:paraId="5AA2087E"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There are multiple styles of research strategies that have been analysed for the style of research methods. Case studies are popularly used due to the combining of qualitative and quantitative methods of data analysis further on (Gable, 1994). However, a different method is the Grounded Theory which is when data is gathered on a topic and the understanding and research grow throughout the work (Dey, 1999). The aim of this theory, highlighted by Glaser and Strauss (1967) is to discover a theory or generate one. This is done by means of going back and forth from primary and secondary research, growing in literature throughout a study. This method does partly suit this theory as the literature found can lead to further information into the objectives of this dissertation. It can only be partly used due to primary research being oftentimes firstly conducted after planning extensively which </w:t>
      </w:r>
      <w:r w:rsidRPr="002D0C31">
        <w:rPr>
          <w:rFonts w:ascii="Arial" w:eastAsia="Times New Roman" w:hAnsi="Arial" w:cs="Arial"/>
          <w:color w:val="000000"/>
          <w:sz w:val="24"/>
          <w:szCs w:val="24"/>
          <w:lang w:eastAsia="en-GB"/>
        </w:rPr>
        <w:lastRenderedPageBreak/>
        <w:t>Chun Tie et al. (2019) describe a newer academic researcher may find difficult to do. </w:t>
      </w:r>
    </w:p>
    <w:p w14:paraId="152C9D9F" w14:textId="4B0AA15A" w:rsidR="002D0C31" w:rsidRPr="002D0C31" w:rsidRDefault="002D0C31" w:rsidP="002D0C31">
      <w:pPr>
        <w:spacing w:after="0" w:line="480" w:lineRule="auto"/>
        <w:ind w:firstLine="720"/>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This dissertation will follow a combination of a case study and the Grounded Theory, as the research will have both qualitative and quantitative data along with discoveries of further information throughout. It will be beneficial together with characteristics from more than one method, giving a wider range of ways to gather, analyse and present data. The primary method however will be the survey method which analyses responses of individuals from questions given to them. This also is </w:t>
      </w:r>
      <w:r w:rsidRPr="002D0C31">
        <w:rPr>
          <w:rFonts w:ascii="Arial" w:eastAsia="Times New Roman" w:hAnsi="Arial" w:cs="Arial"/>
          <w:color w:val="000000"/>
          <w:sz w:val="24"/>
          <w:szCs w:val="24"/>
          <w:lang w:eastAsia="en-GB"/>
        </w:rPr>
        <w:t>a benefit</w:t>
      </w:r>
      <w:r w:rsidRPr="002D0C31">
        <w:rPr>
          <w:rFonts w:ascii="Arial" w:eastAsia="Times New Roman" w:hAnsi="Arial" w:cs="Arial"/>
          <w:color w:val="000000"/>
          <w:sz w:val="24"/>
          <w:szCs w:val="24"/>
          <w:lang w:eastAsia="en-GB"/>
        </w:rPr>
        <w:t xml:space="preserve"> due to this method being recognised between 60 and 80 years and has evolved over those years (Groves et al, 2011).   </w:t>
      </w:r>
    </w:p>
    <w:p w14:paraId="6BA79A0D" w14:textId="4D7FE435" w:rsidR="002D0C31" w:rsidRPr="002D0C31" w:rsidRDefault="002D0C31" w:rsidP="002D0C31">
      <w:pPr>
        <w:spacing w:after="0" w:line="480" w:lineRule="auto"/>
        <w:ind w:firstLine="720"/>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There are multiple ways to sample a target population. These can include random, stratified, cluster and systematic sampling methods to name a few. Random sampling according to </w:t>
      </w:r>
      <w:proofErr w:type="spellStart"/>
      <w:r w:rsidRPr="002D0C31">
        <w:rPr>
          <w:rFonts w:ascii="Arial" w:eastAsia="Times New Roman" w:hAnsi="Arial" w:cs="Arial"/>
          <w:color w:val="000000"/>
          <w:sz w:val="24"/>
          <w:szCs w:val="24"/>
          <w:lang w:eastAsia="en-GB"/>
        </w:rPr>
        <w:t>Bretch</w:t>
      </w:r>
      <w:proofErr w:type="spellEnd"/>
      <w:r w:rsidRPr="002D0C31">
        <w:rPr>
          <w:rFonts w:ascii="Arial" w:eastAsia="Times New Roman" w:hAnsi="Arial" w:cs="Arial"/>
          <w:color w:val="000000"/>
          <w:sz w:val="24"/>
          <w:szCs w:val="24"/>
          <w:lang w:eastAsia="en-GB"/>
        </w:rPr>
        <w:t xml:space="preserve"> (1986) is when the data is collected at random and highlights the primary benefit being the unbiased selection of data. Stratified sampling according to Parsons (2017) is when a population is broken into groups (strata) which increases the efficiency of a sample design because the estimation of participants can be better estimated. An example of this could be splitting a classroom of 30 students by male or female. Thompson (1989) describes the cluster theory as effective in sampling data. Cluster sampling is </w:t>
      </w:r>
      <w:r w:rsidRPr="002D0C31">
        <w:rPr>
          <w:rFonts w:ascii="Arial" w:eastAsia="Times New Roman" w:hAnsi="Arial" w:cs="Arial"/>
          <w:color w:val="000000"/>
          <w:sz w:val="24"/>
          <w:szCs w:val="24"/>
          <w:lang w:eastAsia="en-GB"/>
        </w:rPr>
        <w:t>like</w:t>
      </w:r>
      <w:r w:rsidRPr="002D0C31">
        <w:rPr>
          <w:rFonts w:ascii="Arial" w:eastAsia="Times New Roman" w:hAnsi="Arial" w:cs="Arial"/>
          <w:color w:val="000000"/>
          <w:sz w:val="24"/>
          <w:szCs w:val="24"/>
          <w:lang w:eastAsia="en-GB"/>
        </w:rPr>
        <w:t xml:space="preserve"> stratified sampling in that groups of strata are made but the data is collected at random from the groups (Henderson and Sundaresan, 1982). Finally, the systematic sampling method according to Yates (1948) is when samples are chosen at equal or regular intervals. This could be choosing a response for every tenth person on a list of questions. </w:t>
      </w:r>
    </w:p>
    <w:p w14:paraId="17CDD4E5" w14:textId="77777777" w:rsidR="002D0C31" w:rsidRPr="002D0C31" w:rsidRDefault="002D0C31" w:rsidP="002D0C31">
      <w:pPr>
        <w:spacing w:after="0" w:line="480" w:lineRule="auto"/>
        <w:ind w:firstLine="720"/>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The method of sampling that will be used is the random sampling approach. This will allow for responses to come from various groups to get a broader scope of </w:t>
      </w:r>
      <w:r w:rsidRPr="002D0C31">
        <w:rPr>
          <w:rFonts w:ascii="Arial" w:eastAsia="Times New Roman" w:hAnsi="Arial" w:cs="Arial"/>
          <w:color w:val="000000"/>
          <w:sz w:val="24"/>
          <w:szCs w:val="24"/>
          <w:lang w:eastAsia="en-GB"/>
        </w:rPr>
        <w:lastRenderedPageBreak/>
        <w:t>victims of cyberbullying. Acharya et al. (2013) highlight that the whole population cannot be targeted. Therefore, since the target is anyone above the age of 18 the sampling method does not need to be specific, thus random sampling is favoured over the others.  </w:t>
      </w:r>
    </w:p>
    <w:p w14:paraId="4E6D0585" w14:textId="77777777" w:rsidR="002D0C31" w:rsidRPr="002D0C31" w:rsidRDefault="002D0C31" w:rsidP="002D0C31">
      <w:pPr>
        <w:spacing w:after="0" w:line="480" w:lineRule="auto"/>
        <w:rPr>
          <w:rFonts w:ascii="Arial" w:eastAsia="Times New Roman" w:hAnsi="Arial" w:cs="Arial"/>
          <w:sz w:val="24"/>
          <w:szCs w:val="24"/>
          <w:lang w:eastAsia="en-GB"/>
        </w:rPr>
      </w:pPr>
    </w:p>
    <w:p w14:paraId="47799F39"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u w:val="single"/>
          <w:lang w:eastAsia="en-GB"/>
        </w:rPr>
        <w:t>Data Collection</w:t>
      </w:r>
      <w:r w:rsidRPr="002D0C31">
        <w:rPr>
          <w:rFonts w:ascii="Arial" w:eastAsia="Times New Roman" w:hAnsi="Arial" w:cs="Arial"/>
          <w:color w:val="000000"/>
          <w:sz w:val="24"/>
          <w:szCs w:val="24"/>
          <w:lang w:eastAsia="en-GB"/>
        </w:rPr>
        <w:t> </w:t>
      </w:r>
    </w:p>
    <w:p w14:paraId="1FDE3ABB" w14:textId="77777777" w:rsidR="002D0C31" w:rsidRPr="002D0C31" w:rsidRDefault="002D0C31" w:rsidP="002D0C31">
      <w:pPr>
        <w:spacing w:after="0" w:line="480" w:lineRule="auto"/>
        <w:rPr>
          <w:rFonts w:ascii="Arial" w:eastAsia="Times New Roman" w:hAnsi="Arial" w:cs="Arial"/>
          <w:sz w:val="24"/>
          <w:szCs w:val="24"/>
          <w:lang w:eastAsia="en-GB"/>
        </w:rPr>
      </w:pPr>
    </w:p>
    <w:p w14:paraId="2B7FD66D" w14:textId="6741FB9D"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There are multiple ways of approaching data collection. The method used for this research will be an online questionnaire. Jack and Clarke (1998) summarise </w:t>
      </w:r>
      <w:r w:rsidRPr="002D0C31">
        <w:rPr>
          <w:rFonts w:ascii="Arial" w:eastAsia="Times New Roman" w:hAnsi="Arial" w:cs="Arial"/>
          <w:color w:val="000000"/>
          <w:sz w:val="24"/>
          <w:szCs w:val="24"/>
          <w:lang w:eastAsia="en-GB"/>
        </w:rPr>
        <w:t>that questionnaire</w:t>
      </w:r>
      <w:r w:rsidRPr="002D0C31">
        <w:rPr>
          <w:rFonts w:ascii="Arial" w:eastAsia="Times New Roman" w:hAnsi="Arial" w:cs="Arial"/>
          <w:color w:val="000000"/>
          <w:sz w:val="24"/>
          <w:szCs w:val="24"/>
          <w:lang w:eastAsia="en-GB"/>
        </w:rPr>
        <w:t xml:space="preserve"> can be a cost-effective research tool. Furthermore, the structure of the questionnaire should be pre-planned before being sent out, using various methods of questions to reach a wide scope of answers. On the other hand, interviews were thought about, but Wei and Moyer (2009) suggest a questionnaire is better due to it being able for collecting discrete pieces of information. This means also that the anonymity aspect can give people more confidence in giving their answers without the further questions of an interviewer. </w:t>
      </w:r>
    </w:p>
    <w:p w14:paraId="6251D9CE" w14:textId="77777777" w:rsidR="002D0C31" w:rsidRPr="002D0C31" w:rsidRDefault="002D0C31" w:rsidP="002D0C31">
      <w:pPr>
        <w:spacing w:after="0" w:line="480" w:lineRule="auto"/>
        <w:ind w:firstLine="720"/>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Alongside methods of questions, there is also a foundation to each question, as one will either lean towards quantitative or qualitative data. Namazi (2003) describes a qualitative researcher as someone who presents deep and accurate information. In a questionnaire, these questions will focus more on an opinion that can be analysed and broken down, giving more than one point of information. Whereas quantitative data is different as Watson (2015) explains as data which is often collected through surveys or experiments in controlled trials. In other words, the data is collected more as statistics and values which can be analysed via graphs, </w:t>
      </w:r>
      <w:proofErr w:type="gramStart"/>
      <w:r w:rsidRPr="002D0C31">
        <w:rPr>
          <w:rFonts w:ascii="Arial" w:eastAsia="Times New Roman" w:hAnsi="Arial" w:cs="Arial"/>
          <w:color w:val="000000"/>
          <w:sz w:val="24"/>
          <w:szCs w:val="24"/>
          <w:lang w:eastAsia="en-GB"/>
        </w:rPr>
        <w:t>tables</w:t>
      </w:r>
      <w:proofErr w:type="gramEnd"/>
      <w:r w:rsidRPr="002D0C31">
        <w:rPr>
          <w:rFonts w:ascii="Arial" w:eastAsia="Times New Roman" w:hAnsi="Arial" w:cs="Arial"/>
          <w:color w:val="000000"/>
          <w:sz w:val="24"/>
          <w:szCs w:val="24"/>
          <w:lang w:eastAsia="en-GB"/>
        </w:rPr>
        <w:t xml:space="preserve"> and percentages.   </w:t>
      </w:r>
    </w:p>
    <w:p w14:paraId="791D953D" w14:textId="12BE4EB5" w:rsidR="002D0C31" w:rsidRPr="002D0C31" w:rsidRDefault="002D0C31" w:rsidP="002D0C31">
      <w:pPr>
        <w:spacing w:after="0" w:line="480" w:lineRule="auto"/>
        <w:ind w:firstLine="720"/>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lastRenderedPageBreak/>
        <w:t xml:space="preserve">The reason this data collection method was chosen is due to its vast benefits. Wright (2017) mentions that researching using the internet is beneficial because it is possible to reach audiences no matter their location. Time is a major advantage due to it being instantly uploaded once responses are submitted, this also makes it easier to send out the questionnaire in a timely manner. Lastly, unlike interviews in person, online questionnaires do not rely on paper and </w:t>
      </w:r>
      <w:r w:rsidRPr="002D0C31">
        <w:rPr>
          <w:rFonts w:ascii="Arial" w:eastAsia="Times New Roman" w:hAnsi="Arial" w:cs="Arial"/>
          <w:color w:val="000000"/>
          <w:sz w:val="24"/>
          <w:szCs w:val="24"/>
          <w:lang w:eastAsia="en-GB"/>
        </w:rPr>
        <w:t>ink,</w:t>
      </w:r>
      <w:r w:rsidRPr="002D0C31">
        <w:rPr>
          <w:rFonts w:ascii="Arial" w:eastAsia="Times New Roman" w:hAnsi="Arial" w:cs="Arial"/>
          <w:color w:val="000000"/>
          <w:sz w:val="24"/>
          <w:szCs w:val="24"/>
          <w:lang w:eastAsia="en-GB"/>
        </w:rPr>
        <w:t xml:space="preserve"> so cost is </w:t>
      </w:r>
      <w:proofErr w:type="gramStart"/>
      <w:r w:rsidRPr="002D0C31">
        <w:rPr>
          <w:rFonts w:ascii="Arial" w:eastAsia="Times New Roman" w:hAnsi="Arial" w:cs="Arial"/>
          <w:color w:val="000000"/>
          <w:sz w:val="24"/>
          <w:szCs w:val="24"/>
          <w:lang w:eastAsia="en-GB"/>
        </w:rPr>
        <w:t>taken into account</w:t>
      </w:r>
      <w:proofErr w:type="gramEnd"/>
      <w:r w:rsidRPr="002D0C31">
        <w:rPr>
          <w:rFonts w:ascii="Arial" w:eastAsia="Times New Roman" w:hAnsi="Arial" w:cs="Arial"/>
          <w:color w:val="000000"/>
          <w:sz w:val="24"/>
          <w:szCs w:val="24"/>
          <w:lang w:eastAsia="en-GB"/>
        </w:rPr>
        <w:t>. Furthermore, Huffman (2006) highlights a study done by library employees giving out anonymously via a survey online to other employees which showed to be successful in responses and for qualitative data to be evaluated.      </w:t>
      </w:r>
    </w:p>
    <w:p w14:paraId="7EF34A74" w14:textId="77777777" w:rsidR="002D0C31" w:rsidRPr="002D0C31" w:rsidRDefault="002D0C31" w:rsidP="002D0C31">
      <w:pPr>
        <w:spacing w:after="0" w:line="480" w:lineRule="auto"/>
        <w:rPr>
          <w:rFonts w:ascii="Arial" w:eastAsia="Times New Roman" w:hAnsi="Arial" w:cs="Arial"/>
          <w:sz w:val="24"/>
          <w:szCs w:val="24"/>
          <w:lang w:eastAsia="en-GB"/>
        </w:rPr>
      </w:pPr>
    </w:p>
    <w:p w14:paraId="567C49BD"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u w:val="single"/>
          <w:lang w:eastAsia="en-GB"/>
        </w:rPr>
        <w:t>Framework for data analysis</w:t>
      </w:r>
      <w:r w:rsidRPr="002D0C31">
        <w:rPr>
          <w:rFonts w:ascii="Arial" w:eastAsia="Times New Roman" w:hAnsi="Arial" w:cs="Arial"/>
          <w:color w:val="000000"/>
          <w:sz w:val="24"/>
          <w:szCs w:val="24"/>
          <w:lang w:eastAsia="en-GB"/>
        </w:rPr>
        <w:t> </w:t>
      </w:r>
    </w:p>
    <w:p w14:paraId="7925AC67" w14:textId="77777777" w:rsidR="002D0C31" w:rsidRPr="002D0C31" w:rsidRDefault="002D0C31" w:rsidP="002D0C31">
      <w:pPr>
        <w:spacing w:after="0" w:line="480" w:lineRule="auto"/>
        <w:rPr>
          <w:rFonts w:ascii="Arial" w:eastAsia="Times New Roman" w:hAnsi="Arial" w:cs="Arial"/>
          <w:sz w:val="24"/>
          <w:szCs w:val="24"/>
          <w:lang w:eastAsia="en-GB"/>
        </w:rPr>
      </w:pPr>
    </w:p>
    <w:p w14:paraId="3553D5F8" w14:textId="78A9BEB9"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The analysis of the findings will be presented via graphs, </w:t>
      </w:r>
      <w:r w:rsidRPr="002D0C31">
        <w:rPr>
          <w:rFonts w:ascii="Arial" w:eastAsia="Times New Roman" w:hAnsi="Arial" w:cs="Arial"/>
          <w:color w:val="000000"/>
          <w:sz w:val="24"/>
          <w:szCs w:val="24"/>
          <w:lang w:eastAsia="en-GB"/>
        </w:rPr>
        <w:t>charts,</w:t>
      </w:r>
      <w:r w:rsidRPr="002D0C31">
        <w:rPr>
          <w:rFonts w:ascii="Arial" w:eastAsia="Times New Roman" w:hAnsi="Arial" w:cs="Arial"/>
          <w:color w:val="000000"/>
          <w:sz w:val="24"/>
          <w:szCs w:val="24"/>
          <w:lang w:eastAsia="en-GB"/>
        </w:rPr>
        <w:t xml:space="preserve"> and tables to compare the data. The graphs will show a visual representation of the data and so will make it simple for the reader to understand and interpret. Charts will follow from the graphs which show the data into other forms like pie charts and percentages, once again to better visualise the findings. Finally, tables will be used to compare the data and recognise trends within the findings. Gelman (2012) argues that tables are better than graphs in their presentation of data because they show it in a more reliable fashion. However, both have their advantages and so both will be used.    </w:t>
      </w:r>
    </w:p>
    <w:p w14:paraId="6C4449F5" w14:textId="77777777" w:rsidR="002D0C31" w:rsidRPr="002D0C31" w:rsidRDefault="002D0C31" w:rsidP="002D0C31">
      <w:pPr>
        <w:spacing w:after="0" w:line="480" w:lineRule="auto"/>
        <w:rPr>
          <w:rFonts w:ascii="Arial" w:eastAsia="Times New Roman" w:hAnsi="Arial" w:cs="Arial"/>
          <w:sz w:val="24"/>
          <w:szCs w:val="24"/>
          <w:lang w:eastAsia="en-GB"/>
        </w:rPr>
      </w:pPr>
    </w:p>
    <w:p w14:paraId="12D6250E"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u w:val="single"/>
          <w:lang w:eastAsia="en-GB"/>
        </w:rPr>
        <w:t>Limitations </w:t>
      </w:r>
    </w:p>
    <w:p w14:paraId="3C58570A" w14:textId="77777777" w:rsidR="002D0C31" w:rsidRPr="002D0C31" w:rsidRDefault="002D0C31" w:rsidP="002D0C31">
      <w:pPr>
        <w:spacing w:after="0" w:line="480" w:lineRule="auto"/>
        <w:rPr>
          <w:rFonts w:ascii="Arial" w:eastAsia="Times New Roman" w:hAnsi="Arial" w:cs="Arial"/>
          <w:sz w:val="24"/>
          <w:szCs w:val="24"/>
          <w:lang w:eastAsia="en-GB"/>
        </w:rPr>
      </w:pPr>
    </w:p>
    <w:p w14:paraId="240FE304" w14:textId="4C497992"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The primary limitation during this research is the impact of Covid-19 on potential methods such as face to face interviews. However, due to restrictions, it would be </w:t>
      </w:r>
      <w:r w:rsidRPr="002D0C31">
        <w:rPr>
          <w:rFonts w:ascii="Arial" w:eastAsia="Times New Roman" w:hAnsi="Arial" w:cs="Arial"/>
          <w:color w:val="000000"/>
          <w:sz w:val="24"/>
          <w:szCs w:val="24"/>
          <w:lang w:eastAsia="en-GB"/>
        </w:rPr>
        <w:lastRenderedPageBreak/>
        <w:t xml:space="preserve">mindful that others may not feel comfortable meeting, therefore an online approach was a better choice. Regarding limitations to the sampled target audience, it may be noted that there is no guarantee of responses and if the responses can be fully credible, the credibility is hoped for </w:t>
      </w:r>
      <w:r w:rsidRPr="002D0C31">
        <w:rPr>
          <w:rFonts w:ascii="Arial" w:eastAsia="Times New Roman" w:hAnsi="Arial" w:cs="Arial"/>
          <w:color w:val="000000"/>
          <w:sz w:val="24"/>
          <w:szCs w:val="24"/>
          <w:lang w:eastAsia="en-GB"/>
        </w:rPr>
        <w:t>those participants</w:t>
      </w:r>
      <w:r w:rsidRPr="002D0C31">
        <w:rPr>
          <w:rFonts w:ascii="Arial" w:eastAsia="Times New Roman" w:hAnsi="Arial" w:cs="Arial"/>
          <w:color w:val="000000"/>
          <w:sz w:val="24"/>
          <w:szCs w:val="24"/>
          <w:lang w:eastAsia="en-GB"/>
        </w:rPr>
        <w:t xml:space="preserve"> will answer truthfully for more accurate data. If they are not entirely truthful but answer some parts truthfully it will not be possible to separate the truth from the lies. Furthermore, it is not known how many responses will be gained when the questionnaire is handed out, this may result in potential delays of analysis due to the slow response times of the participants. Coughlan et al. (2013), claimed that due to the cost-effectiveness of the survey method that it is </w:t>
      </w:r>
      <w:r w:rsidRPr="002D0C31">
        <w:rPr>
          <w:rFonts w:ascii="Arial" w:eastAsia="Times New Roman" w:hAnsi="Arial" w:cs="Arial"/>
          <w:color w:val="000000"/>
          <w:sz w:val="24"/>
          <w:szCs w:val="24"/>
          <w:lang w:eastAsia="en-GB"/>
        </w:rPr>
        <w:t>most used</w:t>
      </w:r>
      <w:r w:rsidRPr="002D0C31">
        <w:rPr>
          <w:rFonts w:ascii="Arial" w:eastAsia="Times New Roman" w:hAnsi="Arial" w:cs="Arial"/>
          <w:color w:val="000000"/>
          <w:sz w:val="24"/>
          <w:szCs w:val="24"/>
          <w:lang w:eastAsia="en-GB"/>
        </w:rPr>
        <w:t xml:space="preserve"> among researchers. However, they argue that there are other limiting factors such as representation and measurement of the data. This could lead to the analysis not being clear and accurate.   </w:t>
      </w:r>
    </w:p>
    <w:p w14:paraId="1084D5C4" w14:textId="77777777" w:rsidR="002D0C31" w:rsidRPr="002D0C31" w:rsidRDefault="002D0C31" w:rsidP="002D0C31">
      <w:pPr>
        <w:spacing w:after="240" w:line="480" w:lineRule="auto"/>
        <w:rPr>
          <w:rFonts w:ascii="Arial" w:eastAsia="Times New Roman" w:hAnsi="Arial" w:cs="Arial"/>
          <w:sz w:val="24"/>
          <w:szCs w:val="24"/>
          <w:lang w:eastAsia="en-GB"/>
        </w:rPr>
      </w:pP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p>
    <w:p w14:paraId="5309745A"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u w:val="single"/>
          <w:lang w:eastAsia="en-GB"/>
        </w:rPr>
        <w:t>References</w:t>
      </w:r>
    </w:p>
    <w:p w14:paraId="2CC18AB8" w14:textId="77777777" w:rsidR="002D0C31" w:rsidRPr="002D0C31" w:rsidRDefault="002D0C31" w:rsidP="002D0C31">
      <w:pPr>
        <w:spacing w:after="0" w:line="480" w:lineRule="auto"/>
        <w:rPr>
          <w:rFonts w:ascii="Arial" w:eastAsia="Times New Roman" w:hAnsi="Arial" w:cs="Arial"/>
          <w:sz w:val="24"/>
          <w:szCs w:val="24"/>
          <w:lang w:eastAsia="en-GB"/>
        </w:rPr>
      </w:pPr>
    </w:p>
    <w:p w14:paraId="17F38F82"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Acharya, A. S., Prakash. A., Saxena. P., Nigam. A. (2013) ‘Sampling: Why and How of it?’, </w:t>
      </w:r>
      <w:r w:rsidRPr="002D0C31">
        <w:rPr>
          <w:rFonts w:ascii="Arial" w:eastAsia="Times New Roman" w:hAnsi="Arial" w:cs="Arial"/>
          <w:i/>
          <w:iCs/>
          <w:color w:val="000000"/>
          <w:sz w:val="24"/>
          <w:szCs w:val="24"/>
          <w:lang w:eastAsia="en-GB"/>
        </w:rPr>
        <w:t>Indian Journal of Medical Specialities</w:t>
      </w:r>
      <w:r w:rsidRPr="002D0C31">
        <w:rPr>
          <w:rFonts w:ascii="Arial" w:eastAsia="Times New Roman" w:hAnsi="Arial" w:cs="Arial"/>
          <w:color w:val="000000"/>
          <w:sz w:val="24"/>
          <w:szCs w:val="24"/>
          <w:lang w:eastAsia="en-GB"/>
        </w:rPr>
        <w:t>, 4(2), pp. 330-333.</w:t>
      </w:r>
    </w:p>
    <w:p w14:paraId="75D53FD2"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Available at: </w:t>
      </w:r>
      <w:hyperlink r:id="rId5" w:history="1">
        <w:r w:rsidRPr="002D0C31">
          <w:rPr>
            <w:rFonts w:ascii="Arial" w:eastAsia="Times New Roman" w:hAnsi="Arial" w:cs="Arial"/>
            <w:color w:val="1155CC"/>
            <w:sz w:val="24"/>
            <w:szCs w:val="24"/>
            <w:u w:val="single"/>
            <w:lang w:eastAsia="en-GB"/>
          </w:rPr>
          <w:t>https://www.researchgate.net/profile/Anita-Acharya-2/publication/256446902_Sampling_Why_and_How_of_it_Anita_S_Acharya_Anupam_Prakash_Pikee_Saxena_Aruna_Nigam/links/0c960527c82d449788000000/Sampling-Why-and-How-of-it-Anita-S-Acharya-Anupam-Prakash-Pikee-Saxena-Aruna-Nigam.pdf</w:t>
        </w:r>
      </w:hyperlink>
      <w:r w:rsidRPr="002D0C31">
        <w:rPr>
          <w:rFonts w:ascii="Arial" w:eastAsia="Times New Roman" w:hAnsi="Arial" w:cs="Arial"/>
          <w:color w:val="000000"/>
          <w:sz w:val="24"/>
          <w:szCs w:val="24"/>
          <w:lang w:eastAsia="en-GB"/>
        </w:rPr>
        <w:t> </w:t>
      </w:r>
    </w:p>
    <w:p w14:paraId="10FE5414"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(Accessed: 06/03/2022)  </w:t>
      </w:r>
    </w:p>
    <w:p w14:paraId="07EC2F41" w14:textId="77777777" w:rsidR="002D0C31" w:rsidRPr="002D0C31" w:rsidRDefault="002D0C31" w:rsidP="002D0C31">
      <w:pPr>
        <w:spacing w:after="0" w:line="480" w:lineRule="auto"/>
        <w:rPr>
          <w:rFonts w:ascii="Arial" w:eastAsia="Times New Roman" w:hAnsi="Arial" w:cs="Arial"/>
          <w:sz w:val="24"/>
          <w:szCs w:val="24"/>
          <w:lang w:eastAsia="en-GB"/>
        </w:rPr>
      </w:pPr>
    </w:p>
    <w:p w14:paraId="0ADD75A2"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Brecht, H. D., (1983). ‘Random sampling: Benefits and costs’, </w:t>
      </w:r>
      <w:r w:rsidRPr="002D0C31">
        <w:rPr>
          <w:rFonts w:ascii="Arial" w:eastAsia="Times New Roman" w:hAnsi="Arial" w:cs="Arial"/>
          <w:i/>
          <w:iCs/>
          <w:color w:val="000000"/>
          <w:sz w:val="24"/>
          <w:szCs w:val="24"/>
          <w:lang w:eastAsia="en-GB"/>
        </w:rPr>
        <w:t>The CPA Journal (pre-1986)</w:t>
      </w:r>
      <w:r w:rsidRPr="002D0C31">
        <w:rPr>
          <w:rFonts w:ascii="Arial" w:eastAsia="Times New Roman" w:hAnsi="Arial" w:cs="Arial"/>
          <w:color w:val="000000"/>
          <w:sz w:val="24"/>
          <w:szCs w:val="24"/>
          <w:lang w:eastAsia="en-GB"/>
        </w:rPr>
        <w:t>, 53(000009), pp. 30.</w:t>
      </w:r>
    </w:p>
    <w:p w14:paraId="6CF670FC"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Available at: </w:t>
      </w:r>
      <w:hyperlink r:id="rId6" w:history="1">
        <w:r w:rsidRPr="002D0C31">
          <w:rPr>
            <w:rFonts w:ascii="Arial" w:eastAsia="Times New Roman" w:hAnsi="Arial" w:cs="Arial"/>
            <w:color w:val="1155CC"/>
            <w:sz w:val="24"/>
            <w:szCs w:val="24"/>
            <w:u w:val="single"/>
            <w:lang w:eastAsia="en-GB"/>
          </w:rPr>
          <w:t>https://www.proquest.com/docview/211882108?pq-origsite=gscholar&amp;fromopenview=true</w:t>
        </w:r>
      </w:hyperlink>
      <w:r w:rsidRPr="002D0C31">
        <w:rPr>
          <w:rFonts w:ascii="Arial" w:eastAsia="Times New Roman" w:hAnsi="Arial" w:cs="Arial"/>
          <w:color w:val="000000"/>
          <w:sz w:val="24"/>
          <w:szCs w:val="24"/>
          <w:lang w:eastAsia="en-GB"/>
        </w:rPr>
        <w:t> </w:t>
      </w:r>
    </w:p>
    <w:p w14:paraId="45596909"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(Accessed: 06/03/2022)  </w:t>
      </w:r>
    </w:p>
    <w:p w14:paraId="121F50EB" w14:textId="77777777" w:rsidR="002D0C31" w:rsidRPr="002D0C31" w:rsidRDefault="002D0C31" w:rsidP="002D0C31">
      <w:pPr>
        <w:spacing w:after="0" w:line="480" w:lineRule="auto"/>
        <w:rPr>
          <w:rFonts w:ascii="Arial" w:eastAsia="Times New Roman" w:hAnsi="Arial" w:cs="Arial"/>
          <w:sz w:val="24"/>
          <w:szCs w:val="24"/>
          <w:lang w:eastAsia="en-GB"/>
        </w:rPr>
      </w:pPr>
    </w:p>
    <w:p w14:paraId="56700842"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Chun Tie, Y., Birks, M. and Francis, K., (2019). ‘Grounded theory research: A design framework for novice </w:t>
      </w:r>
      <w:proofErr w:type="gramStart"/>
      <w:r w:rsidRPr="002D0C31">
        <w:rPr>
          <w:rFonts w:ascii="Arial" w:eastAsia="Times New Roman" w:hAnsi="Arial" w:cs="Arial"/>
          <w:color w:val="000000"/>
          <w:sz w:val="24"/>
          <w:szCs w:val="24"/>
          <w:lang w:eastAsia="en-GB"/>
        </w:rPr>
        <w:t>researchers’</w:t>
      </w:r>
      <w:proofErr w:type="gramEnd"/>
      <w:r w:rsidRPr="002D0C31">
        <w:rPr>
          <w:rFonts w:ascii="Arial" w:eastAsia="Times New Roman" w:hAnsi="Arial" w:cs="Arial"/>
          <w:color w:val="000000"/>
          <w:sz w:val="24"/>
          <w:szCs w:val="24"/>
          <w:lang w:eastAsia="en-GB"/>
        </w:rPr>
        <w:t xml:space="preserve">. </w:t>
      </w:r>
      <w:r w:rsidRPr="002D0C31">
        <w:rPr>
          <w:rFonts w:ascii="Arial" w:eastAsia="Times New Roman" w:hAnsi="Arial" w:cs="Arial"/>
          <w:i/>
          <w:iCs/>
          <w:color w:val="000000"/>
          <w:sz w:val="24"/>
          <w:szCs w:val="24"/>
          <w:lang w:eastAsia="en-GB"/>
        </w:rPr>
        <w:t>SAGE Open Medicine</w:t>
      </w:r>
      <w:r w:rsidRPr="002D0C31">
        <w:rPr>
          <w:rFonts w:ascii="Arial" w:eastAsia="Times New Roman" w:hAnsi="Arial" w:cs="Arial"/>
          <w:color w:val="000000"/>
          <w:sz w:val="24"/>
          <w:szCs w:val="24"/>
          <w:lang w:eastAsia="en-GB"/>
        </w:rPr>
        <w:t>, 7.</w:t>
      </w:r>
    </w:p>
    <w:p w14:paraId="22F9B15B"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Available at: </w:t>
      </w:r>
      <w:hyperlink r:id="rId7" w:anchor=":~:text=Grounded%20theory%20is%20a%20well,and%20analysed%20using%20comparative%20analysis" w:history="1">
        <w:r w:rsidRPr="002D0C31">
          <w:rPr>
            <w:rFonts w:ascii="Arial" w:eastAsia="Times New Roman" w:hAnsi="Arial" w:cs="Arial"/>
            <w:color w:val="1155CC"/>
            <w:sz w:val="24"/>
            <w:szCs w:val="24"/>
            <w:u w:val="single"/>
            <w:lang w:eastAsia="en-GB"/>
          </w:rPr>
          <w:t>https://www.ncbi.nlm.nih.gov/pmc/articles/PMC6318722/#:~:text=Grounded%20theory%20is%20a%20well,and%20analysed%20using%20comparative%20analysis</w:t>
        </w:r>
      </w:hyperlink>
      <w:r w:rsidRPr="002D0C31">
        <w:rPr>
          <w:rFonts w:ascii="Arial" w:eastAsia="Times New Roman" w:hAnsi="Arial" w:cs="Arial"/>
          <w:color w:val="000000"/>
          <w:sz w:val="24"/>
          <w:szCs w:val="24"/>
          <w:lang w:eastAsia="en-GB"/>
        </w:rPr>
        <w:t>. </w:t>
      </w:r>
    </w:p>
    <w:p w14:paraId="6015C0AE"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(Accessed: 06/03/2022)</w:t>
      </w:r>
    </w:p>
    <w:p w14:paraId="3D8DBE22" w14:textId="77777777" w:rsidR="002D0C31" w:rsidRPr="002D0C31" w:rsidRDefault="002D0C31" w:rsidP="002D0C31">
      <w:pPr>
        <w:spacing w:after="0" w:line="480" w:lineRule="auto"/>
        <w:rPr>
          <w:rFonts w:ascii="Arial" w:eastAsia="Times New Roman" w:hAnsi="Arial" w:cs="Arial"/>
          <w:sz w:val="24"/>
          <w:szCs w:val="24"/>
          <w:lang w:eastAsia="en-GB"/>
        </w:rPr>
      </w:pPr>
    </w:p>
    <w:p w14:paraId="01C3FFEA"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Dey, I. (1999). </w:t>
      </w:r>
      <w:r w:rsidRPr="002D0C31">
        <w:rPr>
          <w:rFonts w:ascii="Arial" w:eastAsia="Times New Roman" w:hAnsi="Arial" w:cs="Arial"/>
          <w:i/>
          <w:iCs/>
          <w:color w:val="000000"/>
          <w:sz w:val="24"/>
          <w:szCs w:val="24"/>
          <w:lang w:eastAsia="en-GB"/>
        </w:rPr>
        <w:t>Grounding Grounded Theory: Guidelines for Qualitative Inquiry</w:t>
      </w:r>
      <w:r w:rsidRPr="002D0C31">
        <w:rPr>
          <w:rFonts w:ascii="Arial" w:eastAsia="Times New Roman" w:hAnsi="Arial" w:cs="Arial"/>
          <w:color w:val="000000"/>
          <w:sz w:val="24"/>
          <w:szCs w:val="24"/>
          <w:lang w:eastAsia="en-GB"/>
        </w:rPr>
        <w:t>, San Diego: Academic Press. </w:t>
      </w:r>
    </w:p>
    <w:p w14:paraId="573D5427" w14:textId="77777777" w:rsidR="002D0C31" w:rsidRPr="002D0C31" w:rsidRDefault="002D0C31" w:rsidP="002D0C31">
      <w:pPr>
        <w:spacing w:after="0" w:line="480" w:lineRule="auto"/>
        <w:rPr>
          <w:rFonts w:ascii="Arial" w:eastAsia="Times New Roman" w:hAnsi="Arial" w:cs="Arial"/>
          <w:sz w:val="24"/>
          <w:szCs w:val="24"/>
          <w:lang w:eastAsia="en-GB"/>
        </w:rPr>
      </w:pPr>
    </w:p>
    <w:p w14:paraId="66D23316"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Glaser, B. and Strauss, A. (1967). </w:t>
      </w:r>
      <w:r w:rsidRPr="002D0C31">
        <w:rPr>
          <w:rFonts w:ascii="Arial" w:eastAsia="Times New Roman" w:hAnsi="Arial" w:cs="Arial"/>
          <w:i/>
          <w:iCs/>
          <w:color w:val="000000"/>
          <w:sz w:val="24"/>
          <w:szCs w:val="24"/>
          <w:lang w:eastAsia="en-GB"/>
        </w:rPr>
        <w:t>The Discovery of Grounded Theory</w:t>
      </w:r>
      <w:r w:rsidRPr="002D0C31">
        <w:rPr>
          <w:rFonts w:ascii="Arial" w:eastAsia="Times New Roman" w:hAnsi="Arial" w:cs="Arial"/>
          <w:color w:val="000000"/>
          <w:sz w:val="24"/>
          <w:szCs w:val="24"/>
          <w:lang w:eastAsia="en-GB"/>
        </w:rPr>
        <w:t>, Chicago: Aldine.</w:t>
      </w:r>
    </w:p>
    <w:p w14:paraId="28FEB872" w14:textId="77777777" w:rsidR="002D0C31" w:rsidRPr="002D0C31" w:rsidRDefault="002D0C31" w:rsidP="002D0C31">
      <w:pPr>
        <w:spacing w:after="0" w:line="480" w:lineRule="auto"/>
        <w:rPr>
          <w:rFonts w:ascii="Arial" w:eastAsia="Times New Roman" w:hAnsi="Arial" w:cs="Arial"/>
          <w:sz w:val="24"/>
          <w:szCs w:val="24"/>
          <w:lang w:eastAsia="en-GB"/>
        </w:rPr>
      </w:pPr>
    </w:p>
    <w:p w14:paraId="4EF6C501"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Henderson, R. H., and Sundaresan. T. (1982) ‘Cluster sampling to assess immunization coverage: a review of experience with a simplified sampling method’, </w:t>
      </w:r>
      <w:r w:rsidRPr="002D0C31">
        <w:rPr>
          <w:rFonts w:ascii="Arial" w:eastAsia="Times New Roman" w:hAnsi="Arial" w:cs="Arial"/>
          <w:i/>
          <w:iCs/>
          <w:color w:val="000000"/>
          <w:sz w:val="24"/>
          <w:szCs w:val="24"/>
          <w:lang w:eastAsia="en-GB"/>
        </w:rPr>
        <w:t>Bulletin of the World Health Organization</w:t>
      </w:r>
      <w:r w:rsidRPr="002D0C31">
        <w:rPr>
          <w:rFonts w:ascii="Arial" w:eastAsia="Times New Roman" w:hAnsi="Arial" w:cs="Arial"/>
          <w:color w:val="000000"/>
          <w:sz w:val="24"/>
          <w:szCs w:val="24"/>
          <w:lang w:eastAsia="en-GB"/>
        </w:rPr>
        <w:t>, 60(2), pp. 253-260.</w:t>
      </w:r>
    </w:p>
    <w:p w14:paraId="6BF09E2A"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Available at: </w:t>
      </w:r>
      <w:hyperlink r:id="rId8" w:history="1">
        <w:r w:rsidRPr="002D0C31">
          <w:rPr>
            <w:rFonts w:ascii="Arial" w:eastAsia="Times New Roman" w:hAnsi="Arial" w:cs="Arial"/>
            <w:color w:val="1155CC"/>
            <w:sz w:val="24"/>
            <w:szCs w:val="24"/>
            <w:u w:val="single"/>
            <w:lang w:eastAsia="en-GB"/>
          </w:rPr>
          <w:t>https://www.ncbi.nlm.nih.gov/pmc/articles/PMC2535957/pdf/bullwho00104-0095.pdf</w:t>
        </w:r>
      </w:hyperlink>
      <w:r w:rsidRPr="002D0C31">
        <w:rPr>
          <w:rFonts w:ascii="Arial" w:eastAsia="Times New Roman" w:hAnsi="Arial" w:cs="Arial"/>
          <w:color w:val="000000"/>
          <w:sz w:val="24"/>
          <w:szCs w:val="24"/>
          <w:lang w:eastAsia="en-GB"/>
        </w:rPr>
        <w:t> </w:t>
      </w:r>
    </w:p>
    <w:p w14:paraId="08F09331"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(Accessed: 06/03/2022) </w:t>
      </w:r>
    </w:p>
    <w:p w14:paraId="104B81DD" w14:textId="77777777" w:rsidR="002D0C31" w:rsidRPr="002D0C31" w:rsidRDefault="002D0C31" w:rsidP="002D0C31">
      <w:pPr>
        <w:spacing w:after="0" w:line="480" w:lineRule="auto"/>
        <w:rPr>
          <w:rFonts w:ascii="Arial" w:eastAsia="Times New Roman" w:hAnsi="Arial" w:cs="Arial"/>
          <w:sz w:val="24"/>
          <w:szCs w:val="24"/>
          <w:lang w:eastAsia="en-GB"/>
        </w:rPr>
      </w:pPr>
    </w:p>
    <w:p w14:paraId="3BC1C491"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Parsons, V., (2017). ‘Stratified Sampling’, </w:t>
      </w:r>
      <w:r w:rsidRPr="002D0C31">
        <w:rPr>
          <w:rFonts w:ascii="Arial" w:eastAsia="Times New Roman" w:hAnsi="Arial" w:cs="Arial"/>
          <w:i/>
          <w:iCs/>
          <w:color w:val="000000"/>
          <w:sz w:val="24"/>
          <w:szCs w:val="24"/>
          <w:lang w:eastAsia="en-GB"/>
        </w:rPr>
        <w:t xml:space="preserve">Wiley </w:t>
      </w:r>
      <w:proofErr w:type="spellStart"/>
      <w:r w:rsidRPr="002D0C31">
        <w:rPr>
          <w:rFonts w:ascii="Arial" w:eastAsia="Times New Roman" w:hAnsi="Arial" w:cs="Arial"/>
          <w:i/>
          <w:iCs/>
          <w:color w:val="000000"/>
          <w:sz w:val="24"/>
          <w:szCs w:val="24"/>
          <w:lang w:eastAsia="en-GB"/>
        </w:rPr>
        <w:t>StatsRef</w:t>
      </w:r>
      <w:proofErr w:type="spellEnd"/>
      <w:r w:rsidRPr="002D0C31">
        <w:rPr>
          <w:rFonts w:ascii="Arial" w:eastAsia="Times New Roman" w:hAnsi="Arial" w:cs="Arial"/>
          <w:i/>
          <w:iCs/>
          <w:color w:val="000000"/>
          <w:sz w:val="24"/>
          <w:szCs w:val="24"/>
          <w:lang w:eastAsia="en-GB"/>
        </w:rPr>
        <w:t>: Statistics Reference Online</w:t>
      </w:r>
      <w:r w:rsidRPr="002D0C31">
        <w:rPr>
          <w:rFonts w:ascii="Arial" w:eastAsia="Times New Roman" w:hAnsi="Arial" w:cs="Arial"/>
          <w:color w:val="000000"/>
          <w:sz w:val="24"/>
          <w:szCs w:val="24"/>
          <w:lang w:eastAsia="en-GB"/>
        </w:rPr>
        <w:t>, pp. 1-11.</w:t>
      </w:r>
    </w:p>
    <w:p w14:paraId="139EBAE2"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Available at: </w:t>
      </w:r>
      <w:hyperlink r:id="rId9" w:history="1">
        <w:r w:rsidRPr="002D0C31">
          <w:rPr>
            <w:rFonts w:ascii="Arial" w:eastAsia="Times New Roman" w:hAnsi="Arial" w:cs="Arial"/>
            <w:color w:val="1155CC"/>
            <w:sz w:val="24"/>
            <w:szCs w:val="24"/>
            <w:u w:val="single"/>
            <w:lang w:eastAsia="en-GB"/>
          </w:rPr>
          <w:t>https://onlinelibrary.wiley.com/doi/abs/10.1002/9781118445112.stat05999.pub2</w:t>
        </w:r>
      </w:hyperlink>
      <w:r w:rsidRPr="002D0C31">
        <w:rPr>
          <w:rFonts w:ascii="Arial" w:eastAsia="Times New Roman" w:hAnsi="Arial" w:cs="Arial"/>
          <w:color w:val="000000"/>
          <w:sz w:val="24"/>
          <w:szCs w:val="24"/>
          <w:lang w:eastAsia="en-GB"/>
        </w:rPr>
        <w:t> </w:t>
      </w:r>
    </w:p>
    <w:p w14:paraId="4B741929"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(Accessed: 06/03/2022) </w:t>
      </w:r>
    </w:p>
    <w:p w14:paraId="3FF6286A" w14:textId="77777777" w:rsidR="002D0C31" w:rsidRPr="002D0C31" w:rsidRDefault="002D0C31" w:rsidP="002D0C31">
      <w:pPr>
        <w:spacing w:after="0" w:line="480" w:lineRule="auto"/>
        <w:rPr>
          <w:rFonts w:ascii="Arial" w:eastAsia="Times New Roman" w:hAnsi="Arial" w:cs="Arial"/>
          <w:sz w:val="24"/>
          <w:szCs w:val="24"/>
          <w:lang w:eastAsia="en-GB"/>
        </w:rPr>
      </w:pPr>
    </w:p>
    <w:p w14:paraId="61794146"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Thompson, S. K., (2012) ‘Adaptive Cluster Sampling’, </w:t>
      </w:r>
      <w:r w:rsidRPr="002D0C31">
        <w:rPr>
          <w:rFonts w:ascii="Arial" w:eastAsia="Times New Roman" w:hAnsi="Arial" w:cs="Arial"/>
          <w:i/>
          <w:iCs/>
          <w:color w:val="000000"/>
          <w:sz w:val="24"/>
          <w:szCs w:val="24"/>
          <w:lang w:eastAsia="en-GB"/>
        </w:rPr>
        <w:t>Taylor Francis Online</w:t>
      </w:r>
      <w:r w:rsidRPr="002D0C31">
        <w:rPr>
          <w:rFonts w:ascii="Arial" w:eastAsia="Times New Roman" w:hAnsi="Arial" w:cs="Arial"/>
          <w:color w:val="000000"/>
          <w:sz w:val="24"/>
          <w:szCs w:val="24"/>
          <w:lang w:eastAsia="en-GB"/>
        </w:rPr>
        <w:t>, 412, pp. 1050-1059.</w:t>
      </w:r>
    </w:p>
    <w:p w14:paraId="03CA014F"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Available at: </w:t>
      </w:r>
      <w:hyperlink r:id="rId10" w:history="1">
        <w:r w:rsidRPr="002D0C31">
          <w:rPr>
            <w:rFonts w:ascii="Arial" w:eastAsia="Times New Roman" w:hAnsi="Arial" w:cs="Arial"/>
            <w:color w:val="1155CC"/>
            <w:sz w:val="24"/>
            <w:szCs w:val="24"/>
            <w:u w:val="single"/>
            <w:lang w:eastAsia="en-GB"/>
          </w:rPr>
          <w:t>https://www.tandfonline.com/doi/abs/10.1080/01621459.1990.10474975</w:t>
        </w:r>
      </w:hyperlink>
      <w:r w:rsidRPr="002D0C31">
        <w:rPr>
          <w:rFonts w:ascii="Arial" w:eastAsia="Times New Roman" w:hAnsi="Arial" w:cs="Arial"/>
          <w:color w:val="000000"/>
          <w:sz w:val="24"/>
          <w:szCs w:val="24"/>
          <w:lang w:eastAsia="en-GB"/>
        </w:rPr>
        <w:t> </w:t>
      </w:r>
    </w:p>
    <w:p w14:paraId="77A0F63C"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(Accessed: 06/03/2022)</w:t>
      </w:r>
    </w:p>
    <w:p w14:paraId="75134106" w14:textId="77777777" w:rsidR="002D0C31" w:rsidRPr="002D0C31" w:rsidRDefault="002D0C31" w:rsidP="002D0C31">
      <w:pPr>
        <w:spacing w:after="0" w:line="480" w:lineRule="auto"/>
        <w:rPr>
          <w:rFonts w:ascii="Arial" w:eastAsia="Times New Roman" w:hAnsi="Arial" w:cs="Arial"/>
          <w:sz w:val="24"/>
          <w:szCs w:val="24"/>
          <w:lang w:eastAsia="en-GB"/>
        </w:rPr>
      </w:pPr>
    </w:p>
    <w:p w14:paraId="7EB26C4D"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Yates, F., (1948) ‘Systematic sampling’, </w:t>
      </w:r>
      <w:r w:rsidRPr="002D0C31">
        <w:rPr>
          <w:rFonts w:ascii="Arial" w:eastAsia="Times New Roman" w:hAnsi="Arial" w:cs="Arial"/>
          <w:i/>
          <w:iCs/>
          <w:color w:val="000000"/>
          <w:sz w:val="24"/>
          <w:szCs w:val="24"/>
          <w:lang w:eastAsia="en-GB"/>
        </w:rPr>
        <w:t>The Royal Society</w:t>
      </w:r>
      <w:r w:rsidRPr="002D0C31">
        <w:rPr>
          <w:rFonts w:ascii="Arial" w:eastAsia="Times New Roman" w:hAnsi="Arial" w:cs="Arial"/>
          <w:color w:val="000000"/>
          <w:sz w:val="24"/>
          <w:szCs w:val="24"/>
          <w:lang w:eastAsia="en-GB"/>
        </w:rPr>
        <w:t>, 241(834), pp. 345-377.</w:t>
      </w:r>
    </w:p>
    <w:p w14:paraId="1DF1C02F"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Available at: </w:t>
      </w:r>
      <w:hyperlink r:id="rId11" w:history="1">
        <w:r w:rsidRPr="002D0C31">
          <w:rPr>
            <w:rFonts w:ascii="Arial" w:eastAsia="Times New Roman" w:hAnsi="Arial" w:cs="Arial"/>
            <w:color w:val="1155CC"/>
            <w:sz w:val="24"/>
            <w:szCs w:val="24"/>
            <w:u w:val="single"/>
            <w:lang w:eastAsia="en-GB"/>
          </w:rPr>
          <w:t>https://royalsocietypublishing.org/doi/abs/10.1098/rsta.1948.0023#</w:t>
        </w:r>
      </w:hyperlink>
      <w:r w:rsidRPr="002D0C31">
        <w:rPr>
          <w:rFonts w:ascii="Arial" w:eastAsia="Times New Roman" w:hAnsi="Arial" w:cs="Arial"/>
          <w:color w:val="000000"/>
          <w:sz w:val="24"/>
          <w:szCs w:val="24"/>
          <w:lang w:eastAsia="en-GB"/>
        </w:rPr>
        <w:t> </w:t>
      </w:r>
    </w:p>
    <w:p w14:paraId="5E668870"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lastRenderedPageBreak/>
        <w:t>(Accessed: 06/03/2022)  </w:t>
      </w:r>
    </w:p>
    <w:p w14:paraId="1E8D27D3" w14:textId="77777777" w:rsidR="002D0C31" w:rsidRPr="002D0C31" w:rsidRDefault="002D0C31" w:rsidP="002D0C31">
      <w:pPr>
        <w:spacing w:after="0" w:line="480" w:lineRule="auto"/>
        <w:rPr>
          <w:rFonts w:ascii="Arial" w:eastAsia="Times New Roman" w:hAnsi="Arial" w:cs="Arial"/>
          <w:sz w:val="24"/>
          <w:szCs w:val="24"/>
          <w:lang w:eastAsia="en-GB"/>
        </w:rPr>
      </w:pPr>
    </w:p>
    <w:p w14:paraId="283D9C26"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Jack. B., and Clarke, A. M. (1998) ‘The purpose and use of questionnaires in research.’, </w:t>
      </w:r>
      <w:r w:rsidRPr="002D0C31">
        <w:rPr>
          <w:rFonts w:ascii="Arial" w:eastAsia="Times New Roman" w:hAnsi="Arial" w:cs="Arial"/>
          <w:i/>
          <w:iCs/>
          <w:color w:val="000000"/>
          <w:sz w:val="24"/>
          <w:szCs w:val="24"/>
          <w:lang w:eastAsia="en-GB"/>
        </w:rPr>
        <w:t xml:space="preserve">Professional Nurse (London, England), </w:t>
      </w:r>
      <w:r w:rsidRPr="002D0C31">
        <w:rPr>
          <w:rFonts w:ascii="Arial" w:eastAsia="Times New Roman" w:hAnsi="Arial" w:cs="Arial"/>
          <w:color w:val="000000"/>
          <w:sz w:val="24"/>
          <w:szCs w:val="24"/>
          <w:lang w:eastAsia="en-GB"/>
        </w:rPr>
        <w:t>14(3), pp. 176-179.</w:t>
      </w:r>
    </w:p>
    <w:p w14:paraId="5E9C371E"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Available at: </w:t>
      </w:r>
      <w:hyperlink r:id="rId12" w:history="1">
        <w:r w:rsidRPr="002D0C31">
          <w:rPr>
            <w:rFonts w:ascii="Arial" w:eastAsia="Times New Roman" w:hAnsi="Arial" w:cs="Arial"/>
            <w:color w:val="1155CC"/>
            <w:sz w:val="24"/>
            <w:szCs w:val="24"/>
            <w:u w:val="single"/>
            <w:lang w:eastAsia="en-GB"/>
          </w:rPr>
          <w:t>https://europepmc.org/article/med/10095687</w:t>
        </w:r>
      </w:hyperlink>
      <w:r w:rsidRPr="002D0C31">
        <w:rPr>
          <w:rFonts w:ascii="Arial" w:eastAsia="Times New Roman" w:hAnsi="Arial" w:cs="Arial"/>
          <w:color w:val="000000"/>
          <w:sz w:val="24"/>
          <w:szCs w:val="24"/>
          <w:lang w:eastAsia="en-GB"/>
        </w:rPr>
        <w:t> </w:t>
      </w:r>
    </w:p>
    <w:p w14:paraId="29FB6785"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(Accessed: 07/03/2022)  </w:t>
      </w:r>
    </w:p>
    <w:p w14:paraId="2CBF2931" w14:textId="77777777" w:rsidR="002D0C31" w:rsidRPr="002D0C31" w:rsidRDefault="002D0C31" w:rsidP="002D0C31">
      <w:pPr>
        <w:spacing w:after="0" w:line="480" w:lineRule="auto"/>
        <w:rPr>
          <w:rFonts w:ascii="Arial" w:eastAsia="Times New Roman" w:hAnsi="Arial" w:cs="Arial"/>
          <w:sz w:val="24"/>
          <w:szCs w:val="24"/>
          <w:lang w:eastAsia="en-GB"/>
        </w:rPr>
      </w:pPr>
    </w:p>
    <w:p w14:paraId="3C9C0867"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Wei. L., and Moyer, M. G. (2009) </w:t>
      </w:r>
      <w:r w:rsidRPr="002D0C31">
        <w:rPr>
          <w:rFonts w:ascii="Arial" w:eastAsia="Times New Roman" w:hAnsi="Arial" w:cs="Arial"/>
          <w:i/>
          <w:iCs/>
          <w:color w:val="000000"/>
          <w:sz w:val="24"/>
          <w:szCs w:val="24"/>
          <w:lang w:eastAsia="en-GB"/>
        </w:rPr>
        <w:t>The Blackwell Guide to Research Methods in Bilingualism and Multilingualism</w:t>
      </w:r>
      <w:r w:rsidRPr="002D0C31">
        <w:rPr>
          <w:rFonts w:ascii="Arial" w:eastAsia="Times New Roman" w:hAnsi="Arial" w:cs="Arial"/>
          <w:color w:val="000000"/>
          <w:sz w:val="24"/>
          <w:szCs w:val="24"/>
          <w:lang w:eastAsia="en-GB"/>
        </w:rPr>
        <w:t>, New Jersey: John Wiley &amp; Sons.</w:t>
      </w:r>
    </w:p>
    <w:p w14:paraId="48FB3BD2" w14:textId="77777777" w:rsidR="002D0C31" w:rsidRPr="002D0C31" w:rsidRDefault="002D0C31" w:rsidP="002D0C31">
      <w:pPr>
        <w:spacing w:after="0" w:line="480" w:lineRule="auto"/>
        <w:rPr>
          <w:rFonts w:ascii="Arial" w:eastAsia="Times New Roman" w:hAnsi="Arial" w:cs="Arial"/>
          <w:sz w:val="24"/>
          <w:szCs w:val="24"/>
          <w:lang w:eastAsia="en-GB"/>
        </w:rPr>
      </w:pPr>
    </w:p>
    <w:p w14:paraId="6932D069"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Namazi. M. (2003) ‘The Role </w:t>
      </w:r>
      <w:proofErr w:type="gramStart"/>
      <w:r w:rsidRPr="002D0C31">
        <w:rPr>
          <w:rFonts w:ascii="Arial" w:eastAsia="Times New Roman" w:hAnsi="Arial" w:cs="Arial"/>
          <w:color w:val="000000"/>
          <w:sz w:val="24"/>
          <w:szCs w:val="24"/>
          <w:lang w:eastAsia="en-GB"/>
        </w:rPr>
        <w:t>Of</w:t>
      </w:r>
      <w:proofErr w:type="gramEnd"/>
      <w:r w:rsidRPr="002D0C31">
        <w:rPr>
          <w:rFonts w:ascii="Arial" w:eastAsia="Times New Roman" w:hAnsi="Arial" w:cs="Arial"/>
          <w:color w:val="000000"/>
          <w:sz w:val="24"/>
          <w:szCs w:val="24"/>
          <w:lang w:eastAsia="en-GB"/>
        </w:rPr>
        <w:t xml:space="preserve"> Qualitative Researches’, </w:t>
      </w:r>
      <w:r w:rsidRPr="002D0C31">
        <w:rPr>
          <w:rFonts w:ascii="Arial" w:eastAsia="Times New Roman" w:hAnsi="Arial" w:cs="Arial"/>
          <w:i/>
          <w:iCs/>
          <w:color w:val="000000"/>
          <w:sz w:val="24"/>
          <w:szCs w:val="24"/>
          <w:lang w:eastAsia="en-GB"/>
        </w:rPr>
        <w:t>Geography and Development</w:t>
      </w:r>
      <w:r w:rsidRPr="002D0C31">
        <w:rPr>
          <w:rFonts w:ascii="Arial" w:eastAsia="Times New Roman" w:hAnsi="Arial" w:cs="Arial"/>
          <w:color w:val="000000"/>
          <w:sz w:val="24"/>
          <w:szCs w:val="24"/>
          <w:lang w:eastAsia="en-GB"/>
        </w:rPr>
        <w:t>, 1(1), pp. 63-78.</w:t>
      </w:r>
    </w:p>
    <w:p w14:paraId="5D724647"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Available at: </w:t>
      </w:r>
      <w:hyperlink r:id="rId13" w:history="1">
        <w:r w:rsidRPr="002D0C31">
          <w:rPr>
            <w:rFonts w:ascii="Arial" w:eastAsia="Times New Roman" w:hAnsi="Arial" w:cs="Arial"/>
            <w:color w:val="1155CC"/>
            <w:sz w:val="24"/>
            <w:szCs w:val="24"/>
            <w:u w:val="single"/>
            <w:lang w:eastAsia="en-GB"/>
          </w:rPr>
          <w:t>https://www.sid.ir/en/Journal/ViewPaper.aspx?ID=30072</w:t>
        </w:r>
      </w:hyperlink>
      <w:r w:rsidRPr="002D0C31">
        <w:rPr>
          <w:rFonts w:ascii="Arial" w:eastAsia="Times New Roman" w:hAnsi="Arial" w:cs="Arial"/>
          <w:color w:val="000000"/>
          <w:sz w:val="24"/>
          <w:szCs w:val="24"/>
          <w:lang w:eastAsia="en-GB"/>
        </w:rPr>
        <w:t> </w:t>
      </w:r>
    </w:p>
    <w:p w14:paraId="03FEEE7C"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(Accessed: 07/03/2022) </w:t>
      </w:r>
    </w:p>
    <w:p w14:paraId="660FB29B" w14:textId="77777777" w:rsidR="002D0C31" w:rsidRPr="002D0C31" w:rsidRDefault="002D0C31" w:rsidP="002D0C31">
      <w:pPr>
        <w:spacing w:after="0" w:line="480" w:lineRule="auto"/>
        <w:rPr>
          <w:rFonts w:ascii="Arial" w:eastAsia="Times New Roman" w:hAnsi="Arial" w:cs="Arial"/>
          <w:sz w:val="24"/>
          <w:szCs w:val="24"/>
          <w:lang w:eastAsia="en-GB"/>
        </w:rPr>
      </w:pPr>
    </w:p>
    <w:p w14:paraId="0343E0EB"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Watson, R. (2015) ‘Quantitative research’, </w:t>
      </w:r>
      <w:r w:rsidRPr="002D0C31">
        <w:rPr>
          <w:rFonts w:ascii="Arial" w:eastAsia="Times New Roman" w:hAnsi="Arial" w:cs="Arial"/>
          <w:i/>
          <w:iCs/>
          <w:color w:val="000000"/>
          <w:sz w:val="24"/>
          <w:szCs w:val="24"/>
          <w:lang w:eastAsia="en-GB"/>
        </w:rPr>
        <w:t xml:space="preserve">Nursing Standard (2014+), </w:t>
      </w:r>
      <w:r w:rsidRPr="002D0C31">
        <w:rPr>
          <w:rFonts w:ascii="Arial" w:eastAsia="Times New Roman" w:hAnsi="Arial" w:cs="Arial"/>
          <w:color w:val="000000"/>
          <w:sz w:val="24"/>
          <w:szCs w:val="24"/>
          <w:lang w:eastAsia="en-GB"/>
        </w:rPr>
        <w:t>29(31), p. 44.</w:t>
      </w:r>
    </w:p>
    <w:p w14:paraId="5E184D78"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Available at: </w:t>
      </w:r>
      <w:hyperlink r:id="rId14" w:history="1">
        <w:r w:rsidRPr="002D0C31">
          <w:rPr>
            <w:rFonts w:ascii="Arial" w:eastAsia="Times New Roman" w:hAnsi="Arial" w:cs="Arial"/>
            <w:color w:val="1155CC"/>
            <w:sz w:val="24"/>
            <w:szCs w:val="24"/>
            <w:u w:val="single"/>
            <w:lang w:eastAsia="en-GB"/>
          </w:rPr>
          <w:t>https://www.proquest.com/docview/1784954827?pq-origsite=gscholar&amp;fromopenview=true</w:t>
        </w:r>
      </w:hyperlink>
      <w:r w:rsidRPr="002D0C31">
        <w:rPr>
          <w:rFonts w:ascii="Arial" w:eastAsia="Times New Roman" w:hAnsi="Arial" w:cs="Arial"/>
          <w:color w:val="000000"/>
          <w:sz w:val="24"/>
          <w:szCs w:val="24"/>
          <w:lang w:eastAsia="en-GB"/>
        </w:rPr>
        <w:t> </w:t>
      </w:r>
    </w:p>
    <w:p w14:paraId="6560D3FA"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(Accessed: 07/03/2022)    </w:t>
      </w:r>
    </w:p>
    <w:p w14:paraId="4EB1176E" w14:textId="77777777" w:rsidR="002D0C31" w:rsidRPr="002D0C31" w:rsidRDefault="002D0C31" w:rsidP="002D0C31">
      <w:pPr>
        <w:spacing w:after="0" w:line="480" w:lineRule="auto"/>
        <w:rPr>
          <w:rFonts w:ascii="Arial" w:eastAsia="Times New Roman" w:hAnsi="Arial" w:cs="Arial"/>
          <w:sz w:val="24"/>
          <w:szCs w:val="24"/>
          <w:lang w:eastAsia="en-GB"/>
        </w:rPr>
      </w:pPr>
    </w:p>
    <w:p w14:paraId="7ADCA93B"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Wright, K. B. (2017) ‘Researching Internet-Based Populations: Advantages and Disadvantages of Online Survey Research, Online Questionnaire Authoring Software Packages, and Web Survey Services’, </w:t>
      </w:r>
      <w:r w:rsidRPr="002D0C31">
        <w:rPr>
          <w:rFonts w:ascii="Arial" w:eastAsia="Times New Roman" w:hAnsi="Arial" w:cs="Arial"/>
          <w:i/>
          <w:iCs/>
          <w:color w:val="000000"/>
          <w:sz w:val="24"/>
          <w:szCs w:val="24"/>
          <w:lang w:eastAsia="en-GB"/>
        </w:rPr>
        <w:t>Journal of Computer-Mediated Communication</w:t>
      </w:r>
      <w:r w:rsidRPr="002D0C31">
        <w:rPr>
          <w:rFonts w:ascii="Arial" w:eastAsia="Times New Roman" w:hAnsi="Arial" w:cs="Arial"/>
          <w:color w:val="000000"/>
          <w:sz w:val="24"/>
          <w:szCs w:val="24"/>
          <w:lang w:eastAsia="en-GB"/>
        </w:rPr>
        <w:t>, 10(3).</w:t>
      </w:r>
    </w:p>
    <w:p w14:paraId="7E552734"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lastRenderedPageBreak/>
        <w:t xml:space="preserve">Available at: </w:t>
      </w:r>
      <w:hyperlink r:id="rId15" w:history="1">
        <w:r w:rsidRPr="002D0C31">
          <w:rPr>
            <w:rFonts w:ascii="Arial" w:eastAsia="Times New Roman" w:hAnsi="Arial" w:cs="Arial"/>
            <w:color w:val="1155CC"/>
            <w:sz w:val="24"/>
            <w:szCs w:val="24"/>
            <w:u w:val="single"/>
            <w:lang w:eastAsia="en-GB"/>
          </w:rPr>
          <w:t>https://academic.oup.com/jcmc/article/10/3/JCMC1034/4614509?login=true</w:t>
        </w:r>
      </w:hyperlink>
      <w:r w:rsidRPr="002D0C31">
        <w:rPr>
          <w:rFonts w:ascii="Arial" w:eastAsia="Times New Roman" w:hAnsi="Arial" w:cs="Arial"/>
          <w:color w:val="000000"/>
          <w:sz w:val="24"/>
          <w:szCs w:val="24"/>
          <w:lang w:eastAsia="en-GB"/>
        </w:rPr>
        <w:t> </w:t>
      </w:r>
    </w:p>
    <w:p w14:paraId="23CDEFF3"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(Accessed: 07/03/2022)   </w:t>
      </w:r>
    </w:p>
    <w:p w14:paraId="2E7B1312" w14:textId="77777777" w:rsidR="002D0C31" w:rsidRPr="002D0C31" w:rsidRDefault="002D0C31" w:rsidP="002D0C31">
      <w:pPr>
        <w:spacing w:after="0" w:line="480" w:lineRule="auto"/>
        <w:rPr>
          <w:rFonts w:ascii="Arial" w:eastAsia="Times New Roman" w:hAnsi="Arial" w:cs="Arial"/>
          <w:sz w:val="24"/>
          <w:szCs w:val="24"/>
          <w:lang w:eastAsia="en-GB"/>
        </w:rPr>
      </w:pPr>
    </w:p>
    <w:p w14:paraId="4297728E"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Huffman, I. (2006) </w:t>
      </w:r>
      <w:r w:rsidRPr="002D0C31">
        <w:rPr>
          <w:rFonts w:ascii="Arial" w:eastAsia="Times New Roman" w:hAnsi="Arial" w:cs="Arial"/>
          <w:i/>
          <w:iCs/>
          <w:color w:val="000000"/>
          <w:sz w:val="24"/>
          <w:szCs w:val="24"/>
          <w:lang w:eastAsia="en-GB"/>
        </w:rPr>
        <w:t>Online Questionnaire Software Advantages/Disadvantages</w:t>
      </w:r>
      <w:r w:rsidRPr="002D0C31">
        <w:rPr>
          <w:rFonts w:ascii="Arial" w:eastAsia="Times New Roman" w:hAnsi="Arial" w:cs="Arial"/>
          <w:color w:val="000000"/>
          <w:sz w:val="24"/>
          <w:szCs w:val="24"/>
          <w:lang w:eastAsia="en-GB"/>
        </w:rPr>
        <w:t>.</w:t>
      </w:r>
    </w:p>
    <w:p w14:paraId="47128355"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Available at: </w:t>
      </w:r>
      <w:hyperlink r:id="rId16" w:history="1">
        <w:r w:rsidRPr="002D0C31">
          <w:rPr>
            <w:rFonts w:ascii="Arial" w:eastAsia="Times New Roman" w:hAnsi="Arial" w:cs="Arial"/>
            <w:color w:val="1155CC"/>
            <w:sz w:val="24"/>
            <w:szCs w:val="24"/>
            <w:u w:val="single"/>
            <w:lang w:eastAsia="en-GB"/>
          </w:rPr>
          <w:t>https://cdr.lib.unc.edu/concern/masters_papers/ff3659295</w:t>
        </w:r>
      </w:hyperlink>
      <w:r w:rsidRPr="002D0C31">
        <w:rPr>
          <w:rFonts w:ascii="Arial" w:eastAsia="Times New Roman" w:hAnsi="Arial" w:cs="Arial"/>
          <w:color w:val="000000"/>
          <w:sz w:val="24"/>
          <w:szCs w:val="24"/>
          <w:lang w:eastAsia="en-GB"/>
        </w:rPr>
        <w:t> </w:t>
      </w:r>
    </w:p>
    <w:p w14:paraId="2C45343D"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(Accessed: 07/03/2022)</w:t>
      </w:r>
    </w:p>
    <w:p w14:paraId="75F1D243" w14:textId="77777777" w:rsidR="002D0C31" w:rsidRPr="002D0C31" w:rsidRDefault="002D0C31" w:rsidP="002D0C31">
      <w:pPr>
        <w:spacing w:after="0" w:line="480" w:lineRule="auto"/>
        <w:rPr>
          <w:rFonts w:ascii="Arial" w:eastAsia="Times New Roman" w:hAnsi="Arial" w:cs="Arial"/>
          <w:sz w:val="24"/>
          <w:szCs w:val="24"/>
          <w:lang w:eastAsia="en-GB"/>
        </w:rPr>
      </w:pPr>
    </w:p>
    <w:p w14:paraId="591C46D4"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Groves, R. M., Fowlers, F. J., Couper, M. P., </w:t>
      </w:r>
      <w:proofErr w:type="spellStart"/>
      <w:r w:rsidRPr="002D0C31">
        <w:rPr>
          <w:rFonts w:ascii="Arial" w:eastAsia="Times New Roman" w:hAnsi="Arial" w:cs="Arial"/>
          <w:color w:val="000000"/>
          <w:sz w:val="24"/>
          <w:szCs w:val="24"/>
          <w:lang w:eastAsia="en-GB"/>
        </w:rPr>
        <w:t>Lepkowski</w:t>
      </w:r>
      <w:proofErr w:type="spellEnd"/>
      <w:r w:rsidRPr="002D0C31">
        <w:rPr>
          <w:rFonts w:ascii="Arial" w:eastAsia="Times New Roman" w:hAnsi="Arial" w:cs="Arial"/>
          <w:color w:val="000000"/>
          <w:sz w:val="24"/>
          <w:szCs w:val="24"/>
          <w:lang w:eastAsia="en-GB"/>
        </w:rPr>
        <w:t xml:space="preserve">, J. M., Singer, E., Tourangeau, R. (2011) </w:t>
      </w:r>
      <w:r w:rsidRPr="002D0C31">
        <w:rPr>
          <w:rFonts w:ascii="Arial" w:eastAsia="Times New Roman" w:hAnsi="Arial" w:cs="Arial"/>
          <w:i/>
          <w:iCs/>
          <w:color w:val="000000"/>
          <w:sz w:val="24"/>
          <w:szCs w:val="24"/>
          <w:lang w:eastAsia="en-GB"/>
        </w:rPr>
        <w:t>Survey Methodology</w:t>
      </w:r>
      <w:r w:rsidRPr="002D0C31">
        <w:rPr>
          <w:rFonts w:ascii="Arial" w:eastAsia="Times New Roman" w:hAnsi="Arial" w:cs="Arial"/>
          <w:color w:val="000000"/>
          <w:sz w:val="24"/>
          <w:szCs w:val="24"/>
          <w:lang w:eastAsia="en-GB"/>
        </w:rPr>
        <w:t>, New York: John Wiley &amp; Sons.  </w:t>
      </w:r>
    </w:p>
    <w:p w14:paraId="2CD621D6" w14:textId="77777777" w:rsidR="002D0C31" w:rsidRPr="002D0C31" w:rsidRDefault="002D0C31" w:rsidP="002D0C31">
      <w:pPr>
        <w:spacing w:after="0" w:line="480" w:lineRule="auto"/>
        <w:rPr>
          <w:rFonts w:ascii="Arial" w:eastAsia="Times New Roman" w:hAnsi="Arial" w:cs="Arial"/>
          <w:sz w:val="24"/>
          <w:szCs w:val="24"/>
          <w:lang w:eastAsia="en-GB"/>
        </w:rPr>
      </w:pPr>
    </w:p>
    <w:p w14:paraId="2DDCDB05"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Gelman, A (2012) ‘Why Tables Are Really Much Better Than Graphs’, </w:t>
      </w:r>
      <w:r w:rsidRPr="002D0C31">
        <w:rPr>
          <w:rFonts w:ascii="Arial" w:eastAsia="Times New Roman" w:hAnsi="Arial" w:cs="Arial"/>
          <w:i/>
          <w:iCs/>
          <w:color w:val="000000"/>
          <w:sz w:val="24"/>
          <w:szCs w:val="24"/>
          <w:lang w:eastAsia="en-GB"/>
        </w:rPr>
        <w:t>Journal of Computational and Graphical Statistics</w:t>
      </w:r>
      <w:r w:rsidRPr="002D0C31">
        <w:rPr>
          <w:rFonts w:ascii="Arial" w:eastAsia="Times New Roman" w:hAnsi="Arial" w:cs="Arial"/>
          <w:color w:val="000000"/>
          <w:sz w:val="24"/>
          <w:szCs w:val="24"/>
          <w:lang w:eastAsia="en-GB"/>
        </w:rPr>
        <w:t>, 20(1), pp. 3-7.</w:t>
      </w:r>
    </w:p>
    <w:p w14:paraId="0CCB2536"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xml:space="preserve">Available at: </w:t>
      </w:r>
      <w:hyperlink r:id="rId17" w:history="1">
        <w:r w:rsidRPr="002D0C31">
          <w:rPr>
            <w:rFonts w:ascii="Arial" w:eastAsia="Times New Roman" w:hAnsi="Arial" w:cs="Arial"/>
            <w:color w:val="1155CC"/>
            <w:sz w:val="24"/>
            <w:szCs w:val="24"/>
            <w:u w:val="single"/>
            <w:lang w:eastAsia="en-GB"/>
          </w:rPr>
          <w:t>https://www.tandfonline.com/doi/abs/10.1198/jcgs.2011.09166</w:t>
        </w:r>
      </w:hyperlink>
      <w:r w:rsidRPr="002D0C31">
        <w:rPr>
          <w:rFonts w:ascii="Arial" w:eastAsia="Times New Roman" w:hAnsi="Arial" w:cs="Arial"/>
          <w:color w:val="000000"/>
          <w:sz w:val="24"/>
          <w:szCs w:val="24"/>
          <w:lang w:eastAsia="en-GB"/>
        </w:rPr>
        <w:t> </w:t>
      </w:r>
    </w:p>
    <w:p w14:paraId="685F4CA6"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(Accessed: 10/03/2022) </w:t>
      </w:r>
    </w:p>
    <w:p w14:paraId="2B0C79D0" w14:textId="77777777" w:rsidR="002D0C31" w:rsidRPr="002D0C31" w:rsidRDefault="002D0C31" w:rsidP="002D0C31">
      <w:pPr>
        <w:spacing w:after="240" w:line="480" w:lineRule="auto"/>
        <w:rPr>
          <w:rFonts w:ascii="Arial" w:eastAsia="Times New Roman" w:hAnsi="Arial" w:cs="Arial"/>
          <w:sz w:val="24"/>
          <w:szCs w:val="24"/>
          <w:lang w:eastAsia="en-GB"/>
        </w:rPr>
      </w:pP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p>
    <w:p w14:paraId="18A9DD8F" w14:textId="77777777" w:rsidR="002D0C31" w:rsidRPr="002D0C31" w:rsidRDefault="002D0C31" w:rsidP="002D0C31">
      <w:pPr>
        <w:spacing w:after="0" w:line="480" w:lineRule="auto"/>
        <w:rPr>
          <w:rFonts w:ascii="Arial" w:eastAsia="Times New Roman" w:hAnsi="Arial" w:cs="Arial"/>
          <w:sz w:val="24"/>
          <w:szCs w:val="24"/>
          <w:lang w:eastAsia="en-GB"/>
        </w:rPr>
      </w:pPr>
      <w:r w:rsidRPr="002D0C31">
        <w:rPr>
          <w:rFonts w:ascii="Arial" w:eastAsia="Times New Roman" w:hAnsi="Arial" w:cs="Arial"/>
          <w:color w:val="000000"/>
          <w:sz w:val="24"/>
          <w:szCs w:val="24"/>
          <w:lang w:eastAsia="en-GB"/>
        </w:rPr>
        <w:t> </w:t>
      </w:r>
    </w:p>
    <w:p w14:paraId="1B44B4DE" w14:textId="47A564E1" w:rsidR="00B77269" w:rsidRPr="002D0C31" w:rsidRDefault="002D0C31" w:rsidP="002D0C31">
      <w:pPr>
        <w:spacing w:line="480" w:lineRule="auto"/>
        <w:rPr>
          <w:rFonts w:ascii="Arial" w:hAnsi="Arial" w:cs="Arial"/>
          <w:sz w:val="24"/>
          <w:szCs w:val="24"/>
        </w:rPr>
      </w:pPr>
      <w:r w:rsidRPr="002D0C31">
        <w:rPr>
          <w:rFonts w:ascii="Arial" w:eastAsia="Times New Roman" w:hAnsi="Arial" w:cs="Arial"/>
          <w:sz w:val="24"/>
          <w:szCs w:val="24"/>
          <w:lang w:eastAsia="en-GB"/>
        </w:rPr>
        <w:br/>
      </w:r>
      <w:r w:rsidRPr="002D0C31">
        <w:rPr>
          <w:rFonts w:ascii="Arial" w:eastAsia="Times New Roman" w:hAnsi="Arial" w:cs="Arial"/>
          <w:sz w:val="24"/>
          <w:szCs w:val="24"/>
          <w:lang w:eastAsia="en-GB"/>
        </w:rPr>
        <w:br/>
      </w:r>
    </w:p>
    <w:sectPr w:rsidR="00B77269" w:rsidRPr="002D0C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CD958CF"/>
    <w:multiLevelType w:val="multilevel"/>
    <w:tmpl w:val="7EFCE9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0C31"/>
    <w:rsid w:val="002D0C31"/>
    <w:rsid w:val="00B772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106AC7"/>
  <w15:chartTrackingRefBased/>
  <w15:docId w15:val="{3498AEEE-A1E1-4F4A-90C0-0AA3E70188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D0C3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D0C3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06728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mc/articles/PMC2535957/pdf/bullwho00104-0095.pdf" TargetMode="External"/><Relationship Id="rId13" Type="http://schemas.openxmlformats.org/officeDocument/2006/relationships/hyperlink" Target="https://www.sid.ir/en/Journal/ViewPaper.aspx?ID=30072"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ncbi.nlm.nih.gov/pmc/articles/PMC6318722/" TargetMode="External"/><Relationship Id="rId12" Type="http://schemas.openxmlformats.org/officeDocument/2006/relationships/hyperlink" Target="https://europepmc.org/article/med/10095687" TargetMode="External"/><Relationship Id="rId17" Type="http://schemas.openxmlformats.org/officeDocument/2006/relationships/hyperlink" Target="https://www.tandfonline.com/doi/abs/10.1198/jcgs.2011.09166" TargetMode="External"/><Relationship Id="rId2" Type="http://schemas.openxmlformats.org/officeDocument/2006/relationships/styles" Target="styles.xml"/><Relationship Id="rId16" Type="http://schemas.openxmlformats.org/officeDocument/2006/relationships/hyperlink" Target="https://cdr.lib.unc.edu/concern/masters_papers/ff3659295" TargetMode="External"/><Relationship Id="rId1" Type="http://schemas.openxmlformats.org/officeDocument/2006/relationships/numbering" Target="numbering.xml"/><Relationship Id="rId6" Type="http://schemas.openxmlformats.org/officeDocument/2006/relationships/hyperlink" Target="https://www.proquest.com/docview/211882108?pq-origsite=gscholar&amp;fromopenview=true" TargetMode="External"/><Relationship Id="rId11" Type="http://schemas.openxmlformats.org/officeDocument/2006/relationships/hyperlink" Target="https://royalsocietypublishing.org/doi/abs/10.1098/rsta.1948.0023" TargetMode="External"/><Relationship Id="rId5" Type="http://schemas.openxmlformats.org/officeDocument/2006/relationships/hyperlink" Target="https://www.researchgate.net/profile/Anita-Acharya-2/publication/256446902_Sampling_Why_and_How_of_it_Anita_S_Acharya_Anupam_Prakash_Pikee_Saxena_Aruna_Nigam/links/0c960527c82d449788000000/Sampling-Why-and-How-of-it-Anita-S-Acharya-Anupam-Prakash-Pikee-Saxena-Aruna-Nigam.pdf" TargetMode="External"/><Relationship Id="rId15" Type="http://schemas.openxmlformats.org/officeDocument/2006/relationships/hyperlink" Target="https://academic.oup.com/jcmc/article/10/3/JCMC1034/4614509?login=true" TargetMode="External"/><Relationship Id="rId10" Type="http://schemas.openxmlformats.org/officeDocument/2006/relationships/hyperlink" Target="https://www.tandfonline.com/doi/abs/10.1080/01621459.1990.10474975"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onlinelibrary.wiley.com/doi/abs/10.1002/9781118445112.stat05999.pub2" TargetMode="External"/><Relationship Id="rId14" Type="http://schemas.openxmlformats.org/officeDocument/2006/relationships/hyperlink" Target="https://www.proquest.com/docview/1784954827?pq-origsite=gscholar&amp;fromopenview=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2177</Words>
  <Characters>12411</Characters>
  <Application>Microsoft Office Word</Application>
  <DocSecurity>0</DocSecurity>
  <Lines>103</Lines>
  <Paragraphs>29</Paragraphs>
  <ScaleCrop>false</ScaleCrop>
  <Company/>
  <LinksUpToDate>false</LinksUpToDate>
  <CharactersWithSpaces>14559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Williams (1900369)</dc:creator>
  <cp:keywords/>
  <dc:description/>
  <cp:lastModifiedBy>Aaron Williams (1900369)</cp:lastModifiedBy>
  <cp:revision>1</cp:revision>
  <dcterms:created xsi:type="dcterms:W3CDTF">2022-03-10T21:17:00Z</dcterms:created>
  <dcterms:modified xsi:type="dcterms:W3CDTF">2022-03-10T21:18:00Z</dcterms:modified>
</cp:coreProperties>
</file>